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53A" w:rsidRDefault="00DE2CEA" w:rsidP="00DE2CEA">
      <w:pPr>
        <w:pStyle w:val="Head1"/>
      </w:pPr>
      <w:bookmarkStart w:id="0" w:name="_Hlk110593326"/>
      <w:bookmarkStart w:id="1" w:name="_GoBack"/>
      <w:bookmarkEnd w:id="1"/>
      <w:r w:rsidRPr="00FD274F">
        <w:rPr>
          <w:noProof/>
          <w:sz w:val="20"/>
        </w:rPr>
        <w:drawing>
          <wp:inline distT="0" distB="0" distL="0" distR="0" wp14:anchorId="34106AC3" wp14:editId="74DC85EA">
            <wp:extent cx="3393152" cy="1009498"/>
            <wp:effectExtent l="0" t="0" r="0" b="635"/>
            <wp:docPr id="3" name="Picture 3" descr="OPC/Commonwealth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677" cy="102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EA" w:rsidRPr="00DE2CEA" w:rsidRDefault="00DE2CEA" w:rsidP="00F9653A">
      <w:pPr>
        <w:pStyle w:val="Head1"/>
        <w:spacing w:before="0"/>
      </w:pPr>
      <w:r w:rsidRPr="00DE2CEA">
        <w:t>Instrument Drafting Guidance Note No. 1.1</w:t>
      </w:r>
    </w:p>
    <w:p w:rsidR="00DE2CEA" w:rsidRDefault="006521F6" w:rsidP="00F9653A">
      <w:pPr>
        <w:pStyle w:val="Head1"/>
        <w:spacing w:before="0"/>
      </w:pPr>
      <w:r w:rsidRPr="00DE2CEA">
        <w:t xml:space="preserve">Deciding if </w:t>
      </w:r>
      <w:r w:rsidR="00351072" w:rsidRPr="00DE2CEA">
        <w:t xml:space="preserve">a </w:t>
      </w:r>
      <w:r w:rsidRPr="00DE2CEA">
        <w:t>non-tied instrument should be drafted by OPC</w:t>
      </w:r>
    </w:p>
    <w:p w:rsidR="00F9653A" w:rsidRDefault="00F9653A" w:rsidP="00DE2CEA">
      <w:pPr>
        <w:pStyle w:val="Release"/>
      </w:pPr>
    </w:p>
    <w:p w:rsidR="00DE2CEA" w:rsidRPr="009F7AE2" w:rsidRDefault="00DE2CEA" w:rsidP="00F9653A">
      <w:pPr>
        <w:pStyle w:val="Release"/>
        <w:spacing w:before="0"/>
      </w:pPr>
      <w:r w:rsidRPr="009F7AE2">
        <w:t xml:space="preserve">Document release </w:t>
      </w:r>
      <w:r>
        <w:t>1.0</w:t>
      </w:r>
    </w:p>
    <w:p w:rsidR="00DE2CEA" w:rsidRPr="00DE2CEA" w:rsidRDefault="00DE2CEA" w:rsidP="00F9653A">
      <w:pPr>
        <w:pStyle w:val="Release"/>
        <w:spacing w:before="0"/>
      </w:pPr>
      <w:r>
        <w:t>I</w:t>
      </w:r>
      <w:r w:rsidRPr="009F7AE2">
        <w:t xml:space="preserve">ssued </w:t>
      </w:r>
      <w:r>
        <w:t>September 2022</w:t>
      </w:r>
    </w:p>
    <w:bookmarkEnd w:id="0"/>
    <w:p w:rsidR="00F9653A" w:rsidRDefault="00F9653A" w:rsidP="00C354BF">
      <w:pPr>
        <w:pStyle w:val="Head2"/>
      </w:pPr>
    </w:p>
    <w:p w:rsidR="00351072" w:rsidRDefault="006521F6" w:rsidP="00D528E4">
      <w:pPr>
        <w:pStyle w:val="BodyNum"/>
      </w:pPr>
      <w:r>
        <w:t>Th</w:t>
      </w:r>
      <w:r w:rsidR="00930B79">
        <w:t>e purpose of th</w:t>
      </w:r>
      <w:r>
        <w:t>i</w:t>
      </w:r>
      <w:r w:rsidR="00930B79">
        <w:t>s</w:t>
      </w:r>
      <w:r w:rsidR="00C354BF">
        <w:t xml:space="preserve"> document</w:t>
      </w:r>
      <w:r>
        <w:t xml:space="preserve"> is </w:t>
      </w:r>
      <w:r w:rsidR="00C354BF">
        <w:t xml:space="preserve">to assist agencies </w:t>
      </w:r>
      <w:r w:rsidR="00351072">
        <w:t>decide</w:t>
      </w:r>
      <w:r w:rsidR="00C354BF">
        <w:t xml:space="preserve"> </w:t>
      </w:r>
      <w:r w:rsidR="00351072">
        <w:t>whether to</w:t>
      </w:r>
      <w:r w:rsidR="00C354BF">
        <w:t xml:space="preserve"> engag</w:t>
      </w:r>
      <w:r w:rsidR="00351072">
        <w:t>e</w:t>
      </w:r>
      <w:r w:rsidR="00C354BF">
        <w:t xml:space="preserve"> OPC to draft </w:t>
      </w:r>
      <w:r w:rsidR="00712754">
        <w:t xml:space="preserve">a </w:t>
      </w:r>
      <w:r w:rsidR="00C354BF">
        <w:t>non-tied instrument.</w:t>
      </w:r>
      <w:r w:rsidR="00351072">
        <w:t xml:space="preserve"> </w:t>
      </w:r>
      <w:r w:rsidR="00351072">
        <w:rPr>
          <w:rStyle w:val="FootnoteReference"/>
        </w:rPr>
        <w:footnoteReference w:id="1"/>
      </w:r>
    </w:p>
    <w:p w:rsidR="00712754" w:rsidRPr="00DE2CEA" w:rsidRDefault="00C354BF" w:rsidP="00066F86">
      <w:pPr>
        <w:pStyle w:val="BodyNum"/>
      </w:pPr>
      <w:r>
        <w:t xml:space="preserve">When deciding if a particular non-tied instrument should be drafted by OPC, agencies should consider the matters listed in </w:t>
      </w:r>
      <w:r w:rsidRPr="0070013E">
        <w:rPr>
          <w:b/>
        </w:rPr>
        <w:t>Attachment A</w:t>
      </w:r>
      <w:r w:rsidR="006521F6">
        <w:t>.</w:t>
      </w:r>
      <w:r w:rsidR="005B66B9">
        <w:t xml:space="preserve">  </w:t>
      </w:r>
      <w:r w:rsidR="00066F86">
        <w:rPr>
          <w:szCs w:val="24"/>
        </w:rPr>
        <w:t>S</w:t>
      </w:r>
      <w:r w:rsidR="00066F86" w:rsidRPr="00DE2CEA">
        <w:rPr>
          <w:szCs w:val="24"/>
        </w:rPr>
        <w:t>ubject to capacity, OPC should draft the instrument</w:t>
      </w:r>
      <w:r w:rsidR="00066F86">
        <w:t xml:space="preserve"> i</w:t>
      </w:r>
      <w:r w:rsidR="00712754" w:rsidRPr="0070013E">
        <w:t>f one or more of th</w:t>
      </w:r>
      <w:r w:rsidR="005B66B9">
        <w:t>o</w:t>
      </w:r>
      <w:r w:rsidR="00712754" w:rsidRPr="0070013E">
        <w:t xml:space="preserve">se matters applies in relation to </w:t>
      </w:r>
      <w:r w:rsidR="005B66B9">
        <w:t>the</w:t>
      </w:r>
      <w:r w:rsidR="00712754" w:rsidRPr="0070013E">
        <w:t xml:space="preserve"> instrument</w:t>
      </w:r>
      <w:r w:rsidR="00712754" w:rsidRPr="00DE2CEA">
        <w:rPr>
          <w:szCs w:val="24"/>
        </w:rPr>
        <w:t>.</w:t>
      </w:r>
    </w:p>
    <w:p w:rsidR="00066F86" w:rsidRDefault="00066F86" w:rsidP="00A2374C">
      <w:pPr>
        <w:pStyle w:val="BodyNum"/>
      </w:pPr>
      <w:r>
        <w:t>A</w:t>
      </w:r>
      <w:r w:rsidR="0006011D">
        <w:t xml:space="preserve">gencies </w:t>
      </w:r>
      <w:r w:rsidR="00A2374C">
        <w:t>should consult with their relevant internal legal or legislat</w:t>
      </w:r>
      <w:r w:rsidR="00D0551E">
        <w:t>ion</w:t>
      </w:r>
      <w:r w:rsidR="00A2374C">
        <w:t xml:space="preserve"> area</w:t>
      </w:r>
      <w:r>
        <w:t xml:space="preserve"> before engaging OPC</w:t>
      </w:r>
      <w:r w:rsidR="00A2374C">
        <w:t>.</w:t>
      </w:r>
    </w:p>
    <w:p w:rsidR="0006011D" w:rsidRPr="006521F6" w:rsidRDefault="00A2374C" w:rsidP="00A2374C">
      <w:pPr>
        <w:pStyle w:val="BodyNum"/>
      </w:pPr>
      <w:r>
        <w:t xml:space="preserve">Agencies may also </w:t>
      </w:r>
      <w:r w:rsidR="0006011D">
        <w:t>find it useful to consult OPC</w:t>
      </w:r>
      <w:r>
        <w:t>,</w:t>
      </w:r>
      <w:r w:rsidR="0006011D">
        <w:t xml:space="preserve"> including by calling </w:t>
      </w:r>
      <w:r w:rsidR="0070013E">
        <w:t xml:space="preserve">the </w:t>
      </w:r>
      <w:r w:rsidR="0006011D" w:rsidRPr="0006011D">
        <w:t xml:space="preserve">OPC </w:t>
      </w:r>
      <w:r w:rsidR="00D95AB4">
        <w:t xml:space="preserve">instrument </w:t>
      </w:r>
      <w:r w:rsidR="0006011D" w:rsidRPr="0006011D">
        <w:t>client adviser</w:t>
      </w:r>
      <w:r w:rsidR="0006011D">
        <w:t xml:space="preserve"> on</w:t>
      </w:r>
      <w:r w:rsidR="0006011D" w:rsidRPr="0006011D">
        <w:t xml:space="preserve"> </w:t>
      </w:r>
      <w:r w:rsidR="0006011D" w:rsidRPr="00A2374C">
        <w:rPr>
          <w:b/>
          <w:bCs/>
        </w:rPr>
        <w:t>(02) 6120 1390</w:t>
      </w:r>
      <w:r w:rsidR="0006011D" w:rsidRPr="00572BFA">
        <w:rPr>
          <w:bCs/>
        </w:rPr>
        <w:t>.</w:t>
      </w:r>
    </w:p>
    <w:p w:rsidR="00C354BF" w:rsidRPr="00647BB2" w:rsidRDefault="00C354BF" w:rsidP="00647BB2">
      <w:pPr>
        <w:pStyle w:val="Head2"/>
        <w:pageBreakBefore/>
        <w:spacing w:before="0" w:after="0"/>
        <w:jc w:val="right"/>
        <w:rPr>
          <w:sz w:val="24"/>
          <w:szCs w:val="24"/>
        </w:rPr>
      </w:pPr>
      <w:r w:rsidRPr="00647BB2">
        <w:rPr>
          <w:sz w:val="24"/>
          <w:szCs w:val="24"/>
        </w:rPr>
        <w:lastRenderedPageBreak/>
        <w:t>ATTACHMENT A</w:t>
      </w:r>
    </w:p>
    <w:p w:rsidR="00D123A6" w:rsidRDefault="0006011D" w:rsidP="00647BB2">
      <w:pPr>
        <w:pStyle w:val="Head2"/>
        <w:spacing w:before="0" w:after="0"/>
      </w:pPr>
      <w:r>
        <w:t>Relevant m</w:t>
      </w:r>
      <w:r w:rsidR="00F023F3">
        <w:t>atters</w:t>
      </w:r>
    </w:p>
    <w:p w:rsidR="00D123A6" w:rsidRDefault="00D123A6" w:rsidP="00647BB2">
      <w:pPr>
        <w:pStyle w:val="BodyNum"/>
        <w:numPr>
          <w:ilvl w:val="0"/>
          <w:numId w:val="0"/>
        </w:numPr>
        <w:spacing w:before="120"/>
      </w:pPr>
      <w:r>
        <w:t xml:space="preserve">If one or more of the following matters applies in relation to an instrument, agencies should </w:t>
      </w:r>
      <w:r w:rsidR="00066F86">
        <w:t xml:space="preserve">consider </w:t>
      </w:r>
      <w:r w:rsidR="005B66B9">
        <w:t>engag</w:t>
      </w:r>
      <w:r w:rsidR="00066F86">
        <w:t>ing</w:t>
      </w:r>
      <w:r w:rsidR="005B66B9">
        <w:t xml:space="preserve"> OPC to</w:t>
      </w:r>
      <w:r>
        <w:t xml:space="preserve"> </w:t>
      </w:r>
      <w:r w:rsidR="00DD11C7">
        <w:t>draft</w:t>
      </w:r>
      <w:r>
        <w:t xml:space="preserve"> the instrument</w:t>
      </w:r>
      <w:r w:rsidR="00C8608C">
        <w:t>.</w:t>
      </w:r>
    </w:p>
    <w:p w:rsidR="00BE48A5" w:rsidRDefault="00B01DDF" w:rsidP="00647BB2">
      <w:pPr>
        <w:pStyle w:val="BodyNum"/>
        <w:numPr>
          <w:ilvl w:val="0"/>
          <w:numId w:val="32"/>
        </w:numPr>
      </w:pPr>
      <w:r>
        <w:t xml:space="preserve">It is unclear if the instrument </w:t>
      </w:r>
      <w:r w:rsidR="00F24610">
        <w:t xml:space="preserve">is authorised by an Act or </w:t>
      </w:r>
      <w:r w:rsidR="00F276D3">
        <w:t>an</w:t>
      </w:r>
      <w:r w:rsidR="00F24610">
        <w:t>other instrument.</w:t>
      </w:r>
    </w:p>
    <w:p w:rsidR="00BE48A5" w:rsidRPr="00D123A6" w:rsidRDefault="00BE48A5" w:rsidP="00647BB2">
      <w:pPr>
        <w:pStyle w:val="BodyNum"/>
        <w:numPr>
          <w:ilvl w:val="0"/>
          <w:numId w:val="32"/>
        </w:numPr>
      </w:pPr>
      <w:r>
        <w:t>The instrument raises a constitutional issue (such as whether the instrument</w:t>
      </w:r>
      <w:r w:rsidR="00FB6492">
        <w:t xml:space="preserve"> </w:t>
      </w:r>
      <w:r w:rsidRPr="00F276D3">
        <w:t xml:space="preserve">is supported by a constitutional head of power </w:t>
      </w:r>
      <w:r w:rsidR="00DB5CED">
        <w:t>or</w:t>
      </w:r>
      <w:r w:rsidRPr="00F276D3">
        <w:t xml:space="preserve"> is otherwise constitutionally valid</w:t>
      </w:r>
      <w:r>
        <w:t>).</w:t>
      </w:r>
      <w:r>
        <w:rPr>
          <w:rStyle w:val="FootnoteReference"/>
        </w:rPr>
        <w:footnoteReference w:id="2"/>
      </w:r>
    </w:p>
    <w:p w:rsidR="00F276D3" w:rsidRDefault="00F276D3" w:rsidP="00647BB2">
      <w:pPr>
        <w:pStyle w:val="BodyNum"/>
      </w:pPr>
      <w:r>
        <w:t xml:space="preserve">The instrument </w:t>
      </w:r>
      <w:r w:rsidR="00BE48A5">
        <w:t>relates to</w:t>
      </w:r>
      <w:r>
        <w:t xml:space="preserve"> a significant </w:t>
      </w:r>
      <w:r w:rsidR="00BE48A5">
        <w:t xml:space="preserve">or sensitive </w:t>
      </w:r>
      <w:r>
        <w:t>legal, political, administrative or financial matter.</w:t>
      </w:r>
    </w:p>
    <w:p w:rsidR="00F276D3" w:rsidRDefault="00F276D3" w:rsidP="00647BB2">
      <w:pPr>
        <w:pStyle w:val="BodyNum"/>
      </w:pPr>
      <w:r>
        <w:t>The instrument is a new principal instrument.</w:t>
      </w:r>
    </w:p>
    <w:p w:rsidR="00572BFA" w:rsidRDefault="00572BFA" w:rsidP="00647BB2">
      <w:pPr>
        <w:pStyle w:val="BodyNum"/>
      </w:pPr>
      <w:r>
        <w:t>The instrument is an amending instrument that makes significant changes to a principal instrument.</w:t>
      </w:r>
    </w:p>
    <w:p w:rsidR="00F276D3" w:rsidRDefault="00F276D3" w:rsidP="00647BB2">
      <w:pPr>
        <w:pStyle w:val="BodyNum"/>
      </w:pPr>
      <w:r>
        <w:t>The instrument raises a novel or complex legal or drafting issue.</w:t>
      </w:r>
    </w:p>
    <w:p w:rsidR="00F24610" w:rsidRDefault="00F24610" w:rsidP="00647BB2">
      <w:pPr>
        <w:pStyle w:val="BodyNum"/>
      </w:pPr>
      <w:r>
        <w:t>The instrument is intended to fix a</w:t>
      </w:r>
      <w:r w:rsidR="00A2374C">
        <w:t xml:space="preserve"> </w:t>
      </w:r>
      <w:r w:rsidR="0039763B">
        <w:t>mistake</w:t>
      </w:r>
      <w:r w:rsidR="00A2374C">
        <w:t xml:space="preserve"> or problem</w:t>
      </w:r>
      <w:r w:rsidR="00E02786">
        <w:t xml:space="preserve"> that involves a </w:t>
      </w:r>
      <w:r w:rsidR="00200129">
        <w:t xml:space="preserve">medium to </w:t>
      </w:r>
      <w:r w:rsidR="00E02786">
        <w:t>high level of risk or raises significant legal issues</w:t>
      </w:r>
      <w:r>
        <w:t>.</w:t>
      </w:r>
    </w:p>
    <w:p w:rsidR="00986A97" w:rsidRDefault="00986A97" w:rsidP="00647BB2">
      <w:pPr>
        <w:pStyle w:val="BodyNum"/>
      </w:pPr>
      <w:r>
        <w:t>The instrument modifies the operation of an Act</w:t>
      </w:r>
      <w:r w:rsidR="00F276D3">
        <w:t xml:space="preserve"> or another instrument</w:t>
      </w:r>
      <w:r>
        <w:t>.</w:t>
      </w:r>
    </w:p>
    <w:p w:rsidR="00C16D86" w:rsidRDefault="00C16D86" w:rsidP="00647BB2">
      <w:pPr>
        <w:pStyle w:val="BodyNum"/>
      </w:pPr>
      <w:r>
        <w:t xml:space="preserve">The instrument </w:t>
      </w:r>
      <w:r w:rsidR="00A2374C">
        <w:t>authorises</w:t>
      </w:r>
      <w:r>
        <w:t xml:space="preserve"> the making of </w:t>
      </w:r>
      <w:r w:rsidR="00F276D3">
        <w:t>an</w:t>
      </w:r>
      <w:r>
        <w:t>other</w:t>
      </w:r>
      <w:r w:rsidR="00A2374C">
        <w:t xml:space="preserve"> </w:t>
      </w:r>
      <w:r>
        <w:t>instrument.</w:t>
      </w:r>
    </w:p>
    <w:p w:rsidR="00C16D86" w:rsidRDefault="00C16D86" w:rsidP="00647BB2">
      <w:pPr>
        <w:pStyle w:val="BodyNum"/>
      </w:pPr>
      <w:r>
        <w:t xml:space="preserve">The </w:t>
      </w:r>
      <w:r w:rsidR="00F24610">
        <w:t>commencement or application of the instrument is</w:t>
      </w:r>
      <w:r w:rsidR="00DD11C7">
        <w:t xml:space="preserve"> retrospectiv</w:t>
      </w:r>
      <w:r w:rsidR="00F24610">
        <w:t xml:space="preserve">e or </w:t>
      </w:r>
      <w:r w:rsidR="00572BFA">
        <w:t xml:space="preserve">is </w:t>
      </w:r>
      <w:r w:rsidR="00F24610">
        <w:t xml:space="preserve">otherwise </w:t>
      </w:r>
      <w:r w:rsidR="00572BFA">
        <w:t xml:space="preserve">novel or </w:t>
      </w:r>
      <w:r w:rsidR="00F24610">
        <w:t>compl</w:t>
      </w:r>
      <w:r w:rsidR="00F276D3">
        <w:t>ex</w:t>
      </w:r>
      <w:r w:rsidR="00F24610">
        <w:t>.</w:t>
      </w:r>
    </w:p>
    <w:p w:rsidR="00200129" w:rsidRDefault="0039763B" w:rsidP="00647BB2">
      <w:pPr>
        <w:pStyle w:val="BodyNum"/>
      </w:pPr>
      <w:r>
        <w:t>The instrument includes offences or civil penalty provisions</w:t>
      </w:r>
      <w:r w:rsidR="00200129">
        <w:t>.</w:t>
      </w:r>
    </w:p>
    <w:p w:rsidR="0039763B" w:rsidRDefault="00200129" w:rsidP="00647BB2">
      <w:pPr>
        <w:pStyle w:val="BodyNum"/>
      </w:pPr>
      <w:r>
        <w:t xml:space="preserve">The instrument includes </w:t>
      </w:r>
      <w:r w:rsidR="00F276D3">
        <w:t xml:space="preserve">provisions that should be dealt with in regulations (such as </w:t>
      </w:r>
      <w:r w:rsidR="00930B79">
        <w:t xml:space="preserve">the imposition of tax, </w:t>
      </w:r>
      <w:r w:rsidR="00F276D3">
        <w:t>powers of arrest or detention or other coercive powers).</w:t>
      </w:r>
      <w:r w:rsidR="00F276D3">
        <w:rPr>
          <w:rStyle w:val="FootnoteReference"/>
        </w:rPr>
        <w:footnoteReference w:id="3"/>
      </w:r>
    </w:p>
    <w:p w:rsidR="00647BB2" w:rsidRDefault="00647BB2" w:rsidP="00647BB2">
      <w:pPr>
        <w:pStyle w:val="BodyNum"/>
      </w:pPr>
      <w:r>
        <w:t>The instrument is intended to be used as a template to draft other instruments.</w:t>
      </w:r>
    </w:p>
    <w:p w:rsidR="00CD3702" w:rsidRDefault="00CD3702" w:rsidP="00647BB2">
      <w:pPr>
        <w:pStyle w:val="BodyNum"/>
      </w:pPr>
      <w:r>
        <w:t>The instrument:</w:t>
      </w:r>
    </w:p>
    <w:p w:rsidR="00CD3702" w:rsidRDefault="00CD3702" w:rsidP="00647BB2">
      <w:pPr>
        <w:pStyle w:val="BodyPara"/>
        <w:spacing w:before="120"/>
      </w:pPr>
      <w:r>
        <w:t xml:space="preserve">raises policy issues that are the responsibility of </w:t>
      </w:r>
      <w:r w:rsidR="00647BB2">
        <w:t xml:space="preserve">other </w:t>
      </w:r>
      <w:r>
        <w:t>agencies</w:t>
      </w:r>
      <w:r w:rsidR="00C16D86">
        <w:t>;</w:t>
      </w:r>
      <w:r w:rsidR="00BE48A5">
        <w:rPr>
          <w:rStyle w:val="FootnoteReference"/>
        </w:rPr>
        <w:footnoteReference w:id="4"/>
      </w:r>
      <w:r w:rsidR="00C16D86">
        <w:t xml:space="preserve"> or</w:t>
      </w:r>
    </w:p>
    <w:p w:rsidR="00CD3702" w:rsidRDefault="00CD3702" w:rsidP="00647BB2">
      <w:pPr>
        <w:pStyle w:val="BodyPara"/>
        <w:spacing w:before="120"/>
      </w:pPr>
      <w:r>
        <w:t xml:space="preserve">is likely to attract comment from the </w:t>
      </w:r>
      <w:r w:rsidR="00DB5CED" w:rsidRPr="00DB5CED">
        <w:t>Senate Standing Committee for the Scrutiny of Delegated Legislation</w:t>
      </w:r>
      <w:r w:rsidR="00DB5CED">
        <w:rPr>
          <w:rStyle w:val="FootnoteReference"/>
        </w:rPr>
        <w:footnoteReference w:id="5"/>
      </w:r>
      <w:r>
        <w:t>;</w:t>
      </w:r>
      <w:r w:rsidR="00DB5CED">
        <w:t xml:space="preserve"> </w:t>
      </w:r>
      <w:r>
        <w:t>or</w:t>
      </w:r>
    </w:p>
    <w:p w:rsidR="00CD3702" w:rsidRDefault="00CD3702" w:rsidP="00647BB2">
      <w:pPr>
        <w:pStyle w:val="BodyPara"/>
        <w:spacing w:before="120"/>
      </w:pPr>
      <w:r>
        <w:t>is likely to be subject to significant scrutiny for any other reason.</w:t>
      </w:r>
    </w:p>
    <w:sectPr w:rsidR="00CD3702" w:rsidSect="008E1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1F6" w:rsidRDefault="006521F6" w:rsidP="008E17F3">
      <w:pPr>
        <w:spacing w:line="240" w:lineRule="auto"/>
      </w:pPr>
      <w:r>
        <w:separator/>
      </w:r>
    </w:p>
  </w:endnote>
  <w:endnote w:type="continuationSeparator" w:id="0">
    <w:p w:rsidR="006521F6" w:rsidRDefault="006521F6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F3" w:rsidRDefault="006E2E9F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17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56D">
      <w:rPr>
        <w:rStyle w:val="PageNumber"/>
        <w:noProof/>
      </w:rPr>
      <w:t>2</w:t>
    </w:r>
    <w:r>
      <w:rPr>
        <w:rStyle w:val="PageNumber"/>
      </w:rPr>
      <w:fldChar w:fldCharType="end"/>
    </w:r>
  </w:p>
  <w:p w:rsidR="008E17F3" w:rsidRDefault="008E17F3" w:rsidP="008E1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F3" w:rsidRDefault="005A0E03" w:rsidP="008E17F3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 w:rsidRPr="005A0E03">
      <w:rPr>
        <w:b/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" name="Text Box 2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0E03" w:rsidRPr="00324EB0" w:rsidRDefault="005A0E03" w:rsidP="00271A4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6587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6587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6587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6587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6587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" stroked="f" strokeweight=".5pt">
              <v:textbox>
                <w:txbxContent>
                  <w:p w:rsidR="005A0E03" w:rsidRPr="00324EB0" w:rsidRDefault="005A0E03" w:rsidP="00271A4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6587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65871"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65871"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6587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6587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8E17F3">
      <w:rPr>
        <w:sz w:val="16"/>
      </w:rPr>
      <w:t>[</w:t>
    </w:r>
    <w:r w:rsidR="00BA1D76">
      <w:rPr>
        <w:noProof/>
        <w:sz w:val="16"/>
        <w:szCs w:val="16"/>
      </w:rPr>
      <w:t>S22ZE1224.v06.docx</w:t>
    </w:r>
    <w:r w:rsidR="008E17F3" w:rsidRPr="00766393">
      <w:rPr>
        <w:sz w:val="16"/>
        <w:szCs w:val="16"/>
      </w:rPr>
      <w:t>] [</w:t>
    </w:r>
    <w:r w:rsidR="00BA1D76">
      <w:rPr>
        <w:noProof/>
        <w:sz w:val="16"/>
        <w:szCs w:val="16"/>
      </w:rPr>
      <w:t>9-Nov-22</w:t>
    </w:r>
    <w:r w:rsidR="008E17F3">
      <w:rPr>
        <w:sz w:val="16"/>
      </w:rPr>
      <w:t>] [</w:t>
    </w:r>
    <w:r w:rsidR="00BA1D76">
      <w:rPr>
        <w:noProof/>
        <w:sz w:val="16"/>
      </w:rPr>
      <w:t>4:45 PM</w:t>
    </w:r>
    <w:r w:rsidR="008E17F3">
      <w:rPr>
        <w:sz w:val="16"/>
      </w:rPr>
      <w:t>]</w:t>
    </w:r>
    <w:r w:rsidR="008E17F3">
      <w:rPr>
        <w:sz w:val="16"/>
      </w:rPr>
      <w:tab/>
    </w:r>
    <w:r w:rsidR="008E17F3">
      <w:rPr>
        <w:sz w:val="16"/>
      </w:rPr>
      <w:tab/>
    </w:r>
    <w:r w:rsidR="008E17F3">
      <w:t xml:space="preserve">Page  </w:t>
    </w:r>
    <w:r w:rsidR="005327A0">
      <w:fldChar w:fldCharType="begin"/>
    </w:r>
    <w:r w:rsidR="005327A0">
      <w:instrText xml:space="preserve"> PAGE  \* MERGEFORMAT </w:instrText>
    </w:r>
    <w:r w:rsidR="005327A0">
      <w:fldChar w:fldCharType="separate"/>
    </w:r>
    <w:r w:rsidR="00174846">
      <w:rPr>
        <w:noProof/>
      </w:rPr>
      <w:t>1</w:t>
    </w:r>
    <w:r w:rsidR="005327A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B3E" w:rsidRDefault="00167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1F6" w:rsidRDefault="006521F6" w:rsidP="008E17F3">
      <w:pPr>
        <w:spacing w:line="240" w:lineRule="auto"/>
      </w:pPr>
      <w:r>
        <w:separator/>
      </w:r>
    </w:p>
  </w:footnote>
  <w:footnote w:type="continuationSeparator" w:id="0">
    <w:p w:rsidR="006521F6" w:rsidRDefault="006521F6" w:rsidP="008E17F3">
      <w:pPr>
        <w:spacing w:line="240" w:lineRule="auto"/>
      </w:pPr>
      <w:r>
        <w:continuationSeparator/>
      </w:r>
    </w:p>
  </w:footnote>
  <w:footnote w:id="1">
    <w:p w:rsidR="00351072" w:rsidRDefault="003510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528E4">
        <w:t xml:space="preserve">The main kinds of instrument drafting work tied to OPC </w:t>
      </w:r>
      <w:r w:rsidR="00092BEC">
        <w:t xml:space="preserve">under the </w:t>
      </w:r>
      <w:hyperlink r:id="rId1" w:history="1">
        <w:r w:rsidR="00092BEC" w:rsidRPr="007B446E">
          <w:rPr>
            <w:rStyle w:val="Hyperlink"/>
          </w:rPr>
          <w:t>Legal Services Directions</w:t>
        </w:r>
      </w:hyperlink>
      <w:r w:rsidR="00092BEC">
        <w:rPr>
          <w:rStyle w:val="Hyperlink"/>
        </w:rPr>
        <w:t xml:space="preserve"> </w:t>
      </w:r>
      <w:r w:rsidR="00D528E4">
        <w:t>are the drafting of</w:t>
      </w:r>
      <w:r>
        <w:t xml:space="preserve"> </w:t>
      </w:r>
      <w:r w:rsidR="00D528E4">
        <w:t>regulations and other instruments made by the Governor</w:t>
      </w:r>
      <w:r w:rsidR="00D528E4">
        <w:noBreakHyphen/>
        <w:t xml:space="preserve">General. </w:t>
      </w:r>
      <w:r>
        <w:t xml:space="preserve">If </w:t>
      </w:r>
      <w:r w:rsidR="00572BFA">
        <w:t xml:space="preserve">instrument </w:t>
      </w:r>
      <w:r>
        <w:t>drafting work is not tied to OPC, agencies are not required to use OPC</w:t>
      </w:r>
      <w:r w:rsidR="00D528E4">
        <w:t>.</w:t>
      </w:r>
    </w:p>
  </w:footnote>
  <w:footnote w:id="2">
    <w:p w:rsidR="00BE48A5" w:rsidRPr="00FB6492" w:rsidRDefault="00BE48A5" w:rsidP="00BE48A5">
      <w:pPr>
        <w:pStyle w:val="FootnoteText"/>
        <w:rPr>
          <w:b/>
        </w:rPr>
      </w:pPr>
      <w:r>
        <w:rPr>
          <w:rStyle w:val="FootnoteReference"/>
        </w:rPr>
        <w:footnoteRef/>
      </w:r>
      <w:r>
        <w:t xml:space="preserve"> </w:t>
      </w:r>
      <w:r w:rsidR="006349DE">
        <w:t xml:space="preserve">An instrument may be invalid if it </w:t>
      </w:r>
      <w:r w:rsidRPr="00F276D3">
        <w:t xml:space="preserve">infringes </w:t>
      </w:r>
      <w:r w:rsidR="006349DE">
        <w:t xml:space="preserve">a constitutional limitation or principle such as </w:t>
      </w:r>
      <w:r w:rsidRPr="00F276D3">
        <w:t>the separation of powers</w:t>
      </w:r>
      <w:r w:rsidR="006349DE">
        <w:t xml:space="preserve">, </w:t>
      </w:r>
      <w:r w:rsidRPr="00F276D3">
        <w:t>the implied freedom of political communication</w:t>
      </w:r>
      <w:r w:rsidR="006349DE">
        <w:t xml:space="preserve"> or </w:t>
      </w:r>
      <w:r w:rsidR="00FB6492" w:rsidRPr="00FB6492">
        <w:t>the limitation on giving preference, in laws of trade, commerce or revenue, to a State or part of a State</w:t>
      </w:r>
      <w:r w:rsidR="006349DE">
        <w:t xml:space="preserve">. For further information, see OPC’s </w:t>
      </w:r>
      <w:hyperlink r:id="rId2" w:history="1">
        <w:r w:rsidR="006349DE" w:rsidRPr="00FB6492">
          <w:rPr>
            <w:rStyle w:val="Hyperlink"/>
          </w:rPr>
          <w:t>Drafting Direction 3.</w:t>
        </w:r>
        <w:r w:rsidR="006349DE">
          <w:rPr>
            <w:rStyle w:val="Hyperlink"/>
          </w:rPr>
          <w:t>1</w:t>
        </w:r>
      </w:hyperlink>
      <w:r w:rsidR="006349DE">
        <w:t>.</w:t>
      </w:r>
    </w:p>
  </w:footnote>
  <w:footnote w:id="3">
    <w:p w:rsidR="00F276D3" w:rsidRDefault="00F276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B5CED">
        <w:t>For further information, see</w:t>
      </w:r>
      <w:r>
        <w:t xml:space="preserve"> OPC’s </w:t>
      </w:r>
      <w:hyperlink r:id="rId3" w:history="1">
        <w:r w:rsidRPr="00FB6492">
          <w:rPr>
            <w:rStyle w:val="Hyperlink"/>
          </w:rPr>
          <w:t>Drafting Direction 3.8</w:t>
        </w:r>
      </w:hyperlink>
      <w:r>
        <w:t>, paragraph 4.</w:t>
      </w:r>
    </w:p>
  </w:footnote>
  <w:footnote w:id="4">
    <w:p w:rsidR="00BE48A5" w:rsidRDefault="00BE48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B5CED">
        <w:t>For further information, see</w:t>
      </w:r>
      <w:r>
        <w:t xml:space="preserve"> OPC’s </w:t>
      </w:r>
      <w:hyperlink r:id="rId4" w:history="1">
        <w:r w:rsidRPr="00FB6492">
          <w:rPr>
            <w:rStyle w:val="Hyperlink"/>
          </w:rPr>
          <w:t>Drafting Direction 4.2</w:t>
        </w:r>
      </w:hyperlink>
      <w:r>
        <w:t>, Attachments A and B.</w:t>
      </w:r>
    </w:p>
  </w:footnote>
  <w:footnote w:id="5">
    <w:p w:rsidR="00DB5CED" w:rsidRDefault="00DB5CED">
      <w:pPr>
        <w:pStyle w:val="FootnoteText"/>
      </w:pPr>
      <w:r>
        <w:rPr>
          <w:rStyle w:val="FootnoteReference"/>
        </w:rPr>
        <w:footnoteRef/>
      </w:r>
      <w:r>
        <w:t xml:space="preserve"> For further information, see the Committee’s </w:t>
      </w:r>
      <w:hyperlink r:id="rId5" w:history="1">
        <w:r w:rsidRPr="00FB6492">
          <w:rPr>
            <w:rStyle w:val="Hyperlink"/>
          </w:rPr>
          <w:t>guidelines</w:t>
        </w:r>
      </w:hyperlink>
      <w:r>
        <w:t xml:space="preserve"> for applying its scrutiny principles.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B3E" w:rsidRDefault="00167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E03" w:rsidRDefault="005A0E03">
    <w:pPr>
      <w:pStyle w:val="Head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0E03" w:rsidRPr="00324EB0" w:rsidRDefault="005A0E03" w:rsidP="00271A4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6587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6587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6587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6587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D71E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" stroked="f" strokeweight=".5pt">
              <v:textbox>
                <w:txbxContent>
                  <w:p w:rsidR="005A0E03" w:rsidRPr="00324EB0" w:rsidRDefault="005A0E03" w:rsidP="00271A4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6587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65871"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65871"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6587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D71E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B3E" w:rsidRDefault="00167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60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F243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FA3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441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86C7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4B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12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3C1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C47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428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82258"/>
    <w:multiLevelType w:val="hybridMultilevel"/>
    <w:tmpl w:val="F4C6D18A"/>
    <w:lvl w:ilvl="0" w:tplc="0C090017">
      <w:start w:val="1"/>
      <w:numFmt w:val="lowerLetter"/>
      <w:lvlText w:val="%1)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5C0237"/>
    <w:multiLevelType w:val="multilevel"/>
    <w:tmpl w:val="4C085AD4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1106DE"/>
    <w:multiLevelType w:val="multilevel"/>
    <w:tmpl w:val="4C085AD4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96"/>
        </w:tabs>
        <w:ind w:left="1996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1941A7"/>
    <w:multiLevelType w:val="hybridMultilevel"/>
    <w:tmpl w:val="F15CE92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5575EB9"/>
    <w:multiLevelType w:val="multilevel"/>
    <w:tmpl w:val="5CE0505A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484C79"/>
    <w:multiLevelType w:val="multilevel"/>
    <w:tmpl w:val="25F8FD7A"/>
    <w:lvl w:ilvl="0">
      <w:start w:val="1"/>
      <w:numFmt w:val="bullet"/>
      <w:lvlText w:val=""/>
      <w:lvlJc w:val="left"/>
      <w:pPr>
        <w:tabs>
          <w:tab w:val="num" w:pos="1440"/>
        </w:tabs>
        <w:ind w:left="72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515500B7"/>
    <w:multiLevelType w:val="hybridMultilevel"/>
    <w:tmpl w:val="3890749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C405170"/>
    <w:multiLevelType w:val="hybridMultilevel"/>
    <w:tmpl w:val="F4C6D18A"/>
    <w:lvl w:ilvl="0" w:tplc="0C090017">
      <w:start w:val="1"/>
      <w:numFmt w:val="lowerLetter"/>
      <w:lvlText w:val="%1)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A21130"/>
    <w:multiLevelType w:val="hybridMultilevel"/>
    <w:tmpl w:val="AC605F6A"/>
    <w:lvl w:ilvl="0" w:tplc="1E64597E">
      <w:start w:val="5"/>
      <w:numFmt w:val="decimal"/>
      <w:lvlText w:val="%1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0"/>
  </w:num>
  <w:num w:numId="13">
    <w:abstractNumId w:val="11"/>
  </w:num>
  <w:num w:numId="14">
    <w:abstractNumId w:val="11"/>
  </w:num>
  <w:num w:numId="1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9"/>
  </w:num>
  <w:num w:numId="18">
    <w:abstractNumId w:val="11"/>
  </w:num>
  <w:num w:numId="19">
    <w:abstractNumId w:val="10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3"/>
  </w:num>
  <w:num w:numId="24">
    <w:abstractNumId w:val="16"/>
  </w:num>
  <w:num w:numId="25">
    <w:abstractNumId w:val="11"/>
  </w:num>
  <w:num w:numId="26">
    <w:abstractNumId w:val="11"/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8"/>
  </w:num>
  <w:num w:numId="31">
    <w:abstractNumId w:val="1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F6"/>
    <w:rsid w:val="000136AF"/>
    <w:rsid w:val="00022572"/>
    <w:rsid w:val="00022B7E"/>
    <w:rsid w:val="00036B0B"/>
    <w:rsid w:val="00056743"/>
    <w:rsid w:val="0006011D"/>
    <w:rsid w:val="000614BF"/>
    <w:rsid w:val="00063B50"/>
    <w:rsid w:val="00066F86"/>
    <w:rsid w:val="00092BEC"/>
    <w:rsid w:val="000A33AF"/>
    <w:rsid w:val="000B656D"/>
    <w:rsid w:val="000C4EA3"/>
    <w:rsid w:val="000C5147"/>
    <w:rsid w:val="000C604C"/>
    <w:rsid w:val="000D05EF"/>
    <w:rsid w:val="000F0415"/>
    <w:rsid w:val="0010745C"/>
    <w:rsid w:val="00165871"/>
    <w:rsid w:val="00166C2F"/>
    <w:rsid w:val="00167B3E"/>
    <w:rsid w:val="00174846"/>
    <w:rsid w:val="001939E1"/>
    <w:rsid w:val="00195382"/>
    <w:rsid w:val="001B3E49"/>
    <w:rsid w:val="001C69C4"/>
    <w:rsid w:val="001E3590"/>
    <w:rsid w:val="001E7407"/>
    <w:rsid w:val="00200129"/>
    <w:rsid w:val="002025C5"/>
    <w:rsid w:val="00207BA4"/>
    <w:rsid w:val="00253D1B"/>
    <w:rsid w:val="00295FBA"/>
    <w:rsid w:val="002970D7"/>
    <w:rsid w:val="00297ECB"/>
    <w:rsid w:val="002D043A"/>
    <w:rsid w:val="002D6A8E"/>
    <w:rsid w:val="00311448"/>
    <w:rsid w:val="00331FAF"/>
    <w:rsid w:val="00351072"/>
    <w:rsid w:val="00352B0F"/>
    <w:rsid w:val="00360FB0"/>
    <w:rsid w:val="0039763B"/>
    <w:rsid w:val="003B5735"/>
    <w:rsid w:val="003C6A2D"/>
    <w:rsid w:val="003D0BFE"/>
    <w:rsid w:val="003D5700"/>
    <w:rsid w:val="003D6F8A"/>
    <w:rsid w:val="003D71E7"/>
    <w:rsid w:val="003E4160"/>
    <w:rsid w:val="004116CD"/>
    <w:rsid w:val="00424CA9"/>
    <w:rsid w:val="00432E64"/>
    <w:rsid w:val="0044291A"/>
    <w:rsid w:val="00450A86"/>
    <w:rsid w:val="004560FB"/>
    <w:rsid w:val="004653F8"/>
    <w:rsid w:val="004728A9"/>
    <w:rsid w:val="00490206"/>
    <w:rsid w:val="00496F97"/>
    <w:rsid w:val="004E048E"/>
    <w:rsid w:val="00516B8D"/>
    <w:rsid w:val="005327A0"/>
    <w:rsid w:val="00537FBC"/>
    <w:rsid w:val="00572BFA"/>
    <w:rsid w:val="00575627"/>
    <w:rsid w:val="00584811"/>
    <w:rsid w:val="00594161"/>
    <w:rsid w:val="00594749"/>
    <w:rsid w:val="005A0E03"/>
    <w:rsid w:val="005B66B9"/>
    <w:rsid w:val="005E1038"/>
    <w:rsid w:val="00600219"/>
    <w:rsid w:val="00614D49"/>
    <w:rsid w:val="006207A3"/>
    <w:rsid w:val="006279B8"/>
    <w:rsid w:val="006349DE"/>
    <w:rsid w:val="00647BB2"/>
    <w:rsid w:val="006521F6"/>
    <w:rsid w:val="00677CC2"/>
    <w:rsid w:val="00680F77"/>
    <w:rsid w:val="0069207B"/>
    <w:rsid w:val="006A6E99"/>
    <w:rsid w:val="006C7F8C"/>
    <w:rsid w:val="006D77BA"/>
    <w:rsid w:val="006E2E9F"/>
    <w:rsid w:val="006E600A"/>
    <w:rsid w:val="0070013E"/>
    <w:rsid w:val="00704A73"/>
    <w:rsid w:val="00712754"/>
    <w:rsid w:val="007276BC"/>
    <w:rsid w:val="00731E00"/>
    <w:rsid w:val="00733990"/>
    <w:rsid w:val="00766393"/>
    <w:rsid w:val="007715C9"/>
    <w:rsid w:val="00774EDD"/>
    <w:rsid w:val="00775577"/>
    <w:rsid w:val="007757EC"/>
    <w:rsid w:val="007B446E"/>
    <w:rsid w:val="007E0248"/>
    <w:rsid w:val="008006B2"/>
    <w:rsid w:val="0080547D"/>
    <w:rsid w:val="008431BF"/>
    <w:rsid w:val="00854637"/>
    <w:rsid w:val="00856A31"/>
    <w:rsid w:val="00865569"/>
    <w:rsid w:val="008754D0"/>
    <w:rsid w:val="008C0682"/>
    <w:rsid w:val="008E0277"/>
    <w:rsid w:val="008E17F3"/>
    <w:rsid w:val="008E3B8C"/>
    <w:rsid w:val="00930B79"/>
    <w:rsid w:val="0094622F"/>
    <w:rsid w:val="00984AC8"/>
    <w:rsid w:val="0098638B"/>
    <w:rsid w:val="00986A97"/>
    <w:rsid w:val="009C0F51"/>
    <w:rsid w:val="00A231E2"/>
    <w:rsid w:val="00A2374C"/>
    <w:rsid w:val="00A25170"/>
    <w:rsid w:val="00A45EE8"/>
    <w:rsid w:val="00A64912"/>
    <w:rsid w:val="00A673E3"/>
    <w:rsid w:val="00A70A74"/>
    <w:rsid w:val="00A91B5C"/>
    <w:rsid w:val="00AD5641"/>
    <w:rsid w:val="00B01DDF"/>
    <w:rsid w:val="00B33B3C"/>
    <w:rsid w:val="00BA1D76"/>
    <w:rsid w:val="00BE48A5"/>
    <w:rsid w:val="00BE719A"/>
    <w:rsid w:val="00BE720A"/>
    <w:rsid w:val="00C16D86"/>
    <w:rsid w:val="00C2422C"/>
    <w:rsid w:val="00C354BF"/>
    <w:rsid w:val="00C42BF8"/>
    <w:rsid w:val="00C50043"/>
    <w:rsid w:val="00C52C40"/>
    <w:rsid w:val="00C61CDD"/>
    <w:rsid w:val="00C7573B"/>
    <w:rsid w:val="00C83868"/>
    <w:rsid w:val="00C8608C"/>
    <w:rsid w:val="00CB1720"/>
    <w:rsid w:val="00CB3D6B"/>
    <w:rsid w:val="00CB48D8"/>
    <w:rsid w:val="00CC19F8"/>
    <w:rsid w:val="00CD1FF3"/>
    <w:rsid w:val="00CD3702"/>
    <w:rsid w:val="00CF0BB2"/>
    <w:rsid w:val="00D0551E"/>
    <w:rsid w:val="00D123A6"/>
    <w:rsid w:val="00D13441"/>
    <w:rsid w:val="00D455EE"/>
    <w:rsid w:val="00D528E4"/>
    <w:rsid w:val="00D57786"/>
    <w:rsid w:val="00D70DFB"/>
    <w:rsid w:val="00D766DF"/>
    <w:rsid w:val="00D95AB4"/>
    <w:rsid w:val="00DB3CFE"/>
    <w:rsid w:val="00DB5CED"/>
    <w:rsid w:val="00DD11C7"/>
    <w:rsid w:val="00DE2CEA"/>
    <w:rsid w:val="00DE3C0B"/>
    <w:rsid w:val="00DE7073"/>
    <w:rsid w:val="00E02786"/>
    <w:rsid w:val="00E14A0C"/>
    <w:rsid w:val="00E74DC7"/>
    <w:rsid w:val="00EA4F7C"/>
    <w:rsid w:val="00EC144E"/>
    <w:rsid w:val="00EC3147"/>
    <w:rsid w:val="00ED0C49"/>
    <w:rsid w:val="00EF034B"/>
    <w:rsid w:val="00EF2E3A"/>
    <w:rsid w:val="00F023F3"/>
    <w:rsid w:val="00F04811"/>
    <w:rsid w:val="00F078DC"/>
    <w:rsid w:val="00F23E5F"/>
    <w:rsid w:val="00F24610"/>
    <w:rsid w:val="00F25FB9"/>
    <w:rsid w:val="00F276D3"/>
    <w:rsid w:val="00F412A3"/>
    <w:rsid w:val="00F51269"/>
    <w:rsid w:val="00F70986"/>
    <w:rsid w:val="00F71189"/>
    <w:rsid w:val="00F9653A"/>
    <w:rsid w:val="00FB6492"/>
    <w:rsid w:val="00FD456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88ECFC-7CE8-4629-8933-0EA9D5EB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4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4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4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4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DE2CE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table" w:styleId="MediumList2-Accent1">
    <w:name w:val="Medium List 2 Accent 1"/>
    <w:basedOn w:val="TableNormal"/>
    <w:uiPriority w:val="66"/>
    <w:rsid w:val="00EF034B"/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06011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072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072"/>
  </w:style>
  <w:style w:type="character" w:styleId="FootnoteReference">
    <w:name w:val="footnote reference"/>
    <w:basedOn w:val="DefaultParagraphFont"/>
    <w:uiPriority w:val="99"/>
    <w:semiHidden/>
    <w:unhideWhenUsed/>
    <w:rsid w:val="0035107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1072"/>
    <w:rPr>
      <w:color w:val="00339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492"/>
    <w:rPr>
      <w:color w:val="605E5C"/>
      <w:shd w:val="clear" w:color="auto" w:fill="E1DFDD"/>
    </w:rPr>
  </w:style>
  <w:style w:type="paragraph" w:customStyle="1" w:styleId="Release">
    <w:name w:val="Release"/>
    <w:basedOn w:val="Body"/>
    <w:rsid w:val="00DE2CEA"/>
    <w:rPr>
      <w:b/>
    </w:rPr>
  </w:style>
  <w:style w:type="paragraph" w:customStyle="1" w:styleId="Issued">
    <w:name w:val="Issued"/>
    <w:basedOn w:val="Body"/>
    <w:rsid w:val="00DE2CEA"/>
    <w:pPr>
      <w:spacing w:before="12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pc.gov.au/drafting-resources/drafting-directions" TargetMode="External"/><Relationship Id="rId2" Type="http://schemas.openxmlformats.org/officeDocument/2006/relationships/hyperlink" Target="https://www.opc.gov.au/drafting-resources/drafting-directions" TargetMode="External"/><Relationship Id="rId1" Type="http://schemas.openxmlformats.org/officeDocument/2006/relationships/hyperlink" Target="https://www.ag.gov.au/legal-system/office-legal-services-coordination/legal-services-directions-and-guidance-notes" TargetMode="External"/><Relationship Id="rId5" Type="http://schemas.openxmlformats.org/officeDocument/2006/relationships/hyperlink" Target="https://www.aph.gov.au/Parliamentary_Business/Committees/Senate/Scrutiny_of_Delegated_Legislation/Guidelines" TargetMode="External"/><Relationship Id="rId4" Type="http://schemas.openxmlformats.org/officeDocument/2006/relationships/hyperlink" Target="https://www.opc.gov.au/drafting-resources/drafting-direc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2010\Templates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1</TotalTime>
  <Pages>2</Pages>
  <Words>390</Words>
  <Characters>2036</Characters>
  <Application>Microsoft Office Word</Application>
  <DocSecurity>4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Deciding if a non-tied instrument should be drafted by OPC</vt:lpstr>
    </vt:vector>
  </TitlesOfParts>
  <Company>Office of Parliamentary Counsel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Deciding if a non-tied instrument should be drafted by OPC</dc:title>
  <dc:subject/>
  <dc:creator>macmullink</dc:creator>
  <cp:keywords/>
  <dc:description/>
  <cp:lastModifiedBy>Kugler, Kathleen</cp:lastModifiedBy>
  <cp:revision>2</cp:revision>
  <cp:lastPrinted>2022-09-05T03:05:00Z</cp:lastPrinted>
  <dcterms:created xsi:type="dcterms:W3CDTF">2022-12-13T05:46:00Z</dcterms:created>
  <dcterms:modified xsi:type="dcterms:W3CDTF">2022-12-13T05:46:00Z</dcterms:modified>
  <cp:category>Other - For publication website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OFFICIAL</vt:lpwstr>
  </property>
  <property fmtid="{D5CDD505-2E9C-101B-9397-08002B2CF9AE}" pid="3" name="DLM">
    <vt:lpwstr> </vt:lpwstr>
  </property>
  <property fmtid="{D5CDD505-2E9C-101B-9397-08002B2CF9AE}" pid="4" name="ChangedTitle">
    <vt:lpwstr>/</vt:lpwstr>
  </property>
  <property fmtid="{D5CDD505-2E9C-101B-9397-08002B2CF9AE}" pid="5" name="DoNotAsk">
    <vt:lpwstr>1</vt:lpwstr>
  </property>
</Properties>
</file>