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15368" w14:textId="77777777" w:rsidR="00F6117F" w:rsidRPr="00FD274F" w:rsidRDefault="00F6117F" w:rsidP="00F6117F">
      <w:pPr>
        <w:pStyle w:val="Body"/>
      </w:pPr>
      <w:bookmarkStart w:id="0" w:name="_GoBack"/>
      <w:bookmarkEnd w:id="0"/>
      <w:r w:rsidRPr="00FD274F">
        <w:rPr>
          <w:noProof/>
          <w:sz w:val="20"/>
        </w:rPr>
        <w:drawing>
          <wp:inline distT="0" distB="0" distL="0" distR="0" wp14:anchorId="78F62467" wp14:editId="15DF77DC">
            <wp:extent cx="3962400" cy="1000125"/>
            <wp:effectExtent l="0" t="0" r="0" b="9525"/>
            <wp:docPr id="3" name="Picture 3" descr="OPC/Commonwealt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14:paraId="7879726D" w14:textId="77777777" w:rsidR="00F6117F" w:rsidRPr="00FD274F" w:rsidRDefault="00F6117F" w:rsidP="00F6117F">
      <w:pPr>
        <w:pStyle w:val="Head1"/>
        <w:spacing w:before="3200"/>
        <w:ind w:left="284"/>
        <w:rPr>
          <w:sz w:val="44"/>
          <w:szCs w:val="44"/>
        </w:rPr>
      </w:pPr>
      <w:r w:rsidRPr="00FD274F">
        <w:rPr>
          <w:sz w:val="44"/>
          <w:szCs w:val="44"/>
        </w:rPr>
        <w:t>Instruments Handbook</w:t>
      </w:r>
    </w:p>
    <w:p w14:paraId="6627C1E5" w14:textId="62D239EE" w:rsidR="00A13F3A" w:rsidRPr="00FD274F" w:rsidRDefault="00A13F3A" w:rsidP="00A13F3A">
      <w:pPr>
        <w:pStyle w:val="Release"/>
        <w:spacing w:before="6000"/>
        <w:ind w:left="284"/>
      </w:pPr>
      <w:r w:rsidRPr="00FD274F">
        <w:t xml:space="preserve">Document release </w:t>
      </w:r>
      <w:r w:rsidR="00805ED3">
        <w:t>[</w:t>
      </w:r>
      <w:r w:rsidRPr="00FD274F">
        <w:t>3.</w:t>
      </w:r>
      <w:r w:rsidR="00B639F6">
        <w:t>7</w:t>
      </w:r>
      <w:r w:rsidR="00805ED3">
        <w:t>]</w:t>
      </w:r>
    </w:p>
    <w:p w14:paraId="1E46699A" w14:textId="33CF8B5C" w:rsidR="00A13F3A" w:rsidRPr="00FD274F" w:rsidRDefault="00A13F3A" w:rsidP="00A13F3A">
      <w:pPr>
        <w:pStyle w:val="Issued"/>
        <w:spacing w:before="0"/>
        <w:ind w:left="284"/>
      </w:pPr>
      <w:r w:rsidRPr="00E75DFA">
        <w:t xml:space="preserve">Reissued </w:t>
      </w:r>
      <w:r w:rsidR="00B639F6">
        <w:t>September</w:t>
      </w:r>
      <w:r w:rsidR="009366F6">
        <w:t xml:space="preserve"> </w:t>
      </w:r>
      <w:r w:rsidR="00805ED3">
        <w:t>202</w:t>
      </w:r>
      <w:r w:rsidR="007B7E58">
        <w:t>2</w:t>
      </w:r>
    </w:p>
    <w:p w14:paraId="5F62522C" w14:textId="77777777" w:rsidR="00727ED5" w:rsidRPr="00FD274F" w:rsidRDefault="00727ED5" w:rsidP="007B7E58">
      <w:pPr>
        <w:pStyle w:val="Head2"/>
        <w:pageBreakBefore/>
      </w:pPr>
      <w:bookmarkStart w:id="1" w:name="_Toc112918736"/>
      <w:r w:rsidRPr="00FD274F">
        <w:lastRenderedPageBreak/>
        <w:t>About this Handbook</w:t>
      </w:r>
      <w:bookmarkEnd w:id="1"/>
    </w:p>
    <w:p w14:paraId="59F73E98" w14:textId="09F1D14E" w:rsidR="00000A2E" w:rsidRPr="00FD274F" w:rsidRDefault="00727ED5" w:rsidP="00727ED5">
      <w:pPr>
        <w:pStyle w:val="Body"/>
      </w:pPr>
      <w:r w:rsidRPr="00FD274F">
        <w:t>The purpose of this Handbook is to provide information to help Commonwealth rule</w:t>
      </w:r>
      <w:r w:rsidR="009C4251">
        <w:noBreakHyphen/>
      </w:r>
      <w:r w:rsidRPr="00FD274F">
        <w:t xml:space="preserve">makers and agencies </w:t>
      </w:r>
      <w:r w:rsidR="00674F2E" w:rsidRPr="00FD274F">
        <w:t xml:space="preserve">make and manage </w:t>
      </w:r>
      <w:r w:rsidRPr="00FD274F">
        <w:t xml:space="preserve">legislative </w:t>
      </w:r>
      <w:r w:rsidR="00674F2E" w:rsidRPr="00FD274F">
        <w:t xml:space="preserve">and notifiable </w:t>
      </w:r>
      <w:r w:rsidRPr="00FD274F">
        <w:t>instruments efficiently, effectively and in accordance with the relevant law. It should be read in conjunction with the</w:t>
      </w:r>
      <w:r w:rsidR="00000A2E" w:rsidRPr="00FD274F">
        <w:t xml:space="preserve"> following documents, as available on the Legi</w:t>
      </w:r>
      <w:r w:rsidR="00000A2E" w:rsidRPr="00752D2B">
        <w:t xml:space="preserve">slation Register </w:t>
      </w:r>
      <w:hyperlink r:id="rId9" w:history="1">
        <w:r w:rsidR="00BF60F7" w:rsidRPr="00752D2B">
          <w:rPr>
            <w:rStyle w:val="Hyperlink"/>
          </w:rPr>
          <w:t>https://www.legislation.gov.au</w:t>
        </w:r>
      </w:hyperlink>
      <w:r w:rsidR="00000A2E" w:rsidRPr="00FD274F">
        <w:t>:</w:t>
      </w:r>
    </w:p>
    <w:p w14:paraId="7D293A89" w14:textId="1CF74FC4" w:rsidR="00000A2E" w:rsidRPr="00FD274F" w:rsidRDefault="00000A2E" w:rsidP="00000A2E">
      <w:pPr>
        <w:pStyle w:val="BodyPara"/>
      </w:pPr>
      <w:r w:rsidRPr="00FD274F">
        <w:t xml:space="preserve">the </w:t>
      </w:r>
      <w:hyperlink r:id="rId10" w:history="1">
        <w:r w:rsidRPr="00752D2B">
          <w:rPr>
            <w:rStyle w:val="Hyperlink"/>
            <w:i/>
          </w:rPr>
          <w:t>Legislation Act 2003</w:t>
        </w:r>
        <w:r w:rsidR="00CE2573" w:rsidRPr="00752D2B">
          <w:rPr>
            <w:rStyle w:val="Hyperlink"/>
          </w:rPr>
          <w:t xml:space="preserve"> (the L</w:t>
        </w:r>
        <w:r w:rsidR="00727ED5" w:rsidRPr="00752D2B">
          <w:rPr>
            <w:rStyle w:val="Hyperlink"/>
          </w:rPr>
          <w:t>A)</w:t>
        </w:r>
      </w:hyperlink>
    </w:p>
    <w:p w14:paraId="31B79A7F" w14:textId="56BBCF0B" w:rsidR="00000A2E" w:rsidRPr="00FD274F" w:rsidRDefault="00000A2E" w:rsidP="00000A2E">
      <w:pPr>
        <w:pStyle w:val="BodyPara"/>
      </w:pPr>
      <w:r w:rsidRPr="00FD274F">
        <w:t>th</w:t>
      </w:r>
      <w:r w:rsidRPr="00752D2B">
        <w:t xml:space="preserve">e </w:t>
      </w:r>
      <w:hyperlink r:id="rId11" w:history="1">
        <w:r w:rsidRPr="00752D2B">
          <w:rPr>
            <w:rStyle w:val="Hyperlink"/>
            <w:i/>
          </w:rPr>
          <w:t>Legislation (Exemptions and Other Matters) Regulation 201</w:t>
        </w:r>
        <w:r w:rsidR="000758A9" w:rsidRPr="00752D2B">
          <w:rPr>
            <w:rStyle w:val="Hyperlink"/>
            <w:i/>
          </w:rPr>
          <w:t>5 (</w:t>
        </w:r>
        <w:proofErr w:type="spellStart"/>
        <w:r w:rsidR="000758A9" w:rsidRPr="00752D2B">
          <w:rPr>
            <w:rStyle w:val="Hyperlink"/>
            <w:i/>
          </w:rPr>
          <w:t>LEOMR</w:t>
        </w:r>
        <w:proofErr w:type="spellEnd"/>
        <w:r w:rsidR="000758A9" w:rsidRPr="00752D2B">
          <w:rPr>
            <w:rStyle w:val="Hyperlink"/>
            <w:i/>
          </w:rPr>
          <w:t>)</w:t>
        </w:r>
      </w:hyperlink>
    </w:p>
    <w:p w14:paraId="6BAED65F" w14:textId="7E02C5B7" w:rsidR="00000A2E" w:rsidRPr="00FD274F" w:rsidRDefault="00000A2E" w:rsidP="00000A2E">
      <w:pPr>
        <w:pStyle w:val="BodyPara"/>
      </w:pPr>
      <w:r w:rsidRPr="00FD274F">
        <w:t xml:space="preserve">the </w:t>
      </w:r>
      <w:hyperlink r:id="rId12" w:history="1">
        <w:r w:rsidRPr="00752D2B">
          <w:rPr>
            <w:rStyle w:val="Hyperlink"/>
            <w:i/>
          </w:rPr>
          <w:t>Legislation Rule 2016</w:t>
        </w:r>
      </w:hyperlink>
    </w:p>
    <w:p w14:paraId="2D62EB5B" w14:textId="4B67ECD3" w:rsidR="00000A2E" w:rsidRPr="00433C0A" w:rsidRDefault="00000A2E" w:rsidP="00000A2E">
      <w:pPr>
        <w:pStyle w:val="BodyPara"/>
        <w:rPr>
          <w:rStyle w:val="Hyperlink"/>
          <w:color w:val="auto"/>
        </w:rPr>
      </w:pPr>
      <w:r w:rsidRPr="00433C0A">
        <w:t xml:space="preserve">the </w:t>
      </w:r>
      <w:hyperlink r:id="rId13" w:history="1">
        <w:r w:rsidR="00232C66" w:rsidRPr="00752D2B">
          <w:rPr>
            <w:rStyle w:val="Hyperlink"/>
            <w:i/>
          </w:rPr>
          <w:t>Legal Services Directions 2017</w:t>
        </w:r>
      </w:hyperlink>
      <w:r w:rsidR="00025A58" w:rsidRPr="00752D2B">
        <w:rPr>
          <w:rStyle w:val="Hyperlink"/>
          <w:color w:val="auto"/>
        </w:rPr>
        <w:t>.</w:t>
      </w:r>
    </w:p>
    <w:p w14:paraId="46EBCAD0" w14:textId="6CF5317E" w:rsidR="00727ED5" w:rsidRPr="00FD274F" w:rsidRDefault="00306B5E" w:rsidP="00727ED5">
      <w:pPr>
        <w:pStyle w:val="Body"/>
      </w:pPr>
      <w:r w:rsidRPr="00FD274F">
        <w:t xml:space="preserve">Questions and comments about the current Handbook </w:t>
      </w:r>
      <w:r w:rsidR="00232C66">
        <w:t xml:space="preserve">are welcome at any time and </w:t>
      </w:r>
      <w:r w:rsidRPr="00FD274F">
        <w:t xml:space="preserve">should be emailed to </w:t>
      </w:r>
      <w:hyperlink r:id="rId14" w:history="1">
        <w:r w:rsidR="00CE2723" w:rsidRPr="00E8267D">
          <w:rPr>
            <w:rStyle w:val="Hyperlink"/>
            <w:rFonts w:eastAsiaTheme="minorHAnsi"/>
            <w:szCs w:val="24"/>
            <w:lang w:eastAsia="en-US"/>
          </w:rPr>
          <w:t>lodge@legislation.gov.au</w:t>
        </w:r>
      </w:hyperlink>
      <w:r w:rsidR="00CE2723" w:rsidRPr="00E8267D">
        <w:rPr>
          <w:rFonts w:eastAsiaTheme="minorHAnsi"/>
          <w:color w:val="1F497D"/>
          <w:szCs w:val="24"/>
          <w:lang w:eastAsia="en-US"/>
        </w:rPr>
        <w:t>.</w:t>
      </w:r>
    </w:p>
    <w:p w14:paraId="5ED075B6" w14:textId="77777777" w:rsidR="00727ED5" w:rsidRPr="00FD274F" w:rsidRDefault="00727ED5" w:rsidP="004855B6">
      <w:pPr>
        <w:pStyle w:val="Head2"/>
      </w:pPr>
      <w:bookmarkStart w:id="2" w:name="_Toc112918737"/>
      <w:r w:rsidRPr="00FD274F">
        <w:t>Abbreviation key</w:t>
      </w:r>
      <w:bookmarkEnd w:id="2"/>
    </w:p>
    <w:p w14:paraId="7E40B363" w14:textId="77777777" w:rsidR="00727ED5" w:rsidRPr="00FD274F" w:rsidRDefault="00727ED5" w:rsidP="00727E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13"/>
        <w:gridCol w:w="7613"/>
      </w:tblGrid>
      <w:tr w:rsidR="00727ED5" w:rsidRPr="00FD274F" w14:paraId="1C73DA45" w14:textId="77777777" w:rsidTr="00746A03">
        <w:trPr>
          <w:tblHeader/>
        </w:trPr>
        <w:tc>
          <w:tcPr>
            <w:tcW w:w="1413" w:type="dxa"/>
            <w:tcBorders>
              <w:top w:val="single" w:sz="12" w:space="0" w:color="auto"/>
              <w:bottom w:val="single" w:sz="12" w:space="0" w:color="auto"/>
            </w:tcBorders>
            <w:shd w:val="clear" w:color="auto" w:fill="auto"/>
          </w:tcPr>
          <w:p w14:paraId="132EC8DD" w14:textId="77777777" w:rsidR="00727ED5" w:rsidRPr="009A4D26" w:rsidRDefault="00727ED5" w:rsidP="00746A03">
            <w:pPr>
              <w:pStyle w:val="TableHeading"/>
            </w:pPr>
            <w:r w:rsidRPr="009A4D26">
              <w:t>Abbreviation</w:t>
            </w:r>
          </w:p>
        </w:tc>
        <w:tc>
          <w:tcPr>
            <w:tcW w:w="7613" w:type="dxa"/>
            <w:tcBorders>
              <w:top w:val="single" w:sz="12" w:space="0" w:color="auto"/>
              <w:bottom w:val="single" w:sz="12" w:space="0" w:color="auto"/>
            </w:tcBorders>
            <w:shd w:val="clear" w:color="auto" w:fill="auto"/>
          </w:tcPr>
          <w:p w14:paraId="04DC8F58" w14:textId="77777777" w:rsidR="00727ED5" w:rsidRPr="009A4D26" w:rsidRDefault="00727ED5" w:rsidP="00746A03">
            <w:pPr>
              <w:pStyle w:val="TableHeading"/>
            </w:pPr>
            <w:r w:rsidRPr="009A4D26">
              <w:t xml:space="preserve">Meaning </w:t>
            </w:r>
          </w:p>
        </w:tc>
      </w:tr>
      <w:tr w:rsidR="00727ED5" w:rsidRPr="00FD274F" w14:paraId="2423762B" w14:textId="77777777" w:rsidTr="00746A03">
        <w:tc>
          <w:tcPr>
            <w:tcW w:w="1413" w:type="dxa"/>
            <w:tcBorders>
              <w:top w:val="single" w:sz="12" w:space="0" w:color="auto"/>
            </w:tcBorders>
            <w:shd w:val="clear" w:color="auto" w:fill="auto"/>
          </w:tcPr>
          <w:p w14:paraId="23893E7E" w14:textId="77777777" w:rsidR="00727ED5" w:rsidRPr="009A4D26" w:rsidRDefault="00727ED5" w:rsidP="00746A03">
            <w:pPr>
              <w:pStyle w:val="Tabletext"/>
            </w:pPr>
            <w:r w:rsidRPr="009A4D26">
              <w:t>AGD</w:t>
            </w:r>
            <w:r w:rsidRPr="009A4D26">
              <w:tab/>
            </w:r>
          </w:p>
        </w:tc>
        <w:tc>
          <w:tcPr>
            <w:tcW w:w="7613" w:type="dxa"/>
            <w:tcBorders>
              <w:top w:val="single" w:sz="12" w:space="0" w:color="auto"/>
            </w:tcBorders>
            <w:shd w:val="clear" w:color="auto" w:fill="auto"/>
          </w:tcPr>
          <w:p w14:paraId="632F2ECE" w14:textId="77777777" w:rsidR="00727ED5" w:rsidRPr="009A4D26" w:rsidRDefault="00727ED5" w:rsidP="00746A03">
            <w:pPr>
              <w:pStyle w:val="Tabletext"/>
            </w:pPr>
            <w:r w:rsidRPr="009A4D26">
              <w:t>Attorney</w:t>
            </w:r>
            <w:r w:rsidR="009C4251" w:rsidRPr="009A4D26">
              <w:noBreakHyphen/>
            </w:r>
            <w:r w:rsidRPr="009A4D26">
              <w:t>General’s Department</w:t>
            </w:r>
          </w:p>
        </w:tc>
      </w:tr>
      <w:tr w:rsidR="00727ED5" w:rsidRPr="00FD274F" w14:paraId="57BBE154" w14:textId="77777777" w:rsidTr="00746A03">
        <w:tc>
          <w:tcPr>
            <w:tcW w:w="1413" w:type="dxa"/>
            <w:shd w:val="clear" w:color="auto" w:fill="auto"/>
          </w:tcPr>
          <w:p w14:paraId="7F792795" w14:textId="77777777" w:rsidR="00727ED5" w:rsidRPr="009A4D26" w:rsidRDefault="00727ED5" w:rsidP="00746A03">
            <w:pPr>
              <w:pStyle w:val="Tabletext"/>
            </w:pPr>
            <w:proofErr w:type="spellStart"/>
            <w:r w:rsidRPr="009A4D26">
              <w:t>ExCo</w:t>
            </w:r>
            <w:proofErr w:type="spellEnd"/>
          </w:p>
        </w:tc>
        <w:tc>
          <w:tcPr>
            <w:tcW w:w="7613" w:type="dxa"/>
            <w:shd w:val="clear" w:color="auto" w:fill="auto"/>
          </w:tcPr>
          <w:p w14:paraId="65F088C5" w14:textId="77777777" w:rsidR="00727ED5" w:rsidRPr="009A4D26" w:rsidRDefault="00727ED5" w:rsidP="00746A03">
            <w:pPr>
              <w:pStyle w:val="Tabletext"/>
            </w:pPr>
            <w:r w:rsidRPr="009A4D26">
              <w:t>Federal Executive Council</w:t>
            </w:r>
          </w:p>
        </w:tc>
      </w:tr>
      <w:tr w:rsidR="00727ED5" w:rsidRPr="00FD274F" w14:paraId="707DC6C9" w14:textId="77777777" w:rsidTr="00746A03">
        <w:tc>
          <w:tcPr>
            <w:tcW w:w="1413" w:type="dxa"/>
            <w:shd w:val="clear" w:color="auto" w:fill="auto"/>
          </w:tcPr>
          <w:p w14:paraId="5DC045B4" w14:textId="77777777" w:rsidR="00727ED5" w:rsidRPr="009A4D26" w:rsidRDefault="00727ED5" w:rsidP="00000A2E">
            <w:pPr>
              <w:pStyle w:val="Tabletext"/>
            </w:pPr>
            <w:r w:rsidRPr="009A4D26">
              <w:t>LA</w:t>
            </w:r>
            <w:r w:rsidRPr="009A4D26">
              <w:tab/>
            </w:r>
          </w:p>
        </w:tc>
        <w:tc>
          <w:tcPr>
            <w:tcW w:w="7613" w:type="dxa"/>
            <w:shd w:val="clear" w:color="auto" w:fill="auto"/>
          </w:tcPr>
          <w:p w14:paraId="343F03B3" w14:textId="4EDA1BB3" w:rsidR="00727ED5" w:rsidRPr="009A4D26" w:rsidRDefault="00BF60F7" w:rsidP="00BF60F7">
            <w:pPr>
              <w:pStyle w:val="Tabletext"/>
            </w:pPr>
            <w:r w:rsidRPr="009A4D26">
              <w:t xml:space="preserve">the </w:t>
            </w:r>
            <w:hyperlink r:id="rId15" w:history="1">
              <w:r w:rsidR="00000A2E" w:rsidRPr="009A4D26">
                <w:rPr>
                  <w:rStyle w:val="Hyperlink"/>
                  <w:i/>
                </w:rPr>
                <w:t>Legislation Act 2003</w:t>
              </w:r>
            </w:hyperlink>
            <w:r w:rsidR="00A94188" w:rsidRPr="009A4D26">
              <w:rPr>
                <w:rStyle w:val="Hyperlink"/>
                <w:color w:val="000000" w:themeColor="text1"/>
              </w:rPr>
              <w:t xml:space="preserve">, </w:t>
            </w:r>
            <w:r w:rsidR="00A94188" w:rsidRPr="009A4D26">
              <w:rPr>
                <w:rStyle w:val="Hyperlink"/>
                <w:color w:val="000000" w:themeColor="text1"/>
                <w:spacing w:val="-2"/>
              </w:rPr>
              <w:t xml:space="preserve">previously known as the </w:t>
            </w:r>
            <w:r w:rsidR="00A94188" w:rsidRPr="009A4D26">
              <w:rPr>
                <w:rStyle w:val="Hyperlink"/>
                <w:i/>
                <w:color w:val="000000" w:themeColor="text1"/>
                <w:spacing w:val="-2"/>
              </w:rPr>
              <w:t>Legislative Instruments Act 2003</w:t>
            </w:r>
          </w:p>
        </w:tc>
      </w:tr>
      <w:tr w:rsidR="009A4D26" w:rsidRPr="00FD274F" w14:paraId="7CC6483B" w14:textId="77777777" w:rsidTr="00746A03">
        <w:tc>
          <w:tcPr>
            <w:tcW w:w="1413" w:type="dxa"/>
            <w:shd w:val="clear" w:color="auto" w:fill="auto"/>
          </w:tcPr>
          <w:p w14:paraId="0E19F497" w14:textId="4B464F4C" w:rsidR="009A4D26" w:rsidRPr="009A4D26" w:rsidRDefault="009A4D26" w:rsidP="00000A2E">
            <w:pPr>
              <w:pStyle w:val="Tabletext"/>
            </w:pPr>
            <w:r>
              <w:t>LIA</w:t>
            </w:r>
          </w:p>
        </w:tc>
        <w:tc>
          <w:tcPr>
            <w:tcW w:w="7613" w:type="dxa"/>
            <w:shd w:val="clear" w:color="auto" w:fill="auto"/>
          </w:tcPr>
          <w:p w14:paraId="14C8F75C" w14:textId="23144452" w:rsidR="009A4D26" w:rsidRPr="009A4D26" w:rsidRDefault="009A4D26" w:rsidP="00BF60F7">
            <w:pPr>
              <w:pStyle w:val="Tabletext"/>
            </w:pPr>
            <w:r>
              <w:t xml:space="preserve">the </w:t>
            </w:r>
            <w:r w:rsidRPr="00FD6A45">
              <w:rPr>
                <w:i/>
              </w:rPr>
              <w:t>Legislative Instruments Act 2003</w:t>
            </w:r>
          </w:p>
        </w:tc>
      </w:tr>
      <w:tr w:rsidR="00727ED5" w:rsidRPr="00FD274F" w14:paraId="224496B7" w14:textId="77777777" w:rsidTr="00746A03">
        <w:tc>
          <w:tcPr>
            <w:tcW w:w="1413" w:type="dxa"/>
            <w:shd w:val="clear" w:color="auto" w:fill="auto"/>
          </w:tcPr>
          <w:p w14:paraId="24400847" w14:textId="77777777" w:rsidR="00727ED5" w:rsidRPr="009A4D26" w:rsidRDefault="00727ED5" w:rsidP="00000A2E">
            <w:pPr>
              <w:pStyle w:val="Tabletext"/>
            </w:pPr>
            <w:proofErr w:type="spellStart"/>
            <w:r w:rsidRPr="009A4D26">
              <w:t>L</w:t>
            </w:r>
            <w:r w:rsidR="00000A2E" w:rsidRPr="009A4D26">
              <w:t>EOMR</w:t>
            </w:r>
            <w:proofErr w:type="spellEnd"/>
            <w:r w:rsidRPr="009A4D26">
              <w:tab/>
            </w:r>
          </w:p>
        </w:tc>
        <w:tc>
          <w:tcPr>
            <w:tcW w:w="7613" w:type="dxa"/>
            <w:shd w:val="clear" w:color="auto" w:fill="auto"/>
          </w:tcPr>
          <w:p w14:paraId="478A5DFD" w14:textId="4F1D3E54" w:rsidR="00727ED5" w:rsidRPr="009A4D26" w:rsidRDefault="00BF60F7" w:rsidP="00746A03">
            <w:pPr>
              <w:pStyle w:val="Tabletext"/>
              <w:rPr>
                <w:i/>
              </w:rPr>
            </w:pPr>
            <w:r w:rsidRPr="009A4D26">
              <w:t xml:space="preserve">the </w:t>
            </w:r>
            <w:hyperlink r:id="rId16" w:history="1">
              <w:r w:rsidR="00000A2E" w:rsidRPr="009A4D26">
                <w:rPr>
                  <w:rStyle w:val="Hyperlink"/>
                  <w:i/>
                </w:rPr>
                <w:t>Legislation (Exemptions and Other Matters) Regulation 2015</w:t>
              </w:r>
            </w:hyperlink>
          </w:p>
        </w:tc>
      </w:tr>
      <w:tr w:rsidR="00727ED5" w:rsidRPr="00FD274F" w14:paraId="485FA651" w14:textId="77777777" w:rsidTr="00746A03">
        <w:tc>
          <w:tcPr>
            <w:tcW w:w="1413" w:type="dxa"/>
            <w:shd w:val="clear" w:color="auto" w:fill="auto"/>
          </w:tcPr>
          <w:p w14:paraId="3C56C239" w14:textId="77777777" w:rsidR="00727ED5" w:rsidRPr="009A4D26" w:rsidRDefault="00727ED5" w:rsidP="00746A03">
            <w:pPr>
              <w:pStyle w:val="Tabletext"/>
            </w:pPr>
            <w:proofErr w:type="spellStart"/>
            <w:r w:rsidRPr="009A4D26">
              <w:t>OBPR</w:t>
            </w:r>
            <w:proofErr w:type="spellEnd"/>
          </w:p>
        </w:tc>
        <w:tc>
          <w:tcPr>
            <w:tcW w:w="7613" w:type="dxa"/>
            <w:shd w:val="clear" w:color="auto" w:fill="auto"/>
          </w:tcPr>
          <w:p w14:paraId="6765D314" w14:textId="77777777" w:rsidR="00727ED5" w:rsidRPr="009A4D26" w:rsidRDefault="00727ED5" w:rsidP="00746A03">
            <w:pPr>
              <w:pStyle w:val="Tabletext"/>
            </w:pPr>
            <w:r w:rsidRPr="009A4D26">
              <w:t>Office of Best Practice Regulation</w:t>
            </w:r>
          </w:p>
        </w:tc>
      </w:tr>
      <w:tr w:rsidR="00727ED5" w:rsidRPr="00FD274F" w14:paraId="48689B8A" w14:textId="77777777" w:rsidTr="00746A03">
        <w:tc>
          <w:tcPr>
            <w:tcW w:w="1413" w:type="dxa"/>
            <w:shd w:val="clear" w:color="auto" w:fill="auto"/>
          </w:tcPr>
          <w:p w14:paraId="187C5B87" w14:textId="77777777" w:rsidR="00727ED5" w:rsidRPr="009A4D26" w:rsidRDefault="00727ED5" w:rsidP="00746A03">
            <w:pPr>
              <w:pStyle w:val="Tabletext"/>
            </w:pPr>
            <w:proofErr w:type="spellStart"/>
            <w:r w:rsidRPr="009A4D26">
              <w:t>OPC</w:t>
            </w:r>
            <w:proofErr w:type="spellEnd"/>
          </w:p>
        </w:tc>
        <w:tc>
          <w:tcPr>
            <w:tcW w:w="7613" w:type="dxa"/>
            <w:shd w:val="clear" w:color="auto" w:fill="auto"/>
          </w:tcPr>
          <w:p w14:paraId="75D0054F" w14:textId="11E66EA6" w:rsidR="00727ED5" w:rsidRPr="009A4D26" w:rsidRDefault="00727ED5" w:rsidP="00746A03">
            <w:pPr>
              <w:pStyle w:val="Tabletext"/>
            </w:pPr>
            <w:r w:rsidRPr="00D90FD0">
              <w:t>Office of Parliamentary Counsel</w:t>
            </w:r>
            <w:r w:rsidRPr="009A4D26">
              <w:rPr>
                <w:rStyle w:val="Hyperlink"/>
              </w:rPr>
              <w:t>,</w:t>
            </w:r>
            <w:r w:rsidRPr="009A4D26">
              <w:t xml:space="preserve"> an independent statutory authority accountable to the Attorney</w:t>
            </w:r>
            <w:r w:rsidR="009C4251" w:rsidRPr="009A4D26">
              <w:noBreakHyphen/>
            </w:r>
            <w:r w:rsidRPr="009A4D26">
              <w:t>General</w:t>
            </w:r>
          </w:p>
        </w:tc>
      </w:tr>
      <w:tr w:rsidR="00A94188" w:rsidRPr="00FD274F" w14:paraId="77271D95" w14:textId="77777777" w:rsidTr="00746A03">
        <w:tc>
          <w:tcPr>
            <w:tcW w:w="1413" w:type="dxa"/>
            <w:tcBorders>
              <w:bottom w:val="single" w:sz="4" w:space="0" w:color="auto"/>
            </w:tcBorders>
            <w:shd w:val="clear" w:color="auto" w:fill="auto"/>
          </w:tcPr>
          <w:p w14:paraId="7023D013" w14:textId="77777777" w:rsidR="00A94188" w:rsidRPr="009A4D26" w:rsidRDefault="00A94188" w:rsidP="00746A03">
            <w:pPr>
              <w:pStyle w:val="Tabletext"/>
            </w:pPr>
            <w:r w:rsidRPr="009A4D26">
              <w:t>Register</w:t>
            </w:r>
          </w:p>
        </w:tc>
        <w:tc>
          <w:tcPr>
            <w:tcW w:w="7613" w:type="dxa"/>
            <w:tcBorders>
              <w:bottom w:val="single" w:sz="4" w:space="0" w:color="auto"/>
            </w:tcBorders>
            <w:shd w:val="clear" w:color="auto" w:fill="auto"/>
          </w:tcPr>
          <w:p w14:paraId="28F26C07" w14:textId="77777777" w:rsidR="00A94188" w:rsidRPr="009A4D26" w:rsidRDefault="00A94188" w:rsidP="00746A03">
            <w:pPr>
              <w:pStyle w:val="Tabletext"/>
            </w:pPr>
            <w:r w:rsidRPr="009A4D26">
              <w:t xml:space="preserve">the </w:t>
            </w:r>
            <w:r w:rsidR="00F1401E" w:rsidRPr="009A4D26">
              <w:t>Federal Register of Legislation</w:t>
            </w:r>
          </w:p>
        </w:tc>
      </w:tr>
      <w:tr w:rsidR="00727ED5" w:rsidRPr="00FD274F" w14:paraId="58852A47" w14:textId="77777777" w:rsidTr="00746A03">
        <w:tc>
          <w:tcPr>
            <w:tcW w:w="1413" w:type="dxa"/>
            <w:tcBorders>
              <w:bottom w:val="single" w:sz="4" w:space="0" w:color="auto"/>
            </w:tcBorders>
            <w:shd w:val="clear" w:color="auto" w:fill="auto"/>
          </w:tcPr>
          <w:p w14:paraId="32A6E38D" w14:textId="77777777" w:rsidR="00727ED5" w:rsidRPr="009A4D26" w:rsidRDefault="00727ED5" w:rsidP="00746A03">
            <w:pPr>
              <w:pStyle w:val="Tabletext"/>
            </w:pPr>
            <w:proofErr w:type="spellStart"/>
            <w:r w:rsidRPr="009A4D26">
              <w:t>RIS</w:t>
            </w:r>
            <w:proofErr w:type="spellEnd"/>
          </w:p>
        </w:tc>
        <w:tc>
          <w:tcPr>
            <w:tcW w:w="7613" w:type="dxa"/>
            <w:tcBorders>
              <w:bottom w:val="single" w:sz="4" w:space="0" w:color="auto"/>
            </w:tcBorders>
            <w:shd w:val="clear" w:color="auto" w:fill="auto"/>
          </w:tcPr>
          <w:p w14:paraId="47746CF7" w14:textId="77777777" w:rsidR="00727ED5" w:rsidRPr="009A4D26" w:rsidRDefault="00727ED5" w:rsidP="00746A03">
            <w:pPr>
              <w:pStyle w:val="Tabletext"/>
            </w:pPr>
            <w:r w:rsidRPr="009A4D26">
              <w:t>Regulation Impact Statement</w:t>
            </w:r>
          </w:p>
        </w:tc>
      </w:tr>
      <w:tr w:rsidR="0049700A" w:rsidRPr="00FD274F" w14:paraId="5790A8AB" w14:textId="77777777" w:rsidTr="00746A03">
        <w:tc>
          <w:tcPr>
            <w:tcW w:w="1413" w:type="dxa"/>
            <w:tcBorders>
              <w:bottom w:val="single" w:sz="4" w:space="0" w:color="auto"/>
            </w:tcBorders>
            <w:shd w:val="clear" w:color="auto" w:fill="auto"/>
          </w:tcPr>
          <w:p w14:paraId="07B3CAE0" w14:textId="77777777" w:rsidR="0049700A" w:rsidRPr="009A4D26" w:rsidRDefault="0049700A" w:rsidP="00746A03">
            <w:pPr>
              <w:pStyle w:val="Tabletext"/>
            </w:pPr>
            <w:r w:rsidRPr="009A4D26">
              <w:t>Rule</w:t>
            </w:r>
          </w:p>
        </w:tc>
        <w:tc>
          <w:tcPr>
            <w:tcW w:w="7613" w:type="dxa"/>
            <w:tcBorders>
              <w:bottom w:val="single" w:sz="4" w:space="0" w:color="auto"/>
            </w:tcBorders>
            <w:shd w:val="clear" w:color="auto" w:fill="auto"/>
          </w:tcPr>
          <w:p w14:paraId="177AA821" w14:textId="2ECE0896" w:rsidR="0049700A" w:rsidRPr="009A4D26" w:rsidRDefault="0049700A" w:rsidP="00746A03">
            <w:pPr>
              <w:pStyle w:val="Tabletext"/>
            </w:pPr>
            <w:r w:rsidRPr="009A4D26">
              <w:t xml:space="preserve">the </w:t>
            </w:r>
            <w:hyperlink r:id="rId17" w:history="1">
              <w:r w:rsidRPr="009A4D26">
                <w:rPr>
                  <w:rStyle w:val="Hyperlink"/>
                  <w:i/>
                </w:rPr>
                <w:t>Legislation Rule 2016</w:t>
              </w:r>
            </w:hyperlink>
          </w:p>
        </w:tc>
      </w:tr>
      <w:tr w:rsidR="00727ED5" w:rsidRPr="00FD274F" w14:paraId="4D8689F2" w14:textId="77777777" w:rsidTr="00746A03">
        <w:tc>
          <w:tcPr>
            <w:tcW w:w="1413" w:type="dxa"/>
            <w:tcBorders>
              <w:bottom w:val="single" w:sz="4" w:space="0" w:color="auto"/>
            </w:tcBorders>
            <w:shd w:val="clear" w:color="auto" w:fill="auto"/>
          </w:tcPr>
          <w:p w14:paraId="63A3882D" w14:textId="77777777" w:rsidR="00727ED5" w:rsidRPr="009A4D26" w:rsidRDefault="00727ED5" w:rsidP="00746A03">
            <w:pPr>
              <w:pStyle w:val="Tabletext"/>
            </w:pPr>
            <w:r w:rsidRPr="009A4D26">
              <w:t>s</w:t>
            </w:r>
          </w:p>
        </w:tc>
        <w:tc>
          <w:tcPr>
            <w:tcW w:w="7613" w:type="dxa"/>
            <w:tcBorders>
              <w:bottom w:val="single" w:sz="4" w:space="0" w:color="auto"/>
            </w:tcBorders>
            <w:shd w:val="clear" w:color="auto" w:fill="auto"/>
          </w:tcPr>
          <w:p w14:paraId="13AC214F" w14:textId="77777777" w:rsidR="00727ED5" w:rsidRPr="009A4D26" w:rsidRDefault="00727ED5" w:rsidP="00746A03">
            <w:pPr>
              <w:pStyle w:val="Tabletext"/>
            </w:pPr>
            <w:r w:rsidRPr="009A4D26">
              <w:t>section</w:t>
            </w:r>
            <w:r w:rsidR="00B869DA" w:rsidRPr="009A4D26">
              <w:t xml:space="preserve"> (or equivalent)</w:t>
            </w:r>
          </w:p>
        </w:tc>
      </w:tr>
      <w:tr w:rsidR="00727ED5" w:rsidRPr="00FD274F" w14:paraId="73879EFB" w14:textId="77777777" w:rsidTr="00746A03">
        <w:tc>
          <w:tcPr>
            <w:tcW w:w="1413" w:type="dxa"/>
            <w:tcBorders>
              <w:bottom w:val="single" w:sz="12" w:space="0" w:color="auto"/>
            </w:tcBorders>
            <w:shd w:val="clear" w:color="auto" w:fill="auto"/>
          </w:tcPr>
          <w:p w14:paraId="3D66F63C" w14:textId="77777777" w:rsidR="00727ED5" w:rsidRPr="00FD274F" w:rsidRDefault="00805ED3" w:rsidP="00746A03">
            <w:pPr>
              <w:pStyle w:val="Tabletext"/>
            </w:pPr>
            <w:r>
              <w:t>SDLC</w:t>
            </w:r>
          </w:p>
        </w:tc>
        <w:tc>
          <w:tcPr>
            <w:tcW w:w="7613" w:type="dxa"/>
            <w:tcBorders>
              <w:bottom w:val="single" w:sz="12" w:space="0" w:color="auto"/>
            </w:tcBorders>
            <w:shd w:val="clear" w:color="auto" w:fill="auto"/>
          </w:tcPr>
          <w:p w14:paraId="32013629" w14:textId="77777777" w:rsidR="00727ED5" w:rsidRPr="009A4D26" w:rsidRDefault="00727ED5" w:rsidP="00805ED3">
            <w:pPr>
              <w:pStyle w:val="Tabletext"/>
            </w:pPr>
            <w:r w:rsidRPr="009A4D26">
              <w:t xml:space="preserve">Senate Standing Committee </w:t>
            </w:r>
            <w:r w:rsidR="00805ED3" w:rsidRPr="009A4D26">
              <w:t>for the Scrutiny of Delegated Legislation</w:t>
            </w:r>
          </w:p>
        </w:tc>
      </w:tr>
    </w:tbl>
    <w:p w14:paraId="34EAE617" w14:textId="77777777" w:rsidR="00727ED5" w:rsidRPr="00FD274F" w:rsidRDefault="00727ED5" w:rsidP="004855B6">
      <w:pPr>
        <w:pStyle w:val="Head2"/>
        <w:pageBreakBefore/>
        <w:spacing w:before="0" w:after="240"/>
      </w:pPr>
      <w:bookmarkStart w:id="3" w:name="_Toc112918738"/>
      <w:r w:rsidRPr="00FD274F">
        <w:lastRenderedPageBreak/>
        <w:t>Contents</w:t>
      </w:r>
      <w:bookmarkEnd w:id="3"/>
    </w:p>
    <w:p w14:paraId="379C5387" w14:textId="3968B830" w:rsidR="00A85BA9" w:rsidRDefault="00727ED5">
      <w:pPr>
        <w:pStyle w:val="TOC2"/>
        <w:rPr>
          <w:rFonts w:asciiTheme="minorHAnsi" w:eastAsiaTheme="minorEastAsia" w:hAnsiTheme="minorHAnsi" w:cstheme="minorBidi"/>
          <w:b w:val="0"/>
          <w:noProof/>
          <w:kern w:val="0"/>
          <w:sz w:val="22"/>
          <w:szCs w:val="22"/>
        </w:rPr>
      </w:pPr>
      <w:r w:rsidRPr="00805ED3">
        <w:fldChar w:fldCharType="begin"/>
      </w:r>
      <w:r w:rsidRPr="00FD274F">
        <w:instrText xml:space="preserve"> TOC \o "2-9" </w:instrText>
      </w:r>
      <w:r w:rsidRPr="00805ED3">
        <w:fldChar w:fldCharType="separate"/>
      </w:r>
      <w:r w:rsidR="00A85BA9">
        <w:rPr>
          <w:noProof/>
        </w:rPr>
        <w:t>About this Handbook</w:t>
      </w:r>
      <w:r w:rsidR="00A85BA9">
        <w:rPr>
          <w:noProof/>
        </w:rPr>
        <w:tab/>
      </w:r>
      <w:r w:rsidR="00A85BA9">
        <w:rPr>
          <w:noProof/>
        </w:rPr>
        <w:fldChar w:fldCharType="begin"/>
      </w:r>
      <w:r w:rsidR="00A85BA9">
        <w:rPr>
          <w:noProof/>
        </w:rPr>
        <w:instrText xml:space="preserve"> PAGEREF _Toc112918736 \h </w:instrText>
      </w:r>
      <w:r w:rsidR="00A85BA9">
        <w:rPr>
          <w:noProof/>
        </w:rPr>
      </w:r>
      <w:r w:rsidR="00A85BA9">
        <w:rPr>
          <w:noProof/>
        </w:rPr>
        <w:fldChar w:fldCharType="separate"/>
      </w:r>
      <w:r w:rsidR="00A85BA9">
        <w:rPr>
          <w:noProof/>
        </w:rPr>
        <w:t>ii</w:t>
      </w:r>
      <w:r w:rsidR="00A85BA9">
        <w:rPr>
          <w:noProof/>
        </w:rPr>
        <w:fldChar w:fldCharType="end"/>
      </w:r>
    </w:p>
    <w:p w14:paraId="033D38E4" w14:textId="238D948E" w:rsidR="00A85BA9" w:rsidRDefault="00A85BA9">
      <w:pPr>
        <w:pStyle w:val="TOC2"/>
        <w:rPr>
          <w:rFonts w:asciiTheme="minorHAnsi" w:eastAsiaTheme="minorEastAsia" w:hAnsiTheme="minorHAnsi" w:cstheme="minorBidi"/>
          <w:b w:val="0"/>
          <w:noProof/>
          <w:kern w:val="0"/>
          <w:sz w:val="22"/>
          <w:szCs w:val="22"/>
        </w:rPr>
      </w:pPr>
      <w:r>
        <w:rPr>
          <w:noProof/>
        </w:rPr>
        <w:t>Abbreviation key</w:t>
      </w:r>
      <w:r>
        <w:rPr>
          <w:noProof/>
        </w:rPr>
        <w:tab/>
      </w:r>
      <w:r>
        <w:rPr>
          <w:noProof/>
        </w:rPr>
        <w:fldChar w:fldCharType="begin"/>
      </w:r>
      <w:r>
        <w:rPr>
          <w:noProof/>
        </w:rPr>
        <w:instrText xml:space="preserve"> PAGEREF _Toc112918737 \h </w:instrText>
      </w:r>
      <w:r>
        <w:rPr>
          <w:noProof/>
        </w:rPr>
      </w:r>
      <w:r>
        <w:rPr>
          <w:noProof/>
        </w:rPr>
        <w:fldChar w:fldCharType="separate"/>
      </w:r>
      <w:r>
        <w:rPr>
          <w:noProof/>
        </w:rPr>
        <w:t>ii</w:t>
      </w:r>
      <w:r>
        <w:rPr>
          <w:noProof/>
        </w:rPr>
        <w:fldChar w:fldCharType="end"/>
      </w:r>
    </w:p>
    <w:p w14:paraId="5EBC23F2" w14:textId="5EE4234B" w:rsidR="00A85BA9" w:rsidRDefault="00A85BA9" w:rsidP="00A85BA9">
      <w:pPr>
        <w:pStyle w:val="TOC2"/>
        <w:ind w:left="0" w:firstLine="0"/>
        <w:rPr>
          <w:rFonts w:asciiTheme="minorHAnsi" w:eastAsiaTheme="minorEastAsia" w:hAnsiTheme="minorHAnsi" w:cstheme="minorBidi"/>
          <w:b w:val="0"/>
          <w:noProof/>
          <w:kern w:val="0"/>
          <w:sz w:val="22"/>
          <w:szCs w:val="22"/>
        </w:rPr>
      </w:pPr>
      <w:r>
        <w:rPr>
          <w:noProof/>
        </w:rPr>
        <w:t>Contents</w:t>
      </w:r>
      <w:r>
        <w:rPr>
          <w:noProof/>
        </w:rPr>
        <w:tab/>
      </w:r>
      <w:r>
        <w:rPr>
          <w:noProof/>
        </w:rPr>
        <w:fldChar w:fldCharType="begin"/>
      </w:r>
      <w:r>
        <w:rPr>
          <w:noProof/>
        </w:rPr>
        <w:instrText xml:space="preserve"> PAGEREF _Toc112918738 \h </w:instrText>
      </w:r>
      <w:r>
        <w:rPr>
          <w:noProof/>
        </w:rPr>
      </w:r>
      <w:r>
        <w:rPr>
          <w:noProof/>
        </w:rPr>
        <w:fldChar w:fldCharType="separate"/>
      </w:r>
      <w:r>
        <w:rPr>
          <w:noProof/>
        </w:rPr>
        <w:t>iii</w:t>
      </w:r>
      <w:r>
        <w:rPr>
          <w:noProof/>
        </w:rPr>
        <w:fldChar w:fldCharType="end"/>
      </w:r>
    </w:p>
    <w:p w14:paraId="72BBDFB1" w14:textId="17E54E81" w:rsidR="00A85BA9" w:rsidRDefault="00A85BA9">
      <w:pPr>
        <w:pStyle w:val="TOC2"/>
        <w:rPr>
          <w:rFonts w:asciiTheme="minorHAnsi" w:eastAsiaTheme="minorEastAsia" w:hAnsiTheme="minorHAnsi" w:cstheme="minorBidi"/>
          <w:b w:val="0"/>
          <w:noProof/>
          <w:kern w:val="0"/>
          <w:sz w:val="22"/>
          <w:szCs w:val="22"/>
        </w:rPr>
      </w:pPr>
      <w:r>
        <w:rPr>
          <w:noProof/>
        </w:rPr>
        <w:t>Part 1—Matters relevant to all instruments</w:t>
      </w:r>
      <w:r>
        <w:rPr>
          <w:noProof/>
        </w:rPr>
        <w:tab/>
      </w:r>
      <w:r>
        <w:rPr>
          <w:noProof/>
        </w:rPr>
        <w:fldChar w:fldCharType="begin"/>
      </w:r>
      <w:r>
        <w:rPr>
          <w:noProof/>
        </w:rPr>
        <w:instrText xml:space="preserve"> PAGEREF _Toc112918739 \h </w:instrText>
      </w:r>
      <w:r>
        <w:rPr>
          <w:noProof/>
        </w:rPr>
      </w:r>
      <w:r>
        <w:rPr>
          <w:noProof/>
        </w:rPr>
        <w:fldChar w:fldCharType="separate"/>
      </w:r>
      <w:r>
        <w:rPr>
          <w:noProof/>
        </w:rPr>
        <w:t>1</w:t>
      </w:r>
      <w:r>
        <w:rPr>
          <w:noProof/>
        </w:rPr>
        <w:fldChar w:fldCharType="end"/>
      </w:r>
    </w:p>
    <w:p w14:paraId="2C8185E8" w14:textId="4F65624C" w:rsidR="00A85BA9" w:rsidRDefault="00A85BA9">
      <w:pPr>
        <w:pStyle w:val="TOC2"/>
        <w:rPr>
          <w:rFonts w:asciiTheme="minorHAnsi" w:eastAsiaTheme="minorEastAsia" w:hAnsiTheme="minorHAnsi" w:cstheme="minorBidi"/>
          <w:b w:val="0"/>
          <w:noProof/>
          <w:kern w:val="0"/>
          <w:sz w:val="22"/>
          <w:szCs w:val="22"/>
        </w:rPr>
      </w:pPr>
      <w:r>
        <w:rPr>
          <w:noProof/>
        </w:rPr>
        <w:t>Chapter 1—Introduction</w:t>
      </w:r>
      <w:r>
        <w:rPr>
          <w:noProof/>
        </w:rPr>
        <w:tab/>
      </w:r>
      <w:r>
        <w:rPr>
          <w:noProof/>
        </w:rPr>
        <w:fldChar w:fldCharType="begin"/>
      </w:r>
      <w:r>
        <w:rPr>
          <w:noProof/>
        </w:rPr>
        <w:instrText xml:space="preserve"> PAGEREF _Toc112918740 \h </w:instrText>
      </w:r>
      <w:r>
        <w:rPr>
          <w:noProof/>
        </w:rPr>
      </w:r>
      <w:r>
        <w:rPr>
          <w:noProof/>
        </w:rPr>
        <w:fldChar w:fldCharType="separate"/>
      </w:r>
      <w:r>
        <w:rPr>
          <w:noProof/>
        </w:rPr>
        <w:t>1</w:t>
      </w:r>
      <w:r>
        <w:rPr>
          <w:noProof/>
        </w:rPr>
        <w:fldChar w:fldCharType="end"/>
      </w:r>
    </w:p>
    <w:p w14:paraId="7FFAF1D0" w14:textId="57C560D0" w:rsidR="00A85BA9" w:rsidRDefault="00A85BA9" w:rsidP="00A85BA9">
      <w:pPr>
        <w:pStyle w:val="TOC3"/>
        <w:ind w:left="426" w:hanging="1"/>
        <w:rPr>
          <w:rFonts w:asciiTheme="minorHAnsi" w:eastAsiaTheme="minorEastAsia" w:hAnsiTheme="minorHAnsi" w:cstheme="minorBidi"/>
          <w:b w:val="0"/>
          <w:noProof/>
          <w:kern w:val="0"/>
          <w:szCs w:val="22"/>
        </w:rPr>
      </w:pPr>
      <w:r>
        <w:rPr>
          <w:noProof/>
        </w:rPr>
        <w:t>Background</w:t>
      </w:r>
      <w:r>
        <w:rPr>
          <w:noProof/>
        </w:rPr>
        <w:tab/>
      </w:r>
      <w:r>
        <w:rPr>
          <w:noProof/>
        </w:rPr>
        <w:fldChar w:fldCharType="begin"/>
      </w:r>
      <w:r>
        <w:rPr>
          <w:noProof/>
        </w:rPr>
        <w:instrText xml:space="preserve"> PAGEREF _Toc112918741 \h </w:instrText>
      </w:r>
      <w:r>
        <w:rPr>
          <w:noProof/>
        </w:rPr>
      </w:r>
      <w:r>
        <w:rPr>
          <w:noProof/>
        </w:rPr>
        <w:fldChar w:fldCharType="separate"/>
      </w:r>
      <w:r>
        <w:rPr>
          <w:noProof/>
        </w:rPr>
        <w:t>1</w:t>
      </w:r>
      <w:r>
        <w:rPr>
          <w:noProof/>
        </w:rPr>
        <w:fldChar w:fldCharType="end"/>
      </w:r>
    </w:p>
    <w:p w14:paraId="591BC547" w14:textId="3B6E21DF" w:rsidR="00A85BA9" w:rsidRDefault="00A85BA9">
      <w:pPr>
        <w:pStyle w:val="TOC3"/>
        <w:rPr>
          <w:rFonts w:asciiTheme="minorHAnsi" w:eastAsiaTheme="minorEastAsia" w:hAnsiTheme="minorHAnsi" w:cstheme="minorBidi"/>
          <w:b w:val="0"/>
          <w:noProof/>
          <w:kern w:val="0"/>
          <w:szCs w:val="22"/>
        </w:rPr>
      </w:pPr>
      <w:r>
        <w:rPr>
          <w:noProof/>
        </w:rPr>
        <w:t>The Legislative Instruments Act 2003 (the LIA)</w:t>
      </w:r>
      <w:r>
        <w:rPr>
          <w:noProof/>
        </w:rPr>
        <w:tab/>
      </w:r>
      <w:r>
        <w:rPr>
          <w:noProof/>
        </w:rPr>
        <w:fldChar w:fldCharType="begin"/>
      </w:r>
      <w:r>
        <w:rPr>
          <w:noProof/>
        </w:rPr>
        <w:instrText xml:space="preserve"> PAGEREF _Toc112918742 \h </w:instrText>
      </w:r>
      <w:r>
        <w:rPr>
          <w:noProof/>
        </w:rPr>
      </w:r>
      <w:r>
        <w:rPr>
          <w:noProof/>
        </w:rPr>
        <w:fldChar w:fldCharType="separate"/>
      </w:r>
      <w:r>
        <w:rPr>
          <w:noProof/>
        </w:rPr>
        <w:t>2</w:t>
      </w:r>
      <w:r>
        <w:rPr>
          <w:noProof/>
        </w:rPr>
        <w:fldChar w:fldCharType="end"/>
      </w:r>
    </w:p>
    <w:p w14:paraId="196C136E" w14:textId="4D5B1287" w:rsidR="00A85BA9" w:rsidRDefault="00A85BA9">
      <w:pPr>
        <w:pStyle w:val="TOC3"/>
        <w:rPr>
          <w:rFonts w:asciiTheme="minorHAnsi" w:eastAsiaTheme="minorEastAsia" w:hAnsiTheme="minorHAnsi" w:cstheme="minorBidi"/>
          <w:b w:val="0"/>
          <w:noProof/>
          <w:kern w:val="0"/>
          <w:szCs w:val="22"/>
        </w:rPr>
      </w:pPr>
      <w:r>
        <w:rPr>
          <w:noProof/>
        </w:rPr>
        <w:t>The Legislation Act 2003</w:t>
      </w:r>
      <w:r>
        <w:rPr>
          <w:noProof/>
        </w:rPr>
        <w:tab/>
      </w:r>
      <w:r>
        <w:rPr>
          <w:noProof/>
        </w:rPr>
        <w:fldChar w:fldCharType="begin"/>
      </w:r>
      <w:r>
        <w:rPr>
          <w:noProof/>
        </w:rPr>
        <w:instrText xml:space="preserve"> PAGEREF _Toc112918743 \h </w:instrText>
      </w:r>
      <w:r>
        <w:rPr>
          <w:noProof/>
        </w:rPr>
      </w:r>
      <w:r>
        <w:rPr>
          <w:noProof/>
        </w:rPr>
        <w:fldChar w:fldCharType="separate"/>
      </w:r>
      <w:r>
        <w:rPr>
          <w:noProof/>
        </w:rPr>
        <w:t>2</w:t>
      </w:r>
      <w:r>
        <w:rPr>
          <w:noProof/>
        </w:rPr>
        <w:fldChar w:fldCharType="end"/>
      </w:r>
    </w:p>
    <w:p w14:paraId="6232263F" w14:textId="10BA28AA" w:rsidR="00A85BA9" w:rsidRDefault="00A85BA9">
      <w:pPr>
        <w:pStyle w:val="TOC3"/>
        <w:rPr>
          <w:rFonts w:asciiTheme="minorHAnsi" w:eastAsiaTheme="minorEastAsia" w:hAnsiTheme="minorHAnsi" w:cstheme="minorBidi"/>
          <w:b w:val="0"/>
          <w:noProof/>
          <w:kern w:val="0"/>
          <w:szCs w:val="22"/>
        </w:rPr>
      </w:pPr>
      <w:r>
        <w:rPr>
          <w:noProof/>
        </w:rPr>
        <w:t>Sunsetting Review</w:t>
      </w:r>
      <w:r>
        <w:rPr>
          <w:noProof/>
        </w:rPr>
        <w:tab/>
      </w:r>
      <w:r>
        <w:rPr>
          <w:noProof/>
        </w:rPr>
        <w:fldChar w:fldCharType="begin"/>
      </w:r>
      <w:r>
        <w:rPr>
          <w:noProof/>
        </w:rPr>
        <w:instrText xml:space="preserve"> PAGEREF _Toc112918744 \h </w:instrText>
      </w:r>
      <w:r>
        <w:rPr>
          <w:noProof/>
        </w:rPr>
      </w:r>
      <w:r>
        <w:rPr>
          <w:noProof/>
        </w:rPr>
        <w:fldChar w:fldCharType="separate"/>
      </w:r>
      <w:r>
        <w:rPr>
          <w:noProof/>
        </w:rPr>
        <w:t>2</w:t>
      </w:r>
      <w:r>
        <w:rPr>
          <w:noProof/>
        </w:rPr>
        <w:fldChar w:fldCharType="end"/>
      </w:r>
    </w:p>
    <w:p w14:paraId="38F21D13" w14:textId="5947DBA8" w:rsidR="00A85BA9" w:rsidRDefault="00A85BA9">
      <w:pPr>
        <w:pStyle w:val="TOC3"/>
        <w:rPr>
          <w:rFonts w:asciiTheme="minorHAnsi" w:eastAsiaTheme="minorEastAsia" w:hAnsiTheme="minorHAnsi" w:cstheme="minorBidi"/>
          <w:b w:val="0"/>
          <w:noProof/>
          <w:kern w:val="0"/>
          <w:szCs w:val="22"/>
        </w:rPr>
      </w:pPr>
      <w:r>
        <w:rPr>
          <w:noProof/>
        </w:rPr>
        <w:t>Further statutory reviews</w:t>
      </w:r>
      <w:r>
        <w:rPr>
          <w:noProof/>
        </w:rPr>
        <w:tab/>
      </w:r>
      <w:r>
        <w:rPr>
          <w:noProof/>
        </w:rPr>
        <w:fldChar w:fldCharType="begin"/>
      </w:r>
      <w:r>
        <w:rPr>
          <w:noProof/>
        </w:rPr>
        <w:instrText xml:space="preserve"> PAGEREF _Toc112918745 \h </w:instrText>
      </w:r>
      <w:r>
        <w:rPr>
          <w:noProof/>
        </w:rPr>
      </w:r>
      <w:r>
        <w:rPr>
          <w:noProof/>
        </w:rPr>
        <w:fldChar w:fldCharType="separate"/>
      </w:r>
      <w:r>
        <w:rPr>
          <w:noProof/>
        </w:rPr>
        <w:t>3</w:t>
      </w:r>
      <w:r>
        <w:rPr>
          <w:noProof/>
        </w:rPr>
        <w:fldChar w:fldCharType="end"/>
      </w:r>
    </w:p>
    <w:p w14:paraId="3B5221BE" w14:textId="21255049" w:rsidR="00A85BA9" w:rsidRDefault="00A85BA9">
      <w:pPr>
        <w:pStyle w:val="TOC2"/>
        <w:rPr>
          <w:rFonts w:asciiTheme="minorHAnsi" w:eastAsiaTheme="minorEastAsia" w:hAnsiTheme="minorHAnsi" w:cstheme="minorBidi"/>
          <w:b w:val="0"/>
          <w:noProof/>
          <w:kern w:val="0"/>
          <w:sz w:val="22"/>
          <w:szCs w:val="22"/>
        </w:rPr>
      </w:pPr>
      <w:r>
        <w:rPr>
          <w:noProof/>
        </w:rPr>
        <w:t>Chapter 2—Key concepts</w:t>
      </w:r>
      <w:r>
        <w:rPr>
          <w:noProof/>
        </w:rPr>
        <w:tab/>
      </w:r>
      <w:r>
        <w:rPr>
          <w:noProof/>
        </w:rPr>
        <w:fldChar w:fldCharType="begin"/>
      </w:r>
      <w:r>
        <w:rPr>
          <w:noProof/>
        </w:rPr>
        <w:instrText xml:space="preserve"> PAGEREF _Toc112918746 \h </w:instrText>
      </w:r>
      <w:r>
        <w:rPr>
          <w:noProof/>
        </w:rPr>
      </w:r>
      <w:r>
        <w:rPr>
          <w:noProof/>
        </w:rPr>
        <w:fldChar w:fldCharType="separate"/>
      </w:r>
      <w:r>
        <w:rPr>
          <w:noProof/>
        </w:rPr>
        <w:t>4</w:t>
      </w:r>
      <w:r>
        <w:rPr>
          <w:noProof/>
        </w:rPr>
        <w:fldChar w:fldCharType="end"/>
      </w:r>
    </w:p>
    <w:p w14:paraId="58E54692" w14:textId="0009839E" w:rsidR="00A85BA9" w:rsidRDefault="00A85BA9">
      <w:pPr>
        <w:pStyle w:val="TOC3"/>
        <w:rPr>
          <w:rFonts w:asciiTheme="minorHAnsi" w:eastAsiaTheme="minorEastAsia" w:hAnsiTheme="minorHAnsi" w:cstheme="minorBidi"/>
          <w:b w:val="0"/>
          <w:noProof/>
          <w:kern w:val="0"/>
          <w:szCs w:val="22"/>
        </w:rPr>
      </w:pPr>
      <w:r>
        <w:rPr>
          <w:noProof/>
        </w:rPr>
        <w:t>Who is a rule</w:t>
      </w:r>
      <w:r>
        <w:rPr>
          <w:noProof/>
        </w:rPr>
        <w:noBreakHyphen/>
        <w:t>maker?</w:t>
      </w:r>
      <w:r>
        <w:rPr>
          <w:noProof/>
        </w:rPr>
        <w:tab/>
      </w:r>
      <w:r>
        <w:rPr>
          <w:noProof/>
        </w:rPr>
        <w:fldChar w:fldCharType="begin"/>
      </w:r>
      <w:r>
        <w:rPr>
          <w:noProof/>
        </w:rPr>
        <w:instrText xml:space="preserve"> PAGEREF _Toc112918747 \h </w:instrText>
      </w:r>
      <w:r>
        <w:rPr>
          <w:noProof/>
        </w:rPr>
      </w:r>
      <w:r>
        <w:rPr>
          <w:noProof/>
        </w:rPr>
        <w:fldChar w:fldCharType="separate"/>
      </w:r>
      <w:r>
        <w:rPr>
          <w:noProof/>
        </w:rPr>
        <w:t>4</w:t>
      </w:r>
      <w:r>
        <w:rPr>
          <w:noProof/>
        </w:rPr>
        <w:fldChar w:fldCharType="end"/>
      </w:r>
    </w:p>
    <w:p w14:paraId="6ED132FE" w14:textId="07B7CEF0" w:rsidR="00A85BA9" w:rsidRDefault="00A85BA9">
      <w:pPr>
        <w:pStyle w:val="TOC3"/>
        <w:rPr>
          <w:rFonts w:asciiTheme="minorHAnsi" w:eastAsiaTheme="minorEastAsia" w:hAnsiTheme="minorHAnsi" w:cstheme="minorBidi"/>
          <w:b w:val="0"/>
          <w:noProof/>
          <w:kern w:val="0"/>
          <w:szCs w:val="22"/>
        </w:rPr>
      </w:pPr>
      <w:r>
        <w:rPr>
          <w:noProof/>
        </w:rPr>
        <w:t>What is an instrument?</w:t>
      </w:r>
      <w:r>
        <w:rPr>
          <w:noProof/>
        </w:rPr>
        <w:tab/>
      </w:r>
      <w:r>
        <w:rPr>
          <w:noProof/>
        </w:rPr>
        <w:fldChar w:fldCharType="begin"/>
      </w:r>
      <w:r>
        <w:rPr>
          <w:noProof/>
        </w:rPr>
        <w:instrText xml:space="preserve"> PAGEREF _Toc112918748 \h </w:instrText>
      </w:r>
      <w:r>
        <w:rPr>
          <w:noProof/>
        </w:rPr>
      </w:r>
      <w:r>
        <w:rPr>
          <w:noProof/>
        </w:rPr>
        <w:fldChar w:fldCharType="separate"/>
      </w:r>
      <w:r>
        <w:rPr>
          <w:noProof/>
        </w:rPr>
        <w:t>5</w:t>
      </w:r>
      <w:r>
        <w:rPr>
          <w:noProof/>
        </w:rPr>
        <w:fldChar w:fldCharType="end"/>
      </w:r>
    </w:p>
    <w:p w14:paraId="6A9E1FF3" w14:textId="1FB6C52C" w:rsidR="00A85BA9" w:rsidRDefault="00A85BA9">
      <w:pPr>
        <w:pStyle w:val="TOC4"/>
        <w:rPr>
          <w:rFonts w:asciiTheme="minorHAnsi" w:eastAsiaTheme="minorEastAsia" w:hAnsiTheme="minorHAnsi" w:cstheme="minorBidi"/>
          <w:b w:val="0"/>
          <w:noProof/>
          <w:kern w:val="0"/>
          <w:sz w:val="22"/>
          <w:szCs w:val="22"/>
        </w:rPr>
      </w:pPr>
      <w:r>
        <w:rPr>
          <w:noProof/>
        </w:rPr>
        <w:t>Instruments that commence, amend or repeal registered laws</w:t>
      </w:r>
      <w:r>
        <w:rPr>
          <w:noProof/>
        </w:rPr>
        <w:tab/>
      </w:r>
      <w:r>
        <w:rPr>
          <w:noProof/>
        </w:rPr>
        <w:fldChar w:fldCharType="begin"/>
      </w:r>
      <w:r>
        <w:rPr>
          <w:noProof/>
        </w:rPr>
        <w:instrText xml:space="preserve"> PAGEREF _Toc112918749 \h </w:instrText>
      </w:r>
      <w:r>
        <w:rPr>
          <w:noProof/>
        </w:rPr>
      </w:r>
      <w:r>
        <w:rPr>
          <w:noProof/>
        </w:rPr>
        <w:fldChar w:fldCharType="separate"/>
      </w:r>
      <w:r>
        <w:rPr>
          <w:noProof/>
        </w:rPr>
        <w:t>5</w:t>
      </w:r>
      <w:r>
        <w:rPr>
          <w:noProof/>
        </w:rPr>
        <w:fldChar w:fldCharType="end"/>
      </w:r>
    </w:p>
    <w:p w14:paraId="4F3C99D9" w14:textId="034D528F" w:rsidR="00A85BA9" w:rsidRDefault="00A85BA9">
      <w:pPr>
        <w:pStyle w:val="TOC4"/>
        <w:rPr>
          <w:rFonts w:asciiTheme="minorHAnsi" w:eastAsiaTheme="minorEastAsia" w:hAnsiTheme="minorHAnsi" w:cstheme="minorBidi"/>
          <w:b w:val="0"/>
          <w:noProof/>
          <w:kern w:val="0"/>
          <w:sz w:val="22"/>
          <w:szCs w:val="22"/>
        </w:rPr>
      </w:pPr>
      <w:r>
        <w:rPr>
          <w:noProof/>
        </w:rPr>
        <w:t>Instruments declared to be legislative instruments</w:t>
      </w:r>
      <w:r>
        <w:rPr>
          <w:noProof/>
        </w:rPr>
        <w:tab/>
      </w:r>
      <w:r>
        <w:rPr>
          <w:noProof/>
        </w:rPr>
        <w:fldChar w:fldCharType="begin"/>
      </w:r>
      <w:r>
        <w:rPr>
          <w:noProof/>
        </w:rPr>
        <w:instrText xml:space="preserve"> PAGEREF _Toc112918750 \h </w:instrText>
      </w:r>
      <w:r>
        <w:rPr>
          <w:noProof/>
        </w:rPr>
      </w:r>
      <w:r>
        <w:rPr>
          <w:noProof/>
        </w:rPr>
        <w:fldChar w:fldCharType="separate"/>
      </w:r>
      <w:r>
        <w:rPr>
          <w:noProof/>
        </w:rPr>
        <w:t>6</w:t>
      </w:r>
      <w:r>
        <w:rPr>
          <w:noProof/>
        </w:rPr>
        <w:fldChar w:fldCharType="end"/>
      </w:r>
    </w:p>
    <w:p w14:paraId="62E6FB3D" w14:textId="70BD837A" w:rsidR="00A85BA9" w:rsidRDefault="00A85BA9">
      <w:pPr>
        <w:pStyle w:val="TOC4"/>
        <w:rPr>
          <w:rFonts w:asciiTheme="minorHAnsi" w:eastAsiaTheme="minorEastAsia" w:hAnsiTheme="minorHAnsi" w:cstheme="minorBidi"/>
          <w:b w:val="0"/>
          <w:noProof/>
          <w:kern w:val="0"/>
          <w:sz w:val="22"/>
          <w:szCs w:val="22"/>
        </w:rPr>
      </w:pPr>
      <w:r>
        <w:rPr>
          <w:noProof/>
        </w:rPr>
        <w:t>Instruments declared to be notifiable instruments</w:t>
      </w:r>
      <w:r>
        <w:rPr>
          <w:noProof/>
        </w:rPr>
        <w:tab/>
      </w:r>
      <w:r>
        <w:rPr>
          <w:noProof/>
        </w:rPr>
        <w:fldChar w:fldCharType="begin"/>
      </w:r>
      <w:r>
        <w:rPr>
          <w:noProof/>
        </w:rPr>
        <w:instrText xml:space="preserve"> PAGEREF _Toc112918751 \h </w:instrText>
      </w:r>
      <w:r>
        <w:rPr>
          <w:noProof/>
        </w:rPr>
      </w:r>
      <w:r>
        <w:rPr>
          <w:noProof/>
        </w:rPr>
        <w:fldChar w:fldCharType="separate"/>
      </w:r>
      <w:r>
        <w:rPr>
          <w:noProof/>
        </w:rPr>
        <w:t>6</w:t>
      </w:r>
      <w:r>
        <w:rPr>
          <w:noProof/>
        </w:rPr>
        <w:fldChar w:fldCharType="end"/>
      </w:r>
    </w:p>
    <w:p w14:paraId="52413218" w14:textId="5638CF4D" w:rsidR="00A85BA9" w:rsidRDefault="00A85BA9">
      <w:pPr>
        <w:pStyle w:val="TOC4"/>
        <w:rPr>
          <w:rFonts w:asciiTheme="minorHAnsi" w:eastAsiaTheme="minorEastAsia" w:hAnsiTheme="minorHAnsi" w:cstheme="minorBidi"/>
          <w:b w:val="0"/>
          <w:noProof/>
          <w:kern w:val="0"/>
          <w:sz w:val="22"/>
          <w:szCs w:val="22"/>
        </w:rPr>
      </w:pPr>
      <w:r>
        <w:rPr>
          <w:noProof/>
        </w:rPr>
        <w:t>Other instruments</w:t>
      </w:r>
      <w:r>
        <w:rPr>
          <w:noProof/>
        </w:rPr>
        <w:tab/>
      </w:r>
      <w:r>
        <w:rPr>
          <w:noProof/>
        </w:rPr>
        <w:fldChar w:fldCharType="begin"/>
      </w:r>
      <w:r>
        <w:rPr>
          <w:noProof/>
        </w:rPr>
        <w:instrText xml:space="preserve"> PAGEREF _Toc112918752 \h </w:instrText>
      </w:r>
      <w:r>
        <w:rPr>
          <w:noProof/>
        </w:rPr>
      </w:r>
      <w:r>
        <w:rPr>
          <w:noProof/>
        </w:rPr>
        <w:fldChar w:fldCharType="separate"/>
      </w:r>
      <w:r>
        <w:rPr>
          <w:noProof/>
        </w:rPr>
        <w:t>7</w:t>
      </w:r>
      <w:r>
        <w:rPr>
          <w:noProof/>
        </w:rPr>
        <w:fldChar w:fldCharType="end"/>
      </w:r>
    </w:p>
    <w:p w14:paraId="2A2BA1E1" w14:textId="22316EE2" w:rsidR="00A85BA9" w:rsidRDefault="00A85BA9">
      <w:pPr>
        <w:pStyle w:val="TOC3"/>
        <w:rPr>
          <w:rFonts w:asciiTheme="minorHAnsi" w:eastAsiaTheme="minorEastAsia" w:hAnsiTheme="minorHAnsi" w:cstheme="minorBidi"/>
          <w:b w:val="0"/>
          <w:noProof/>
          <w:kern w:val="0"/>
          <w:szCs w:val="22"/>
        </w:rPr>
      </w:pPr>
      <w:r>
        <w:rPr>
          <w:noProof/>
        </w:rPr>
        <w:t>If there is uncertainty about the status of an instrument</w:t>
      </w:r>
      <w:r>
        <w:rPr>
          <w:noProof/>
        </w:rPr>
        <w:tab/>
      </w:r>
      <w:r>
        <w:rPr>
          <w:noProof/>
        </w:rPr>
        <w:fldChar w:fldCharType="begin"/>
      </w:r>
      <w:r>
        <w:rPr>
          <w:noProof/>
        </w:rPr>
        <w:instrText xml:space="preserve"> PAGEREF _Toc112918753 \h </w:instrText>
      </w:r>
      <w:r>
        <w:rPr>
          <w:noProof/>
        </w:rPr>
      </w:r>
      <w:r>
        <w:rPr>
          <w:noProof/>
        </w:rPr>
        <w:fldChar w:fldCharType="separate"/>
      </w:r>
      <w:r>
        <w:rPr>
          <w:noProof/>
        </w:rPr>
        <w:t>8</w:t>
      </w:r>
      <w:r>
        <w:rPr>
          <w:noProof/>
        </w:rPr>
        <w:fldChar w:fldCharType="end"/>
      </w:r>
    </w:p>
    <w:p w14:paraId="66EE0270" w14:textId="3A45EA78" w:rsidR="00A85BA9" w:rsidRDefault="00A85BA9">
      <w:pPr>
        <w:pStyle w:val="TOC4"/>
        <w:rPr>
          <w:rFonts w:asciiTheme="minorHAnsi" w:eastAsiaTheme="minorEastAsia" w:hAnsiTheme="minorHAnsi" w:cstheme="minorBidi"/>
          <w:b w:val="0"/>
          <w:noProof/>
          <w:kern w:val="0"/>
          <w:sz w:val="22"/>
          <w:szCs w:val="22"/>
        </w:rPr>
      </w:pPr>
      <w:r>
        <w:rPr>
          <w:noProof/>
        </w:rPr>
        <w:t>For new instruments</w:t>
      </w:r>
      <w:r>
        <w:rPr>
          <w:noProof/>
        </w:rPr>
        <w:tab/>
      </w:r>
      <w:r>
        <w:rPr>
          <w:noProof/>
        </w:rPr>
        <w:fldChar w:fldCharType="begin"/>
      </w:r>
      <w:r>
        <w:rPr>
          <w:noProof/>
        </w:rPr>
        <w:instrText xml:space="preserve"> PAGEREF _Toc112918754 \h </w:instrText>
      </w:r>
      <w:r>
        <w:rPr>
          <w:noProof/>
        </w:rPr>
      </w:r>
      <w:r>
        <w:rPr>
          <w:noProof/>
        </w:rPr>
        <w:fldChar w:fldCharType="separate"/>
      </w:r>
      <w:r>
        <w:rPr>
          <w:noProof/>
        </w:rPr>
        <w:t>8</w:t>
      </w:r>
      <w:r>
        <w:rPr>
          <w:noProof/>
        </w:rPr>
        <w:fldChar w:fldCharType="end"/>
      </w:r>
    </w:p>
    <w:p w14:paraId="53E06A63" w14:textId="3C5BC8EF" w:rsidR="00A85BA9" w:rsidRDefault="00A85BA9">
      <w:pPr>
        <w:pStyle w:val="TOC4"/>
        <w:rPr>
          <w:rFonts w:asciiTheme="minorHAnsi" w:eastAsiaTheme="minorEastAsia" w:hAnsiTheme="minorHAnsi" w:cstheme="minorBidi"/>
          <w:b w:val="0"/>
          <w:noProof/>
          <w:kern w:val="0"/>
          <w:sz w:val="22"/>
          <w:szCs w:val="22"/>
        </w:rPr>
      </w:pPr>
      <w:r>
        <w:rPr>
          <w:noProof/>
        </w:rPr>
        <w:t>For older instruments</w:t>
      </w:r>
      <w:r>
        <w:rPr>
          <w:noProof/>
        </w:rPr>
        <w:tab/>
      </w:r>
      <w:r>
        <w:rPr>
          <w:noProof/>
        </w:rPr>
        <w:fldChar w:fldCharType="begin"/>
      </w:r>
      <w:r>
        <w:rPr>
          <w:noProof/>
        </w:rPr>
        <w:instrText xml:space="preserve"> PAGEREF _Toc112918755 \h </w:instrText>
      </w:r>
      <w:r>
        <w:rPr>
          <w:noProof/>
        </w:rPr>
      </w:r>
      <w:r>
        <w:rPr>
          <w:noProof/>
        </w:rPr>
        <w:fldChar w:fldCharType="separate"/>
      </w:r>
      <w:r>
        <w:rPr>
          <w:noProof/>
        </w:rPr>
        <w:t>9</w:t>
      </w:r>
      <w:r>
        <w:rPr>
          <w:noProof/>
        </w:rPr>
        <w:fldChar w:fldCharType="end"/>
      </w:r>
    </w:p>
    <w:p w14:paraId="635E40CA" w14:textId="314FF1B9" w:rsidR="00A85BA9" w:rsidRDefault="00A85BA9">
      <w:pPr>
        <w:pStyle w:val="TOC3"/>
        <w:rPr>
          <w:rFonts w:asciiTheme="minorHAnsi" w:eastAsiaTheme="minorEastAsia" w:hAnsiTheme="minorHAnsi" w:cstheme="minorBidi"/>
          <w:b w:val="0"/>
          <w:noProof/>
          <w:kern w:val="0"/>
          <w:szCs w:val="22"/>
        </w:rPr>
      </w:pPr>
      <w:r>
        <w:rPr>
          <w:noProof/>
        </w:rPr>
        <w:t>What is the Federal Register of Legislation?</w:t>
      </w:r>
      <w:r>
        <w:rPr>
          <w:noProof/>
        </w:rPr>
        <w:tab/>
      </w:r>
      <w:r>
        <w:rPr>
          <w:noProof/>
        </w:rPr>
        <w:fldChar w:fldCharType="begin"/>
      </w:r>
      <w:r>
        <w:rPr>
          <w:noProof/>
        </w:rPr>
        <w:instrText xml:space="preserve"> PAGEREF _Toc112918756 \h </w:instrText>
      </w:r>
      <w:r>
        <w:rPr>
          <w:noProof/>
        </w:rPr>
      </w:r>
      <w:r>
        <w:rPr>
          <w:noProof/>
        </w:rPr>
        <w:fldChar w:fldCharType="separate"/>
      </w:r>
      <w:r>
        <w:rPr>
          <w:noProof/>
        </w:rPr>
        <w:t>9</w:t>
      </w:r>
      <w:r>
        <w:rPr>
          <w:noProof/>
        </w:rPr>
        <w:fldChar w:fldCharType="end"/>
      </w:r>
    </w:p>
    <w:p w14:paraId="31E863A5" w14:textId="6636261E" w:rsidR="00A85BA9" w:rsidRDefault="00A85BA9">
      <w:pPr>
        <w:pStyle w:val="TOC2"/>
        <w:rPr>
          <w:rFonts w:asciiTheme="minorHAnsi" w:eastAsiaTheme="minorEastAsia" w:hAnsiTheme="minorHAnsi" w:cstheme="minorBidi"/>
          <w:b w:val="0"/>
          <w:noProof/>
          <w:kern w:val="0"/>
          <w:sz w:val="22"/>
          <w:szCs w:val="22"/>
        </w:rPr>
      </w:pPr>
      <w:r w:rsidRPr="00F87F73">
        <w:rPr>
          <w:rFonts w:cs="Arial"/>
          <w:noProof/>
        </w:rPr>
        <w:t>Chapter 3—Drafting and interpretation of instruments</w:t>
      </w:r>
      <w:r>
        <w:rPr>
          <w:noProof/>
        </w:rPr>
        <w:tab/>
      </w:r>
      <w:r>
        <w:rPr>
          <w:noProof/>
        </w:rPr>
        <w:fldChar w:fldCharType="begin"/>
      </w:r>
      <w:r>
        <w:rPr>
          <w:noProof/>
        </w:rPr>
        <w:instrText xml:space="preserve"> PAGEREF _Toc112918757 \h </w:instrText>
      </w:r>
      <w:r>
        <w:rPr>
          <w:noProof/>
        </w:rPr>
      </w:r>
      <w:r>
        <w:rPr>
          <w:noProof/>
        </w:rPr>
        <w:fldChar w:fldCharType="separate"/>
      </w:r>
      <w:r>
        <w:rPr>
          <w:noProof/>
        </w:rPr>
        <w:t>11</w:t>
      </w:r>
      <w:r>
        <w:rPr>
          <w:noProof/>
        </w:rPr>
        <w:fldChar w:fldCharType="end"/>
      </w:r>
    </w:p>
    <w:p w14:paraId="3B4377C0" w14:textId="2C92D65E" w:rsidR="00A85BA9" w:rsidRDefault="00A85BA9">
      <w:pPr>
        <w:pStyle w:val="TOC3"/>
        <w:rPr>
          <w:rFonts w:asciiTheme="minorHAnsi" w:eastAsiaTheme="minorEastAsia" w:hAnsiTheme="minorHAnsi" w:cstheme="minorBidi"/>
          <w:b w:val="0"/>
          <w:noProof/>
          <w:kern w:val="0"/>
          <w:szCs w:val="22"/>
        </w:rPr>
      </w:pPr>
      <w:r>
        <w:rPr>
          <w:noProof/>
        </w:rPr>
        <w:t>Drafting of legislative instruments</w:t>
      </w:r>
      <w:r>
        <w:rPr>
          <w:noProof/>
        </w:rPr>
        <w:tab/>
      </w:r>
      <w:r>
        <w:rPr>
          <w:noProof/>
        </w:rPr>
        <w:fldChar w:fldCharType="begin"/>
      </w:r>
      <w:r>
        <w:rPr>
          <w:noProof/>
        </w:rPr>
        <w:instrText xml:space="preserve"> PAGEREF _Toc112918758 \h </w:instrText>
      </w:r>
      <w:r>
        <w:rPr>
          <w:noProof/>
        </w:rPr>
      </w:r>
      <w:r>
        <w:rPr>
          <w:noProof/>
        </w:rPr>
        <w:fldChar w:fldCharType="separate"/>
      </w:r>
      <w:r>
        <w:rPr>
          <w:noProof/>
        </w:rPr>
        <w:t>11</w:t>
      </w:r>
      <w:r>
        <w:rPr>
          <w:noProof/>
        </w:rPr>
        <w:fldChar w:fldCharType="end"/>
      </w:r>
    </w:p>
    <w:p w14:paraId="2655CD2E" w14:textId="74C7BAEC" w:rsidR="00A85BA9" w:rsidRDefault="00A85BA9">
      <w:pPr>
        <w:pStyle w:val="TOC3"/>
        <w:rPr>
          <w:rFonts w:asciiTheme="minorHAnsi" w:eastAsiaTheme="minorEastAsia" w:hAnsiTheme="minorHAnsi" w:cstheme="minorBidi"/>
          <w:b w:val="0"/>
          <w:noProof/>
          <w:kern w:val="0"/>
          <w:szCs w:val="22"/>
        </w:rPr>
      </w:pPr>
      <w:r>
        <w:rPr>
          <w:noProof/>
        </w:rPr>
        <w:t>General principles for interpretation of instruments</w:t>
      </w:r>
      <w:r>
        <w:rPr>
          <w:noProof/>
        </w:rPr>
        <w:tab/>
      </w:r>
      <w:r>
        <w:rPr>
          <w:noProof/>
        </w:rPr>
        <w:fldChar w:fldCharType="begin"/>
      </w:r>
      <w:r>
        <w:rPr>
          <w:noProof/>
        </w:rPr>
        <w:instrText xml:space="preserve"> PAGEREF _Toc112918759 \h </w:instrText>
      </w:r>
      <w:r>
        <w:rPr>
          <w:noProof/>
        </w:rPr>
      </w:r>
      <w:r>
        <w:rPr>
          <w:noProof/>
        </w:rPr>
        <w:fldChar w:fldCharType="separate"/>
      </w:r>
      <w:r>
        <w:rPr>
          <w:noProof/>
        </w:rPr>
        <w:t>12</w:t>
      </w:r>
      <w:r>
        <w:rPr>
          <w:noProof/>
        </w:rPr>
        <w:fldChar w:fldCharType="end"/>
      </w:r>
    </w:p>
    <w:p w14:paraId="44AD1BAD" w14:textId="2A4BD969" w:rsidR="00A85BA9" w:rsidRDefault="00A85BA9">
      <w:pPr>
        <w:pStyle w:val="TOC3"/>
        <w:rPr>
          <w:rFonts w:asciiTheme="minorHAnsi" w:eastAsiaTheme="minorEastAsia" w:hAnsiTheme="minorHAnsi" w:cstheme="minorBidi"/>
          <w:b w:val="0"/>
          <w:noProof/>
          <w:kern w:val="0"/>
          <w:szCs w:val="22"/>
        </w:rPr>
      </w:pPr>
      <w:r>
        <w:rPr>
          <w:noProof/>
        </w:rPr>
        <w:t>What should be included in an instrument</w:t>
      </w:r>
      <w:r>
        <w:rPr>
          <w:noProof/>
        </w:rPr>
        <w:tab/>
      </w:r>
      <w:r>
        <w:rPr>
          <w:noProof/>
        </w:rPr>
        <w:fldChar w:fldCharType="begin"/>
      </w:r>
      <w:r>
        <w:rPr>
          <w:noProof/>
        </w:rPr>
        <w:instrText xml:space="preserve"> PAGEREF _Toc112918760 \h </w:instrText>
      </w:r>
      <w:r>
        <w:rPr>
          <w:noProof/>
        </w:rPr>
      </w:r>
      <w:r>
        <w:rPr>
          <w:noProof/>
        </w:rPr>
        <w:fldChar w:fldCharType="separate"/>
      </w:r>
      <w:r>
        <w:rPr>
          <w:noProof/>
        </w:rPr>
        <w:t>12</w:t>
      </w:r>
      <w:r>
        <w:rPr>
          <w:noProof/>
        </w:rPr>
        <w:fldChar w:fldCharType="end"/>
      </w:r>
    </w:p>
    <w:p w14:paraId="400B9E01" w14:textId="2262A905" w:rsidR="00A85BA9" w:rsidRDefault="00A85BA9">
      <w:pPr>
        <w:pStyle w:val="TOC4"/>
        <w:rPr>
          <w:rFonts w:asciiTheme="minorHAnsi" w:eastAsiaTheme="minorEastAsia" w:hAnsiTheme="minorHAnsi" w:cstheme="minorBidi"/>
          <w:b w:val="0"/>
          <w:noProof/>
          <w:kern w:val="0"/>
          <w:sz w:val="22"/>
          <w:szCs w:val="22"/>
        </w:rPr>
      </w:pPr>
      <w:r>
        <w:rPr>
          <w:noProof/>
        </w:rPr>
        <w:t>Recommended approach</w:t>
      </w:r>
      <w:r>
        <w:rPr>
          <w:noProof/>
        </w:rPr>
        <w:tab/>
      </w:r>
      <w:r>
        <w:rPr>
          <w:noProof/>
        </w:rPr>
        <w:fldChar w:fldCharType="begin"/>
      </w:r>
      <w:r>
        <w:rPr>
          <w:noProof/>
        </w:rPr>
        <w:instrText xml:space="preserve"> PAGEREF _Toc112918761 \h </w:instrText>
      </w:r>
      <w:r>
        <w:rPr>
          <w:noProof/>
        </w:rPr>
      </w:r>
      <w:r>
        <w:rPr>
          <w:noProof/>
        </w:rPr>
        <w:fldChar w:fldCharType="separate"/>
      </w:r>
      <w:r>
        <w:rPr>
          <w:noProof/>
        </w:rPr>
        <w:t>13</w:t>
      </w:r>
      <w:r>
        <w:rPr>
          <w:noProof/>
        </w:rPr>
        <w:fldChar w:fldCharType="end"/>
      </w:r>
    </w:p>
    <w:p w14:paraId="18B96442" w14:textId="7E8CF31E" w:rsidR="00A85BA9" w:rsidRDefault="00A85BA9">
      <w:pPr>
        <w:pStyle w:val="TOC4"/>
        <w:rPr>
          <w:rFonts w:asciiTheme="minorHAnsi" w:eastAsiaTheme="minorEastAsia" w:hAnsiTheme="minorHAnsi" w:cstheme="minorBidi"/>
          <w:b w:val="0"/>
          <w:noProof/>
          <w:kern w:val="0"/>
          <w:sz w:val="22"/>
          <w:szCs w:val="22"/>
        </w:rPr>
      </w:pPr>
      <w:r>
        <w:rPr>
          <w:noProof/>
        </w:rPr>
        <w:t>Use of other approaches</w:t>
      </w:r>
      <w:r>
        <w:rPr>
          <w:noProof/>
        </w:rPr>
        <w:tab/>
      </w:r>
      <w:r>
        <w:rPr>
          <w:noProof/>
        </w:rPr>
        <w:fldChar w:fldCharType="begin"/>
      </w:r>
      <w:r>
        <w:rPr>
          <w:noProof/>
        </w:rPr>
        <w:instrText xml:space="preserve"> PAGEREF _Toc112918762 \h </w:instrText>
      </w:r>
      <w:r>
        <w:rPr>
          <w:noProof/>
        </w:rPr>
      </w:r>
      <w:r>
        <w:rPr>
          <w:noProof/>
        </w:rPr>
        <w:fldChar w:fldCharType="separate"/>
      </w:r>
      <w:r>
        <w:rPr>
          <w:noProof/>
        </w:rPr>
        <w:t>17</w:t>
      </w:r>
      <w:r>
        <w:rPr>
          <w:noProof/>
        </w:rPr>
        <w:fldChar w:fldCharType="end"/>
      </w:r>
    </w:p>
    <w:p w14:paraId="1B47EDED" w14:textId="416811E8" w:rsidR="00A85BA9" w:rsidRDefault="00A85BA9">
      <w:pPr>
        <w:pStyle w:val="TOC3"/>
        <w:rPr>
          <w:rFonts w:asciiTheme="minorHAnsi" w:eastAsiaTheme="minorEastAsia" w:hAnsiTheme="minorHAnsi" w:cstheme="minorBidi"/>
          <w:b w:val="0"/>
          <w:noProof/>
          <w:kern w:val="0"/>
          <w:szCs w:val="22"/>
        </w:rPr>
      </w:pPr>
      <w:r>
        <w:rPr>
          <w:noProof/>
        </w:rPr>
        <w:t>Default rules on commencement of instrument or provision</w:t>
      </w:r>
      <w:r>
        <w:rPr>
          <w:noProof/>
        </w:rPr>
        <w:tab/>
      </w:r>
      <w:r>
        <w:rPr>
          <w:noProof/>
        </w:rPr>
        <w:fldChar w:fldCharType="begin"/>
      </w:r>
      <w:r>
        <w:rPr>
          <w:noProof/>
        </w:rPr>
        <w:instrText xml:space="preserve"> PAGEREF _Toc112918763 \h </w:instrText>
      </w:r>
      <w:r>
        <w:rPr>
          <w:noProof/>
        </w:rPr>
      </w:r>
      <w:r>
        <w:rPr>
          <w:noProof/>
        </w:rPr>
        <w:fldChar w:fldCharType="separate"/>
      </w:r>
      <w:r>
        <w:rPr>
          <w:noProof/>
        </w:rPr>
        <w:t>18</w:t>
      </w:r>
      <w:r>
        <w:rPr>
          <w:noProof/>
        </w:rPr>
        <w:fldChar w:fldCharType="end"/>
      </w:r>
    </w:p>
    <w:p w14:paraId="317F6E8C" w14:textId="7F40CCEF" w:rsidR="00A85BA9" w:rsidRDefault="00A85BA9">
      <w:pPr>
        <w:pStyle w:val="TOC3"/>
        <w:rPr>
          <w:rFonts w:asciiTheme="minorHAnsi" w:eastAsiaTheme="minorEastAsia" w:hAnsiTheme="minorHAnsi" w:cstheme="minorBidi"/>
          <w:b w:val="0"/>
          <w:noProof/>
          <w:kern w:val="0"/>
          <w:szCs w:val="22"/>
        </w:rPr>
      </w:pPr>
      <w:r>
        <w:rPr>
          <w:noProof/>
        </w:rPr>
        <w:t>Default rules on amendment or repeal</w:t>
      </w:r>
      <w:r>
        <w:rPr>
          <w:noProof/>
        </w:rPr>
        <w:tab/>
      </w:r>
      <w:r>
        <w:rPr>
          <w:noProof/>
        </w:rPr>
        <w:fldChar w:fldCharType="begin"/>
      </w:r>
      <w:r>
        <w:rPr>
          <w:noProof/>
        </w:rPr>
        <w:instrText xml:space="preserve"> PAGEREF _Toc112918764 \h </w:instrText>
      </w:r>
      <w:r>
        <w:rPr>
          <w:noProof/>
        </w:rPr>
      </w:r>
      <w:r>
        <w:rPr>
          <w:noProof/>
        </w:rPr>
        <w:fldChar w:fldCharType="separate"/>
      </w:r>
      <w:r>
        <w:rPr>
          <w:noProof/>
        </w:rPr>
        <w:t>19</w:t>
      </w:r>
      <w:r>
        <w:rPr>
          <w:noProof/>
        </w:rPr>
        <w:fldChar w:fldCharType="end"/>
      </w:r>
    </w:p>
    <w:p w14:paraId="00C0B559" w14:textId="22719FBF" w:rsidR="00A85BA9" w:rsidRDefault="00A85BA9">
      <w:pPr>
        <w:pStyle w:val="TOC4"/>
        <w:rPr>
          <w:rFonts w:asciiTheme="minorHAnsi" w:eastAsiaTheme="minorEastAsia" w:hAnsiTheme="minorHAnsi" w:cstheme="minorBidi"/>
          <w:b w:val="0"/>
          <w:noProof/>
          <w:kern w:val="0"/>
          <w:sz w:val="22"/>
          <w:szCs w:val="22"/>
        </w:rPr>
      </w:pPr>
      <w:r>
        <w:rPr>
          <w:noProof/>
        </w:rPr>
        <w:t>Amending and repealing instruments</w:t>
      </w:r>
      <w:r>
        <w:rPr>
          <w:noProof/>
        </w:rPr>
        <w:tab/>
      </w:r>
      <w:r>
        <w:rPr>
          <w:noProof/>
        </w:rPr>
        <w:fldChar w:fldCharType="begin"/>
      </w:r>
      <w:r>
        <w:rPr>
          <w:noProof/>
        </w:rPr>
        <w:instrText xml:space="preserve"> PAGEREF _Toc112918765 \h </w:instrText>
      </w:r>
      <w:r>
        <w:rPr>
          <w:noProof/>
        </w:rPr>
      </w:r>
      <w:r>
        <w:rPr>
          <w:noProof/>
        </w:rPr>
        <w:fldChar w:fldCharType="separate"/>
      </w:r>
      <w:r>
        <w:rPr>
          <w:noProof/>
        </w:rPr>
        <w:t>20</w:t>
      </w:r>
      <w:r>
        <w:rPr>
          <w:noProof/>
        </w:rPr>
        <w:fldChar w:fldCharType="end"/>
      </w:r>
    </w:p>
    <w:p w14:paraId="7BF9CB8E" w14:textId="67867678" w:rsidR="00A85BA9" w:rsidRDefault="00A85BA9">
      <w:pPr>
        <w:pStyle w:val="TOC4"/>
        <w:rPr>
          <w:rFonts w:asciiTheme="minorHAnsi" w:eastAsiaTheme="minorEastAsia" w:hAnsiTheme="minorHAnsi" w:cstheme="minorBidi"/>
          <w:b w:val="0"/>
          <w:noProof/>
          <w:kern w:val="0"/>
          <w:sz w:val="22"/>
          <w:szCs w:val="22"/>
        </w:rPr>
      </w:pPr>
      <w:r>
        <w:rPr>
          <w:noProof/>
        </w:rPr>
        <w:t>Certain instruments will be subject to automatic repeal</w:t>
      </w:r>
      <w:r>
        <w:rPr>
          <w:noProof/>
        </w:rPr>
        <w:tab/>
      </w:r>
      <w:r>
        <w:rPr>
          <w:noProof/>
        </w:rPr>
        <w:fldChar w:fldCharType="begin"/>
      </w:r>
      <w:r>
        <w:rPr>
          <w:noProof/>
        </w:rPr>
        <w:instrText xml:space="preserve"> PAGEREF _Toc112918766 \h </w:instrText>
      </w:r>
      <w:r>
        <w:rPr>
          <w:noProof/>
        </w:rPr>
      </w:r>
      <w:r>
        <w:rPr>
          <w:noProof/>
        </w:rPr>
        <w:fldChar w:fldCharType="separate"/>
      </w:r>
      <w:r>
        <w:rPr>
          <w:noProof/>
        </w:rPr>
        <w:t>21</w:t>
      </w:r>
      <w:r>
        <w:rPr>
          <w:noProof/>
        </w:rPr>
        <w:fldChar w:fldCharType="end"/>
      </w:r>
    </w:p>
    <w:p w14:paraId="3902F794" w14:textId="3E9F8ABC" w:rsidR="00A85BA9" w:rsidRDefault="00A85BA9">
      <w:pPr>
        <w:pStyle w:val="TOC4"/>
        <w:rPr>
          <w:rFonts w:asciiTheme="minorHAnsi" w:eastAsiaTheme="minorEastAsia" w:hAnsiTheme="minorHAnsi" w:cstheme="minorBidi"/>
          <w:b w:val="0"/>
          <w:noProof/>
          <w:kern w:val="0"/>
          <w:sz w:val="22"/>
          <w:szCs w:val="22"/>
        </w:rPr>
      </w:pPr>
      <w:r>
        <w:rPr>
          <w:noProof/>
        </w:rPr>
        <w:t>Use of self</w:t>
      </w:r>
      <w:r>
        <w:rPr>
          <w:noProof/>
        </w:rPr>
        <w:noBreakHyphen/>
        <w:t>repealing provisions</w:t>
      </w:r>
      <w:r>
        <w:rPr>
          <w:noProof/>
        </w:rPr>
        <w:tab/>
      </w:r>
      <w:r>
        <w:rPr>
          <w:noProof/>
        </w:rPr>
        <w:fldChar w:fldCharType="begin"/>
      </w:r>
      <w:r>
        <w:rPr>
          <w:noProof/>
        </w:rPr>
        <w:instrText xml:space="preserve"> PAGEREF _Toc112918767 \h </w:instrText>
      </w:r>
      <w:r>
        <w:rPr>
          <w:noProof/>
        </w:rPr>
      </w:r>
      <w:r>
        <w:rPr>
          <w:noProof/>
        </w:rPr>
        <w:fldChar w:fldCharType="separate"/>
      </w:r>
      <w:r>
        <w:rPr>
          <w:noProof/>
        </w:rPr>
        <w:t>22</w:t>
      </w:r>
      <w:r>
        <w:rPr>
          <w:noProof/>
        </w:rPr>
        <w:fldChar w:fldCharType="end"/>
      </w:r>
    </w:p>
    <w:p w14:paraId="41E0CAD9" w14:textId="120CCDD1" w:rsidR="00A85BA9" w:rsidRDefault="00A85BA9">
      <w:pPr>
        <w:pStyle w:val="TOC3"/>
        <w:rPr>
          <w:rFonts w:asciiTheme="minorHAnsi" w:eastAsiaTheme="minorEastAsia" w:hAnsiTheme="minorHAnsi" w:cstheme="minorBidi"/>
          <w:b w:val="0"/>
          <w:noProof/>
          <w:kern w:val="0"/>
          <w:szCs w:val="22"/>
        </w:rPr>
      </w:pPr>
      <w:r>
        <w:rPr>
          <w:noProof/>
        </w:rPr>
        <w:t>Default rules on incorporating documents by reference</w:t>
      </w:r>
      <w:r>
        <w:rPr>
          <w:noProof/>
        </w:rPr>
        <w:tab/>
      </w:r>
      <w:r>
        <w:rPr>
          <w:noProof/>
        </w:rPr>
        <w:fldChar w:fldCharType="begin"/>
      </w:r>
      <w:r>
        <w:rPr>
          <w:noProof/>
        </w:rPr>
        <w:instrText xml:space="preserve"> PAGEREF _Toc112918768 \h </w:instrText>
      </w:r>
      <w:r>
        <w:rPr>
          <w:noProof/>
        </w:rPr>
      </w:r>
      <w:r>
        <w:rPr>
          <w:noProof/>
        </w:rPr>
        <w:fldChar w:fldCharType="separate"/>
      </w:r>
      <w:r>
        <w:rPr>
          <w:noProof/>
        </w:rPr>
        <w:t>23</w:t>
      </w:r>
      <w:r>
        <w:rPr>
          <w:noProof/>
        </w:rPr>
        <w:fldChar w:fldCharType="end"/>
      </w:r>
    </w:p>
    <w:p w14:paraId="67D2B7C1" w14:textId="1EF1FBF1" w:rsidR="00A85BA9" w:rsidRDefault="00A85BA9">
      <w:pPr>
        <w:pStyle w:val="TOC3"/>
        <w:rPr>
          <w:rFonts w:asciiTheme="minorHAnsi" w:eastAsiaTheme="minorEastAsia" w:hAnsiTheme="minorHAnsi" w:cstheme="minorBidi"/>
          <w:b w:val="0"/>
          <w:noProof/>
          <w:kern w:val="0"/>
          <w:szCs w:val="22"/>
        </w:rPr>
      </w:pPr>
      <w:r>
        <w:rPr>
          <w:noProof/>
        </w:rPr>
        <w:t>Scope to delegate power</w:t>
      </w:r>
      <w:r>
        <w:rPr>
          <w:noProof/>
        </w:rPr>
        <w:tab/>
      </w:r>
      <w:r>
        <w:rPr>
          <w:noProof/>
        </w:rPr>
        <w:fldChar w:fldCharType="begin"/>
      </w:r>
      <w:r>
        <w:rPr>
          <w:noProof/>
        </w:rPr>
        <w:instrText xml:space="preserve"> PAGEREF _Toc112918769 \h </w:instrText>
      </w:r>
      <w:r>
        <w:rPr>
          <w:noProof/>
        </w:rPr>
      </w:r>
      <w:r>
        <w:rPr>
          <w:noProof/>
        </w:rPr>
        <w:fldChar w:fldCharType="separate"/>
      </w:r>
      <w:r>
        <w:rPr>
          <w:noProof/>
        </w:rPr>
        <w:t>24</w:t>
      </w:r>
      <w:r>
        <w:rPr>
          <w:noProof/>
        </w:rPr>
        <w:fldChar w:fldCharType="end"/>
      </w:r>
    </w:p>
    <w:p w14:paraId="19E0478C" w14:textId="7B9B9244" w:rsidR="00A85BA9" w:rsidRDefault="00A85BA9">
      <w:pPr>
        <w:pStyle w:val="TOC4"/>
        <w:rPr>
          <w:rFonts w:asciiTheme="minorHAnsi" w:eastAsiaTheme="minorEastAsia" w:hAnsiTheme="minorHAnsi" w:cstheme="minorBidi"/>
          <w:b w:val="0"/>
          <w:noProof/>
          <w:kern w:val="0"/>
          <w:sz w:val="22"/>
          <w:szCs w:val="22"/>
        </w:rPr>
      </w:pPr>
      <w:r>
        <w:rPr>
          <w:noProof/>
        </w:rPr>
        <w:t>Delegating a power to make a legislative instrument</w:t>
      </w:r>
      <w:r>
        <w:rPr>
          <w:noProof/>
        </w:rPr>
        <w:tab/>
      </w:r>
      <w:r>
        <w:rPr>
          <w:noProof/>
        </w:rPr>
        <w:fldChar w:fldCharType="begin"/>
      </w:r>
      <w:r>
        <w:rPr>
          <w:noProof/>
        </w:rPr>
        <w:instrText xml:space="preserve"> PAGEREF _Toc112918770 \h </w:instrText>
      </w:r>
      <w:r>
        <w:rPr>
          <w:noProof/>
        </w:rPr>
      </w:r>
      <w:r>
        <w:rPr>
          <w:noProof/>
        </w:rPr>
        <w:fldChar w:fldCharType="separate"/>
      </w:r>
      <w:r>
        <w:rPr>
          <w:noProof/>
        </w:rPr>
        <w:t>24</w:t>
      </w:r>
      <w:r>
        <w:rPr>
          <w:noProof/>
        </w:rPr>
        <w:fldChar w:fldCharType="end"/>
      </w:r>
    </w:p>
    <w:p w14:paraId="4C2596EE" w14:textId="370A4415" w:rsidR="00A85BA9" w:rsidRDefault="00A85BA9">
      <w:pPr>
        <w:pStyle w:val="TOC4"/>
        <w:rPr>
          <w:rFonts w:asciiTheme="minorHAnsi" w:eastAsiaTheme="minorEastAsia" w:hAnsiTheme="minorHAnsi" w:cstheme="minorBidi"/>
          <w:b w:val="0"/>
          <w:noProof/>
          <w:kern w:val="0"/>
          <w:sz w:val="22"/>
          <w:szCs w:val="22"/>
        </w:rPr>
      </w:pPr>
      <w:r>
        <w:rPr>
          <w:noProof/>
        </w:rPr>
        <w:t>Legislative instruments that delegate power</w:t>
      </w:r>
      <w:r>
        <w:rPr>
          <w:noProof/>
        </w:rPr>
        <w:tab/>
      </w:r>
      <w:r>
        <w:rPr>
          <w:noProof/>
        </w:rPr>
        <w:fldChar w:fldCharType="begin"/>
      </w:r>
      <w:r>
        <w:rPr>
          <w:noProof/>
        </w:rPr>
        <w:instrText xml:space="preserve"> PAGEREF _Toc112918771 \h </w:instrText>
      </w:r>
      <w:r>
        <w:rPr>
          <w:noProof/>
        </w:rPr>
      </w:r>
      <w:r>
        <w:rPr>
          <w:noProof/>
        </w:rPr>
        <w:fldChar w:fldCharType="separate"/>
      </w:r>
      <w:r>
        <w:rPr>
          <w:noProof/>
        </w:rPr>
        <w:t>25</w:t>
      </w:r>
      <w:r>
        <w:rPr>
          <w:noProof/>
        </w:rPr>
        <w:fldChar w:fldCharType="end"/>
      </w:r>
    </w:p>
    <w:p w14:paraId="591C16D4" w14:textId="04314CFE" w:rsidR="00A85BA9" w:rsidRDefault="00A85BA9">
      <w:pPr>
        <w:pStyle w:val="TOC3"/>
        <w:rPr>
          <w:rFonts w:asciiTheme="minorHAnsi" w:eastAsiaTheme="minorEastAsia" w:hAnsiTheme="minorHAnsi" w:cstheme="minorBidi"/>
          <w:b w:val="0"/>
          <w:noProof/>
          <w:kern w:val="0"/>
          <w:szCs w:val="22"/>
        </w:rPr>
      </w:pPr>
      <w:r>
        <w:rPr>
          <w:noProof/>
        </w:rPr>
        <w:t>Offences, infringement notices and enforcement powers</w:t>
      </w:r>
      <w:r>
        <w:rPr>
          <w:noProof/>
        </w:rPr>
        <w:tab/>
      </w:r>
      <w:r>
        <w:rPr>
          <w:noProof/>
        </w:rPr>
        <w:fldChar w:fldCharType="begin"/>
      </w:r>
      <w:r>
        <w:rPr>
          <w:noProof/>
        </w:rPr>
        <w:instrText xml:space="preserve"> PAGEREF _Toc112918772 \h </w:instrText>
      </w:r>
      <w:r>
        <w:rPr>
          <w:noProof/>
        </w:rPr>
      </w:r>
      <w:r>
        <w:rPr>
          <w:noProof/>
        </w:rPr>
        <w:fldChar w:fldCharType="separate"/>
      </w:r>
      <w:r>
        <w:rPr>
          <w:noProof/>
        </w:rPr>
        <w:t>25</w:t>
      </w:r>
      <w:r>
        <w:rPr>
          <w:noProof/>
        </w:rPr>
        <w:fldChar w:fldCharType="end"/>
      </w:r>
    </w:p>
    <w:p w14:paraId="25A4B236" w14:textId="3F53F030" w:rsidR="00A85BA9" w:rsidRDefault="00A85BA9">
      <w:pPr>
        <w:pStyle w:val="TOC3"/>
        <w:rPr>
          <w:rFonts w:asciiTheme="minorHAnsi" w:eastAsiaTheme="minorEastAsia" w:hAnsiTheme="minorHAnsi" w:cstheme="minorBidi"/>
          <w:b w:val="0"/>
          <w:noProof/>
          <w:kern w:val="0"/>
          <w:szCs w:val="22"/>
        </w:rPr>
      </w:pPr>
      <w:r>
        <w:rPr>
          <w:noProof/>
        </w:rPr>
        <w:t>Gender</w:t>
      </w:r>
      <w:r>
        <w:rPr>
          <w:noProof/>
        </w:rPr>
        <w:noBreakHyphen/>
        <w:t>specific and gender</w:t>
      </w:r>
      <w:r>
        <w:rPr>
          <w:noProof/>
        </w:rPr>
        <w:noBreakHyphen/>
        <w:t>neutral language</w:t>
      </w:r>
      <w:r>
        <w:rPr>
          <w:noProof/>
        </w:rPr>
        <w:tab/>
      </w:r>
      <w:r>
        <w:rPr>
          <w:noProof/>
        </w:rPr>
        <w:fldChar w:fldCharType="begin"/>
      </w:r>
      <w:r>
        <w:rPr>
          <w:noProof/>
        </w:rPr>
        <w:instrText xml:space="preserve"> PAGEREF _Toc112918773 \h </w:instrText>
      </w:r>
      <w:r>
        <w:rPr>
          <w:noProof/>
        </w:rPr>
      </w:r>
      <w:r>
        <w:rPr>
          <w:noProof/>
        </w:rPr>
        <w:fldChar w:fldCharType="separate"/>
      </w:r>
      <w:r>
        <w:rPr>
          <w:noProof/>
        </w:rPr>
        <w:t>26</w:t>
      </w:r>
      <w:r>
        <w:rPr>
          <w:noProof/>
        </w:rPr>
        <w:fldChar w:fldCharType="end"/>
      </w:r>
    </w:p>
    <w:p w14:paraId="3A558A60" w14:textId="3810CAB9" w:rsidR="00A85BA9" w:rsidRDefault="00A85BA9">
      <w:pPr>
        <w:pStyle w:val="TOC3"/>
        <w:rPr>
          <w:rFonts w:asciiTheme="minorHAnsi" w:eastAsiaTheme="minorEastAsia" w:hAnsiTheme="minorHAnsi" w:cstheme="minorBidi"/>
          <w:b w:val="0"/>
          <w:noProof/>
          <w:kern w:val="0"/>
          <w:szCs w:val="22"/>
        </w:rPr>
      </w:pPr>
      <w:r>
        <w:rPr>
          <w:noProof/>
        </w:rPr>
        <w:t>Other content issues</w:t>
      </w:r>
      <w:r>
        <w:rPr>
          <w:noProof/>
        </w:rPr>
        <w:tab/>
      </w:r>
      <w:r>
        <w:rPr>
          <w:noProof/>
        </w:rPr>
        <w:fldChar w:fldCharType="begin"/>
      </w:r>
      <w:r>
        <w:rPr>
          <w:noProof/>
        </w:rPr>
        <w:instrText xml:space="preserve"> PAGEREF _Toc112918774 \h </w:instrText>
      </w:r>
      <w:r>
        <w:rPr>
          <w:noProof/>
        </w:rPr>
      </w:r>
      <w:r>
        <w:rPr>
          <w:noProof/>
        </w:rPr>
        <w:fldChar w:fldCharType="separate"/>
      </w:r>
      <w:r>
        <w:rPr>
          <w:noProof/>
        </w:rPr>
        <w:t>26</w:t>
      </w:r>
      <w:r>
        <w:rPr>
          <w:noProof/>
        </w:rPr>
        <w:fldChar w:fldCharType="end"/>
      </w:r>
    </w:p>
    <w:p w14:paraId="7EAA46A9" w14:textId="635A8AC8" w:rsidR="00A85BA9" w:rsidRDefault="00A85BA9">
      <w:pPr>
        <w:pStyle w:val="TOC3"/>
        <w:rPr>
          <w:rFonts w:asciiTheme="minorHAnsi" w:eastAsiaTheme="minorEastAsia" w:hAnsiTheme="minorHAnsi" w:cstheme="minorBidi"/>
          <w:b w:val="0"/>
          <w:noProof/>
          <w:kern w:val="0"/>
          <w:szCs w:val="22"/>
        </w:rPr>
      </w:pPr>
      <w:r>
        <w:rPr>
          <w:noProof/>
        </w:rPr>
        <w:t>Technical considerations</w:t>
      </w:r>
      <w:r>
        <w:rPr>
          <w:noProof/>
        </w:rPr>
        <w:tab/>
      </w:r>
      <w:r>
        <w:rPr>
          <w:noProof/>
        </w:rPr>
        <w:fldChar w:fldCharType="begin"/>
      </w:r>
      <w:r>
        <w:rPr>
          <w:noProof/>
        </w:rPr>
        <w:instrText xml:space="preserve"> PAGEREF _Toc112918775 \h </w:instrText>
      </w:r>
      <w:r>
        <w:rPr>
          <w:noProof/>
        </w:rPr>
      </w:r>
      <w:r>
        <w:rPr>
          <w:noProof/>
        </w:rPr>
        <w:fldChar w:fldCharType="separate"/>
      </w:r>
      <w:r>
        <w:rPr>
          <w:noProof/>
        </w:rPr>
        <w:t>26</w:t>
      </w:r>
      <w:r>
        <w:rPr>
          <w:noProof/>
        </w:rPr>
        <w:fldChar w:fldCharType="end"/>
      </w:r>
    </w:p>
    <w:p w14:paraId="6565ADAA" w14:textId="4BACA37C" w:rsidR="00A85BA9" w:rsidRDefault="00A85BA9">
      <w:pPr>
        <w:pStyle w:val="TOC3"/>
        <w:rPr>
          <w:rFonts w:asciiTheme="minorHAnsi" w:eastAsiaTheme="minorEastAsia" w:hAnsiTheme="minorHAnsi" w:cstheme="minorBidi"/>
          <w:b w:val="0"/>
          <w:noProof/>
          <w:kern w:val="0"/>
          <w:szCs w:val="22"/>
        </w:rPr>
      </w:pPr>
      <w:r>
        <w:rPr>
          <w:noProof/>
        </w:rPr>
        <w:lastRenderedPageBreak/>
        <w:t>Improving drafting standards</w:t>
      </w:r>
      <w:r>
        <w:rPr>
          <w:noProof/>
        </w:rPr>
        <w:tab/>
      </w:r>
      <w:r>
        <w:rPr>
          <w:noProof/>
        </w:rPr>
        <w:fldChar w:fldCharType="begin"/>
      </w:r>
      <w:r>
        <w:rPr>
          <w:noProof/>
        </w:rPr>
        <w:instrText xml:space="preserve"> PAGEREF _Toc112918776 \h </w:instrText>
      </w:r>
      <w:r>
        <w:rPr>
          <w:noProof/>
        </w:rPr>
      </w:r>
      <w:r>
        <w:rPr>
          <w:noProof/>
        </w:rPr>
        <w:fldChar w:fldCharType="separate"/>
      </w:r>
      <w:r>
        <w:rPr>
          <w:noProof/>
        </w:rPr>
        <w:t>28</w:t>
      </w:r>
      <w:r>
        <w:rPr>
          <w:noProof/>
        </w:rPr>
        <w:fldChar w:fldCharType="end"/>
      </w:r>
    </w:p>
    <w:p w14:paraId="08C43EBC" w14:textId="39674983" w:rsidR="00A85BA9" w:rsidRDefault="00A85BA9">
      <w:pPr>
        <w:pStyle w:val="TOC2"/>
        <w:rPr>
          <w:rFonts w:asciiTheme="minorHAnsi" w:eastAsiaTheme="minorEastAsia" w:hAnsiTheme="minorHAnsi" w:cstheme="minorBidi"/>
          <w:b w:val="0"/>
          <w:noProof/>
          <w:kern w:val="0"/>
          <w:sz w:val="22"/>
          <w:szCs w:val="22"/>
        </w:rPr>
      </w:pPr>
      <w:r>
        <w:rPr>
          <w:noProof/>
        </w:rPr>
        <w:t>Chapter 4—Lodgement and registration of instruments</w:t>
      </w:r>
      <w:r>
        <w:rPr>
          <w:noProof/>
        </w:rPr>
        <w:tab/>
      </w:r>
      <w:r>
        <w:rPr>
          <w:noProof/>
        </w:rPr>
        <w:fldChar w:fldCharType="begin"/>
      </w:r>
      <w:r>
        <w:rPr>
          <w:noProof/>
        </w:rPr>
        <w:instrText xml:space="preserve"> PAGEREF _Toc112918777 \h </w:instrText>
      </w:r>
      <w:r>
        <w:rPr>
          <w:noProof/>
        </w:rPr>
      </w:r>
      <w:r>
        <w:rPr>
          <w:noProof/>
        </w:rPr>
        <w:fldChar w:fldCharType="separate"/>
      </w:r>
      <w:r>
        <w:rPr>
          <w:noProof/>
        </w:rPr>
        <w:t>29</w:t>
      </w:r>
      <w:r>
        <w:rPr>
          <w:noProof/>
        </w:rPr>
        <w:fldChar w:fldCharType="end"/>
      </w:r>
    </w:p>
    <w:p w14:paraId="6BA75BF4" w14:textId="2EB07C37" w:rsidR="00A85BA9" w:rsidRDefault="00A85BA9">
      <w:pPr>
        <w:pStyle w:val="TOC3"/>
        <w:rPr>
          <w:rFonts w:asciiTheme="minorHAnsi" w:eastAsiaTheme="minorEastAsia" w:hAnsiTheme="minorHAnsi" w:cstheme="minorBidi"/>
          <w:b w:val="0"/>
          <w:noProof/>
          <w:kern w:val="0"/>
          <w:szCs w:val="22"/>
        </w:rPr>
      </w:pPr>
      <w:r>
        <w:rPr>
          <w:noProof/>
        </w:rPr>
        <w:t>Requirement to lodge instruments with OPC</w:t>
      </w:r>
      <w:r>
        <w:rPr>
          <w:noProof/>
        </w:rPr>
        <w:tab/>
      </w:r>
      <w:r>
        <w:rPr>
          <w:noProof/>
        </w:rPr>
        <w:fldChar w:fldCharType="begin"/>
      </w:r>
      <w:r>
        <w:rPr>
          <w:noProof/>
        </w:rPr>
        <w:instrText xml:space="preserve"> PAGEREF _Toc112918778 \h </w:instrText>
      </w:r>
      <w:r>
        <w:rPr>
          <w:noProof/>
        </w:rPr>
      </w:r>
      <w:r>
        <w:rPr>
          <w:noProof/>
        </w:rPr>
        <w:fldChar w:fldCharType="separate"/>
      </w:r>
      <w:r>
        <w:rPr>
          <w:noProof/>
        </w:rPr>
        <w:t>29</w:t>
      </w:r>
      <w:r>
        <w:rPr>
          <w:noProof/>
        </w:rPr>
        <w:fldChar w:fldCharType="end"/>
      </w:r>
    </w:p>
    <w:p w14:paraId="0E7F9F8C" w14:textId="2961E0A3" w:rsidR="00A85BA9" w:rsidRDefault="00A85BA9">
      <w:pPr>
        <w:pStyle w:val="TOC4"/>
        <w:rPr>
          <w:rFonts w:asciiTheme="minorHAnsi" w:eastAsiaTheme="minorEastAsia" w:hAnsiTheme="minorHAnsi" w:cstheme="minorBidi"/>
          <w:b w:val="0"/>
          <w:noProof/>
          <w:kern w:val="0"/>
          <w:sz w:val="22"/>
          <w:szCs w:val="22"/>
        </w:rPr>
      </w:pPr>
      <w:r>
        <w:rPr>
          <w:noProof/>
        </w:rPr>
        <w:t>Step 1: Create online lodgement</w:t>
      </w:r>
      <w:r>
        <w:rPr>
          <w:noProof/>
        </w:rPr>
        <w:tab/>
      </w:r>
      <w:r>
        <w:rPr>
          <w:noProof/>
        </w:rPr>
        <w:fldChar w:fldCharType="begin"/>
      </w:r>
      <w:r>
        <w:rPr>
          <w:noProof/>
        </w:rPr>
        <w:instrText xml:space="preserve"> PAGEREF _Toc112918779 \h </w:instrText>
      </w:r>
      <w:r>
        <w:rPr>
          <w:noProof/>
        </w:rPr>
      </w:r>
      <w:r>
        <w:rPr>
          <w:noProof/>
        </w:rPr>
        <w:fldChar w:fldCharType="separate"/>
      </w:r>
      <w:r>
        <w:rPr>
          <w:noProof/>
        </w:rPr>
        <w:t>29</w:t>
      </w:r>
      <w:r>
        <w:rPr>
          <w:noProof/>
        </w:rPr>
        <w:fldChar w:fldCharType="end"/>
      </w:r>
    </w:p>
    <w:p w14:paraId="511873BB" w14:textId="2677F92E" w:rsidR="00A85BA9" w:rsidRDefault="00A85BA9">
      <w:pPr>
        <w:pStyle w:val="TOC4"/>
        <w:rPr>
          <w:rFonts w:asciiTheme="minorHAnsi" w:eastAsiaTheme="minorEastAsia" w:hAnsiTheme="minorHAnsi" w:cstheme="minorBidi"/>
          <w:b w:val="0"/>
          <w:noProof/>
          <w:kern w:val="0"/>
          <w:sz w:val="22"/>
          <w:szCs w:val="22"/>
        </w:rPr>
      </w:pPr>
      <w:r>
        <w:rPr>
          <w:noProof/>
        </w:rPr>
        <w:t>Step 2: Attach electronic version of instrument</w:t>
      </w:r>
      <w:r>
        <w:rPr>
          <w:noProof/>
        </w:rPr>
        <w:tab/>
      </w:r>
      <w:r>
        <w:rPr>
          <w:noProof/>
        </w:rPr>
        <w:fldChar w:fldCharType="begin"/>
      </w:r>
      <w:r>
        <w:rPr>
          <w:noProof/>
        </w:rPr>
        <w:instrText xml:space="preserve"> PAGEREF _Toc112918780 \h </w:instrText>
      </w:r>
      <w:r>
        <w:rPr>
          <w:noProof/>
        </w:rPr>
      </w:r>
      <w:r>
        <w:rPr>
          <w:noProof/>
        </w:rPr>
        <w:fldChar w:fldCharType="separate"/>
      </w:r>
      <w:r>
        <w:rPr>
          <w:noProof/>
        </w:rPr>
        <w:t>30</w:t>
      </w:r>
      <w:r>
        <w:rPr>
          <w:noProof/>
        </w:rPr>
        <w:fldChar w:fldCharType="end"/>
      </w:r>
    </w:p>
    <w:p w14:paraId="321CBDC7" w14:textId="3688C02D" w:rsidR="00A85BA9" w:rsidRDefault="00A85BA9">
      <w:pPr>
        <w:pStyle w:val="TOC4"/>
        <w:rPr>
          <w:rFonts w:asciiTheme="minorHAnsi" w:eastAsiaTheme="minorEastAsia" w:hAnsiTheme="minorHAnsi" w:cstheme="minorBidi"/>
          <w:b w:val="0"/>
          <w:noProof/>
          <w:kern w:val="0"/>
          <w:sz w:val="22"/>
          <w:szCs w:val="22"/>
        </w:rPr>
      </w:pPr>
      <w:r>
        <w:rPr>
          <w:noProof/>
        </w:rPr>
        <w:t>Step 3: If required—attach explanatory statement or other documents</w:t>
      </w:r>
      <w:r>
        <w:rPr>
          <w:noProof/>
        </w:rPr>
        <w:tab/>
      </w:r>
      <w:r>
        <w:rPr>
          <w:noProof/>
        </w:rPr>
        <w:fldChar w:fldCharType="begin"/>
      </w:r>
      <w:r>
        <w:rPr>
          <w:noProof/>
        </w:rPr>
        <w:instrText xml:space="preserve"> PAGEREF _Toc112918781 \h </w:instrText>
      </w:r>
      <w:r>
        <w:rPr>
          <w:noProof/>
        </w:rPr>
      </w:r>
      <w:r>
        <w:rPr>
          <w:noProof/>
        </w:rPr>
        <w:fldChar w:fldCharType="separate"/>
      </w:r>
      <w:r>
        <w:rPr>
          <w:noProof/>
        </w:rPr>
        <w:t>31</w:t>
      </w:r>
      <w:r>
        <w:rPr>
          <w:noProof/>
        </w:rPr>
        <w:fldChar w:fldCharType="end"/>
      </w:r>
    </w:p>
    <w:p w14:paraId="13A943E7" w14:textId="65EFAA5C" w:rsidR="00A85BA9" w:rsidRDefault="00A85BA9">
      <w:pPr>
        <w:pStyle w:val="TOC4"/>
        <w:rPr>
          <w:rFonts w:asciiTheme="minorHAnsi" w:eastAsiaTheme="minorEastAsia" w:hAnsiTheme="minorHAnsi" w:cstheme="minorBidi"/>
          <w:b w:val="0"/>
          <w:noProof/>
          <w:kern w:val="0"/>
          <w:sz w:val="22"/>
          <w:szCs w:val="22"/>
        </w:rPr>
      </w:pPr>
      <w:r>
        <w:rPr>
          <w:noProof/>
        </w:rPr>
        <w:t>Step 4: Certify the online lodgement</w:t>
      </w:r>
      <w:r>
        <w:rPr>
          <w:noProof/>
        </w:rPr>
        <w:tab/>
      </w:r>
      <w:r>
        <w:rPr>
          <w:noProof/>
        </w:rPr>
        <w:fldChar w:fldCharType="begin"/>
      </w:r>
      <w:r>
        <w:rPr>
          <w:noProof/>
        </w:rPr>
        <w:instrText xml:space="preserve"> PAGEREF _Toc112918782 \h </w:instrText>
      </w:r>
      <w:r>
        <w:rPr>
          <w:noProof/>
        </w:rPr>
      </w:r>
      <w:r>
        <w:rPr>
          <w:noProof/>
        </w:rPr>
        <w:fldChar w:fldCharType="separate"/>
      </w:r>
      <w:r>
        <w:rPr>
          <w:noProof/>
        </w:rPr>
        <w:t>31</w:t>
      </w:r>
      <w:r>
        <w:rPr>
          <w:noProof/>
        </w:rPr>
        <w:fldChar w:fldCharType="end"/>
      </w:r>
    </w:p>
    <w:p w14:paraId="5F9EA8C4" w14:textId="30D6B780" w:rsidR="00A85BA9" w:rsidRDefault="00A85BA9">
      <w:pPr>
        <w:pStyle w:val="TOC4"/>
        <w:rPr>
          <w:rFonts w:asciiTheme="minorHAnsi" w:eastAsiaTheme="minorEastAsia" w:hAnsiTheme="minorHAnsi" w:cstheme="minorBidi"/>
          <w:b w:val="0"/>
          <w:noProof/>
          <w:kern w:val="0"/>
          <w:sz w:val="22"/>
          <w:szCs w:val="22"/>
        </w:rPr>
      </w:pPr>
      <w:r>
        <w:rPr>
          <w:noProof/>
        </w:rPr>
        <w:t>Standard timeframes for registration</w:t>
      </w:r>
      <w:r>
        <w:rPr>
          <w:noProof/>
        </w:rPr>
        <w:tab/>
      </w:r>
      <w:r>
        <w:rPr>
          <w:noProof/>
        </w:rPr>
        <w:fldChar w:fldCharType="begin"/>
      </w:r>
      <w:r>
        <w:rPr>
          <w:noProof/>
        </w:rPr>
        <w:instrText xml:space="preserve"> PAGEREF _Toc112918783 \h </w:instrText>
      </w:r>
      <w:r>
        <w:rPr>
          <w:noProof/>
        </w:rPr>
      </w:r>
      <w:r>
        <w:rPr>
          <w:noProof/>
        </w:rPr>
        <w:fldChar w:fldCharType="separate"/>
      </w:r>
      <w:r>
        <w:rPr>
          <w:noProof/>
        </w:rPr>
        <w:t>32</w:t>
      </w:r>
      <w:r>
        <w:rPr>
          <w:noProof/>
        </w:rPr>
        <w:fldChar w:fldCharType="end"/>
      </w:r>
    </w:p>
    <w:p w14:paraId="64BD5BB7" w14:textId="2524FC34" w:rsidR="00A85BA9" w:rsidRDefault="00A85BA9">
      <w:pPr>
        <w:pStyle w:val="TOC4"/>
        <w:rPr>
          <w:rFonts w:asciiTheme="minorHAnsi" w:eastAsiaTheme="minorEastAsia" w:hAnsiTheme="minorHAnsi" w:cstheme="minorBidi"/>
          <w:b w:val="0"/>
          <w:noProof/>
          <w:kern w:val="0"/>
          <w:sz w:val="22"/>
          <w:szCs w:val="22"/>
        </w:rPr>
      </w:pPr>
      <w:r>
        <w:rPr>
          <w:noProof/>
        </w:rPr>
        <w:t>Fees for standard and additional services</w:t>
      </w:r>
      <w:r>
        <w:rPr>
          <w:noProof/>
        </w:rPr>
        <w:tab/>
      </w:r>
      <w:r>
        <w:rPr>
          <w:noProof/>
        </w:rPr>
        <w:fldChar w:fldCharType="begin"/>
      </w:r>
      <w:r>
        <w:rPr>
          <w:noProof/>
        </w:rPr>
        <w:instrText xml:space="preserve"> PAGEREF _Toc112918784 \h </w:instrText>
      </w:r>
      <w:r>
        <w:rPr>
          <w:noProof/>
        </w:rPr>
      </w:r>
      <w:r>
        <w:rPr>
          <w:noProof/>
        </w:rPr>
        <w:fldChar w:fldCharType="separate"/>
      </w:r>
      <w:r>
        <w:rPr>
          <w:noProof/>
        </w:rPr>
        <w:t>33</w:t>
      </w:r>
      <w:r>
        <w:rPr>
          <w:noProof/>
        </w:rPr>
        <w:fldChar w:fldCharType="end"/>
      </w:r>
    </w:p>
    <w:p w14:paraId="4F7466A1" w14:textId="264A82CE" w:rsidR="00A85BA9" w:rsidRDefault="00A85BA9">
      <w:pPr>
        <w:pStyle w:val="TOC3"/>
        <w:rPr>
          <w:rFonts w:asciiTheme="minorHAnsi" w:eastAsiaTheme="minorEastAsia" w:hAnsiTheme="minorHAnsi" w:cstheme="minorBidi"/>
          <w:b w:val="0"/>
          <w:noProof/>
          <w:kern w:val="0"/>
          <w:szCs w:val="22"/>
        </w:rPr>
      </w:pPr>
      <w:r>
        <w:rPr>
          <w:noProof/>
        </w:rPr>
        <w:t>Requirement for gazettal or notification in addition to registration</w:t>
      </w:r>
      <w:r>
        <w:rPr>
          <w:noProof/>
        </w:rPr>
        <w:tab/>
      </w:r>
      <w:r>
        <w:rPr>
          <w:noProof/>
        </w:rPr>
        <w:fldChar w:fldCharType="begin"/>
      </w:r>
      <w:r>
        <w:rPr>
          <w:noProof/>
        </w:rPr>
        <w:instrText xml:space="preserve"> PAGEREF _Toc112918785 \h </w:instrText>
      </w:r>
      <w:r>
        <w:rPr>
          <w:noProof/>
        </w:rPr>
      </w:r>
      <w:r>
        <w:rPr>
          <w:noProof/>
        </w:rPr>
        <w:fldChar w:fldCharType="separate"/>
      </w:r>
      <w:r>
        <w:rPr>
          <w:noProof/>
        </w:rPr>
        <w:t>34</w:t>
      </w:r>
      <w:r>
        <w:rPr>
          <w:noProof/>
        </w:rPr>
        <w:fldChar w:fldCharType="end"/>
      </w:r>
    </w:p>
    <w:p w14:paraId="3F91FE96" w14:textId="2860AF32" w:rsidR="00A85BA9" w:rsidRDefault="00A85BA9">
      <w:pPr>
        <w:pStyle w:val="TOC4"/>
        <w:rPr>
          <w:rFonts w:asciiTheme="minorHAnsi" w:eastAsiaTheme="minorEastAsia" w:hAnsiTheme="minorHAnsi" w:cstheme="minorBidi"/>
          <w:b w:val="0"/>
          <w:noProof/>
          <w:kern w:val="0"/>
          <w:sz w:val="22"/>
          <w:szCs w:val="22"/>
        </w:rPr>
      </w:pPr>
      <w:r>
        <w:rPr>
          <w:noProof/>
        </w:rPr>
        <w:t>If an instrument is to be notified/published in addition to registration</w:t>
      </w:r>
      <w:r>
        <w:rPr>
          <w:noProof/>
        </w:rPr>
        <w:tab/>
      </w:r>
      <w:r>
        <w:rPr>
          <w:noProof/>
        </w:rPr>
        <w:fldChar w:fldCharType="begin"/>
      </w:r>
      <w:r>
        <w:rPr>
          <w:noProof/>
        </w:rPr>
        <w:instrText xml:space="preserve"> PAGEREF _Toc112918786 \h </w:instrText>
      </w:r>
      <w:r>
        <w:rPr>
          <w:noProof/>
        </w:rPr>
      </w:r>
      <w:r>
        <w:rPr>
          <w:noProof/>
        </w:rPr>
        <w:fldChar w:fldCharType="separate"/>
      </w:r>
      <w:r>
        <w:rPr>
          <w:noProof/>
        </w:rPr>
        <w:t>35</w:t>
      </w:r>
      <w:r>
        <w:rPr>
          <w:noProof/>
        </w:rPr>
        <w:fldChar w:fldCharType="end"/>
      </w:r>
    </w:p>
    <w:p w14:paraId="5EE0A100" w14:textId="70E6661B" w:rsidR="00A85BA9" w:rsidRDefault="00A85BA9">
      <w:pPr>
        <w:pStyle w:val="TOC2"/>
        <w:rPr>
          <w:rFonts w:asciiTheme="minorHAnsi" w:eastAsiaTheme="minorEastAsia" w:hAnsiTheme="minorHAnsi" w:cstheme="minorBidi"/>
          <w:b w:val="0"/>
          <w:noProof/>
          <w:kern w:val="0"/>
          <w:sz w:val="22"/>
          <w:szCs w:val="22"/>
        </w:rPr>
      </w:pPr>
      <w:r>
        <w:rPr>
          <w:noProof/>
          <w:lang w:eastAsia="en-US"/>
        </w:rPr>
        <w:t>Chapter 5—Compilations</w:t>
      </w:r>
      <w:r>
        <w:rPr>
          <w:noProof/>
        </w:rPr>
        <w:tab/>
      </w:r>
      <w:r>
        <w:rPr>
          <w:noProof/>
        </w:rPr>
        <w:fldChar w:fldCharType="begin"/>
      </w:r>
      <w:r>
        <w:rPr>
          <w:noProof/>
        </w:rPr>
        <w:instrText xml:space="preserve"> PAGEREF _Toc112918787 \h </w:instrText>
      </w:r>
      <w:r>
        <w:rPr>
          <w:noProof/>
        </w:rPr>
      </w:r>
      <w:r>
        <w:rPr>
          <w:noProof/>
        </w:rPr>
        <w:fldChar w:fldCharType="separate"/>
      </w:r>
      <w:r>
        <w:rPr>
          <w:noProof/>
        </w:rPr>
        <w:t>36</w:t>
      </w:r>
      <w:r>
        <w:rPr>
          <w:noProof/>
        </w:rPr>
        <w:fldChar w:fldCharType="end"/>
      </w:r>
    </w:p>
    <w:p w14:paraId="6A8D550A" w14:textId="2C92B553" w:rsidR="00A85BA9" w:rsidRDefault="00A85BA9" w:rsidP="00A85BA9">
      <w:pPr>
        <w:pStyle w:val="TOC3"/>
        <w:ind w:left="426" w:hanging="1"/>
        <w:rPr>
          <w:rFonts w:asciiTheme="minorHAnsi" w:eastAsiaTheme="minorEastAsia" w:hAnsiTheme="minorHAnsi" w:cstheme="minorBidi"/>
          <w:b w:val="0"/>
          <w:noProof/>
          <w:kern w:val="0"/>
          <w:szCs w:val="22"/>
        </w:rPr>
      </w:pPr>
      <w:r>
        <w:rPr>
          <w:noProof/>
        </w:rPr>
        <w:t>General</w:t>
      </w:r>
      <w:r>
        <w:rPr>
          <w:noProof/>
        </w:rPr>
        <w:tab/>
      </w:r>
      <w:r>
        <w:rPr>
          <w:noProof/>
        </w:rPr>
        <w:fldChar w:fldCharType="begin"/>
      </w:r>
      <w:r>
        <w:rPr>
          <w:noProof/>
        </w:rPr>
        <w:instrText xml:space="preserve"> PAGEREF _Toc112918788 \h </w:instrText>
      </w:r>
      <w:r>
        <w:rPr>
          <w:noProof/>
        </w:rPr>
      </w:r>
      <w:r>
        <w:rPr>
          <w:noProof/>
        </w:rPr>
        <w:fldChar w:fldCharType="separate"/>
      </w:r>
      <w:r>
        <w:rPr>
          <w:noProof/>
        </w:rPr>
        <w:t>36</w:t>
      </w:r>
      <w:r>
        <w:rPr>
          <w:noProof/>
        </w:rPr>
        <w:fldChar w:fldCharType="end"/>
      </w:r>
    </w:p>
    <w:p w14:paraId="4B044AE1" w14:textId="24C5495A" w:rsidR="00A85BA9" w:rsidRDefault="00A85BA9">
      <w:pPr>
        <w:pStyle w:val="TOC3"/>
        <w:rPr>
          <w:rFonts w:asciiTheme="minorHAnsi" w:eastAsiaTheme="minorEastAsia" w:hAnsiTheme="minorHAnsi" w:cstheme="minorBidi"/>
          <w:b w:val="0"/>
          <w:noProof/>
          <w:kern w:val="0"/>
          <w:szCs w:val="22"/>
        </w:rPr>
      </w:pPr>
      <w:r>
        <w:rPr>
          <w:noProof/>
        </w:rPr>
        <w:t>When to prepare compilations</w:t>
      </w:r>
      <w:r>
        <w:rPr>
          <w:noProof/>
        </w:rPr>
        <w:tab/>
      </w:r>
      <w:r>
        <w:rPr>
          <w:noProof/>
        </w:rPr>
        <w:fldChar w:fldCharType="begin"/>
      </w:r>
      <w:r>
        <w:rPr>
          <w:noProof/>
        </w:rPr>
        <w:instrText xml:space="preserve"> PAGEREF _Toc112918789 \h </w:instrText>
      </w:r>
      <w:r>
        <w:rPr>
          <w:noProof/>
        </w:rPr>
      </w:r>
      <w:r>
        <w:rPr>
          <w:noProof/>
        </w:rPr>
        <w:fldChar w:fldCharType="separate"/>
      </w:r>
      <w:r>
        <w:rPr>
          <w:noProof/>
        </w:rPr>
        <w:t>36</w:t>
      </w:r>
      <w:r>
        <w:rPr>
          <w:noProof/>
        </w:rPr>
        <w:fldChar w:fldCharType="end"/>
      </w:r>
    </w:p>
    <w:p w14:paraId="7EB9894E" w14:textId="608FFCB3" w:rsidR="00A85BA9" w:rsidRDefault="00A85BA9">
      <w:pPr>
        <w:pStyle w:val="TOC3"/>
        <w:rPr>
          <w:rFonts w:asciiTheme="minorHAnsi" w:eastAsiaTheme="minorEastAsia" w:hAnsiTheme="minorHAnsi" w:cstheme="minorBidi"/>
          <w:b w:val="0"/>
          <w:noProof/>
          <w:kern w:val="0"/>
          <w:szCs w:val="22"/>
        </w:rPr>
      </w:pPr>
      <w:r>
        <w:rPr>
          <w:noProof/>
        </w:rPr>
        <w:t>If amendments to an instrument have not taken effect</w:t>
      </w:r>
      <w:r>
        <w:rPr>
          <w:noProof/>
        </w:rPr>
        <w:tab/>
      </w:r>
      <w:r>
        <w:rPr>
          <w:noProof/>
        </w:rPr>
        <w:fldChar w:fldCharType="begin"/>
      </w:r>
      <w:r>
        <w:rPr>
          <w:noProof/>
        </w:rPr>
        <w:instrText xml:space="preserve"> PAGEREF _Toc112918790 \h </w:instrText>
      </w:r>
      <w:r>
        <w:rPr>
          <w:noProof/>
        </w:rPr>
      </w:r>
      <w:r>
        <w:rPr>
          <w:noProof/>
        </w:rPr>
        <w:fldChar w:fldCharType="separate"/>
      </w:r>
      <w:r>
        <w:rPr>
          <w:noProof/>
        </w:rPr>
        <w:t>38</w:t>
      </w:r>
      <w:r>
        <w:rPr>
          <w:noProof/>
        </w:rPr>
        <w:fldChar w:fldCharType="end"/>
      </w:r>
    </w:p>
    <w:p w14:paraId="2ED560EF" w14:textId="7B472975" w:rsidR="00A85BA9" w:rsidRDefault="00A85BA9">
      <w:pPr>
        <w:pStyle w:val="TOC3"/>
        <w:rPr>
          <w:rFonts w:asciiTheme="minorHAnsi" w:eastAsiaTheme="minorEastAsia" w:hAnsiTheme="minorHAnsi" w:cstheme="minorBidi"/>
          <w:b w:val="0"/>
          <w:noProof/>
          <w:kern w:val="0"/>
          <w:szCs w:val="22"/>
        </w:rPr>
      </w:pPr>
      <w:r>
        <w:rPr>
          <w:noProof/>
        </w:rPr>
        <w:t>Who can prepare compilations</w:t>
      </w:r>
      <w:r>
        <w:rPr>
          <w:noProof/>
        </w:rPr>
        <w:tab/>
      </w:r>
      <w:r>
        <w:rPr>
          <w:noProof/>
        </w:rPr>
        <w:fldChar w:fldCharType="begin"/>
      </w:r>
      <w:r>
        <w:rPr>
          <w:noProof/>
        </w:rPr>
        <w:instrText xml:space="preserve"> PAGEREF _Toc112918791 \h </w:instrText>
      </w:r>
      <w:r>
        <w:rPr>
          <w:noProof/>
        </w:rPr>
      </w:r>
      <w:r>
        <w:rPr>
          <w:noProof/>
        </w:rPr>
        <w:fldChar w:fldCharType="separate"/>
      </w:r>
      <w:r>
        <w:rPr>
          <w:noProof/>
        </w:rPr>
        <w:t>38</w:t>
      </w:r>
      <w:r>
        <w:rPr>
          <w:noProof/>
        </w:rPr>
        <w:fldChar w:fldCharType="end"/>
      </w:r>
    </w:p>
    <w:p w14:paraId="4AF4845E" w14:textId="639BCF2E" w:rsidR="00A85BA9" w:rsidRDefault="00A85BA9">
      <w:pPr>
        <w:pStyle w:val="TOC3"/>
        <w:rPr>
          <w:rFonts w:asciiTheme="minorHAnsi" w:eastAsiaTheme="minorEastAsia" w:hAnsiTheme="minorHAnsi" w:cstheme="minorBidi"/>
          <w:b w:val="0"/>
          <w:noProof/>
          <w:kern w:val="0"/>
          <w:szCs w:val="22"/>
        </w:rPr>
      </w:pPr>
      <w:r>
        <w:rPr>
          <w:noProof/>
        </w:rPr>
        <w:t>What must be included in compilations</w:t>
      </w:r>
      <w:r>
        <w:rPr>
          <w:noProof/>
        </w:rPr>
        <w:tab/>
      </w:r>
      <w:r>
        <w:rPr>
          <w:noProof/>
        </w:rPr>
        <w:fldChar w:fldCharType="begin"/>
      </w:r>
      <w:r>
        <w:rPr>
          <w:noProof/>
        </w:rPr>
        <w:instrText xml:space="preserve"> PAGEREF _Toc112918792 \h </w:instrText>
      </w:r>
      <w:r>
        <w:rPr>
          <w:noProof/>
        </w:rPr>
      </w:r>
      <w:r>
        <w:rPr>
          <w:noProof/>
        </w:rPr>
        <w:fldChar w:fldCharType="separate"/>
      </w:r>
      <w:r>
        <w:rPr>
          <w:noProof/>
        </w:rPr>
        <w:t>38</w:t>
      </w:r>
      <w:r>
        <w:rPr>
          <w:noProof/>
        </w:rPr>
        <w:fldChar w:fldCharType="end"/>
      </w:r>
    </w:p>
    <w:p w14:paraId="2186F84C" w14:textId="7D9FC7B8" w:rsidR="00A85BA9" w:rsidRDefault="00A85BA9">
      <w:pPr>
        <w:pStyle w:val="TOC3"/>
        <w:rPr>
          <w:rFonts w:asciiTheme="minorHAnsi" w:eastAsiaTheme="minorEastAsia" w:hAnsiTheme="minorHAnsi" w:cstheme="minorBidi"/>
          <w:b w:val="0"/>
          <w:noProof/>
          <w:kern w:val="0"/>
          <w:szCs w:val="22"/>
        </w:rPr>
      </w:pPr>
      <w:r>
        <w:rPr>
          <w:noProof/>
        </w:rPr>
        <w:t>Scope to correct errors and make other changes</w:t>
      </w:r>
      <w:r>
        <w:rPr>
          <w:noProof/>
        </w:rPr>
        <w:tab/>
      </w:r>
      <w:r>
        <w:rPr>
          <w:noProof/>
        </w:rPr>
        <w:fldChar w:fldCharType="begin"/>
      </w:r>
      <w:r>
        <w:rPr>
          <w:noProof/>
        </w:rPr>
        <w:instrText xml:space="preserve"> PAGEREF _Toc112918793 \h </w:instrText>
      </w:r>
      <w:r>
        <w:rPr>
          <w:noProof/>
        </w:rPr>
      </w:r>
      <w:r>
        <w:rPr>
          <w:noProof/>
        </w:rPr>
        <w:fldChar w:fldCharType="separate"/>
      </w:r>
      <w:r>
        <w:rPr>
          <w:noProof/>
        </w:rPr>
        <w:t>48</w:t>
      </w:r>
      <w:r>
        <w:rPr>
          <w:noProof/>
        </w:rPr>
        <w:fldChar w:fldCharType="end"/>
      </w:r>
    </w:p>
    <w:p w14:paraId="51F02F89" w14:textId="75DA9560" w:rsidR="00A85BA9" w:rsidRDefault="00A85BA9">
      <w:pPr>
        <w:pStyle w:val="TOC3"/>
        <w:rPr>
          <w:rFonts w:asciiTheme="minorHAnsi" w:eastAsiaTheme="minorEastAsia" w:hAnsiTheme="minorHAnsi" w:cstheme="minorBidi"/>
          <w:b w:val="0"/>
          <w:noProof/>
          <w:kern w:val="0"/>
          <w:szCs w:val="22"/>
        </w:rPr>
      </w:pPr>
      <w:r>
        <w:rPr>
          <w:noProof/>
        </w:rPr>
        <w:t>How to lodge compilations for registration</w:t>
      </w:r>
      <w:r>
        <w:rPr>
          <w:noProof/>
        </w:rPr>
        <w:tab/>
      </w:r>
      <w:r>
        <w:rPr>
          <w:noProof/>
        </w:rPr>
        <w:fldChar w:fldCharType="begin"/>
      </w:r>
      <w:r>
        <w:rPr>
          <w:noProof/>
        </w:rPr>
        <w:instrText xml:space="preserve"> PAGEREF _Toc112918794 \h </w:instrText>
      </w:r>
      <w:r>
        <w:rPr>
          <w:noProof/>
        </w:rPr>
      </w:r>
      <w:r>
        <w:rPr>
          <w:noProof/>
        </w:rPr>
        <w:fldChar w:fldCharType="separate"/>
      </w:r>
      <w:r>
        <w:rPr>
          <w:noProof/>
        </w:rPr>
        <w:t>49</w:t>
      </w:r>
      <w:r>
        <w:rPr>
          <w:noProof/>
        </w:rPr>
        <w:fldChar w:fldCharType="end"/>
      </w:r>
    </w:p>
    <w:p w14:paraId="065C6FE4" w14:textId="6E02D82A" w:rsidR="00A85BA9" w:rsidRDefault="00A85BA9">
      <w:pPr>
        <w:pStyle w:val="TOC2"/>
        <w:rPr>
          <w:rFonts w:asciiTheme="minorHAnsi" w:eastAsiaTheme="minorEastAsia" w:hAnsiTheme="minorHAnsi" w:cstheme="minorBidi"/>
          <w:b w:val="0"/>
          <w:noProof/>
          <w:kern w:val="0"/>
          <w:sz w:val="22"/>
          <w:szCs w:val="22"/>
        </w:rPr>
      </w:pPr>
      <w:r>
        <w:rPr>
          <w:noProof/>
        </w:rPr>
        <w:t>Chapter 6—Keeping the Register up</w:t>
      </w:r>
      <w:r>
        <w:rPr>
          <w:noProof/>
        </w:rPr>
        <w:noBreakHyphen/>
        <w:t>to</w:t>
      </w:r>
      <w:r>
        <w:rPr>
          <w:noProof/>
        </w:rPr>
        <w:noBreakHyphen/>
        <w:t>date</w:t>
      </w:r>
      <w:r>
        <w:rPr>
          <w:noProof/>
        </w:rPr>
        <w:tab/>
      </w:r>
      <w:r>
        <w:rPr>
          <w:noProof/>
        </w:rPr>
        <w:fldChar w:fldCharType="begin"/>
      </w:r>
      <w:r>
        <w:rPr>
          <w:noProof/>
        </w:rPr>
        <w:instrText xml:space="preserve"> PAGEREF _Toc112918795 \h </w:instrText>
      </w:r>
      <w:r>
        <w:rPr>
          <w:noProof/>
        </w:rPr>
      </w:r>
      <w:r>
        <w:rPr>
          <w:noProof/>
        </w:rPr>
        <w:fldChar w:fldCharType="separate"/>
      </w:r>
      <w:r>
        <w:rPr>
          <w:noProof/>
        </w:rPr>
        <w:t>50</w:t>
      </w:r>
      <w:r>
        <w:rPr>
          <w:noProof/>
        </w:rPr>
        <w:fldChar w:fldCharType="end"/>
      </w:r>
    </w:p>
    <w:p w14:paraId="233D3E7E" w14:textId="5AB120BF" w:rsidR="00A85BA9" w:rsidRDefault="00A85BA9" w:rsidP="00A85BA9">
      <w:pPr>
        <w:pStyle w:val="TOC3"/>
        <w:ind w:left="426" w:hanging="1"/>
        <w:rPr>
          <w:rFonts w:asciiTheme="minorHAnsi" w:eastAsiaTheme="minorEastAsia" w:hAnsiTheme="minorHAnsi" w:cstheme="minorBidi"/>
          <w:b w:val="0"/>
          <w:noProof/>
          <w:kern w:val="0"/>
          <w:szCs w:val="22"/>
        </w:rPr>
      </w:pPr>
      <w:r>
        <w:rPr>
          <w:noProof/>
        </w:rPr>
        <w:t>General</w:t>
      </w:r>
      <w:r>
        <w:rPr>
          <w:noProof/>
        </w:rPr>
        <w:tab/>
      </w:r>
      <w:r>
        <w:rPr>
          <w:noProof/>
        </w:rPr>
        <w:fldChar w:fldCharType="begin"/>
      </w:r>
      <w:r>
        <w:rPr>
          <w:noProof/>
        </w:rPr>
        <w:instrText xml:space="preserve"> PAGEREF _Toc112918796 \h </w:instrText>
      </w:r>
      <w:r>
        <w:rPr>
          <w:noProof/>
        </w:rPr>
      </w:r>
      <w:r>
        <w:rPr>
          <w:noProof/>
        </w:rPr>
        <w:fldChar w:fldCharType="separate"/>
      </w:r>
      <w:r>
        <w:rPr>
          <w:noProof/>
        </w:rPr>
        <w:t>50</w:t>
      </w:r>
      <w:r>
        <w:rPr>
          <w:noProof/>
        </w:rPr>
        <w:fldChar w:fldCharType="end"/>
      </w:r>
    </w:p>
    <w:p w14:paraId="7F93383E" w14:textId="02459182" w:rsidR="00A85BA9" w:rsidRDefault="00A85BA9">
      <w:pPr>
        <w:pStyle w:val="TOC3"/>
        <w:rPr>
          <w:rFonts w:asciiTheme="minorHAnsi" w:eastAsiaTheme="minorEastAsia" w:hAnsiTheme="minorHAnsi" w:cstheme="minorBidi"/>
          <w:b w:val="0"/>
          <w:noProof/>
          <w:kern w:val="0"/>
          <w:szCs w:val="22"/>
        </w:rPr>
      </w:pPr>
      <w:r>
        <w:rPr>
          <w:noProof/>
        </w:rPr>
        <w:t>Agencies must act on lodgements found to contain errors</w:t>
      </w:r>
      <w:r>
        <w:rPr>
          <w:noProof/>
        </w:rPr>
        <w:tab/>
      </w:r>
      <w:r>
        <w:rPr>
          <w:noProof/>
        </w:rPr>
        <w:fldChar w:fldCharType="begin"/>
      </w:r>
      <w:r>
        <w:rPr>
          <w:noProof/>
        </w:rPr>
        <w:instrText xml:space="preserve"> PAGEREF _Toc112918797 \h </w:instrText>
      </w:r>
      <w:r>
        <w:rPr>
          <w:noProof/>
        </w:rPr>
      </w:r>
      <w:r>
        <w:rPr>
          <w:noProof/>
        </w:rPr>
        <w:fldChar w:fldCharType="separate"/>
      </w:r>
      <w:r>
        <w:rPr>
          <w:noProof/>
        </w:rPr>
        <w:t>50</w:t>
      </w:r>
      <w:r>
        <w:rPr>
          <w:noProof/>
        </w:rPr>
        <w:fldChar w:fldCharType="end"/>
      </w:r>
    </w:p>
    <w:p w14:paraId="4DE1A5DF" w14:textId="7D371183" w:rsidR="00A85BA9" w:rsidRDefault="00A85BA9">
      <w:pPr>
        <w:pStyle w:val="TOC3"/>
        <w:rPr>
          <w:rFonts w:asciiTheme="minorHAnsi" w:eastAsiaTheme="minorEastAsia" w:hAnsiTheme="minorHAnsi" w:cstheme="minorBidi"/>
          <w:b w:val="0"/>
          <w:noProof/>
          <w:kern w:val="0"/>
          <w:szCs w:val="22"/>
        </w:rPr>
      </w:pPr>
      <w:r>
        <w:rPr>
          <w:noProof/>
        </w:rPr>
        <w:t>Agencies must notify other events affecting the Register</w:t>
      </w:r>
      <w:r>
        <w:rPr>
          <w:noProof/>
        </w:rPr>
        <w:tab/>
      </w:r>
      <w:r>
        <w:rPr>
          <w:noProof/>
        </w:rPr>
        <w:fldChar w:fldCharType="begin"/>
      </w:r>
      <w:r>
        <w:rPr>
          <w:noProof/>
        </w:rPr>
        <w:instrText xml:space="preserve"> PAGEREF _Toc112918798 \h </w:instrText>
      </w:r>
      <w:r>
        <w:rPr>
          <w:noProof/>
        </w:rPr>
      </w:r>
      <w:r>
        <w:rPr>
          <w:noProof/>
        </w:rPr>
        <w:fldChar w:fldCharType="separate"/>
      </w:r>
      <w:r>
        <w:rPr>
          <w:noProof/>
        </w:rPr>
        <w:t>51</w:t>
      </w:r>
      <w:r>
        <w:rPr>
          <w:noProof/>
        </w:rPr>
        <w:fldChar w:fldCharType="end"/>
      </w:r>
    </w:p>
    <w:p w14:paraId="64A545E2" w14:textId="322275E4" w:rsidR="00A85BA9" w:rsidRDefault="00A85BA9">
      <w:pPr>
        <w:pStyle w:val="TOC3"/>
        <w:rPr>
          <w:rFonts w:asciiTheme="minorHAnsi" w:eastAsiaTheme="minorEastAsia" w:hAnsiTheme="minorHAnsi" w:cstheme="minorBidi"/>
          <w:b w:val="0"/>
          <w:noProof/>
          <w:kern w:val="0"/>
          <w:szCs w:val="22"/>
        </w:rPr>
      </w:pPr>
      <w:r>
        <w:rPr>
          <w:noProof/>
        </w:rPr>
        <w:t>If an error is found in the Register</w:t>
      </w:r>
      <w:r>
        <w:rPr>
          <w:noProof/>
        </w:rPr>
        <w:tab/>
      </w:r>
      <w:r>
        <w:rPr>
          <w:noProof/>
        </w:rPr>
        <w:fldChar w:fldCharType="begin"/>
      </w:r>
      <w:r>
        <w:rPr>
          <w:noProof/>
        </w:rPr>
        <w:instrText xml:space="preserve"> PAGEREF _Toc112918799 \h </w:instrText>
      </w:r>
      <w:r>
        <w:rPr>
          <w:noProof/>
        </w:rPr>
      </w:r>
      <w:r>
        <w:rPr>
          <w:noProof/>
        </w:rPr>
        <w:fldChar w:fldCharType="separate"/>
      </w:r>
      <w:r>
        <w:rPr>
          <w:noProof/>
        </w:rPr>
        <w:t>52</w:t>
      </w:r>
      <w:r>
        <w:rPr>
          <w:noProof/>
        </w:rPr>
        <w:fldChar w:fldCharType="end"/>
      </w:r>
    </w:p>
    <w:p w14:paraId="3376E231" w14:textId="6B0925C5" w:rsidR="00A85BA9" w:rsidRDefault="00A85BA9">
      <w:pPr>
        <w:pStyle w:val="TOC3"/>
        <w:rPr>
          <w:rFonts w:asciiTheme="minorHAnsi" w:eastAsiaTheme="minorEastAsia" w:hAnsiTheme="minorHAnsi" w:cstheme="minorBidi"/>
          <w:b w:val="0"/>
          <w:noProof/>
          <w:kern w:val="0"/>
          <w:szCs w:val="22"/>
        </w:rPr>
      </w:pPr>
      <w:r>
        <w:rPr>
          <w:noProof/>
        </w:rPr>
        <w:t>Rectification of disallowable legislative instruments</w:t>
      </w:r>
      <w:r>
        <w:rPr>
          <w:noProof/>
        </w:rPr>
        <w:tab/>
      </w:r>
      <w:r>
        <w:rPr>
          <w:noProof/>
        </w:rPr>
        <w:fldChar w:fldCharType="begin"/>
      </w:r>
      <w:r>
        <w:rPr>
          <w:noProof/>
        </w:rPr>
        <w:instrText xml:space="preserve"> PAGEREF _Toc112918800 \h </w:instrText>
      </w:r>
      <w:r>
        <w:rPr>
          <w:noProof/>
        </w:rPr>
      </w:r>
      <w:r>
        <w:rPr>
          <w:noProof/>
        </w:rPr>
        <w:fldChar w:fldCharType="separate"/>
      </w:r>
      <w:r>
        <w:rPr>
          <w:noProof/>
        </w:rPr>
        <w:t>52</w:t>
      </w:r>
      <w:r>
        <w:rPr>
          <w:noProof/>
        </w:rPr>
        <w:fldChar w:fldCharType="end"/>
      </w:r>
    </w:p>
    <w:p w14:paraId="72D04BA3" w14:textId="4DFAA964" w:rsidR="00A85BA9" w:rsidRDefault="00A85BA9">
      <w:pPr>
        <w:pStyle w:val="TOC3"/>
        <w:rPr>
          <w:rFonts w:asciiTheme="minorHAnsi" w:eastAsiaTheme="minorEastAsia" w:hAnsiTheme="minorHAnsi" w:cstheme="minorBidi"/>
          <w:b w:val="0"/>
          <w:noProof/>
          <w:kern w:val="0"/>
          <w:szCs w:val="22"/>
        </w:rPr>
      </w:pPr>
      <w:r>
        <w:rPr>
          <w:noProof/>
        </w:rPr>
        <w:t>Scope for redaction or removal of registered documents</w:t>
      </w:r>
      <w:r>
        <w:rPr>
          <w:noProof/>
        </w:rPr>
        <w:tab/>
      </w:r>
      <w:r>
        <w:rPr>
          <w:noProof/>
        </w:rPr>
        <w:fldChar w:fldCharType="begin"/>
      </w:r>
      <w:r>
        <w:rPr>
          <w:noProof/>
        </w:rPr>
        <w:instrText xml:space="preserve"> PAGEREF _Toc112918801 \h </w:instrText>
      </w:r>
      <w:r>
        <w:rPr>
          <w:noProof/>
        </w:rPr>
      </w:r>
      <w:r>
        <w:rPr>
          <w:noProof/>
        </w:rPr>
        <w:fldChar w:fldCharType="separate"/>
      </w:r>
      <w:r>
        <w:rPr>
          <w:noProof/>
        </w:rPr>
        <w:t>53</w:t>
      </w:r>
      <w:r>
        <w:rPr>
          <w:noProof/>
        </w:rPr>
        <w:fldChar w:fldCharType="end"/>
      </w:r>
    </w:p>
    <w:p w14:paraId="3BF2A440" w14:textId="41FA532E" w:rsidR="00A85BA9" w:rsidRDefault="00A85BA9">
      <w:pPr>
        <w:pStyle w:val="TOC3"/>
        <w:rPr>
          <w:rFonts w:asciiTheme="minorHAnsi" w:eastAsiaTheme="minorEastAsia" w:hAnsiTheme="minorHAnsi" w:cstheme="minorBidi"/>
          <w:b w:val="0"/>
          <w:noProof/>
          <w:kern w:val="0"/>
          <w:szCs w:val="22"/>
        </w:rPr>
      </w:pPr>
      <w:r>
        <w:rPr>
          <w:noProof/>
        </w:rPr>
        <w:t>Scope for republication of registered content</w:t>
      </w:r>
      <w:r>
        <w:rPr>
          <w:noProof/>
        </w:rPr>
        <w:tab/>
      </w:r>
      <w:r>
        <w:rPr>
          <w:noProof/>
        </w:rPr>
        <w:fldChar w:fldCharType="begin"/>
      </w:r>
      <w:r>
        <w:rPr>
          <w:noProof/>
        </w:rPr>
        <w:instrText xml:space="preserve"> PAGEREF _Toc112918802 \h </w:instrText>
      </w:r>
      <w:r>
        <w:rPr>
          <w:noProof/>
        </w:rPr>
      </w:r>
      <w:r>
        <w:rPr>
          <w:noProof/>
        </w:rPr>
        <w:fldChar w:fldCharType="separate"/>
      </w:r>
      <w:r>
        <w:rPr>
          <w:noProof/>
        </w:rPr>
        <w:t>53</w:t>
      </w:r>
      <w:r>
        <w:rPr>
          <w:noProof/>
        </w:rPr>
        <w:fldChar w:fldCharType="end"/>
      </w:r>
    </w:p>
    <w:p w14:paraId="669404CA" w14:textId="6FEFB312" w:rsidR="00A85BA9" w:rsidRDefault="00A85BA9">
      <w:pPr>
        <w:pStyle w:val="TOC3"/>
        <w:rPr>
          <w:rFonts w:asciiTheme="minorHAnsi" w:eastAsiaTheme="minorEastAsia" w:hAnsiTheme="minorHAnsi" w:cstheme="minorBidi"/>
          <w:b w:val="0"/>
          <w:noProof/>
          <w:kern w:val="0"/>
          <w:szCs w:val="22"/>
        </w:rPr>
      </w:pPr>
      <w:r>
        <w:rPr>
          <w:noProof/>
        </w:rPr>
        <w:t>If an instrument is no longer required</w:t>
      </w:r>
      <w:r>
        <w:rPr>
          <w:noProof/>
        </w:rPr>
        <w:tab/>
      </w:r>
      <w:r>
        <w:rPr>
          <w:noProof/>
        </w:rPr>
        <w:fldChar w:fldCharType="begin"/>
      </w:r>
      <w:r>
        <w:rPr>
          <w:noProof/>
        </w:rPr>
        <w:instrText xml:space="preserve"> PAGEREF _Toc112918803 \h </w:instrText>
      </w:r>
      <w:r>
        <w:rPr>
          <w:noProof/>
        </w:rPr>
      </w:r>
      <w:r>
        <w:rPr>
          <w:noProof/>
        </w:rPr>
        <w:fldChar w:fldCharType="separate"/>
      </w:r>
      <w:r>
        <w:rPr>
          <w:noProof/>
        </w:rPr>
        <w:t>54</w:t>
      </w:r>
      <w:r>
        <w:rPr>
          <w:noProof/>
        </w:rPr>
        <w:fldChar w:fldCharType="end"/>
      </w:r>
    </w:p>
    <w:p w14:paraId="5788958B" w14:textId="73613382" w:rsidR="00A85BA9" w:rsidRDefault="00A85BA9">
      <w:pPr>
        <w:pStyle w:val="TOC4"/>
        <w:rPr>
          <w:rFonts w:asciiTheme="minorHAnsi" w:eastAsiaTheme="minorEastAsia" w:hAnsiTheme="minorHAnsi" w:cstheme="minorBidi"/>
          <w:b w:val="0"/>
          <w:noProof/>
          <w:kern w:val="0"/>
          <w:sz w:val="22"/>
          <w:szCs w:val="22"/>
        </w:rPr>
      </w:pPr>
      <w:r>
        <w:rPr>
          <w:noProof/>
        </w:rPr>
        <w:t>Automatic and bulk repeal under Part 3 of Chapter 3 of the LA</w:t>
      </w:r>
      <w:r>
        <w:rPr>
          <w:noProof/>
        </w:rPr>
        <w:tab/>
      </w:r>
      <w:r>
        <w:rPr>
          <w:noProof/>
        </w:rPr>
        <w:fldChar w:fldCharType="begin"/>
      </w:r>
      <w:r>
        <w:rPr>
          <w:noProof/>
        </w:rPr>
        <w:instrText xml:space="preserve"> PAGEREF _Toc112918804 \h </w:instrText>
      </w:r>
      <w:r>
        <w:rPr>
          <w:noProof/>
        </w:rPr>
      </w:r>
      <w:r>
        <w:rPr>
          <w:noProof/>
        </w:rPr>
        <w:fldChar w:fldCharType="separate"/>
      </w:r>
      <w:r>
        <w:rPr>
          <w:noProof/>
        </w:rPr>
        <w:t>55</w:t>
      </w:r>
      <w:r>
        <w:rPr>
          <w:noProof/>
        </w:rPr>
        <w:fldChar w:fldCharType="end"/>
      </w:r>
    </w:p>
    <w:p w14:paraId="2DDDDF5F" w14:textId="5FB75A64" w:rsidR="00A85BA9" w:rsidRDefault="00A85BA9">
      <w:pPr>
        <w:pStyle w:val="TOC4"/>
        <w:rPr>
          <w:rFonts w:asciiTheme="minorHAnsi" w:eastAsiaTheme="minorEastAsia" w:hAnsiTheme="minorHAnsi" w:cstheme="minorBidi"/>
          <w:b w:val="0"/>
          <w:noProof/>
          <w:kern w:val="0"/>
          <w:sz w:val="22"/>
          <w:szCs w:val="22"/>
        </w:rPr>
      </w:pPr>
      <w:r>
        <w:rPr>
          <w:noProof/>
        </w:rPr>
        <w:t>Direct repeal by rule</w:t>
      </w:r>
      <w:r>
        <w:rPr>
          <w:noProof/>
        </w:rPr>
        <w:noBreakHyphen/>
        <w:t>maker</w:t>
      </w:r>
      <w:r>
        <w:rPr>
          <w:noProof/>
        </w:rPr>
        <w:tab/>
      </w:r>
      <w:r>
        <w:rPr>
          <w:noProof/>
        </w:rPr>
        <w:fldChar w:fldCharType="begin"/>
      </w:r>
      <w:r>
        <w:rPr>
          <w:noProof/>
        </w:rPr>
        <w:instrText xml:space="preserve"> PAGEREF _Toc112918805 \h </w:instrText>
      </w:r>
      <w:r>
        <w:rPr>
          <w:noProof/>
        </w:rPr>
      </w:r>
      <w:r>
        <w:rPr>
          <w:noProof/>
        </w:rPr>
        <w:fldChar w:fldCharType="separate"/>
      </w:r>
      <w:r>
        <w:rPr>
          <w:noProof/>
        </w:rPr>
        <w:t>55</w:t>
      </w:r>
      <w:r>
        <w:rPr>
          <w:noProof/>
        </w:rPr>
        <w:fldChar w:fldCharType="end"/>
      </w:r>
    </w:p>
    <w:p w14:paraId="33CF0C3D" w14:textId="5E11FC89" w:rsidR="00A85BA9" w:rsidRDefault="00A85BA9">
      <w:pPr>
        <w:pStyle w:val="TOC4"/>
        <w:rPr>
          <w:rFonts w:asciiTheme="minorHAnsi" w:eastAsiaTheme="minorEastAsia" w:hAnsiTheme="minorHAnsi" w:cstheme="minorBidi"/>
          <w:b w:val="0"/>
          <w:noProof/>
          <w:kern w:val="0"/>
          <w:sz w:val="22"/>
          <w:szCs w:val="22"/>
        </w:rPr>
      </w:pPr>
      <w:r>
        <w:rPr>
          <w:noProof/>
        </w:rPr>
        <w:t>Sunsetting under Part 4 of Chapter 3 of the LA</w:t>
      </w:r>
      <w:r>
        <w:rPr>
          <w:noProof/>
        </w:rPr>
        <w:tab/>
      </w:r>
      <w:r>
        <w:rPr>
          <w:noProof/>
        </w:rPr>
        <w:fldChar w:fldCharType="begin"/>
      </w:r>
      <w:r>
        <w:rPr>
          <w:noProof/>
        </w:rPr>
        <w:instrText xml:space="preserve"> PAGEREF _Toc112918806 \h </w:instrText>
      </w:r>
      <w:r>
        <w:rPr>
          <w:noProof/>
        </w:rPr>
      </w:r>
      <w:r>
        <w:rPr>
          <w:noProof/>
        </w:rPr>
        <w:fldChar w:fldCharType="separate"/>
      </w:r>
      <w:r>
        <w:rPr>
          <w:noProof/>
        </w:rPr>
        <w:t>56</w:t>
      </w:r>
      <w:r>
        <w:rPr>
          <w:noProof/>
        </w:rPr>
        <w:fldChar w:fldCharType="end"/>
      </w:r>
    </w:p>
    <w:p w14:paraId="29155A00" w14:textId="3FE47DC8" w:rsidR="00A85BA9" w:rsidRDefault="00A85BA9">
      <w:pPr>
        <w:pStyle w:val="TOC2"/>
        <w:rPr>
          <w:rFonts w:asciiTheme="minorHAnsi" w:eastAsiaTheme="minorEastAsia" w:hAnsiTheme="minorHAnsi" w:cstheme="minorBidi"/>
          <w:b w:val="0"/>
          <w:noProof/>
          <w:kern w:val="0"/>
          <w:sz w:val="22"/>
          <w:szCs w:val="22"/>
        </w:rPr>
      </w:pPr>
      <w:r>
        <w:rPr>
          <w:noProof/>
        </w:rPr>
        <w:t>Part 2—Matters specific to legislative instruments</w:t>
      </w:r>
      <w:r>
        <w:rPr>
          <w:noProof/>
        </w:rPr>
        <w:tab/>
      </w:r>
      <w:r>
        <w:rPr>
          <w:noProof/>
        </w:rPr>
        <w:fldChar w:fldCharType="begin"/>
      </w:r>
      <w:r>
        <w:rPr>
          <w:noProof/>
        </w:rPr>
        <w:instrText xml:space="preserve"> PAGEREF _Toc112918807 \h </w:instrText>
      </w:r>
      <w:r>
        <w:rPr>
          <w:noProof/>
        </w:rPr>
      </w:r>
      <w:r>
        <w:rPr>
          <w:noProof/>
        </w:rPr>
        <w:fldChar w:fldCharType="separate"/>
      </w:r>
      <w:r>
        <w:rPr>
          <w:noProof/>
        </w:rPr>
        <w:t>57</w:t>
      </w:r>
      <w:r>
        <w:rPr>
          <w:noProof/>
        </w:rPr>
        <w:fldChar w:fldCharType="end"/>
      </w:r>
    </w:p>
    <w:p w14:paraId="332A83AC" w14:textId="25A6D492" w:rsidR="00A85BA9" w:rsidRDefault="00A85BA9">
      <w:pPr>
        <w:pStyle w:val="TOC2"/>
        <w:rPr>
          <w:rFonts w:asciiTheme="minorHAnsi" w:eastAsiaTheme="minorEastAsia" w:hAnsiTheme="minorHAnsi" w:cstheme="minorBidi"/>
          <w:b w:val="0"/>
          <w:noProof/>
          <w:kern w:val="0"/>
          <w:sz w:val="22"/>
          <w:szCs w:val="22"/>
        </w:rPr>
      </w:pPr>
      <w:r>
        <w:rPr>
          <w:noProof/>
        </w:rPr>
        <w:t>Chapter 7—Before making a legislative instrument</w:t>
      </w:r>
      <w:r>
        <w:rPr>
          <w:noProof/>
        </w:rPr>
        <w:tab/>
      </w:r>
      <w:r>
        <w:rPr>
          <w:noProof/>
        </w:rPr>
        <w:fldChar w:fldCharType="begin"/>
      </w:r>
      <w:r>
        <w:rPr>
          <w:noProof/>
        </w:rPr>
        <w:instrText xml:space="preserve"> PAGEREF _Toc112918808 \h </w:instrText>
      </w:r>
      <w:r>
        <w:rPr>
          <w:noProof/>
        </w:rPr>
      </w:r>
      <w:r>
        <w:rPr>
          <w:noProof/>
        </w:rPr>
        <w:fldChar w:fldCharType="separate"/>
      </w:r>
      <w:r>
        <w:rPr>
          <w:noProof/>
        </w:rPr>
        <w:t>57</w:t>
      </w:r>
      <w:r>
        <w:rPr>
          <w:noProof/>
        </w:rPr>
        <w:fldChar w:fldCharType="end"/>
      </w:r>
    </w:p>
    <w:p w14:paraId="010A36E1" w14:textId="769F3968" w:rsidR="00A85BA9" w:rsidRDefault="00A85BA9">
      <w:pPr>
        <w:pStyle w:val="TOC3"/>
        <w:rPr>
          <w:rFonts w:asciiTheme="minorHAnsi" w:eastAsiaTheme="minorEastAsia" w:hAnsiTheme="minorHAnsi" w:cstheme="minorBidi"/>
          <w:b w:val="0"/>
          <w:noProof/>
          <w:kern w:val="0"/>
          <w:szCs w:val="22"/>
        </w:rPr>
      </w:pPr>
      <w:r>
        <w:rPr>
          <w:noProof/>
        </w:rPr>
        <w:t>What is making?</w:t>
      </w:r>
      <w:r>
        <w:rPr>
          <w:noProof/>
        </w:rPr>
        <w:tab/>
      </w:r>
      <w:r>
        <w:rPr>
          <w:noProof/>
        </w:rPr>
        <w:fldChar w:fldCharType="begin"/>
      </w:r>
      <w:r>
        <w:rPr>
          <w:noProof/>
        </w:rPr>
        <w:instrText xml:space="preserve"> PAGEREF _Toc112918809 \h </w:instrText>
      </w:r>
      <w:r>
        <w:rPr>
          <w:noProof/>
        </w:rPr>
      </w:r>
      <w:r>
        <w:rPr>
          <w:noProof/>
        </w:rPr>
        <w:fldChar w:fldCharType="separate"/>
      </w:r>
      <w:r>
        <w:rPr>
          <w:noProof/>
        </w:rPr>
        <w:t>57</w:t>
      </w:r>
      <w:r>
        <w:rPr>
          <w:noProof/>
        </w:rPr>
        <w:fldChar w:fldCharType="end"/>
      </w:r>
    </w:p>
    <w:p w14:paraId="7FE7FD99" w14:textId="3E06D00E" w:rsidR="00A85BA9" w:rsidRDefault="00A85BA9">
      <w:pPr>
        <w:pStyle w:val="TOC4"/>
        <w:rPr>
          <w:rFonts w:asciiTheme="minorHAnsi" w:eastAsiaTheme="minorEastAsia" w:hAnsiTheme="minorHAnsi" w:cstheme="minorBidi"/>
          <w:b w:val="0"/>
          <w:noProof/>
          <w:kern w:val="0"/>
          <w:sz w:val="22"/>
          <w:szCs w:val="22"/>
        </w:rPr>
      </w:pPr>
      <w:r>
        <w:rPr>
          <w:noProof/>
        </w:rPr>
        <w:t>Making legislative instruments</w:t>
      </w:r>
      <w:r>
        <w:rPr>
          <w:noProof/>
        </w:rPr>
        <w:tab/>
      </w:r>
      <w:r>
        <w:rPr>
          <w:noProof/>
        </w:rPr>
        <w:fldChar w:fldCharType="begin"/>
      </w:r>
      <w:r>
        <w:rPr>
          <w:noProof/>
        </w:rPr>
        <w:instrText xml:space="preserve"> PAGEREF _Toc112918810 \h </w:instrText>
      </w:r>
      <w:r>
        <w:rPr>
          <w:noProof/>
        </w:rPr>
      </w:r>
      <w:r>
        <w:rPr>
          <w:noProof/>
        </w:rPr>
        <w:fldChar w:fldCharType="separate"/>
      </w:r>
      <w:r>
        <w:rPr>
          <w:noProof/>
        </w:rPr>
        <w:t>57</w:t>
      </w:r>
      <w:r>
        <w:rPr>
          <w:noProof/>
        </w:rPr>
        <w:fldChar w:fldCharType="end"/>
      </w:r>
    </w:p>
    <w:p w14:paraId="01F8C8B4" w14:textId="4D37798C" w:rsidR="00A85BA9" w:rsidRDefault="00A85BA9">
      <w:pPr>
        <w:pStyle w:val="TOC3"/>
        <w:rPr>
          <w:rFonts w:asciiTheme="minorHAnsi" w:eastAsiaTheme="minorEastAsia" w:hAnsiTheme="minorHAnsi" w:cstheme="minorBidi"/>
          <w:b w:val="0"/>
          <w:noProof/>
          <w:kern w:val="0"/>
          <w:szCs w:val="22"/>
        </w:rPr>
      </w:pPr>
      <w:r>
        <w:rPr>
          <w:noProof/>
        </w:rPr>
        <w:t>Requirement to consult before making</w:t>
      </w:r>
      <w:r>
        <w:rPr>
          <w:noProof/>
        </w:rPr>
        <w:tab/>
      </w:r>
      <w:r>
        <w:rPr>
          <w:noProof/>
        </w:rPr>
        <w:fldChar w:fldCharType="begin"/>
      </w:r>
      <w:r>
        <w:rPr>
          <w:noProof/>
        </w:rPr>
        <w:instrText xml:space="preserve"> PAGEREF _Toc112918811 \h </w:instrText>
      </w:r>
      <w:r>
        <w:rPr>
          <w:noProof/>
        </w:rPr>
      </w:r>
      <w:r>
        <w:rPr>
          <w:noProof/>
        </w:rPr>
        <w:fldChar w:fldCharType="separate"/>
      </w:r>
      <w:r>
        <w:rPr>
          <w:noProof/>
        </w:rPr>
        <w:t>58</w:t>
      </w:r>
      <w:r>
        <w:rPr>
          <w:noProof/>
        </w:rPr>
        <w:fldChar w:fldCharType="end"/>
      </w:r>
    </w:p>
    <w:p w14:paraId="4038529E" w14:textId="5C018255" w:rsidR="00A85BA9" w:rsidRDefault="00A85BA9">
      <w:pPr>
        <w:pStyle w:val="TOC4"/>
        <w:rPr>
          <w:rFonts w:asciiTheme="minorHAnsi" w:eastAsiaTheme="minorEastAsia" w:hAnsiTheme="minorHAnsi" w:cstheme="minorBidi"/>
          <w:b w:val="0"/>
          <w:noProof/>
          <w:kern w:val="0"/>
          <w:sz w:val="22"/>
          <w:szCs w:val="22"/>
        </w:rPr>
      </w:pPr>
      <w:r>
        <w:rPr>
          <w:noProof/>
        </w:rPr>
        <w:t>When consultation may be unnecessary or inappropriate</w:t>
      </w:r>
      <w:r>
        <w:rPr>
          <w:noProof/>
        </w:rPr>
        <w:tab/>
      </w:r>
      <w:r>
        <w:rPr>
          <w:noProof/>
        </w:rPr>
        <w:fldChar w:fldCharType="begin"/>
      </w:r>
      <w:r>
        <w:rPr>
          <w:noProof/>
        </w:rPr>
        <w:instrText xml:space="preserve"> PAGEREF _Toc112918812 \h </w:instrText>
      </w:r>
      <w:r>
        <w:rPr>
          <w:noProof/>
        </w:rPr>
      </w:r>
      <w:r>
        <w:rPr>
          <w:noProof/>
        </w:rPr>
        <w:fldChar w:fldCharType="separate"/>
      </w:r>
      <w:r>
        <w:rPr>
          <w:noProof/>
        </w:rPr>
        <w:t>58</w:t>
      </w:r>
      <w:r>
        <w:rPr>
          <w:noProof/>
        </w:rPr>
        <w:fldChar w:fldCharType="end"/>
      </w:r>
    </w:p>
    <w:p w14:paraId="4BC65E34" w14:textId="652AECE7" w:rsidR="00A85BA9" w:rsidRDefault="00A85BA9">
      <w:pPr>
        <w:pStyle w:val="TOC4"/>
        <w:rPr>
          <w:rFonts w:asciiTheme="minorHAnsi" w:eastAsiaTheme="minorEastAsia" w:hAnsiTheme="minorHAnsi" w:cstheme="minorBidi"/>
          <w:b w:val="0"/>
          <w:noProof/>
          <w:kern w:val="0"/>
          <w:sz w:val="22"/>
          <w:szCs w:val="22"/>
        </w:rPr>
      </w:pPr>
      <w:r>
        <w:rPr>
          <w:noProof/>
        </w:rPr>
        <w:t>Consequences of failure to consult</w:t>
      </w:r>
      <w:r>
        <w:rPr>
          <w:noProof/>
        </w:rPr>
        <w:tab/>
      </w:r>
      <w:r>
        <w:rPr>
          <w:noProof/>
        </w:rPr>
        <w:fldChar w:fldCharType="begin"/>
      </w:r>
      <w:r>
        <w:rPr>
          <w:noProof/>
        </w:rPr>
        <w:instrText xml:space="preserve"> PAGEREF _Toc112918813 \h </w:instrText>
      </w:r>
      <w:r>
        <w:rPr>
          <w:noProof/>
        </w:rPr>
      </w:r>
      <w:r>
        <w:rPr>
          <w:noProof/>
        </w:rPr>
        <w:fldChar w:fldCharType="separate"/>
      </w:r>
      <w:r>
        <w:rPr>
          <w:noProof/>
        </w:rPr>
        <w:t>59</w:t>
      </w:r>
      <w:r>
        <w:rPr>
          <w:noProof/>
        </w:rPr>
        <w:fldChar w:fldCharType="end"/>
      </w:r>
    </w:p>
    <w:p w14:paraId="1418C377" w14:textId="492A5AF9" w:rsidR="00A85BA9" w:rsidRDefault="00A85BA9">
      <w:pPr>
        <w:pStyle w:val="TOC3"/>
        <w:rPr>
          <w:rFonts w:asciiTheme="minorHAnsi" w:eastAsiaTheme="minorEastAsia" w:hAnsiTheme="minorHAnsi" w:cstheme="minorBidi"/>
          <w:b w:val="0"/>
          <w:noProof/>
          <w:kern w:val="0"/>
          <w:szCs w:val="22"/>
        </w:rPr>
      </w:pPr>
      <w:r>
        <w:rPr>
          <w:noProof/>
        </w:rPr>
        <w:t>Requirement to assess regulatory impacts before making</w:t>
      </w:r>
      <w:r>
        <w:rPr>
          <w:noProof/>
        </w:rPr>
        <w:tab/>
      </w:r>
      <w:r>
        <w:rPr>
          <w:noProof/>
        </w:rPr>
        <w:fldChar w:fldCharType="begin"/>
      </w:r>
      <w:r>
        <w:rPr>
          <w:noProof/>
        </w:rPr>
        <w:instrText xml:space="preserve"> PAGEREF _Toc112918814 \h </w:instrText>
      </w:r>
      <w:r>
        <w:rPr>
          <w:noProof/>
        </w:rPr>
      </w:r>
      <w:r>
        <w:rPr>
          <w:noProof/>
        </w:rPr>
        <w:fldChar w:fldCharType="separate"/>
      </w:r>
      <w:r>
        <w:rPr>
          <w:noProof/>
        </w:rPr>
        <w:t>59</w:t>
      </w:r>
      <w:r>
        <w:rPr>
          <w:noProof/>
        </w:rPr>
        <w:fldChar w:fldCharType="end"/>
      </w:r>
    </w:p>
    <w:p w14:paraId="150F6627" w14:textId="07A5DF57" w:rsidR="00A85BA9" w:rsidRDefault="00A85BA9">
      <w:pPr>
        <w:pStyle w:val="TOC3"/>
        <w:rPr>
          <w:rFonts w:asciiTheme="minorHAnsi" w:eastAsiaTheme="minorEastAsia" w:hAnsiTheme="minorHAnsi" w:cstheme="minorBidi"/>
          <w:b w:val="0"/>
          <w:noProof/>
          <w:kern w:val="0"/>
          <w:szCs w:val="22"/>
        </w:rPr>
      </w:pPr>
      <w:r>
        <w:rPr>
          <w:noProof/>
        </w:rPr>
        <w:t>Other requirements to consider before making</w:t>
      </w:r>
      <w:r>
        <w:rPr>
          <w:noProof/>
        </w:rPr>
        <w:tab/>
      </w:r>
      <w:r>
        <w:rPr>
          <w:noProof/>
        </w:rPr>
        <w:fldChar w:fldCharType="begin"/>
      </w:r>
      <w:r>
        <w:rPr>
          <w:noProof/>
        </w:rPr>
        <w:instrText xml:space="preserve"> PAGEREF _Toc112918815 \h </w:instrText>
      </w:r>
      <w:r>
        <w:rPr>
          <w:noProof/>
        </w:rPr>
      </w:r>
      <w:r>
        <w:rPr>
          <w:noProof/>
        </w:rPr>
        <w:fldChar w:fldCharType="separate"/>
      </w:r>
      <w:r>
        <w:rPr>
          <w:noProof/>
        </w:rPr>
        <w:t>60</w:t>
      </w:r>
      <w:r>
        <w:rPr>
          <w:noProof/>
        </w:rPr>
        <w:fldChar w:fldCharType="end"/>
      </w:r>
    </w:p>
    <w:p w14:paraId="0ACEA94F" w14:textId="1B466B38" w:rsidR="00A85BA9" w:rsidRDefault="00A85BA9">
      <w:pPr>
        <w:pStyle w:val="TOC2"/>
        <w:rPr>
          <w:rFonts w:asciiTheme="minorHAnsi" w:eastAsiaTheme="minorEastAsia" w:hAnsiTheme="minorHAnsi" w:cstheme="minorBidi"/>
          <w:b w:val="0"/>
          <w:noProof/>
          <w:kern w:val="0"/>
          <w:sz w:val="22"/>
          <w:szCs w:val="22"/>
        </w:rPr>
      </w:pPr>
      <w:r>
        <w:rPr>
          <w:noProof/>
        </w:rPr>
        <w:lastRenderedPageBreak/>
        <w:t>Chapter 8—Explanatory statements</w:t>
      </w:r>
      <w:r>
        <w:rPr>
          <w:noProof/>
        </w:rPr>
        <w:tab/>
      </w:r>
      <w:r>
        <w:rPr>
          <w:noProof/>
        </w:rPr>
        <w:fldChar w:fldCharType="begin"/>
      </w:r>
      <w:r>
        <w:rPr>
          <w:noProof/>
        </w:rPr>
        <w:instrText xml:space="preserve"> PAGEREF _Toc112918816 \h </w:instrText>
      </w:r>
      <w:r>
        <w:rPr>
          <w:noProof/>
        </w:rPr>
      </w:r>
      <w:r>
        <w:rPr>
          <w:noProof/>
        </w:rPr>
        <w:fldChar w:fldCharType="separate"/>
      </w:r>
      <w:r>
        <w:rPr>
          <w:noProof/>
        </w:rPr>
        <w:t>61</w:t>
      </w:r>
      <w:r>
        <w:rPr>
          <w:noProof/>
        </w:rPr>
        <w:fldChar w:fldCharType="end"/>
      </w:r>
    </w:p>
    <w:p w14:paraId="3541E596" w14:textId="17701342" w:rsidR="00A85BA9" w:rsidRDefault="00A85BA9" w:rsidP="00A85BA9">
      <w:pPr>
        <w:pStyle w:val="TOC3"/>
        <w:ind w:left="426" w:hanging="1"/>
        <w:rPr>
          <w:rFonts w:asciiTheme="minorHAnsi" w:eastAsiaTheme="minorEastAsia" w:hAnsiTheme="minorHAnsi" w:cstheme="minorBidi"/>
          <w:b w:val="0"/>
          <w:noProof/>
          <w:kern w:val="0"/>
          <w:szCs w:val="22"/>
        </w:rPr>
      </w:pPr>
      <w:r>
        <w:rPr>
          <w:noProof/>
        </w:rPr>
        <w:t>General</w:t>
      </w:r>
      <w:r>
        <w:rPr>
          <w:noProof/>
        </w:rPr>
        <w:tab/>
      </w:r>
      <w:r>
        <w:rPr>
          <w:noProof/>
        </w:rPr>
        <w:fldChar w:fldCharType="begin"/>
      </w:r>
      <w:r>
        <w:rPr>
          <w:noProof/>
        </w:rPr>
        <w:instrText xml:space="preserve"> PAGEREF _Toc112918817 \h </w:instrText>
      </w:r>
      <w:r>
        <w:rPr>
          <w:noProof/>
        </w:rPr>
      </w:r>
      <w:r>
        <w:rPr>
          <w:noProof/>
        </w:rPr>
        <w:fldChar w:fldCharType="separate"/>
      </w:r>
      <w:r>
        <w:rPr>
          <w:noProof/>
        </w:rPr>
        <w:t>61</w:t>
      </w:r>
      <w:r>
        <w:rPr>
          <w:noProof/>
        </w:rPr>
        <w:fldChar w:fldCharType="end"/>
      </w:r>
    </w:p>
    <w:p w14:paraId="3C117393" w14:textId="4C96F420" w:rsidR="00A85BA9" w:rsidRDefault="00A85BA9">
      <w:pPr>
        <w:pStyle w:val="TOC3"/>
        <w:rPr>
          <w:rFonts w:asciiTheme="minorHAnsi" w:eastAsiaTheme="minorEastAsia" w:hAnsiTheme="minorHAnsi" w:cstheme="minorBidi"/>
          <w:b w:val="0"/>
          <w:noProof/>
          <w:kern w:val="0"/>
          <w:szCs w:val="22"/>
        </w:rPr>
      </w:pPr>
      <w:r>
        <w:rPr>
          <w:noProof/>
        </w:rPr>
        <w:t>Responsibility for approving explanatory statements</w:t>
      </w:r>
      <w:r>
        <w:rPr>
          <w:noProof/>
        </w:rPr>
        <w:tab/>
      </w:r>
      <w:r>
        <w:rPr>
          <w:noProof/>
        </w:rPr>
        <w:fldChar w:fldCharType="begin"/>
      </w:r>
      <w:r>
        <w:rPr>
          <w:noProof/>
        </w:rPr>
        <w:instrText xml:space="preserve"> PAGEREF _Toc112918818 \h </w:instrText>
      </w:r>
      <w:r>
        <w:rPr>
          <w:noProof/>
        </w:rPr>
      </w:r>
      <w:r>
        <w:rPr>
          <w:noProof/>
        </w:rPr>
        <w:fldChar w:fldCharType="separate"/>
      </w:r>
      <w:r>
        <w:rPr>
          <w:noProof/>
        </w:rPr>
        <w:t>61</w:t>
      </w:r>
      <w:r>
        <w:rPr>
          <w:noProof/>
        </w:rPr>
        <w:fldChar w:fldCharType="end"/>
      </w:r>
    </w:p>
    <w:p w14:paraId="048B9E34" w14:textId="0BB45C20" w:rsidR="00A85BA9" w:rsidRDefault="00A85BA9">
      <w:pPr>
        <w:pStyle w:val="TOC3"/>
        <w:rPr>
          <w:rFonts w:asciiTheme="minorHAnsi" w:eastAsiaTheme="minorEastAsia" w:hAnsiTheme="minorHAnsi" w:cstheme="minorBidi"/>
          <w:b w:val="0"/>
          <w:noProof/>
          <w:kern w:val="0"/>
          <w:szCs w:val="22"/>
        </w:rPr>
      </w:pPr>
      <w:r>
        <w:rPr>
          <w:noProof/>
        </w:rPr>
        <w:t>Content of explanatory statements</w:t>
      </w:r>
      <w:r>
        <w:rPr>
          <w:noProof/>
        </w:rPr>
        <w:tab/>
      </w:r>
      <w:r>
        <w:rPr>
          <w:noProof/>
        </w:rPr>
        <w:fldChar w:fldCharType="begin"/>
      </w:r>
      <w:r>
        <w:rPr>
          <w:noProof/>
        </w:rPr>
        <w:instrText xml:space="preserve"> PAGEREF _Toc112918819 \h </w:instrText>
      </w:r>
      <w:r>
        <w:rPr>
          <w:noProof/>
        </w:rPr>
      </w:r>
      <w:r>
        <w:rPr>
          <w:noProof/>
        </w:rPr>
        <w:fldChar w:fldCharType="separate"/>
      </w:r>
      <w:r>
        <w:rPr>
          <w:noProof/>
        </w:rPr>
        <w:t>62</w:t>
      </w:r>
      <w:r>
        <w:rPr>
          <w:noProof/>
        </w:rPr>
        <w:fldChar w:fldCharType="end"/>
      </w:r>
    </w:p>
    <w:p w14:paraId="7B40F586" w14:textId="1D12964E" w:rsidR="00A85BA9" w:rsidRDefault="00A85BA9">
      <w:pPr>
        <w:pStyle w:val="TOC4"/>
        <w:rPr>
          <w:rFonts w:asciiTheme="minorHAnsi" w:eastAsiaTheme="minorEastAsia" w:hAnsiTheme="minorHAnsi" w:cstheme="minorBidi"/>
          <w:b w:val="0"/>
          <w:noProof/>
          <w:kern w:val="0"/>
          <w:sz w:val="22"/>
          <w:szCs w:val="22"/>
        </w:rPr>
      </w:pPr>
      <w:r>
        <w:rPr>
          <w:noProof/>
        </w:rPr>
        <w:t>Purpose and operation of instrument</w:t>
      </w:r>
      <w:r>
        <w:rPr>
          <w:noProof/>
        </w:rPr>
        <w:tab/>
      </w:r>
      <w:r>
        <w:rPr>
          <w:noProof/>
        </w:rPr>
        <w:fldChar w:fldCharType="begin"/>
      </w:r>
      <w:r>
        <w:rPr>
          <w:noProof/>
        </w:rPr>
        <w:instrText xml:space="preserve"> PAGEREF _Toc112918820 \h </w:instrText>
      </w:r>
      <w:r>
        <w:rPr>
          <w:noProof/>
        </w:rPr>
      </w:r>
      <w:r>
        <w:rPr>
          <w:noProof/>
        </w:rPr>
        <w:fldChar w:fldCharType="separate"/>
      </w:r>
      <w:r>
        <w:rPr>
          <w:noProof/>
        </w:rPr>
        <w:t>63</w:t>
      </w:r>
      <w:r>
        <w:rPr>
          <w:noProof/>
        </w:rPr>
        <w:fldChar w:fldCharType="end"/>
      </w:r>
    </w:p>
    <w:p w14:paraId="0617FE35" w14:textId="30F65439" w:rsidR="00A85BA9" w:rsidRDefault="00A85BA9">
      <w:pPr>
        <w:pStyle w:val="TOC4"/>
        <w:rPr>
          <w:rFonts w:asciiTheme="minorHAnsi" w:eastAsiaTheme="minorEastAsia" w:hAnsiTheme="minorHAnsi" w:cstheme="minorBidi"/>
          <w:b w:val="0"/>
          <w:noProof/>
          <w:kern w:val="0"/>
          <w:sz w:val="22"/>
          <w:szCs w:val="22"/>
        </w:rPr>
      </w:pPr>
      <w:r>
        <w:rPr>
          <w:noProof/>
        </w:rPr>
        <w:t>Documents incorporated by reference</w:t>
      </w:r>
      <w:r>
        <w:rPr>
          <w:noProof/>
        </w:rPr>
        <w:tab/>
      </w:r>
      <w:r>
        <w:rPr>
          <w:noProof/>
        </w:rPr>
        <w:fldChar w:fldCharType="begin"/>
      </w:r>
      <w:r>
        <w:rPr>
          <w:noProof/>
        </w:rPr>
        <w:instrText xml:space="preserve"> PAGEREF _Toc112918821 \h </w:instrText>
      </w:r>
      <w:r>
        <w:rPr>
          <w:noProof/>
        </w:rPr>
      </w:r>
      <w:r>
        <w:rPr>
          <w:noProof/>
        </w:rPr>
        <w:fldChar w:fldCharType="separate"/>
      </w:r>
      <w:r>
        <w:rPr>
          <w:noProof/>
        </w:rPr>
        <w:t>63</w:t>
      </w:r>
      <w:r>
        <w:rPr>
          <w:noProof/>
        </w:rPr>
        <w:fldChar w:fldCharType="end"/>
      </w:r>
    </w:p>
    <w:p w14:paraId="617FF9B7" w14:textId="130F30F9" w:rsidR="00A85BA9" w:rsidRDefault="00A85BA9" w:rsidP="00A85BA9">
      <w:pPr>
        <w:pStyle w:val="TOC4"/>
        <w:ind w:left="851" w:firstLine="0"/>
        <w:rPr>
          <w:rFonts w:asciiTheme="minorHAnsi" w:eastAsiaTheme="minorEastAsia" w:hAnsiTheme="minorHAnsi" w:cstheme="minorBidi"/>
          <w:b w:val="0"/>
          <w:noProof/>
          <w:kern w:val="0"/>
          <w:sz w:val="22"/>
          <w:szCs w:val="22"/>
        </w:rPr>
      </w:pPr>
      <w:r>
        <w:rPr>
          <w:noProof/>
        </w:rPr>
        <w:t>Consultation</w:t>
      </w:r>
      <w:r>
        <w:rPr>
          <w:noProof/>
        </w:rPr>
        <w:tab/>
      </w:r>
      <w:r>
        <w:rPr>
          <w:noProof/>
        </w:rPr>
        <w:fldChar w:fldCharType="begin"/>
      </w:r>
      <w:r>
        <w:rPr>
          <w:noProof/>
        </w:rPr>
        <w:instrText xml:space="preserve"> PAGEREF _Toc112918822 \h </w:instrText>
      </w:r>
      <w:r>
        <w:rPr>
          <w:noProof/>
        </w:rPr>
      </w:r>
      <w:r>
        <w:rPr>
          <w:noProof/>
        </w:rPr>
        <w:fldChar w:fldCharType="separate"/>
      </w:r>
      <w:r>
        <w:rPr>
          <w:noProof/>
        </w:rPr>
        <w:t>64</w:t>
      </w:r>
      <w:r>
        <w:rPr>
          <w:noProof/>
        </w:rPr>
        <w:fldChar w:fldCharType="end"/>
      </w:r>
    </w:p>
    <w:p w14:paraId="059BBFBF" w14:textId="6E1A33DC" w:rsidR="00A85BA9" w:rsidRDefault="00A85BA9">
      <w:pPr>
        <w:pStyle w:val="TOC4"/>
        <w:rPr>
          <w:rFonts w:asciiTheme="minorHAnsi" w:eastAsiaTheme="minorEastAsia" w:hAnsiTheme="minorHAnsi" w:cstheme="minorBidi"/>
          <w:b w:val="0"/>
          <w:noProof/>
          <w:kern w:val="0"/>
          <w:sz w:val="22"/>
          <w:szCs w:val="22"/>
        </w:rPr>
      </w:pPr>
      <w:r>
        <w:rPr>
          <w:noProof/>
        </w:rPr>
        <w:t>Human rights compatibility</w:t>
      </w:r>
      <w:r>
        <w:rPr>
          <w:noProof/>
        </w:rPr>
        <w:tab/>
      </w:r>
      <w:r>
        <w:rPr>
          <w:noProof/>
        </w:rPr>
        <w:fldChar w:fldCharType="begin"/>
      </w:r>
      <w:r>
        <w:rPr>
          <w:noProof/>
        </w:rPr>
        <w:instrText xml:space="preserve"> PAGEREF _Toc112918823 \h </w:instrText>
      </w:r>
      <w:r>
        <w:rPr>
          <w:noProof/>
        </w:rPr>
      </w:r>
      <w:r>
        <w:rPr>
          <w:noProof/>
        </w:rPr>
        <w:fldChar w:fldCharType="separate"/>
      </w:r>
      <w:r>
        <w:rPr>
          <w:noProof/>
        </w:rPr>
        <w:t>64</w:t>
      </w:r>
      <w:r>
        <w:rPr>
          <w:noProof/>
        </w:rPr>
        <w:fldChar w:fldCharType="end"/>
      </w:r>
    </w:p>
    <w:p w14:paraId="4317A2D5" w14:textId="37FD1288" w:rsidR="00A85BA9" w:rsidRDefault="00A85BA9">
      <w:pPr>
        <w:pStyle w:val="TOC3"/>
        <w:rPr>
          <w:rFonts w:asciiTheme="minorHAnsi" w:eastAsiaTheme="minorEastAsia" w:hAnsiTheme="minorHAnsi" w:cstheme="minorBidi"/>
          <w:b w:val="0"/>
          <w:noProof/>
          <w:kern w:val="0"/>
          <w:szCs w:val="22"/>
        </w:rPr>
      </w:pPr>
      <w:r>
        <w:rPr>
          <w:noProof/>
        </w:rPr>
        <w:t>Other content considerations</w:t>
      </w:r>
      <w:r>
        <w:rPr>
          <w:noProof/>
        </w:rPr>
        <w:tab/>
      </w:r>
      <w:r>
        <w:rPr>
          <w:noProof/>
        </w:rPr>
        <w:fldChar w:fldCharType="begin"/>
      </w:r>
      <w:r>
        <w:rPr>
          <w:noProof/>
        </w:rPr>
        <w:instrText xml:space="preserve"> PAGEREF _Toc112918824 \h </w:instrText>
      </w:r>
      <w:r>
        <w:rPr>
          <w:noProof/>
        </w:rPr>
      </w:r>
      <w:r>
        <w:rPr>
          <w:noProof/>
        </w:rPr>
        <w:fldChar w:fldCharType="separate"/>
      </w:r>
      <w:r>
        <w:rPr>
          <w:noProof/>
        </w:rPr>
        <w:t>64</w:t>
      </w:r>
      <w:r>
        <w:rPr>
          <w:noProof/>
        </w:rPr>
        <w:fldChar w:fldCharType="end"/>
      </w:r>
    </w:p>
    <w:p w14:paraId="7CCE91CD" w14:textId="74552518" w:rsidR="00A85BA9" w:rsidRDefault="00A85BA9">
      <w:pPr>
        <w:pStyle w:val="TOC4"/>
        <w:rPr>
          <w:rFonts w:asciiTheme="minorHAnsi" w:eastAsiaTheme="minorEastAsia" w:hAnsiTheme="minorHAnsi" w:cstheme="minorBidi"/>
          <w:b w:val="0"/>
          <w:noProof/>
          <w:kern w:val="0"/>
          <w:sz w:val="22"/>
          <w:szCs w:val="22"/>
        </w:rPr>
      </w:pPr>
      <w:r>
        <w:rPr>
          <w:noProof/>
        </w:rPr>
        <w:t>Best Practice Regulation requirements</w:t>
      </w:r>
      <w:r>
        <w:rPr>
          <w:noProof/>
        </w:rPr>
        <w:tab/>
      </w:r>
      <w:r>
        <w:rPr>
          <w:noProof/>
        </w:rPr>
        <w:fldChar w:fldCharType="begin"/>
      </w:r>
      <w:r>
        <w:rPr>
          <w:noProof/>
        </w:rPr>
        <w:instrText xml:space="preserve"> PAGEREF _Toc112918825 \h </w:instrText>
      </w:r>
      <w:r>
        <w:rPr>
          <w:noProof/>
        </w:rPr>
      </w:r>
      <w:r>
        <w:rPr>
          <w:noProof/>
        </w:rPr>
        <w:fldChar w:fldCharType="separate"/>
      </w:r>
      <w:r>
        <w:rPr>
          <w:noProof/>
        </w:rPr>
        <w:t>64</w:t>
      </w:r>
      <w:r>
        <w:rPr>
          <w:noProof/>
        </w:rPr>
        <w:fldChar w:fldCharType="end"/>
      </w:r>
    </w:p>
    <w:p w14:paraId="1BBC702B" w14:textId="742D145E" w:rsidR="00A85BA9" w:rsidRDefault="00A85BA9">
      <w:pPr>
        <w:pStyle w:val="TOC4"/>
        <w:rPr>
          <w:rFonts w:asciiTheme="minorHAnsi" w:eastAsiaTheme="minorEastAsia" w:hAnsiTheme="minorHAnsi" w:cstheme="minorBidi"/>
          <w:b w:val="0"/>
          <w:noProof/>
          <w:kern w:val="0"/>
          <w:sz w:val="22"/>
          <w:szCs w:val="22"/>
        </w:rPr>
      </w:pPr>
      <w:r>
        <w:rPr>
          <w:noProof/>
        </w:rPr>
        <w:t>Senate Standing Committee for the Scrutiny of Delegated Legislation (SDLC) requirements</w:t>
      </w:r>
      <w:r>
        <w:rPr>
          <w:noProof/>
        </w:rPr>
        <w:tab/>
      </w:r>
      <w:r>
        <w:rPr>
          <w:noProof/>
        </w:rPr>
        <w:fldChar w:fldCharType="begin"/>
      </w:r>
      <w:r>
        <w:rPr>
          <w:noProof/>
        </w:rPr>
        <w:instrText xml:space="preserve"> PAGEREF _Toc112918826 \h </w:instrText>
      </w:r>
      <w:r>
        <w:rPr>
          <w:noProof/>
        </w:rPr>
      </w:r>
      <w:r>
        <w:rPr>
          <w:noProof/>
        </w:rPr>
        <w:fldChar w:fldCharType="separate"/>
      </w:r>
      <w:r>
        <w:rPr>
          <w:noProof/>
        </w:rPr>
        <w:t>64</w:t>
      </w:r>
      <w:r>
        <w:rPr>
          <w:noProof/>
        </w:rPr>
        <w:fldChar w:fldCharType="end"/>
      </w:r>
    </w:p>
    <w:p w14:paraId="2727DD7E" w14:textId="0B85EE85" w:rsidR="00A85BA9" w:rsidRDefault="00A85BA9">
      <w:pPr>
        <w:pStyle w:val="TOC4"/>
        <w:rPr>
          <w:rFonts w:asciiTheme="minorHAnsi" w:eastAsiaTheme="minorEastAsia" w:hAnsiTheme="minorHAnsi" w:cstheme="minorBidi"/>
          <w:b w:val="0"/>
          <w:noProof/>
          <w:kern w:val="0"/>
          <w:sz w:val="22"/>
          <w:szCs w:val="22"/>
        </w:rPr>
      </w:pPr>
      <w:r>
        <w:rPr>
          <w:noProof/>
        </w:rPr>
        <w:t>Parliamentary Joint Committee on Human Rights requirements</w:t>
      </w:r>
      <w:r>
        <w:rPr>
          <w:noProof/>
        </w:rPr>
        <w:tab/>
      </w:r>
      <w:r>
        <w:rPr>
          <w:noProof/>
        </w:rPr>
        <w:fldChar w:fldCharType="begin"/>
      </w:r>
      <w:r>
        <w:rPr>
          <w:noProof/>
        </w:rPr>
        <w:instrText xml:space="preserve"> PAGEREF _Toc112918827 \h </w:instrText>
      </w:r>
      <w:r>
        <w:rPr>
          <w:noProof/>
        </w:rPr>
      </w:r>
      <w:r>
        <w:rPr>
          <w:noProof/>
        </w:rPr>
        <w:fldChar w:fldCharType="separate"/>
      </w:r>
      <w:r>
        <w:rPr>
          <w:noProof/>
        </w:rPr>
        <w:t>67</w:t>
      </w:r>
      <w:r>
        <w:rPr>
          <w:noProof/>
        </w:rPr>
        <w:fldChar w:fldCharType="end"/>
      </w:r>
    </w:p>
    <w:p w14:paraId="3F68E345" w14:textId="0600066A" w:rsidR="00A85BA9" w:rsidRDefault="00A85BA9">
      <w:pPr>
        <w:pStyle w:val="TOC4"/>
        <w:rPr>
          <w:rFonts w:asciiTheme="minorHAnsi" w:eastAsiaTheme="minorEastAsia" w:hAnsiTheme="minorHAnsi" w:cstheme="minorBidi"/>
          <w:b w:val="0"/>
          <w:noProof/>
          <w:kern w:val="0"/>
          <w:sz w:val="22"/>
          <w:szCs w:val="22"/>
        </w:rPr>
      </w:pPr>
      <w:r>
        <w:rPr>
          <w:noProof/>
        </w:rPr>
        <w:t>Previous ministerial or parliamentary undertakings</w:t>
      </w:r>
      <w:r>
        <w:rPr>
          <w:noProof/>
        </w:rPr>
        <w:tab/>
      </w:r>
      <w:r>
        <w:rPr>
          <w:noProof/>
        </w:rPr>
        <w:fldChar w:fldCharType="begin"/>
      </w:r>
      <w:r>
        <w:rPr>
          <w:noProof/>
        </w:rPr>
        <w:instrText xml:space="preserve"> PAGEREF _Toc112918828 \h </w:instrText>
      </w:r>
      <w:r>
        <w:rPr>
          <w:noProof/>
        </w:rPr>
      </w:r>
      <w:r>
        <w:rPr>
          <w:noProof/>
        </w:rPr>
        <w:fldChar w:fldCharType="separate"/>
      </w:r>
      <w:r>
        <w:rPr>
          <w:noProof/>
        </w:rPr>
        <w:t>67</w:t>
      </w:r>
      <w:r>
        <w:rPr>
          <w:noProof/>
        </w:rPr>
        <w:fldChar w:fldCharType="end"/>
      </w:r>
    </w:p>
    <w:p w14:paraId="35E3A642" w14:textId="40DE6966" w:rsidR="00A85BA9" w:rsidRDefault="00A85BA9">
      <w:pPr>
        <w:pStyle w:val="TOC4"/>
        <w:rPr>
          <w:rFonts w:asciiTheme="minorHAnsi" w:eastAsiaTheme="minorEastAsia" w:hAnsiTheme="minorHAnsi" w:cstheme="minorBidi"/>
          <w:b w:val="0"/>
          <w:noProof/>
          <w:kern w:val="0"/>
          <w:sz w:val="22"/>
          <w:szCs w:val="22"/>
        </w:rPr>
      </w:pPr>
      <w:r>
        <w:rPr>
          <w:noProof/>
        </w:rPr>
        <w:t>If an instrument or provision is very similar in substance to one made recently</w:t>
      </w:r>
      <w:r>
        <w:rPr>
          <w:noProof/>
        </w:rPr>
        <w:tab/>
      </w:r>
      <w:r>
        <w:rPr>
          <w:noProof/>
        </w:rPr>
        <w:fldChar w:fldCharType="begin"/>
      </w:r>
      <w:r>
        <w:rPr>
          <w:noProof/>
        </w:rPr>
        <w:instrText xml:space="preserve"> PAGEREF _Toc112918829 \h </w:instrText>
      </w:r>
      <w:r>
        <w:rPr>
          <w:noProof/>
        </w:rPr>
      </w:r>
      <w:r>
        <w:rPr>
          <w:noProof/>
        </w:rPr>
        <w:fldChar w:fldCharType="separate"/>
      </w:r>
      <w:r>
        <w:rPr>
          <w:noProof/>
        </w:rPr>
        <w:t>68</w:t>
      </w:r>
      <w:r>
        <w:rPr>
          <w:noProof/>
        </w:rPr>
        <w:fldChar w:fldCharType="end"/>
      </w:r>
    </w:p>
    <w:p w14:paraId="796E03CC" w14:textId="356D11E7" w:rsidR="00A85BA9" w:rsidRDefault="00A85BA9">
      <w:pPr>
        <w:pStyle w:val="TOC3"/>
        <w:rPr>
          <w:rFonts w:asciiTheme="minorHAnsi" w:eastAsiaTheme="minorEastAsia" w:hAnsiTheme="minorHAnsi" w:cstheme="minorBidi"/>
          <w:b w:val="0"/>
          <w:noProof/>
          <w:kern w:val="0"/>
          <w:szCs w:val="22"/>
        </w:rPr>
      </w:pPr>
      <w:r>
        <w:rPr>
          <w:noProof/>
        </w:rPr>
        <w:t>Consequences of failure to provide explanatory statements on time</w:t>
      </w:r>
      <w:r>
        <w:rPr>
          <w:noProof/>
        </w:rPr>
        <w:tab/>
      </w:r>
      <w:r>
        <w:rPr>
          <w:noProof/>
        </w:rPr>
        <w:fldChar w:fldCharType="begin"/>
      </w:r>
      <w:r>
        <w:rPr>
          <w:noProof/>
        </w:rPr>
        <w:instrText xml:space="preserve"> PAGEREF _Toc112918830 \h </w:instrText>
      </w:r>
      <w:r>
        <w:rPr>
          <w:noProof/>
        </w:rPr>
      </w:r>
      <w:r>
        <w:rPr>
          <w:noProof/>
        </w:rPr>
        <w:fldChar w:fldCharType="separate"/>
      </w:r>
      <w:r>
        <w:rPr>
          <w:noProof/>
        </w:rPr>
        <w:t>68</w:t>
      </w:r>
      <w:r>
        <w:rPr>
          <w:noProof/>
        </w:rPr>
        <w:fldChar w:fldCharType="end"/>
      </w:r>
    </w:p>
    <w:p w14:paraId="0C949070" w14:textId="293F9C4E" w:rsidR="00A85BA9" w:rsidRDefault="00A85BA9">
      <w:pPr>
        <w:pStyle w:val="TOC3"/>
        <w:rPr>
          <w:rFonts w:asciiTheme="minorHAnsi" w:eastAsiaTheme="minorEastAsia" w:hAnsiTheme="minorHAnsi" w:cstheme="minorBidi"/>
          <w:b w:val="0"/>
          <w:noProof/>
          <w:kern w:val="0"/>
          <w:szCs w:val="22"/>
        </w:rPr>
      </w:pPr>
      <w:r>
        <w:rPr>
          <w:noProof/>
        </w:rPr>
        <w:t>If there is a significant error or omission in an explanatory statement</w:t>
      </w:r>
      <w:r>
        <w:rPr>
          <w:noProof/>
        </w:rPr>
        <w:tab/>
      </w:r>
      <w:r>
        <w:rPr>
          <w:noProof/>
        </w:rPr>
        <w:fldChar w:fldCharType="begin"/>
      </w:r>
      <w:r>
        <w:rPr>
          <w:noProof/>
        </w:rPr>
        <w:instrText xml:space="preserve"> PAGEREF _Toc112918831 \h </w:instrText>
      </w:r>
      <w:r>
        <w:rPr>
          <w:noProof/>
        </w:rPr>
      </w:r>
      <w:r>
        <w:rPr>
          <w:noProof/>
        </w:rPr>
        <w:fldChar w:fldCharType="separate"/>
      </w:r>
      <w:r>
        <w:rPr>
          <w:noProof/>
        </w:rPr>
        <w:t>68</w:t>
      </w:r>
      <w:r>
        <w:rPr>
          <w:noProof/>
        </w:rPr>
        <w:fldChar w:fldCharType="end"/>
      </w:r>
    </w:p>
    <w:p w14:paraId="3A75DEBF" w14:textId="6060AFC8" w:rsidR="00A85BA9" w:rsidRDefault="00A85BA9">
      <w:pPr>
        <w:pStyle w:val="TOC3"/>
        <w:rPr>
          <w:rFonts w:asciiTheme="minorHAnsi" w:eastAsiaTheme="minorEastAsia" w:hAnsiTheme="minorHAnsi" w:cstheme="minorBidi"/>
          <w:b w:val="0"/>
          <w:noProof/>
          <w:kern w:val="0"/>
          <w:szCs w:val="22"/>
        </w:rPr>
      </w:pPr>
      <w:r>
        <w:rPr>
          <w:noProof/>
        </w:rPr>
        <w:t>Supporting material</w:t>
      </w:r>
      <w:r>
        <w:rPr>
          <w:noProof/>
        </w:rPr>
        <w:tab/>
      </w:r>
      <w:r>
        <w:rPr>
          <w:noProof/>
        </w:rPr>
        <w:fldChar w:fldCharType="begin"/>
      </w:r>
      <w:r>
        <w:rPr>
          <w:noProof/>
        </w:rPr>
        <w:instrText xml:space="preserve"> PAGEREF _Toc112918832 \h </w:instrText>
      </w:r>
      <w:r>
        <w:rPr>
          <w:noProof/>
        </w:rPr>
      </w:r>
      <w:r>
        <w:rPr>
          <w:noProof/>
        </w:rPr>
        <w:fldChar w:fldCharType="separate"/>
      </w:r>
      <w:r>
        <w:rPr>
          <w:noProof/>
        </w:rPr>
        <w:t>69</w:t>
      </w:r>
      <w:r>
        <w:rPr>
          <w:noProof/>
        </w:rPr>
        <w:fldChar w:fldCharType="end"/>
      </w:r>
    </w:p>
    <w:p w14:paraId="56EF18DB" w14:textId="3F4A8E73" w:rsidR="00A85BA9" w:rsidRDefault="00A85BA9">
      <w:pPr>
        <w:pStyle w:val="TOC2"/>
        <w:rPr>
          <w:rFonts w:asciiTheme="minorHAnsi" w:eastAsiaTheme="minorEastAsia" w:hAnsiTheme="minorHAnsi" w:cstheme="minorBidi"/>
          <w:b w:val="0"/>
          <w:noProof/>
          <w:kern w:val="0"/>
          <w:sz w:val="22"/>
          <w:szCs w:val="22"/>
        </w:rPr>
      </w:pPr>
      <w:r>
        <w:rPr>
          <w:noProof/>
        </w:rPr>
        <w:t>Chapter 9—Parliamentary scrutiny (disallowance) processes</w:t>
      </w:r>
      <w:r>
        <w:rPr>
          <w:noProof/>
        </w:rPr>
        <w:tab/>
      </w:r>
      <w:r>
        <w:rPr>
          <w:noProof/>
        </w:rPr>
        <w:fldChar w:fldCharType="begin"/>
      </w:r>
      <w:r>
        <w:rPr>
          <w:noProof/>
        </w:rPr>
        <w:instrText xml:space="preserve"> PAGEREF _Toc112918833 \h </w:instrText>
      </w:r>
      <w:r>
        <w:rPr>
          <w:noProof/>
        </w:rPr>
      </w:r>
      <w:r>
        <w:rPr>
          <w:noProof/>
        </w:rPr>
        <w:fldChar w:fldCharType="separate"/>
      </w:r>
      <w:r>
        <w:rPr>
          <w:noProof/>
        </w:rPr>
        <w:t>70</w:t>
      </w:r>
      <w:r>
        <w:rPr>
          <w:noProof/>
        </w:rPr>
        <w:fldChar w:fldCharType="end"/>
      </w:r>
    </w:p>
    <w:p w14:paraId="2D9970BC" w14:textId="7161E3FC" w:rsidR="00A85BA9" w:rsidRDefault="00A85BA9" w:rsidP="00A85BA9">
      <w:pPr>
        <w:pStyle w:val="TOC3"/>
        <w:ind w:left="426" w:hanging="1"/>
        <w:rPr>
          <w:rFonts w:asciiTheme="minorHAnsi" w:eastAsiaTheme="minorEastAsia" w:hAnsiTheme="minorHAnsi" w:cstheme="minorBidi"/>
          <w:b w:val="0"/>
          <w:noProof/>
          <w:kern w:val="0"/>
          <w:szCs w:val="22"/>
        </w:rPr>
      </w:pPr>
      <w:r>
        <w:rPr>
          <w:noProof/>
        </w:rPr>
        <w:t>Background</w:t>
      </w:r>
      <w:r>
        <w:rPr>
          <w:noProof/>
        </w:rPr>
        <w:tab/>
      </w:r>
      <w:r>
        <w:rPr>
          <w:noProof/>
        </w:rPr>
        <w:fldChar w:fldCharType="begin"/>
      </w:r>
      <w:r>
        <w:rPr>
          <w:noProof/>
        </w:rPr>
        <w:instrText xml:space="preserve"> PAGEREF _Toc112918834 \h </w:instrText>
      </w:r>
      <w:r>
        <w:rPr>
          <w:noProof/>
        </w:rPr>
      </w:r>
      <w:r>
        <w:rPr>
          <w:noProof/>
        </w:rPr>
        <w:fldChar w:fldCharType="separate"/>
      </w:r>
      <w:r>
        <w:rPr>
          <w:noProof/>
        </w:rPr>
        <w:t>70</w:t>
      </w:r>
      <w:r>
        <w:rPr>
          <w:noProof/>
        </w:rPr>
        <w:fldChar w:fldCharType="end"/>
      </w:r>
    </w:p>
    <w:p w14:paraId="7286BAB4" w14:textId="6261D2E2" w:rsidR="00A85BA9" w:rsidRDefault="00A85BA9">
      <w:pPr>
        <w:pStyle w:val="TOC4"/>
        <w:rPr>
          <w:rFonts w:asciiTheme="minorHAnsi" w:eastAsiaTheme="minorEastAsia" w:hAnsiTheme="minorHAnsi" w:cstheme="minorBidi"/>
          <w:b w:val="0"/>
          <w:noProof/>
          <w:kern w:val="0"/>
          <w:sz w:val="22"/>
          <w:szCs w:val="22"/>
        </w:rPr>
      </w:pPr>
      <w:r>
        <w:rPr>
          <w:noProof/>
        </w:rPr>
        <w:t>If an enabling Act has special requirements for tabling or disallowance</w:t>
      </w:r>
      <w:r>
        <w:rPr>
          <w:noProof/>
        </w:rPr>
        <w:tab/>
      </w:r>
      <w:r>
        <w:rPr>
          <w:noProof/>
        </w:rPr>
        <w:fldChar w:fldCharType="begin"/>
      </w:r>
      <w:r>
        <w:rPr>
          <w:noProof/>
        </w:rPr>
        <w:instrText xml:space="preserve"> PAGEREF _Toc112918835 \h </w:instrText>
      </w:r>
      <w:r>
        <w:rPr>
          <w:noProof/>
        </w:rPr>
      </w:r>
      <w:r>
        <w:rPr>
          <w:noProof/>
        </w:rPr>
        <w:fldChar w:fldCharType="separate"/>
      </w:r>
      <w:r>
        <w:rPr>
          <w:noProof/>
        </w:rPr>
        <w:t>71</w:t>
      </w:r>
      <w:r>
        <w:rPr>
          <w:noProof/>
        </w:rPr>
        <w:fldChar w:fldCharType="end"/>
      </w:r>
    </w:p>
    <w:p w14:paraId="35B58680" w14:textId="08766D65" w:rsidR="00A85BA9" w:rsidRDefault="00A85BA9">
      <w:pPr>
        <w:pStyle w:val="TOC3"/>
        <w:rPr>
          <w:rFonts w:asciiTheme="minorHAnsi" w:eastAsiaTheme="minorEastAsia" w:hAnsiTheme="minorHAnsi" w:cstheme="minorBidi"/>
          <w:b w:val="0"/>
          <w:noProof/>
          <w:kern w:val="0"/>
          <w:szCs w:val="22"/>
        </w:rPr>
      </w:pPr>
      <w:r>
        <w:rPr>
          <w:noProof/>
        </w:rPr>
        <w:t>Responsibility for delivering instruments for tabling</w:t>
      </w:r>
      <w:r>
        <w:rPr>
          <w:noProof/>
        </w:rPr>
        <w:tab/>
      </w:r>
      <w:r>
        <w:rPr>
          <w:noProof/>
        </w:rPr>
        <w:fldChar w:fldCharType="begin"/>
      </w:r>
      <w:r>
        <w:rPr>
          <w:noProof/>
        </w:rPr>
        <w:instrText xml:space="preserve"> PAGEREF _Toc112918836 \h </w:instrText>
      </w:r>
      <w:r>
        <w:rPr>
          <w:noProof/>
        </w:rPr>
      </w:r>
      <w:r>
        <w:rPr>
          <w:noProof/>
        </w:rPr>
        <w:fldChar w:fldCharType="separate"/>
      </w:r>
      <w:r>
        <w:rPr>
          <w:noProof/>
        </w:rPr>
        <w:t>71</w:t>
      </w:r>
      <w:r>
        <w:rPr>
          <w:noProof/>
        </w:rPr>
        <w:fldChar w:fldCharType="end"/>
      </w:r>
    </w:p>
    <w:p w14:paraId="0FF5A0C3" w14:textId="5B1541FF" w:rsidR="00A85BA9" w:rsidRDefault="00A85BA9">
      <w:pPr>
        <w:pStyle w:val="TOC4"/>
        <w:rPr>
          <w:rFonts w:asciiTheme="minorHAnsi" w:eastAsiaTheme="minorEastAsia" w:hAnsiTheme="minorHAnsi" w:cstheme="minorBidi"/>
          <w:b w:val="0"/>
          <w:noProof/>
          <w:kern w:val="0"/>
          <w:sz w:val="22"/>
          <w:szCs w:val="22"/>
        </w:rPr>
      </w:pPr>
      <w:r>
        <w:rPr>
          <w:noProof/>
        </w:rPr>
        <w:t>If either House requires more information</w:t>
      </w:r>
      <w:r>
        <w:rPr>
          <w:noProof/>
        </w:rPr>
        <w:tab/>
      </w:r>
      <w:r>
        <w:rPr>
          <w:noProof/>
        </w:rPr>
        <w:fldChar w:fldCharType="begin"/>
      </w:r>
      <w:r>
        <w:rPr>
          <w:noProof/>
        </w:rPr>
        <w:instrText xml:space="preserve"> PAGEREF _Toc112918837 \h </w:instrText>
      </w:r>
      <w:r>
        <w:rPr>
          <w:noProof/>
        </w:rPr>
      </w:r>
      <w:r>
        <w:rPr>
          <w:noProof/>
        </w:rPr>
        <w:fldChar w:fldCharType="separate"/>
      </w:r>
      <w:r>
        <w:rPr>
          <w:noProof/>
        </w:rPr>
        <w:t>72</w:t>
      </w:r>
      <w:r>
        <w:rPr>
          <w:noProof/>
        </w:rPr>
        <w:fldChar w:fldCharType="end"/>
      </w:r>
    </w:p>
    <w:p w14:paraId="5D251E86" w14:textId="6852196B" w:rsidR="00A85BA9" w:rsidRDefault="00A85BA9">
      <w:pPr>
        <w:pStyle w:val="TOC4"/>
        <w:rPr>
          <w:rFonts w:asciiTheme="minorHAnsi" w:eastAsiaTheme="minorEastAsia" w:hAnsiTheme="minorHAnsi" w:cstheme="minorBidi"/>
          <w:b w:val="0"/>
          <w:noProof/>
          <w:kern w:val="0"/>
          <w:sz w:val="22"/>
          <w:szCs w:val="22"/>
        </w:rPr>
      </w:pPr>
      <w:r>
        <w:rPr>
          <w:noProof/>
        </w:rPr>
        <w:t>If extra documents need to be tabled or made available</w:t>
      </w:r>
      <w:r>
        <w:rPr>
          <w:noProof/>
        </w:rPr>
        <w:tab/>
      </w:r>
      <w:r>
        <w:rPr>
          <w:noProof/>
        </w:rPr>
        <w:fldChar w:fldCharType="begin"/>
      </w:r>
      <w:r>
        <w:rPr>
          <w:noProof/>
        </w:rPr>
        <w:instrText xml:space="preserve"> PAGEREF _Toc112918838 \h </w:instrText>
      </w:r>
      <w:r>
        <w:rPr>
          <w:noProof/>
        </w:rPr>
      </w:r>
      <w:r>
        <w:rPr>
          <w:noProof/>
        </w:rPr>
        <w:fldChar w:fldCharType="separate"/>
      </w:r>
      <w:r>
        <w:rPr>
          <w:noProof/>
        </w:rPr>
        <w:t>72</w:t>
      </w:r>
      <w:r>
        <w:rPr>
          <w:noProof/>
        </w:rPr>
        <w:fldChar w:fldCharType="end"/>
      </w:r>
    </w:p>
    <w:p w14:paraId="7410D1AB" w14:textId="0769E080" w:rsidR="00A85BA9" w:rsidRDefault="00A85BA9">
      <w:pPr>
        <w:pStyle w:val="TOC3"/>
        <w:rPr>
          <w:rFonts w:asciiTheme="minorHAnsi" w:eastAsiaTheme="minorEastAsia" w:hAnsiTheme="minorHAnsi" w:cstheme="minorBidi"/>
          <w:b w:val="0"/>
          <w:noProof/>
          <w:kern w:val="0"/>
          <w:szCs w:val="22"/>
        </w:rPr>
      </w:pPr>
      <w:r>
        <w:rPr>
          <w:noProof/>
        </w:rPr>
        <w:t>Disallowance</w:t>
      </w:r>
      <w:r>
        <w:rPr>
          <w:noProof/>
        </w:rPr>
        <w:tab/>
      </w:r>
      <w:r>
        <w:rPr>
          <w:noProof/>
        </w:rPr>
        <w:fldChar w:fldCharType="begin"/>
      </w:r>
      <w:r>
        <w:rPr>
          <w:noProof/>
        </w:rPr>
        <w:instrText xml:space="preserve"> PAGEREF _Toc112918839 \h </w:instrText>
      </w:r>
      <w:r>
        <w:rPr>
          <w:noProof/>
        </w:rPr>
      </w:r>
      <w:r>
        <w:rPr>
          <w:noProof/>
        </w:rPr>
        <w:fldChar w:fldCharType="separate"/>
      </w:r>
      <w:r>
        <w:rPr>
          <w:noProof/>
        </w:rPr>
        <w:t>73</w:t>
      </w:r>
      <w:r>
        <w:rPr>
          <w:noProof/>
        </w:rPr>
        <w:fldChar w:fldCharType="end"/>
      </w:r>
    </w:p>
    <w:p w14:paraId="444888E7" w14:textId="76161168" w:rsidR="00A85BA9" w:rsidRDefault="00A85BA9">
      <w:pPr>
        <w:pStyle w:val="TOC4"/>
        <w:rPr>
          <w:rFonts w:asciiTheme="minorHAnsi" w:eastAsiaTheme="minorEastAsia" w:hAnsiTheme="minorHAnsi" w:cstheme="minorBidi"/>
          <w:b w:val="0"/>
          <w:noProof/>
          <w:kern w:val="0"/>
          <w:sz w:val="22"/>
          <w:szCs w:val="22"/>
        </w:rPr>
      </w:pPr>
      <w:r>
        <w:rPr>
          <w:noProof/>
        </w:rPr>
        <w:t>What instruments are exempt from disallowance</w:t>
      </w:r>
      <w:r>
        <w:rPr>
          <w:noProof/>
        </w:rPr>
        <w:tab/>
      </w:r>
      <w:r>
        <w:rPr>
          <w:noProof/>
        </w:rPr>
        <w:fldChar w:fldCharType="begin"/>
      </w:r>
      <w:r>
        <w:rPr>
          <w:noProof/>
        </w:rPr>
        <w:instrText xml:space="preserve"> PAGEREF _Toc112918840 \h </w:instrText>
      </w:r>
      <w:r>
        <w:rPr>
          <w:noProof/>
        </w:rPr>
      </w:r>
      <w:r>
        <w:rPr>
          <w:noProof/>
        </w:rPr>
        <w:fldChar w:fldCharType="separate"/>
      </w:r>
      <w:r>
        <w:rPr>
          <w:noProof/>
        </w:rPr>
        <w:t>73</w:t>
      </w:r>
      <w:r>
        <w:rPr>
          <w:noProof/>
        </w:rPr>
        <w:fldChar w:fldCharType="end"/>
      </w:r>
    </w:p>
    <w:p w14:paraId="2DB8E275" w14:textId="01EA15F2" w:rsidR="00A85BA9" w:rsidRDefault="00A85BA9">
      <w:pPr>
        <w:pStyle w:val="TOC4"/>
        <w:rPr>
          <w:rFonts w:asciiTheme="minorHAnsi" w:eastAsiaTheme="minorEastAsia" w:hAnsiTheme="minorHAnsi" w:cstheme="minorBidi"/>
          <w:b w:val="0"/>
          <w:noProof/>
          <w:kern w:val="0"/>
          <w:sz w:val="22"/>
          <w:szCs w:val="22"/>
        </w:rPr>
      </w:pPr>
      <w:r>
        <w:rPr>
          <w:noProof/>
        </w:rPr>
        <w:t>When instruments are open to disallowance</w:t>
      </w:r>
      <w:r>
        <w:rPr>
          <w:noProof/>
        </w:rPr>
        <w:tab/>
      </w:r>
      <w:r>
        <w:rPr>
          <w:noProof/>
        </w:rPr>
        <w:fldChar w:fldCharType="begin"/>
      </w:r>
      <w:r>
        <w:rPr>
          <w:noProof/>
        </w:rPr>
        <w:instrText xml:space="preserve"> PAGEREF _Toc112918841 \h </w:instrText>
      </w:r>
      <w:r>
        <w:rPr>
          <w:noProof/>
        </w:rPr>
      </w:r>
      <w:r>
        <w:rPr>
          <w:noProof/>
        </w:rPr>
        <w:fldChar w:fldCharType="separate"/>
      </w:r>
      <w:r>
        <w:rPr>
          <w:noProof/>
        </w:rPr>
        <w:t>73</w:t>
      </w:r>
      <w:r>
        <w:rPr>
          <w:noProof/>
        </w:rPr>
        <w:fldChar w:fldCharType="end"/>
      </w:r>
    </w:p>
    <w:p w14:paraId="28D4627F" w14:textId="43F43359" w:rsidR="00A85BA9" w:rsidRDefault="00A85BA9">
      <w:pPr>
        <w:pStyle w:val="TOC4"/>
        <w:rPr>
          <w:rFonts w:asciiTheme="minorHAnsi" w:eastAsiaTheme="minorEastAsia" w:hAnsiTheme="minorHAnsi" w:cstheme="minorBidi"/>
          <w:b w:val="0"/>
          <w:noProof/>
          <w:kern w:val="0"/>
          <w:sz w:val="22"/>
          <w:szCs w:val="22"/>
        </w:rPr>
      </w:pPr>
      <w:r>
        <w:rPr>
          <w:noProof/>
        </w:rPr>
        <w:t>How notice of motion to disallow may be resolved</w:t>
      </w:r>
      <w:r>
        <w:rPr>
          <w:noProof/>
        </w:rPr>
        <w:tab/>
      </w:r>
      <w:r>
        <w:rPr>
          <w:noProof/>
        </w:rPr>
        <w:fldChar w:fldCharType="begin"/>
      </w:r>
      <w:r>
        <w:rPr>
          <w:noProof/>
        </w:rPr>
        <w:instrText xml:space="preserve"> PAGEREF _Toc112918842 \h </w:instrText>
      </w:r>
      <w:r>
        <w:rPr>
          <w:noProof/>
        </w:rPr>
      </w:r>
      <w:r>
        <w:rPr>
          <w:noProof/>
        </w:rPr>
        <w:fldChar w:fldCharType="separate"/>
      </w:r>
      <w:r>
        <w:rPr>
          <w:noProof/>
        </w:rPr>
        <w:t>74</w:t>
      </w:r>
      <w:r>
        <w:rPr>
          <w:noProof/>
        </w:rPr>
        <w:fldChar w:fldCharType="end"/>
      </w:r>
    </w:p>
    <w:p w14:paraId="76D35A41" w14:textId="1D4147C6" w:rsidR="00A85BA9" w:rsidRDefault="00A85BA9">
      <w:pPr>
        <w:pStyle w:val="TOC4"/>
        <w:rPr>
          <w:rFonts w:asciiTheme="minorHAnsi" w:eastAsiaTheme="minorEastAsia" w:hAnsiTheme="minorHAnsi" w:cstheme="minorBidi"/>
          <w:b w:val="0"/>
          <w:noProof/>
          <w:kern w:val="0"/>
          <w:sz w:val="22"/>
          <w:szCs w:val="22"/>
        </w:rPr>
      </w:pPr>
      <w:r>
        <w:rPr>
          <w:noProof/>
        </w:rPr>
        <w:t>If notice of motion to disallow has been given</w:t>
      </w:r>
      <w:r>
        <w:rPr>
          <w:noProof/>
        </w:rPr>
        <w:tab/>
      </w:r>
      <w:r>
        <w:rPr>
          <w:noProof/>
        </w:rPr>
        <w:fldChar w:fldCharType="begin"/>
      </w:r>
      <w:r>
        <w:rPr>
          <w:noProof/>
        </w:rPr>
        <w:instrText xml:space="preserve"> PAGEREF _Toc112918843 \h </w:instrText>
      </w:r>
      <w:r>
        <w:rPr>
          <w:noProof/>
        </w:rPr>
      </w:r>
      <w:r>
        <w:rPr>
          <w:noProof/>
        </w:rPr>
        <w:fldChar w:fldCharType="separate"/>
      </w:r>
      <w:r>
        <w:rPr>
          <w:noProof/>
        </w:rPr>
        <w:t>74</w:t>
      </w:r>
      <w:r>
        <w:rPr>
          <w:noProof/>
        </w:rPr>
        <w:fldChar w:fldCharType="end"/>
      </w:r>
    </w:p>
    <w:p w14:paraId="253A71B1" w14:textId="0AB2DE48" w:rsidR="00A85BA9" w:rsidRDefault="00A85BA9">
      <w:pPr>
        <w:pStyle w:val="TOC4"/>
        <w:rPr>
          <w:rFonts w:asciiTheme="minorHAnsi" w:eastAsiaTheme="minorEastAsia" w:hAnsiTheme="minorHAnsi" w:cstheme="minorBidi"/>
          <w:b w:val="0"/>
          <w:noProof/>
          <w:kern w:val="0"/>
          <w:sz w:val="22"/>
          <w:szCs w:val="22"/>
        </w:rPr>
      </w:pPr>
      <w:r>
        <w:rPr>
          <w:noProof/>
        </w:rPr>
        <w:t>If notice of motion to disallow has passed</w:t>
      </w:r>
      <w:r>
        <w:rPr>
          <w:noProof/>
        </w:rPr>
        <w:tab/>
      </w:r>
      <w:r>
        <w:rPr>
          <w:noProof/>
        </w:rPr>
        <w:fldChar w:fldCharType="begin"/>
      </w:r>
      <w:r>
        <w:rPr>
          <w:noProof/>
        </w:rPr>
        <w:instrText xml:space="preserve"> PAGEREF _Toc112918844 \h </w:instrText>
      </w:r>
      <w:r>
        <w:rPr>
          <w:noProof/>
        </w:rPr>
      </w:r>
      <w:r>
        <w:rPr>
          <w:noProof/>
        </w:rPr>
        <w:fldChar w:fldCharType="separate"/>
      </w:r>
      <w:r>
        <w:rPr>
          <w:noProof/>
        </w:rPr>
        <w:t>75</w:t>
      </w:r>
      <w:r>
        <w:rPr>
          <w:noProof/>
        </w:rPr>
        <w:fldChar w:fldCharType="end"/>
      </w:r>
    </w:p>
    <w:p w14:paraId="4E28535D" w14:textId="06E5B036" w:rsidR="00A85BA9" w:rsidRDefault="00A85BA9">
      <w:pPr>
        <w:pStyle w:val="TOC3"/>
        <w:rPr>
          <w:rFonts w:asciiTheme="minorHAnsi" w:eastAsiaTheme="minorEastAsia" w:hAnsiTheme="minorHAnsi" w:cstheme="minorBidi"/>
          <w:b w:val="0"/>
          <w:noProof/>
          <w:kern w:val="0"/>
          <w:szCs w:val="22"/>
        </w:rPr>
      </w:pPr>
      <w:r>
        <w:rPr>
          <w:noProof/>
        </w:rPr>
        <w:t>Restrictions on remaking instruments before and after tabling</w:t>
      </w:r>
      <w:r>
        <w:rPr>
          <w:noProof/>
        </w:rPr>
        <w:tab/>
      </w:r>
      <w:r>
        <w:rPr>
          <w:noProof/>
        </w:rPr>
        <w:fldChar w:fldCharType="begin"/>
      </w:r>
      <w:r>
        <w:rPr>
          <w:noProof/>
        </w:rPr>
        <w:instrText xml:space="preserve"> PAGEREF _Toc112918845 \h </w:instrText>
      </w:r>
      <w:r>
        <w:rPr>
          <w:noProof/>
        </w:rPr>
      </w:r>
      <w:r>
        <w:rPr>
          <w:noProof/>
        </w:rPr>
        <w:fldChar w:fldCharType="separate"/>
      </w:r>
      <w:r>
        <w:rPr>
          <w:noProof/>
        </w:rPr>
        <w:t>75</w:t>
      </w:r>
      <w:r>
        <w:rPr>
          <w:noProof/>
        </w:rPr>
        <w:fldChar w:fldCharType="end"/>
      </w:r>
    </w:p>
    <w:p w14:paraId="7C12FC3C" w14:textId="238BA161" w:rsidR="00A85BA9" w:rsidRDefault="00A85BA9">
      <w:pPr>
        <w:pStyle w:val="TOC2"/>
        <w:rPr>
          <w:rFonts w:asciiTheme="minorHAnsi" w:eastAsiaTheme="minorEastAsia" w:hAnsiTheme="minorHAnsi" w:cstheme="minorBidi"/>
          <w:b w:val="0"/>
          <w:noProof/>
          <w:kern w:val="0"/>
          <w:sz w:val="22"/>
          <w:szCs w:val="22"/>
        </w:rPr>
      </w:pPr>
      <w:r>
        <w:rPr>
          <w:noProof/>
        </w:rPr>
        <w:t>Chapter 10—Sunsetting</w:t>
      </w:r>
      <w:r>
        <w:rPr>
          <w:noProof/>
        </w:rPr>
        <w:tab/>
      </w:r>
      <w:r>
        <w:rPr>
          <w:noProof/>
        </w:rPr>
        <w:fldChar w:fldCharType="begin"/>
      </w:r>
      <w:r>
        <w:rPr>
          <w:noProof/>
        </w:rPr>
        <w:instrText xml:space="preserve"> PAGEREF _Toc112918846 \h </w:instrText>
      </w:r>
      <w:r>
        <w:rPr>
          <w:noProof/>
        </w:rPr>
      </w:r>
      <w:r>
        <w:rPr>
          <w:noProof/>
        </w:rPr>
        <w:fldChar w:fldCharType="separate"/>
      </w:r>
      <w:r>
        <w:rPr>
          <w:noProof/>
        </w:rPr>
        <w:t>77</w:t>
      </w:r>
      <w:r>
        <w:rPr>
          <w:noProof/>
        </w:rPr>
        <w:fldChar w:fldCharType="end"/>
      </w:r>
    </w:p>
    <w:p w14:paraId="7F6387BF" w14:textId="133BACD0" w:rsidR="00A85BA9" w:rsidRDefault="00A85BA9" w:rsidP="00A85BA9">
      <w:pPr>
        <w:pStyle w:val="TOC3"/>
        <w:ind w:left="426" w:hanging="1"/>
        <w:rPr>
          <w:rFonts w:asciiTheme="minorHAnsi" w:eastAsiaTheme="minorEastAsia" w:hAnsiTheme="minorHAnsi" w:cstheme="minorBidi"/>
          <w:b w:val="0"/>
          <w:noProof/>
          <w:kern w:val="0"/>
          <w:szCs w:val="22"/>
        </w:rPr>
      </w:pPr>
      <w:r>
        <w:rPr>
          <w:noProof/>
        </w:rPr>
        <w:t>Background</w:t>
      </w:r>
      <w:r>
        <w:rPr>
          <w:noProof/>
        </w:rPr>
        <w:tab/>
      </w:r>
      <w:r>
        <w:rPr>
          <w:noProof/>
        </w:rPr>
        <w:fldChar w:fldCharType="begin"/>
      </w:r>
      <w:r>
        <w:rPr>
          <w:noProof/>
        </w:rPr>
        <w:instrText xml:space="preserve"> PAGEREF _Toc112918847 \h </w:instrText>
      </w:r>
      <w:r>
        <w:rPr>
          <w:noProof/>
        </w:rPr>
      </w:r>
      <w:r>
        <w:rPr>
          <w:noProof/>
        </w:rPr>
        <w:fldChar w:fldCharType="separate"/>
      </w:r>
      <w:r>
        <w:rPr>
          <w:noProof/>
        </w:rPr>
        <w:t>77</w:t>
      </w:r>
      <w:r>
        <w:rPr>
          <w:noProof/>
        </w:rPr>
        <w:fldChar w:fldCharType="end"/>
      </w:r>
    </w:p>
    <w:p w14:paraId="285BB7A1" w14:textId="6FBF3200" w:rsidR="00A85BA9" w:rsidRDefault="00A85BA9">
      <w:pPr>
        <w:pStyle w:val="TOC3"/>
        <w:rPr>
          <w:rFonts w:asciiTheme="minorHAnsi" w:eastAsiaTheme="minorEastAsia" w:hAnsiTheme="minorHAnsi" w:cstheme="minorBidi"/>
          <w:b w:val="0"/>
          <w:noProof/>
          <w:kern w:val="0"/>
          <w:szCs w:val="22"/>
        </w:rPr>
      </w:pPr>
      <w:r>
        <w:rPr>
          <w:noProof/>
        </w:rPr>
        <w:t>How sunsetting works</w:t>
      </w:r>
      <w:r>
        <w:rPr>
          <w:noProof/>
        </w:rPr>
        <w:tab/>
      </w:r>
      <w:r>
        <w:rPr>
          <w:noProof/>
        </w:rPr>
        <w:fldChar w:fldCharType="begin"/>
      </w:r>
      <w:r>
        <w:rPr>
          <w:noProof/>
        </w:rPr>
        <w:instrText xml:space="preserve"> PAGEREF _Toc112918848 \h </w:instrText>
      </w:r>
      <w:r>
        <w:rPr>
          <w:noProof/>
        </w:rPr>
      </w:r>
      <w:r>
        <w:rPr>
          <w:noProof/>
        </w:rPr>
        <w:fldChar w:fldCharType="separate"/>
      </w:r>
      <w:r>
        <w:rPr>
          <w:noProof/>
        </w:rPr>
        <w:t>78</w:t>
      </w:r>
      <w:r>
        <w:rPr>
          <w:noProof/>
        </w:rPr>
        <w:fldChar w:fldCharType="end"/>
      </w:r>
    </w:p>
    <w:p w14:paraId="61A05E19" w14:textId="69C950B1" w:rsidR="00A85BA9" w:rsidRDefault="00A85BA9">
      <w:pPr>
        <w:pStyle w:val="TOC4"/>
        <w:rPr>
          <w:rFonts w:asciiTheme="minorHAnsi" w:eastAsiaTheme="minorEastAsia" w:hAnsiTheme="minorHAnsi" w:cstheme="minorBidi"/>
          <w:b w:val="0"/>
          <w:noProof/>
          <w:kern w:val="0"/>
          <w:sz w:val="22"/>
          <w:szCs w:val="22"/>
        </w:rPr>
      </w:pPr>
      <w:r>
        <w:rPr>
          <w:noProof/>
        </w:rPr>
        <w:t>What instruments are exempt from sunsetting</w:t>
      </w:r>
      <w:r>
        <w:rPr>
          <w:noProof/>
        </w:rPr>
        <w:tab/>
      </w:r>
      <w:r>
        <w:rPr>
          <w:noProof/>
        </w:rPr>
        <w:fldChar w:fldCharType="begin"/>
      </w:r>
      <w:r>
        <w:rPr>
          <w:noProof/>
        </w:rPr>
        <w:instrText xml:space="preserve"> PAGEREF _Toc112918849 \h </w:instrText>
      </w:r>
      <w:r>
        <w:rPr>
          <w:noProof/>
        </w:rPr>
      </w:r>
      <w:r>
        <w:rPr>
          <w:noProof/>
        </w:rPr>
        <w:fldChar w:fldCharType="separate"/>
      </w:r>
      <w:r>
        <w:rPr>
          <w:noProof/>
        </w:rPr>
        <w:t>78</w:t>
      </w:r>
      <w:r>
        <w:rPr>
          <w:noProof/>
        </w:rPr>
        <w:fldChar w:fldCharType="end"/>
      </w:r>
    </w:p>
    <w:p w14:paraId="6046D147" w14:textId="1EE0B1BE" w:rsidR="00A85BA9" w:rsidRDefault="00A85BA9">
      <w:pPr>
        <w:pStyle w:val="TOC4"/>
        <w:rPr>
          <w:rFonts w:asciiTheme="minorHAnsi" w:eastAsiaTheme="minorEastAsia" w:hAnsiTheme="minorHAnsi" w:cstheme="minorBidi"/>
          <w:b w:val="0"/>
          <w:noProof/>
          <w:kern w:val="0"/>
          <w:sz w:val="22"/>
          <w:szCs w:val="22"/>
        </w:rPr>
      </w:pPr>
      <w:r>
        <w:rPr>
          <w:noProof/>
        </w:rPr>
        <w:t>When instruments sunset</w:t>
      </w:r>
      <w:r>
        <w:rPr>
          <w:noProof/>
        </w:rPr>
        <w:tab/>
      </w:r>
      <w:r>
        <w:rPr>
          <w:noProof/>
        </w:rPr>
        <w:fldChar w:fldCharType="begin"/>
      </w:r>
      <w:r>
        <w:rPr>
          <w:noProof/>
        </w:rPr>
        <w:instrText xml:space="preserve"> PAGEREF _Toc112918850 \h </w:instrText>
      </w:r>
      <w:r>
        <w:rPr>
          <w:noProof/>
        </w:rPr>
      </w:r>
      <w:r>
        <w:rPr>
          <w:noProof/>
        </w:rPr>
        <w:fldChar w:fldCharType="separate"/>
      </w:r>
      <w:r>
        <w:rPr>
          <w:noProof/>
        </w:rPr>
        <w:t>79</w:t>
      </w:r>
      <w:r>
        <w:rPr>
          <w:noProof/>
        </w:rPr>
        <w:fldChar w:fldCharType="end"/>
      </w:r>
    </w:p>
    <w:p w14:paraId="17D775B9" w14:textId="6307244F" w:rsidR="00A85BA9" w:rsidRDefault="00A85BA9">
      <w:pPr>
        <w:pStyle w:val="TOC4"/>
        <w:rPr>
          <w:rFonts w:asciiTheme="minorHAnsi" w:eastAsiaTheme="minorEastAsia" w:hAnsiTheme="minorHAnsi" w:cstheme="minorBidi"/>
          <w:b w:val="0"/>
          <w:noProof/>
          <w:kern w:val="0"/>
          <w:sz w:val="22"/>
          <w:szCs w:val="22"/>
        </w:rPr>
      </w:pPr>
      <w:r>
        <w:rPr>
          <w:noProof/>
        </w:rPr>
        <w:t>Advance notice of sunsetting</w:t>
      </w:r>
      <w:r>
        <w:rPr>
          <w:noProof/>
        </w:rPr>
        <w:tab/>
      </w:r>
      <w:r>
        <w:rPr>
          <w:noProof/>
        </w:rPr>
        <w:fldChar w:fldCharType="begin"/>
      </w:r>
      <w:r>
        <w:rPr>
          <w:noProof/>
        </w:rPr>
        <w:instrText xml:space="preserve"> PAGEREF _Toc112918851 \h </w:instrText>
      </w:r>
      <w:r>
        <w:rPr>
          <w:noProof/>
        </w:rPr>
      </w:r>
      <w:r>
        <w:rPr>
          <w:noProof/>
        </w:rPr>
        <w:fldChar w:fldCharType="separate"/>
      </w:r>
      <w:r>
        <w:rPr>
          <w:noProof/>
        </w:rPr>
        <w:t>79</w:t>
      </w:r>
      <w:r>
        <w:rPr>
          <w:noProof/>
        </w:rPr>
        <w:fldChar w:fldCharType="end"/>
      </w:r>
    </w:p>
    <w:p w14:paraId="3FCC0762" w14:textId="7FE4C3CC" w:rsidR="00A85BA9" w:rsidRDefault="00A85BA9">
      <w:pPr>
        <w:pStyle w:val="TOC3"/>
        <w:rPr>
          <w:rFonts w:asciiTheme="minorHAnsi" w:eastAsiaTheme="minorEastAsia" w:hAnsiTheme="minorHAnsi" w:cstheme="minorBidi"/>
          <w:b w:val="0"/>
          <w:noProof/>
          <w:kern w:val="0"/>
          <w:szCs w:val="22"/>
        </w:rPr>
      </w:pPr>
      <w:r>
        <w:rPr>
          <w:noProof/>
        </w:rPr>
        <w:t>What to do about sunsetting</w:t>
      </w:r>
      <w:r>
        <w:rPr>
          <w:noProof/>
        </w:rPr>
        <w:tab/>
      </w:r>
      <w:r>
        <w:rPr>
          <w:noProof/>
        </w:rPr>
        <w:fldChar w:fldCharType="begin"/>
      </w:r>
      <w:r>
        <w:rPr>
          <w:noProof/>
        </w:rPr>
        <w:instrText xml:space="preserve"> PAGEREF _Toc112918852 \h </w:instrText>
      </w:r>
      <w:r>
        <w:rPr>
          <w:noProof/>
        </w:rPr>
      </w:r>
      <w:r>
        <w:rPr>
          <w:noProof/>
        </w:rPr>
        <w:fldChar w:fldCharType="separate"/>
      </w:r>
      <w:r>
        <w:rPr>
          <w:noProof/>
        </w:rPr>
        <w:t>80</w:t>
      </w:r>
      <w:r>
        <w:rPr>
          <w:noProof/>
        </w:rPr>
        <w:fldChar w:fldCharType="end"/>
      </w:r>
    </w:p>
    <w:p w14:paraId="114417E4" w14:textId="6E7D469D" w:rsidR="00A85BA9" w:rsidRDefault="00A85BA9">
      <w:pPr>
        <w:pStyle w:val="TOC3"/>
        <w:rPr>
          <w:rFonts w:asciiTheme="minorHAnsi" w:eastAsiaTheme="minorEastAsia" w:hAnsiTheme="minorHAnsi" w:cstheme="minorBidi"/>
          <w:b w:val="0"/>
          <w:noProof/>
          <w:kern w:val="0"/>
          <w:szCs w:val="22"/>
        </w:rPr>
      </w:pPr>
      <w:r>
        <w:rPr>
          <w:noProof/>
        </w:rPr>
        <w:t>Scope to negotiate minor changes in sunset date</w:t>
      </w:r>
      <w:r>
        <w:rPr>
          <w:noProof/>
        </w:rPr>
        <w:tab/>
      </w:r>
      <w:r>
        <w:rPr>
          <w:noProof/>
        </w:rPr>
        <w:fldChar w:fldCharType="begin"/>
      </w:r>
      <w:r>
        <w:rPr>
          <w:noProof/>
        </w:rPr>
        <w:instrText xml:space="preserve"> PAGEREF _Toc112918853 \h </w:instrText>
      </w:r>
      <w:r>
        <w:rPr>
          <w:noProof/>
        </w:rPr>
      </w:r>
      <w:r>
        <w:rPr>
          <w:noProof/>
        </w:rPr>
        <w:fldChar w:fldCharType="separate"/>
      </w:r>
      <w:r>
        <w:rPr>
          <w:noProof/>
        </w:rPr>
        <w:t>80</w:t>
      </w:r>
      <w:r>
        <w:rPr>
          <w:noProof/>
        </w:rPr>
        <w:fldChar w:fldCharType="end"/>
      </w:r>
    </w:p>
    <w:p w14:paraId="7C553EC5" w14:textId="5675A33B" w:rsidR="00A85BA9" w:rsidRDefault="00A85BA9">
      <w:pPr>
        <w:pStyle w:val="TOC4"/>
        <w:rPr>
          <w:rFonts w:asciiTheme="minorHAnsi" w:eastAsiaTheme="minorEastAsia" w:hAnsiTheme="minorHAnsi" w:cstheme="minorBidi"/>
          <w:b w:val="0"/>
          <w:noProof/>
          <w:kern w:val="0"/>
          <w:sz w:val="22"/>
          <w:szCs w:val="22"/>
        </w:rPr>
      </w:pPr>
      <w:r>
        <w:rPr>
          <w:noProof/>
        </w:rPr>
        <w:t>Declaration of thematic review under section 51A of the LA</w:t>
      </w:r>
      <w:r>
        <w:rPr>
          <w:noProof/>
        </w:rPr>
        <w:tab/>
      </w:r>
      <w:r>
        <w:rPr>
          <w:noProof/>
        </w:rPr>
        <w:fldChar w:fldCharType="begin"/>
      </w:r>
      <w:r>
        <w:rPr>
          <w:noProof/>
        </w:rPr>
        <w:instrText xml:space="preserve"> PAGEREF _Toc112918854 \h </w:instrText>
      </w:r>
      <w:r>
        <w:rPr>
          <w:noProof/>
        </w:rPr>
      </w:r>
      <w:r>
        <w:rPr>
          <w:noProof/>
        </w:rPr>
        <w:fldChar w:fldCharType="separate"/>
      </w:r>
      <w:r>
        <w:rPr>
          <w:noProof/>
        </w:rPr>
        <w:t>81</w:t>
      </w:r>
      <w:r>
        <w:rPr>
          <w:noProof/>
        </w:rPr>
        <w:fldChar w:fldCharType="end"/>
      </w:r>
    </w:p>
    <w:p w14:paraId="6D560D91" w14:textId="50E9A7ED" w:rsidR="00A85BA9" w:rsidRDefault="00A85BA9">
      <w:pPr>
        <w:pStyle w:val="TOC4"/>
        <w:rPr>
          <w:rFonts w:asciiTheme="minorHAnsi" w:eastAsiaTheme="minorEastAsia" w:hAnsiTheme="minorHAnsi" w:cstheme="minorBidi"/>
          <w:b w:val="0"/>
          <w:noProof/>
          <w:kern w:val="0"/>
          <w:sz w:val="22"/>
          <w:szCs w:val="22"/>
        </w:rPr>
      </w:pPr>
      <w:r>
        <w:rPr>
          <w:noProof/>
        </w:rPr>
        <w:t>Attorney</w:t>
      </w:r>
      <w:r>
        <w:rPr>
          <w:noProof/>
        </w:rPr>
        <w:noBreakHyphen/>
        <w:t>General’s certificate under section 51 of the LA</w:t>
      </w:r>
      <w:r>
        <w:rPr>
          <w:noProof/>
        </w:rPr>
        <w:tab/>
      </w:r>
      <w:r>
        <w:rPr>
          <w:noProof/>
        </w:rPr>
        <w:fldChar w:fldCharType="begin"/>
      </w:r>
      <w:r>
        <w:rPr>
          <w:noProof/>
        </w:rPr>
        <w:instrText xml:space="preserve"> PAGEREF _Toc112918855 \h </w:instrText>
      </w:r>
      <w:r>
        <w:rPr>
          <w:noProof/>
        </w:rPr>
      </w:r>
      <w:r>
        <w:rPr>
          <w:noProof/>
        </w:rPr>
        <w:fldChar w:fldCharType="separate"/>
      </w:r>
      <w:r>
        <w:rPr>
          <w:noProof/>
        </w:rPr>
        <w:t>81</w:t>
      </w:r>
      <w:r>
        <w:rPr>
          <w:noProof/>
        </w:rPr>
        <w:fldChar w:fldCharType="end"/>
      </w:r>
    </w:p>
    <w:p w14:paraId="19535336" w14:textId="627A119B" w:rsidR="00A85BA9" w:rsidRDefault="00A85BA9">
      <w:pPr>
        <w:pStyle w:val="TOC3"/>
        <w:rPr>
          <w:rFonts w:asciiTheme="minorHAnsi" w:eastAsiaTheme="minorEastAsia" w:hAnsiTheme="minorHAnsi" w:cstheme="minorBidi"/>
          <w:b w:val="0"/>
          <w:noProof/>
          <w:kern w:val="0"/>
          <w:szCs w:val="22"/>
        </w:rPr>
      </w:pPr>
      <w:r>
        <w:rPr>
          <w:noProof/>
        </w:rPr>
        <w:t>Parliamentary “rollovers”</w:t>
      </w:r>
      <w:r>
        <w:rPr>
          <w:noProof/>
        </w:rPr>
        <w:tab/>
      </w:r>
      <w:r>
        <w:rPr>
          <w:noProof/>
        </w:rPr>
        <w:fldChar w:fldCharType="begin"/>
      </w:r>
      <w:r>
        <w:rPr>
          <w:noProof/>
        </w:rPr>
        <w:instrText xml:space="preserve"> PAGEREF _Toc112918856 \h </w:instrText>
      </w:r>
      <w:r>
        <w:rPr>
          <w:noProof/>
        </w:rPr>
      </w:r>
      <w:r>
        <w:rPr>
          <w:noProof/>
        </w:rPr>
        <w:fldChar w:fldCharType="separate"/>
      </w:r>
      <w:r>
        <w:rPr>
          <w:noProof/>
        </w:rPr>
        <w:t>82</w:t>
      </w:r>
      <w:r>
        <w:rPr>
          <w:noProof/>
        </w:rPr>
        <w:fldChar w:fldCharType="end"/>
      </w:r>
    </w:p>
    <w:p w14:paraId="2CAC08DF" w14:textId="685CFE28" w:rsidR="00A85BA9" w:rsidRDefault="00A85BA9">
      <w:pPr>
        <w:pStyle w:val="TOC4"/>
        <w:rPr>
          <w:rFonts w:asciiTheme="minorHAnsi" w:eastAsiaTheme="minorEastAsia" w:hAnsiTheme="minorHAnsi" w:cstheme="minorBidi"/>
          <w:b w:val="0"/>
          <w:noProof/>
          <w:kern w:val="0"/>
          <w:sz w:val="22"/>
          <w:szCs w:val="22"/>
        </w:rPr>
      </w:pPr>
      <w:r>
        <w:rPr>
          <w:noProof/>
        </w:rPr>
        <w:t>If notice of private rollover motion is given</w:t>
      </w:r>
      <w:r>
        <w:rPr>
          <w:noProof/>
        </w:rPr>
        <w:tab/>
      </w:r>
      <w:r>
        <w:rPr>
          <w:noProof/>
        </w:rPr>
        <w:fldChar w:fldCharType="begin"/>
      </w:r>
      <w:r>
        <w:rPr>
          <w:noProof/>
        </w:rPr>
        <w:instrText xml:space="preserve"> PAGEREF _Toc112918857 \h </w:instrText>
      </w:r>
      <w:r>
        <w:rPr>
          <w:noProof/>
        </w:rPr>
      </w:r>
      <w:r>
        <w:rPr>
          <w:noProof/>
        </w:rPr>
        <w:fldChar w:fldCharType="separate"/>
      </w:r>
      <w:r>
        <w:rPr>
          <w:noProof/>
        </w:rPr>
        <w:t>82</w:t>
      </w:r>
      <w:r>
        <w:rPr>
          <w:noProof/>
        </w:rPr>
        <w:fldChar w:fldCharType="end"/>
      </w:r>
    </w:p>
    <w:p w14:paraId="5EDD2D13" w14:textId="6AAA8F61" w:rsidR="00A85BA9" w:rsidRDefault="00A85BA9">
      <w:pPr>
        <w:pStyle w:val="TOC4"/>
        <w:rPr>
          <w:rFonts w:asciiTheme="minorHAnsi" w:eastAsiaTheme="minorEastAsia" w:hAnsiTheme="minorHAnsi" w:cstheme="minorBidi"/>
          <w:b w:val="0"/>
          <w:noProof/>
          <w:kern w:val="0"/>
          <w:sz w:val="22"/>
          <w:szCs w:val="22"/>
        </w:rPr>
      </w:pPr>
      <w:r>
        <w:rPr>
          <w:noProof/>
        </w:rPr>
        <w:lastRenderedPageBreak/>
        <w:t>When government rollover motion may be appropriate</w:t>
      </w:r>
      <w:r>
        <w:rPr>
          <w:noProof/>
        </w:rPr>
        <w:tab/>
      </w:r>
      <w:r>
        <w:rPr>
          <w:noProof/>
        </w:rPr>
        <w:fldChar w:fldCharType="begin"/>
      </w:r>
      <w:r>
        <w:rPr>
          <w:noProof/>
        </w:rPr>
        <w:instrText xml:space="preserve"> PAGEREF _Toc112918858 \h </w:instrText>
      </w:r>
      <w:r>
        <w:rPr>
          <w:noProof/>
        </w:rPr>
      </w:r>
      <w:r>
        <w:rPr>
          <w:noProof/>
        </w:rPr>
        <w:fldChar w:fldCharType="separate"/>
      </w:r>
      <w:r>
        <w:rPr>
          <w:noProof/>
        </w:rPr>
        <w:t>82</w:t>
      </w:r>
      <w:r>
        <w:rPr>
          <w:noProof/>
        </w:rPr>
        <w:fldChar w:fldCharType="end"/>
      </w:r>
    </w:p>
    <w:p w14:paraId="6617187A" w14:textId="63FC5C11" w:rsidR="00A85BA9" w:rsidRDefault="00A85BA9">
      <w:pPr>
        <w:pStyle w:val="TOC4"/>
        <w:rPr>
          <w:rFonts w:asciiTheme="minorHAnsi" w:eastAsiaTheme="minorEastAsia" w:hAnsiTheme="minorHAnsi" w:cstheme="minorBidi"/>
          <w:b w:val="0"/>
          <w:noProof/>
          <w:kern w:val="0"/>
          <w:sz w:val="22"/>
          <w:szCs w:val="22"/>
        </w:rPr>
      </w:pPr>
      <w:r>
        <w:rPr>
          <w:noProof/>
        </w:rPr>
        <w:t>Tabling of documents for rollover purposes</w:t>
      </w:r>
      <w:r>
        <w:rPr>
          <w:noProof/>
        </w:rPr>
        <w:tab/>
      </w:r>
      <w:r>
        <w:rPr>
          <w:noProof/>
        </w:rPr>
        <w:fldChar w:fldCharType="begin"/>
      </w:r>
      <w:r>
        <w:rPr>
          <w:noProof/>
        </w:rPr>
        <w:instrText xml:space="preserve"> PAGEREF _Toc112918859 \h </w:instrText>
      </w:r>
      <w:r>
        <w:rPr>
          <w:noProof/>
        </w:rPr>
      </w:r>
      <w:r>
        <w:rPr>
          <w:noProof/>
        </w:rPr>
        <w:fldChar w:fldCharType="separate"/>
      </w:r>
      <w:r>
        <w:rPr>
          <w:noProof/>
        </w:rPr>
        <w:t>83</w:t>
      </w:r>
      <w:r>
        <w:rPr>
          <w:noProof/>
        </w:rPr>
        <w:fldChar w:fldCharType="end"/>
      </w:r>
    </w:p>
    <w:p w14:paraId="1F12F3B6" w14:textId="7C3ACC64" w:rsidR="00A85BA9" w:rsidRDefault="00A85BA9">
      <w:pPr>
        <w:pStyle w:val="TOC3"/>
        <w:rPr>
          <w:rFonts w:asciiTheme="minorHAnsi" w:eastAsiaTheme="minorEastAsia" w:hAnsiTheme="minorHAnsi" w:cstheme="minorBidi"/>
          <w:b w:val="0"/>
          <w:noProof/>
          <w:kern w:val="0"/>
          <w:szCs w:val="22"/>
        </w:rPr>
      </w:pPr>
      <w:r>
        <w:rPr>
          <w:noProof/>
        </w:rPr>
        <w:t>Replacement of sunsetting instruments (if required)</w:t>
      </w:r>
      <w:r>
        <w:rPr>
          <w:noProof/>
        </w:rPr>
        <w:tab/>
      </w:r>
      <w:r>
        <w:rPr>
          <w:noProof/>
        </w:rPr>
        <w:fldChar w:fldCharType="begin"/>
      </w:r>
      <w:r>
        <w:rPr>
          <w:noProof/>
        </w:rPr>
        <w:instrText xml:space="preserve"> PAGEREF _Toc112918860 \h </w:instrText>
      </w:r>
      <w:r>
        <w:rPr>
          <w:noProof/>
        </w:rPr>
      </w:r>
      <w:r>
        <w:rPr>
          <w:noProof/>
        </w:rPr>
        <w:fldChar w:fldCharType="separate"/>
      </w:r>
      <w:r>
        <w:rPr>
          <w:noProof/>
        </w:rPr>
        <w:t>83</w:t>
      </w:r>
      <w:r>
        <w:rPr>
          <w:noProof/>
        </w:rPr>
        <w:fldChar w:fldCharType="end"/>
      </w:r>
    </w:p>
    <w:p w14:paraId="351C5C78" w14:textId="11CC528D" w:rsidR="00A85BA9" w:rsidRDefault="00A85BA9">
      <w:pPr>
        <w:pStyle w:val="TOC4"/>
        <w:rPr>
          <w:rFonts w:asciiTheme="minorHAnsi" w:eastAsiaTheme="minorEastAsia" w:hAnsiTheme="minorHAnsi" w:cstheme="minorBidi"/>
          <w:b w:val="0"/>
          <w:noProof/>
          <w:kern w:val="0"/>
          <w:sz w:val="22"/>
          <w:szCs w:val="22"/>
        </w:rPr>
      </w:pPr>
      <w:r>
        <w:rPr>
          <w:noProof/>
        </w:rPr>
        <w:t>Drafting of replacement instruments</w:t>
      </w:r>
      <w:r>
        <w:rPr>
          <w:noProof/>
        </w:rPr>
        <w:tab/>
      </w:r>
      <w:r>
        <w:rPr>
          <w:noProof/>
        </w:rPr>
        <w:fldChar w:fldCharType="begin"/>
      </w:r>
      <w:r>
        <w:rPr>
          <w:noProof/>
        </w:rPr>
        <w:instrText xml:space="preserve"> PAGEREF _Toc112918861 \h </w:instrText>
      </w:r>
      <w:r>
        <w:rPr>
          <w:noProof/>
        </w:rPr>
      </w:r>
      <w:r>
        <w:rPr>
          <w:noProof/>
        </w:rPr>
        <w:fldChar w:fldCharType="separate"/>
      </w:r>
      <w:r>
        <w:rPr>
          <w:noProof/>
        </w:rPr>
        <w:t>84</w:t>
      </w:r>
      <w:r>
        <w:rPr>
          <w:noProof/>
        </w:rPr>
        <w:fldChar w:fldCharType="end"/>
      </w:r>
    </w:p>
    <w:p w14:paraId="1C1428C9" w14:textId="6445875A" w:rsidR="00A85BA9" w:rsidRDefault="00A85BA9">
      <w:pPr>
        <w:pStyle w:val="TOC4"/>
        <w:rPr>
          <w:rFonts w:asciiTheme="minorHAnsi" w:eastAsiaTheme="minorEastAsia" w:hAnsiTheme="minorHAnsi" w:cstheme="minorBidi"/>
          <w:b w:val="0"/>
          <w:noProof/>
          <w:kern w:val="0"/>
          <w:sz w:val="22"/>
          <w:szCs w:val="22"/>
        </w:rPr>
      </w:pPr>
      <w:r>
        <w:rPr>
          <w:noProof/>
        </w:rPr>
        <w:t>Scope to remake instruments in bulk by reference</w:t>
      </w:r>
      <w:r>
        <w:rPr>
          <w:noProof/>
        </w:rPr>
        <w:tab/>
      </w:r>
      <w:r>
        <w:rPr>
          <w:noProof/>
        </w:rPr>
        <w:fldChar w:fldCharType="begin"/>
      </w:r>
      <w:r>
        <w:rPr>
          <w:noProof/>
        </w:rPr>
        <w:instrText xml:space="preserve"> PAGEREF _Toc112918862 \h </w:instrText>
      </w:r>
      <w:r>
        <w:rPr>
          <w:noProof/>
        </w:rPr>
      </w:r>
      <w:r>
        <w:rPr>
          <w:noProof/>
        </w:rPr>
        <w:fldChar w:fldCharType="separate"/>
      </w:r>
      <w:r>
        <w:rPr>
          <w:noProof/>
        </w:rPr>
        <w:t>85</w:t>
      </w:r>
      <w:r>
        <w:rPr>
          <w:noProof/>
        </w:rPr>
        <w:fldChar w:fldCharType="end"/>
      </w:r>
    </w:p>
    <w:p w14:paraId="4C6D5B8B" w14:textId="1189EE02" w:rsidR="00A85BA9" w:rsidRDefault="00A85BA9">
      <w:pPr>
        <w:pStyle w:val="TOC3"/>
        <w:rPr>
          <w:rFonts w:asciiTheme="minorHAnsi" w:eastAsiaTheme="minorEastAsia" w:hAnsiTheme="minorHAnsi" w:cstheme="minorBidi"/>
          <w:b w:val="0"/>
          <w:noProof/>
          <w:kern w:val="0"/>
          <w:szCs w:val="22"/>
        </w:rPr>
      </w:pPr>
      <w:r>
        <w:rPr>
          <w:noProof/>
        </w:rPr>
        <w:t>If an instrument cannot be replaced before it sunsets</w:t>
      </w:r>
      <w:r>
        <w:rPr>
          <w:noProof/>
        </w:rPr>
        <w:tab/>
      </w:r>
      <w:r>
        <w:rPr>
          <w:noProof/>
        </w:rPr>
        <w:fldChar w:fldCharType="begin"/>
      </w:r>
      <w:r>
        <w:rPr>
          <w:noProof/>
        </w:rPr>
        <w:instrText xml:space="preserve"> PAGEREF _Toc112918863 \h </w:instrText>
      </w:r>
      <w:r>
        <w:rPr>
          <w:noProof/>
        </w:rPr>
      </w:r>
      <w:r>
        <w:rPr>
          <w:noProof/>
        </w:rPr>
        <w:fldChar w:fldCharType="separate"/>
      </w:r>
      <w:r>
        <w:rPr>
          <w:noProof/>
        </w:rPr>
        <w:t>86</w:t>
      </w:r>
      <w:r>
        <w:rPr>
          <w:noProof/>
        </w:rPr>
        <w:fldChar w:fldCharType="end"/>
      </w:r>
    </w:p>
    <w:p w14:paraId="1A5DCA00" w14:textId="737BE889" w:rsidR="00A85BA9" w:rsidRDefault="00A85BA9">
      <w:pPr>
        <w:pStyle w:val="TOC2"/>
        <w:rPr>
          <w:rFonts w:asciiTheme="minorHAnsi" w:eastAsiaTheme="minorEastAsia" w:hAnsiTheme="minorHAnsi" w:cstheme="minorBidi"/>
          <w:b w:val="0"/>
          <w:noProof/>
          <w:kern w:val="0"/>
          <w:sz w:val="22"/>
          <w:szCs w:val="22"/>
        </w:rPr>
      </w:pPr>
      <w:r>
        <w:rPr>
          <w:noProof/>
        </w:rPr>
        <w:t>Appendix A—Sunsetting Checklist</w:t>
      </w:r>
      <w:r>
        <w:rPr>
          <w:noProof/>
        </w:rPr>
        <w:tab/>
      </w:r>
      <w:r>
        <w:rPr>
          <w:noProof/>
        </w:rPr>
        <w:fldChar w:fldCharType="begin"/>
      </w:r>
      <w:r>
        <w:rPr>
          <w:noProof/>
        </w:rPr>
        <w:instrText xml:space="preserve"> PAGEREF _Toc112918864 \h </w:instrText>
      </w:r>
      <w:r>
        <w:rPr>
          <w:noProof/>
        </w:rPr>
      </w:r>
      <w:r>
        <w:rPr>
          <w:noProof/>
        </w:rPr>
        <w:fldChar w:fldCharType="separate"/>
      </w:r>
      <w:r>
        <w:rPr>
          <w:noProof/>
        </w:rPr>
        <w:t>87</w:t>
      </w:r>
      <w:r>
        <w:rPr>
          <w:noProof/>
        </w:rPr>
        <w:fldChar w:fldCharType="end"/>
      </w:r>
    </w:p>
    <w:p w14:paraId="1B1B280F" w14:textId="0F205ACC" w:rsidR="00A85BA9" w:rsidRDefault="00A85BA9">
      <w:pPr>
        <w:pStyle w:val="TOC2"/>
        <w:rPr>
          <w:rFonts w:asciiTheme="minorHAnsi" w:eastAsiaTheme="minorEastAsia" w:hAnsiTheme="minorHAnsi" w:cstheme="minorBidi"/>
          <w:b w:val="0"/>
          <w:noProof/>
          <w:kern w:val="0"/>
          <w:sz w:val="22"/>
          <w:szCs w:val="22"/>
        </w:rPr>
      </w:pPr>
      <w:r>
        <w:rPr>
          <w:noProof/>
        </w:rPr>
        <w:t>Further reading</w:t>
      </w:r>
      <w:r>
        <w:rPr>
          <w:noProof/>
        </w:rPr>
        <w:tab/>
      </w:r>
      <w:r>
        <w:rPr>
          <w:noProof/>
        </w:rPr>
        <w:fldChar w:fldCharType="begin"/>
      </w:r>
      <w:r>
        <w:rPr>
          <w:noProof/>
        </w:rPr>
        <w:instrText xml:space="preserve"> PAGEREF _Toc112918865 \h </w:instrText>
      </w:r>
      <w:r>
        <w:rPr>
          <w:noProof/>
        </w:rPr>
      </w:r>
      <w:r>
        <w:rPr>
          <w:noProof/>
        </w:rPr>
        <w:fldChar w:fldCharType="separate"/>
      </w:r>
      <w:r>
        <w:rPr>
          <w:noProof/>
        </w:rPr>
        <w:t>88</w:t>
      </w:r>
      <w:r>
        <w:rPr>
          <w:noProof/>
        </w:rPr>
        <w:fldChar w:fldCharType="end"/>
      </w:r>
    </w:p>
    <w:p w14:paraId="7BDC9AEA" w14:textId="29C68B84" w:rsidR="00A85BA9" w:rsidRDefault="00A85BA9">
      <w:pPr>
        <w:pStyle w:val="TOC3"/>
        <w:rPr>
          <w:rFonts w:asciiTheme="minorHAnsi" w:eastAsiaTheme="minorEastAsia" w:hAnsiTheme="minorHAnsi" w:cstheme="minorBidi"/>
          <w:b w:val="0"/>
          <w:noProof/>
          <w:kern w:val="0"/>
          <w:szCs w:val="22"/>
        </w:rPr>
      </w:pPr>
      <w:r>
        <w:rPr>
          <w:noProof/>
        </w:rPr>
        <w:t>Key legislation</w:t>
      </w:r>
      <w:r>
        <w:rPr>
          <w:noProof/>
        </w:rPr>
        <w:tab/>
      </w:r>
      <w:r>
        <w:rPr>
          <w:noProof/>
        </w:rPr>
        <w:fldChar w:fldCharType="begin"/>
      </w:r>
      <w:r>
        <w:rPr>
          <w:noProof/>
        </w:rPr>
        <w:instrText xml:space="preserve"> PAGEREF _Toc112918866 \h </w:instrText>
      </w:r>
      <w:r>
        <w:rPr>
          <w:noProof/>
        </w:rPr>
      </w:r>
      <w:r>
        <w:rPr>
          <w:noProof/>
        </w:rPr>
        <w:fldChar w:fldCharType="separate"/>
      </w:r>
      <w:r>
        <w:rPr>
          <w:noProof/>
        </w:rPr>
        <w:t>88</w:t>
      </w:r>
      <w:r>
        <w:rPr>
          <w:noProof/>
        </w:rPr>
        <w:fldChar w:fldCharType="end"/>
      </w:r>
    </w:p>
    <w:p w14:paraId="5930108C" w14:textId="4A3AC983" w:rsidR="00A85BA9" w:rsidRDefault="00A85BA9">
      <w:pPr>
        <w:pStyle w:val="TOC3"/>
        <w:rPr>
          <w:rFonts w:asciiTheme="minorHAnsi" w:eastAsiaTheme="minorEastAsia" w:hAnsiTheme="minorHAnsi" w:cstheme="minorBidi"/>
          <w:b w:val="0"/>
          <w:noProof/>
          <w:kern w:val="0"/>
          <w:szCs w:val="22"/>
        </w:rPr>
      </w:pPr>
      <w:r>
        <w:rPr>
          <w:noProof/>
        </w:rPr>
        <w:t>Guidance material</w:t>
      </w:r>
      <w:r>
        <w:rPr>
          <w:noProof/>
        </w:rPr>
        <w:tab/>
      </w:r>
      <w:r>
        <w:rPr>
          <w:noProof/>
        </w:rPr>
        <w:fldChar w:fldCharType="begin"/>
      </w:r>
      <w:r>
        <w:rPr>
          <w:noProof/>
        </w:rPr>
        <w:instrText xml:space="preserve"> PAGEREF _Toc112918867 \h </w:instrText>
      </w:r>
      <w:r>
        <w:rPr>
          <w:noProof/>
        </w:rPr>
      </w:r>
      <w:r>
        <w:rPr>
          <w:noProof/>
        </w:rPr>
        <w:fldChar w:fldCharType="separate"/>
      </w:r>
      <w:r>
        <w:rPr>
          <w:noProof/>
        </w:rPr>
        <w:t>88</w:t>
      </w:r>
      <w:r>
        <w:rPr>
          <w:noProof/>
        </w:rPr>
        <w:fldChar w:fldCharType="end"/>
      </w:r>
    </w:p>
    <w:p w14:paraId="23F7A959" w14:textId="17149372" w:rsidR="00A85BA9" w:rsidRDefault="00A85BA9">
      <w:pPr>
        <w:pStyle w:val="TOC2"/>
        <w:rPr>
          <w:rFonts w:asciiTheme="minorHAnsi" w:eastAsiaTheme="minorEastAsia" w:hAnsiTheme="minorHAnsi" w:cstheme="minorBidi"/>
          <w:b w:val="0"/>
          <w:noProof/>
          <w:kern w:val="0"/>
          <w:sz w:val="22"/>
          <w:szCs w:val="22"/>
        </w:rPr>
      </w:pPr>
      <w:r>
        <w:rPr>
          <w:noProof/>
        </w:rPr>
        <w:t>Useful contacts</w:t>
      </w:r>
      <w:r>
        <w:rPr>
          <w:noProof/>
        </w:rPr>
        <w:tab/>
      </w:r>
      <w:r>
        <w:rPr>
          <w:noProof/>
        </w:rPr>
        <w:fldChar w:fldCharType="begin"/>
      </w:r>
      <w:r>
        <w:rPr>
          <w:noProof/>
        </w:rPr>
        <w:instrText xml:space="preserve"> PAGEREF _Toc112918868 \h </w:instrText>
      </w:r>
      <w:r>
        <w:rPr>
          <w:noProof/>
        </w:rPr>
      </w:r>
      <w:r>
        <w:rPr>
          <w:noProof/>
        </w:rPr>
        <w:fldChar w:fldCharType="separate"/>
      </w:r>
      <w:r>
        <w:rPr>
          <w:noProof/>
        </w:rPr>
        <w:t>89</w:t>
      </w:r>
      <w:r>
        <w:rPr>
          <w:noProof/>
        </w:rPr>
        <w:fldChar w:fldCharType="end"/>
      </w:r>
    </w:p>
    <w:p w14:paraId="6F2870AE" w14:textId="3E7BDCA4" w:rsidR="00A85BA9" w:rsidRDefault="00A85BA9">
      <w:pPr>
        <w:pStyle w:val="TOC3"/>
        <w:rPr>
          <w:rFonts w:asciiTheme="minorHAnsi" w:eastAsiaTheme="minorEastAsia" w:hAnsiTheme="minorHAnsi" w:cstheme="minorBidi"/>
          <w:b w:val="0"/>
          <w:noProof/>
          <w:kern w:val="0"/>
          <w:szCs w:val="22"/>
        </w:rPr>
      </w:pPr>
      <w:r>
        <w:rPr>
          <w:noProof/>
        </w:rPr>
        <w:t>Office of Parliamentary Counsel</w:t>
      </w:r>
      <w:r>
        <w:rPr>
          <w:noProof/>
        </w:rPr>
        <w:tab/>
      </w:r>
      <w:r>
        <w:rPr>
          <w:noProof/>
        </w:rPr>
        <w:fldChar w:fldCharType="begin"/>
      </w:r>
      <w:r>
        <w:rPr>
          <w:noProof/>
        </w:rPr>
        <w:instrText xml:space="preserve"> PAGEREF _Toc112918869 \h </w:instrText>
      </w:r>
      <w:r>
        <w:rPr>
          <w:noProof/>
        </w:rPr>
      </w:r>
      <w:r>
        <w:rPr>
          <w:noProof/>
        </w:rPr>
        <w:fldChar w:fldCharType="separate"/>
      </w:r>
      <w:r>
        <w:rPr>
          <w:noProof/>
        </w:rPr>
        <w:t>89</w:t>
      </w:r>
      <w:r>
        <w:rPr>
          <w:noProof/>
        </w:rPr>
        <w:fldChar w:fldCharType="end"/>
      </w:r>
    </w:p>
    <w:p w14:paraId="7D77A9A2" w14:textId="177C8C95" w:rsidR="00A85BA9" w:rsidRDefault="00A85BA9">
      <w:pPr>
        <w:pStyle w:val="TOC3"/>
        <w:rPr>
          <w:rFonts w:asciiTheme="minorHAnsi" w:eastAsiaTheme="minorEastAsia" w:hAnsiTheme="minorHAnsi" w:cstheme="minorBidi"/>
          <w:b w:val="0"/>
          <w:noProof/>
          <w:kern w:val="0"/>
          <w:szCs w:val="22"/>
        </w:rPr>
      </w:pPr>
      <w:r>
        <w:rPr>
          <w:noProof/>
        </w:rPr>
        <w:t>Table Offices</w:t>
      </w:r>
      <w:r>
        <w:rPr>
          <w:noProof/>
        </w:rPr>
        <w:tab/>
      </w:r>
      <w:r>
        <w:rPr>
          <w:noProof/>
        </w:rPr>
        <w:fldChar w:fldCharType="begin"/>
      </w:r>
      <w:r>
        <w:rPr>
          <w:noProof/>
        </w:rPr>
        <w:instrText xml:space="preserve"> PAGEREF _Toc112918870 \h </w:instrText>
      </w:r>
      <w:r>
        <w:rPr>
          <w:noProof/>
        </w:rPr>
      </w:r>
      <w:r>
        <w:rPr>
          <w:noProof/>
        </w:rPr>
        <w:fldChar w:fldCharType="separate"/>
      </w:r>
      <w:r>
        <w:rPr>
          <w:noProof/>
        </w:rPr>
        <w:t>89</w:t>
      </w:r>
      <w:r>
        <w:rPr>
          <w:noProof/>
        </w:rPr>
        <w:fldChar w:fldCharType="end"/>
      </w:r>
    </w:p>
    <w:p w14:paraId="72B3B7BD" w14:textId="180FE60D" w:rsidR="00A85BA9" w:rsidRDefault="00A85BA9">
      <w:pPr>
        <w:pStyle w:val="TOC3"/>
        <w:rPr>
          <w:rFonts w:asciiTheme="minorHAnsi" w:eastAsiaTheme="minorEastAsia" w:hAnsiTheme="minorHAnsi" w:cstheme="minorBidi"/>
          <w:b w:val="0"/>
          <w:noProof/>
          <w:kern w:val="0"/>
          <w:szCs w:val="22"/>
        </w:rPr>
      </w:pPr>
      <w:r>
        <w:rPr>
          <w:noProof/>
        </w:rPr>
        <w:t>Attorney</w:t>
      </w:r>
      <w:r>
        <w:rPr>
          <w:noProof/>
        </w:rPr>
        <w:noBreakHyphen/>
        <w:t>General’s Department</w:t>
      </w:r>
      <w:r>
        <w:rPr>
          <w:noProof/>
        </w:rPr>
        <w:tab/>
      </w:r>
      <w:r>
        <w:rPr>
          <w:noProof/>
        </w:rPr>
        <w:fldChar w:fldCharType="begin"/>
      </w:r>
      <w:r>
        <w:rPr>
          <w:noProof/>
        </w:rPr>
        <w:instrText xml:space="preserve"> PAGEREF _Toc112918871 \h </w:instrText>
      </w:r>
      <w:r>
        <w:rPr>
          <w:noProof/>
        </w:rPr>
      </w:r>
      <w:r>
        <w:rPr>
          <w:noProof/>
        </w:rPr>
        <w:fldChar w:fldCharType="separate"/>
      </w:r>
      <w:r>
        <w:rPr>
          <w:noProof/>
        </w:rPr>
        <w:t>89</w:t>
      </w:r>
      <w:r>
        <w:rPr>
          <w:noProof/>
        </w:rPr>
        <w:fldChar w:fldCharType="end"/>
      </w:r>
    </w:p>
    <w:p w14:paraId="739CD2A8" w14:textId="37ED563A" w:rsidR="00A85BA9" w:rsidRDefault="00A85BA9">
      <w:pPr>
        <w:pStyle w:val="TOC3"/>
        <w:rPr>
          <w:rFonts w:asciiTheme="minorHAnsi" w:eastAsiaTheme="minorEastAsia" w:hAnsiTheme="minorHAnsi" w:cstheme="minorBidi"/>
          <w:b w:val="0"/>
          <w:noProof/>
          <w:kern w:val="0"/>
          <w:szCs w:val="22"/>
        </w:rPr>
      </w:pPr>
      <w:r>
        <w:rPr>
          <w:noProof/>
        </w:rPr>
        <w:t>Department of the Prime Minister and Cabinet</w:t>
      </w:r>
      <w:r>
        <w:rPr>
          <w:noProof/>
        </w:rPr>
        <w:tab/>
      </w:r>
      <w:r>
        <w:rPr>
          <w:noProof/>
        </w:rPr>
        <w:fldChar w:fldCharType="begin"/>
      </w:r>
      <w:r>
        <w:rPr>
          <w:noProof/>
        </w:rPr>
        <w:instrText xml:space="preserve"> PAGEREF _Toc112918872 \h </w:instrText>
      </w:r>
      <w:r>
        <w:rPr>
          <w:noProof/>
        </w:rPr>
      </w:r>
      <w:r>
        <w:rPr>
          <w:noProof/>
        </w:rPr>
        <w:fldChar w:fldCharType="separate"/>
      </w:r>
      <w:r>
        <w:rPr>
          <w:noProof/>
        </w:rPr>
        <w:t>89</w:t>
      </w:r>
      <w:r>
        <w:rPr>
          <w:noProof/>
        </w:rPr>
        <w:fldChar w:fldCharType="end"/>
      </w:r>
    </w:p>
    <w:p w14:paraId="624A60C1" w14:textId="01119B43" w:rsidR="00A85BA9" w:rsidRDefault="00A85BA9">
      <w:pPr>
        <w:pStyle w:val="TOC3"/>
        <w:rPr>
          <w:rFonts w:asciiTheme="minorHAnsi" w:eastAsiaTheme="minorEastAsia" w:hAnsiTheme="minorHAnsi" w:cstheme="minorBidi"/>
          <w:b w:val="0"/>
          <w:noProof/>
          <w:kern w:val="0"/>
          <w:szCs w:val="22"/>
        </w:rPr>
      </w:pPr>
      <w:r>
        <w:rPr>
          <w:noProof/>
        </w:rPr>
        <w:t>Parliamentary committees</w:t>
      </w:r>
      <w:r>
        <w:rPr>
          <w:noProof/>
        </w:rPr>
        <w:tab/>
      </w:r>
      <w:r>
        <w:rPr>
          <w:noProof/>
        </w:rPr>
        <w:fldChar w:fldCharType="begin"/>
      </w:r>
      <w:r>
        <w:rPr>
          <w:noProof/>
        </w:rPr>
        <w:instrText xml:space="preserve"> PAGEREF _Toc112918873 \h </w:instrText>
      </w:r>
      <w:r>
        <w:rPr>
          <w:noProof/>
        </w:rPr>
      </w:r>
      <w:r>
        <w:rPr>
          <w:noProof/>
        </w:rPr>
        <w:fldChar w:fldCharType="separate"/>
      </w:r>
      <w:r>
        <w:rPr>
          <w:noProof/>
        </w:rPr>
        <w:t>89</w:t>
      </w:r>
      <w:r>
        <w:rPr>
          <w:noProof/>
        </w:rPr>
        <w:fldChar w:fldCharType="end"/>
      </w:r>
    </w:p>
    <w:p w14:paraId="5A6EB157" w14:textId="4F8AEE80" w:rsidR="00A85BA9" w:rsidRDefault="00A85BA9">
      <w:pPr>
        <w:pStyle w:val="TOC2"/>
        <w:rPr>
          <w:rFonts w:asciiTheme="minorHAnsi" w:eastAsiaTheme="minorEastAsia" w:hAnsiTheme="minorHAnsi" w:cstheme="minorBidi"/>
          <w:b w:val="0"/>
          <w:noProof/>
          <w:kern w:val="0"/>
          <w:sz w:val="22"/>
          <w:szCs w:val="22"/>
        </w:rPr>
      </w:pPr>
      <w:r>
        <w:rPr>
          <w:noProof/>
        </w:rPr>
        <w:t>Document history</w:t>
      </w:r>
      <w:r>
        <w:rPr>
          <w:noProof/>
        </w:rPr>
        <w:tab/>
      </w:r>
      <w:r>
        <w:rPr>
          <w:noProof/>
        </w:rPr>
        <w:fldChar w:fldCharType="begin"/>
      </w:r>
      <w:r>
        <w:rPr>
          <w:noProof/>
        </w:rPr>
        <w:instrText xml:space="preserve"> PAGEREF _Toc112918874 \h </w:instrText>
      </w:r>
      <w:r>
        <w:rPr>
          <w:noProof/>
        </w:rPr>
      </w:r>
      <w:r>
        <w:rPr>
          <w:noProof/>
        </w:rPr>
        <w:fldChar w:fldCharType="separate"/>
      </w:r>
      <w:r>
        <w:rPr>
          <w:noProof/>
        </w:rPr>
        <w:t>90</w:t>
      </w:r>
      <w:r>
        <w:rPr>
          <w:noProof/>
        </w:rPr>
        <w:fldChar w:fldCharType="end"/>
      </w:r>
    </w:p>
    <w:p w14:paraId="15870168" w14:textId="2F5A55DA" w:rsidR="00727ED5" w:rsidRPr="00FD274F" w:rsidRDefault="00727ED5" w:rsidP="00805ED3">
      <w:pPr>
        <w:spacing w:line="240" w:lineRule="auto"/>
      </w:pPr>
      <w:r w:rsidRPr="00805ED3">
        <w:rPr>
          <w:rFonts w:cs="Times New Roman"/>
          <w:sz w:val="20"/>
        </w:rPr>
        <w:fldChar w:fldCharType="end"/>
      </w:r>
      <w:bookmarkStart w:id="4" w:name="Chapter1"/>
    </w:p>
    <w:p w14:paraId="774DBBAF" w14:textId="77777777" w:rsidR="00AF024F" w:rsidRPr="00FD274F" w:rsidRDefault="00AF024F" w:rsidP="004855B6">
      <w:pPr>
        <w:pStyle w:val="Head2"/>
        <w:sectPr w:rsidR="00AF024F" w:rsidRPr="00FD274F" w:rsidSect="00782976">
          <w:headerReference w:type="even" r:id="rId18"/>
          <w:headerReference w:type="default" r:id="rId19"/>
          <w:footerReference w:type="even" r:id="rId20"/>
          <w:footerReference w:type="default" r:id="rId21"/>
          <w:headerReference w:type="first" r:id="rId22"/>
          <w:footerReference w:type="first" r:id="rId23"/>
          <w:pgSz w:w="11907" w:h="16839" w:code="9"/>
          <w:pgMar w:top="1440" w:right="1440" w:bottom="1440" w:left="1440" w:header="720" w:footer="567" w:gutter="0"/>
          <w:pgNumType w:fmt="lowerRoman" w:start="1"/>
          <w:cols w:sep="1" w:space="567"/>
          <w:titlePg/>
          <w:docGrid w:linePitch="360"/>
        </w:sectPr>
      </w:pPr>
    </w:p>
    <w:p w14:paraId="7C261EA8" w14:textId="77777777" w:rsidR="0084047D" w:rsidRPr="00FD274F" w:rsidRDefault="0084047D" w:rsidP="004855B6">
      <w:pPr>
        <w:pStyle w:val="Head2"/>
        <w:rPr>
          <w:sz w:val="36"/>
        </w:rPr>
      </w:pPr>
      <w:bookmarkStart w:id="5" w:name="_Toc112918739"/>
      <w:r w:rsidRPr="00FD274F">
        <w:rPr>
          <w:sz w:val="36"/>
        </w:rPr>
        <w:lastRenderedPageBreak/>
        <w:t>Part 1—</w:t>
      </w:r>
      <w:r w:rsidR="00E94C94" w:rsidRPr="00FD274F">
        <w:rPr>
          <w:sz w:val="36"/>
        </w:rPr>
        <w:t xml:space="preserve">Matters </w:t>
      </w:r>
      <w:r w:rsidRPr="00FD274F">
        <w:rPr>
          <w:sz w:val="36"/>
        </w:rPr>
        <w:t>relevant to all instruments</w:t>
      </w:r>
      <w:bookmarkEnd w:id="5"/>
    </w:p>
    <w:p w14:paraId="5D731D6C" w14:textId="77777777" w:rsidR="00727ED5" w:rsidRPr="00FD274F" w:rsidRDefault="00CD5270" w:rsidP="004855B6">
      <w:pPr>
        <w:pStyle w:val="Head2"/>
      </w:pPr>
      <w:bookmarkStart w:id="6" w:name="_Toc112918740"/>
      <w:r w:rsidRPr="00FD274F">
        <w:t>Chapter 1—</w:t>
      </w:r>
      <w:r w:rsidR="00727ED5" w:rsidRPr="00FD274F">
        <w:t>Introduction</w:t>
      </w:r>
      <w:bookmarkEnd w:id="6"/>
    </w:p>
    <w:bookmarkEnd w:id="4"/>
    <w:p w14:paraId="243CA4F5" w14:textId="77777777" w:rsidR="00727ED5" w:rsidRPr="00FD274F" w:rsidRDefault="00727ED5" w:rsidP="00C83987">
      <w:pPr>
        <w:pStyle w:val="SundryBoxHeadBold"/>
      </w:pPr>
      <w:r w:rsidRPr="00FD274F">
        <w:t>Main points</w:t>
      </w:r>
    </w:p>
    <w:p w14:paraId="459113FC" w14:textId="4CD31DC0" w:rsidR="00727ED5" w:rsidRPr="00FD274F" w:rsidRDefault="00727ED5" w:rsidP="00F75BA9">
      <w:pPr>
        <w:pStyle w:val="SundryBoxBullet"/>
      </w:pPr>
      <w:r w:rsidRPr="00FD274F">
        <w:t>•</w:t>
      </w:r>
      <w:r w:rsidRPr="00FD274F">
        <w:tab/>
        <w:t xml:space="preserve">The </w:t>
      </w:r>
      <w:hyperlink r:id="rId24" w:history="1">
        <w:r w:rsidR="00000A2E" w:rsidRPr="00FD274F">
          <w:rPr>
            <w:rStyle w:val="Hyperlink"/>
            <w:i/>
            <w:color w:val="auto"/>
          </w:rPr>
          <w:t>Legislation Act 2003</w:t>
        </w:r>
      </w:hyperlink>
      <w:r w:rsidRPr="00FD274F">
        <w:t xml:space="preserve"> is an Act of general application. It establishes a comprehensive regime for the making, publication and review of </w:t>
      </w:r>
      <w:r w:rsidR="00674F2E" w:rsidRPr="00FD274F">
        <w:t>legislation and related material</w:t>
      </w:r>
      <w:r w:rsidRPr="00FD274F">
        <w:t>.</w:t>
      </w:r>
    </w:p>
    <w:p w14:paraId="69B8813D" w14:textId="77777777" w:rsidR="00727ED5" w:rsidRPr="00FD274F" w:rsidRDefault="00727ED5" w:rsidP="004855B6">
      <w:pPr>
        <w:pStyle w:val="Head3"/>
      </w:pPr>
      <w:bookmarkStart w:id="7" w:name="_Toc112918741"/>
      <w:r w:rsidRPr="00FD274F">
        <w:t>Background</w:t>
      </w:r>
      <w:bookmarkEnd w:id="7"/>
    </w:p>
    <w:p w14:paraId="6642E111" w14:textId="5C67DB8A" w:rsidR="00727ED5" w:rsidRPr="00FD274F" w:rsidRDefault="00727ED5" w:rsidP="00CC28AF">
      <w:pPr>
        <w:pStyle w:val="BodyNum"/>
        <w:numPr>
          <w:ilvl w:val="0"/>
          <w:numId w:val="3"/>
        </w:numPr>
      </w:pPr>
      <w:r w:rsidRPr="00FD274F">
        <w:t xml:space="preserve">The </w:t>
      </w:r>
      <w:hyperlink r:id="rId25" w:history="1">
        <w:r w:rsidR="00CF164C" w:rsidRPr="00B00B38">
          <w:rPr>
            <w:rStyle w:val="Hyperlink"/>
            <w:i/>
          </w:rPr>
          <w:t>Legislation Act 2003</w:t>
        </w:r>
        <w:r w:rsidRPr="00B00B38">
          <w:t xml:space="preserve"> </w:t>
        </w:r>
      </w:hyperlink>
      <w:r w:rsidR="00CF164C" w:rsidRPr="00B00B38">
        <w:t xml:space="preserve">(the </w:t>
      </w:r>
      <w:r w:rsidR="00CF164C" w:rsidRPr="00B00B38">
        <w:rPr>
          <w:b/>
          <w:i/>
        </w:rPr>
        <w:t>L</w:t>
      </w:r>
      <w:r w:rsidR="00CF164C" w:rsidRPr="00CC7302">
        <w:rPr>
          <w:b/>
          <w:i/>
        </w:rPr>
        <w:t>A</w:t>
      </w:r>
      <w:r w:rsidR="00CF164C">
        <w:t xml:space="preserve">) </w:t>
      </w:r>
      <w:r w:rsidRPr="00FD274F">
        <w:t>underpins open and transparent government by maki</w:t>
      </w:r>
      <w:r w:rsidR="00CF7332" w:rsidRPr="00FD274F">
        <w:t>ng a large body of legislation</w:t>
      </w:r>
      <w:r w:rsidRPr="00FD274F">
        <w:t xml:space="preserve"> </w:t>
      </w:r>
      <w:r w:rsidR="00674F2E" w:rsidRPr="00FD274F">
        <w:t xml:space="preserve">and related material </w:t>
      </w:r>
      <w:r w:rsidRPr="00FD274F">
        <w:t>sub</w:t>
      </w:r>
      <w:r w:rsidR="00F25AF1" w:rsidRPr="00FD274F">
        <w:t>ject to publication and review.</w:t>
      </w:r>
    </w:p>
    <w:p w14:paraId="2EC13633" w14:textId="77777777" w:rsidR="00E52DE6" w:rsidRPr="00FD274F" w:rsidRDefault="00727ED5" w:rsidP="0008193D">
      <w:pPr>
        <w:pStyle w:val="BodyNum"/>
      </w:pPr>
      <w:r w:rsidRPr="00FD274F">
        <w:t>Under Australia’s Constitution, the Parliament can make laws in the form of Acts of the Parliament</w:t>
      </w:r>
      <w:r w:rsidR="00E52DE6" w:rsidRPr="00FD274F">
        <w:t>,</w:t>
      </w:r>
      <w:r w:rsidRPr="00FD274F">
        <w:t xml:space="preserve"> or it can choose to delegate its power to make laws</w:t>
      </w:r>
      <w:r w:rsidR="00E52DE6" w:rsidRPr="00FD274F">
        <w:t xml:space="preserve"> </w:t>
      </w:r>
      <w:r w:rsidRPr="00FD274F">
        <w:t>on particular matte</w:t>
      </w:r>
      <w:r w:rsidR="00E52DE6" w:rsidRPr="00FD274F">
        <w:t>rs to other persons and bodi</w:t>
      </w:r>
      <w:r w:rsidR="00E52DE6" w:rsidRPr="009A4D26">
        <w:t>es</w:t>
      </w:r>
      <w:r w:rsidRPr="009A4D26">
        <w:rPr>
          <w:rStyle w:val="FootnoteReference"/>
        </w:rPr>
        <w:footnoteReference w:id="1"/>
      </w:r>
      <w:r w:rsidR="00BF60F7" w:rsidRPr="009A4D26">
        <w:t>.</w:t>
      </w:r>
    </w:p>
    <w:p w14:paraId="45490104" w14:textId="7D55FFF8" w:rsidR="00727ED5" w:rsidRPr="00FD274F" w:rsidRDefault="00E52DE6" w:rsidP="0008193D">
      <w:pPr>
        <w:pStyle w:val="BodyNum"/>
      </w:pPr>
      <w:r w:rsidRPr="00FD274F">
        <w:t>For many years, related documents (</w:t>
      </w:r>
      <w:r w:rsidRPr="00FD274F">
        <w:rPr>
          <w:b/>
          <w:i/>
        </w:rPr>
        <w:t>instruments</w:t>
      </w:r>
      <w:r w:rsidRPr="00FD274F">
        <w:t xml:space="preserve">) </w:t>
      </w:r>
      <w:r w:rsidR="00727ED5" w:rsidRPr="00FD274F">
        <w:t xml:space="preserve">had to be </w:t>
      </w:r>
      <w:r w:rsidR="00075195" w:rsidRPr="00FD274F">
        <w:t xml:space="preserve">printed </w:t>
      </w:r>
      <w:r w:rsidR="00727ED5" w:rsidRPr="00FD274F">
        <w:t xml:space="preserve">centrally under the </w:t>
      </w:r>
      <w:hyperlink r:id="rId26" w:history="1">
        <w:r w:rsidR="00727ED5" w:rsidRPr="009A4D26">
          <w:rPr>
            <w:rStyle w:val="Hyperlink"/>
            <w:i/>
          </w:rPr>
          <w:t>Statutory Rules Publication Act 1903</w:t>
        </w:r>
      </w:hyperlink>
      <w:r w:rsidR="00727ED5" w:rsidRPr="009A4D26">
        <w:t>, o</w:t>
      </w:r>
      <w:r w:rsidR="00727ED5" w:rsidRPr="00FD274F">
        <w:t>r notified in the Commonwealth Gazette</w:t>
      </w:r>
      <w:r w:rsidRPr="00FD274F">
        <w:t>. Delegated laws including regulatio</w:t>
      </w:r>
      <w:r w:rsidRPr="009A4D26">
        <w:t xml:space="preserve">ns and rules were also </w:t>
      </w:r>
      <w:r w:rsidR="00727ED5" w:rsidRPr="009A4D26">
        <w:t xml:space="preserve">subject to disallowance by either House of the Parliament under the </w:t>
      </w:r>
      <w:hyperlink r:id="rId27" w:history="1">
        <w:r w:rsidR="00727ED5" w:rsidRPr="009A4D26">
          <w:rPr>
            <w:rStyle w:val="Hyperlink"/>
            <w:i/>
          </w:rPr>
          <w:t>Acts Interpretation Act 1901</w:t>
        </w:r>
      </w:hyperlink>
      <w:r w:rsidR="00A82705" w:rsidRPr="009A4D26">
        <w:t>.</w:t>
      </w:r>
    </w:p>
    <w:p w14:paraId="1CB8E307" w14:textId="77777777" w:rsidR="00727ED5" w:rsidRPr="00FD274F" w:rsidRDefault="00727ED5" w:rsidP="0008193D">
      <w:pPr>
        <w:pStyle w:val="BodyNum"/>
      </w:pPr>
      <w:r w:rsidRPr="00FD274F">
        <w:t xml:space="preserve">Initially these arrangements worked well. However, </w:t>
      </w:r>
      <w:r w:rsidR="00E52DE6" w:rsidRPr="00FD274F">
        <w:t xml:space="preserve">as </w:t>
      </w:r>
      <w:r w:rsidRPr="00FD274F">
        <w:t xml:space="preserve">many new types of instruments began to emerge from the 1970s </w:t>
      </w:r>
      <w:r w:rsidR="00E52DE6" w:rsidRPr="00FD274F">
        <w:t xml:space="preserve">onwards, a significant body of law developed that </w:t>
      </w:r>
      <w:r w:rsidRPr="00FD274F">
        <w:t xml:space="preserve">was not published or subject to parliamentary scrutiny. Among other things, this meant that people could be held responsible for failure to comply with laws to </w:t>
      </w:r>
      <w:r w:rsidR="007B65A4" w:rsidRPr="00FD274F">
        <w:t>which they did not have access.</w:t>
      </w:r>
    </w:p>
    <w:p w14:paraId="7BEA3E95" w14:textId="77777777" w:rsidR="00727ED5" w:rsidRPr="00FD274F" w:rsidRDefault="00727ED5" w:rsidP="0008193D">
      <w:pPr>
        <w:pStyle w:val="BodyNum"/>
      </w:pPr>
      <w:r w:rsidRPr="00FD274F">
        <w:t xml:space="preserve">These issues were highlighted by the Administrative Review Council in its 1992 report </w:t>
      </w:r>
      <w:r w:rsidRPr="00FD274F">
        <w:rPr>
          <w:i/>
        </w:rPr>
        <w:t>R</w:t>
      </w:r>
      <w:r w:rsidRPr="009A4D26">
        <w:rPr>
          <w:i/>
        </w:rPr>
        <w:t>ule Making by Commonwealth Agencies</w:t>
      </w:r>
      <w:r w:rsidRPr="009A4D26">
        <w:rPr>
          <w:rStyle w:val="FootnoteReference"/>
        </w:rPr>
        <w:footnoteReference w:id="2"/>
      </w:r>
      <w:r w:rsidR="00BF60F7" w:rsidRPr="009A4D26">
        <w:t>.</w:t>
      </w:r>
      <w:r w:rsidRPr="009A4D26">
        <w:t xml:space="preserve"> In</w:t>
      </w:r>
      <w:r w:rsidRPr="00FD274F">
        <w:t xml:space="preserve"> this report, the Council proposed that all delegated l</w:t>
      </w:r>
      <w:r w:rsidR="00E52DE6" w:rsidRPr="00FD274F">
        <w:t>aws</w:t>
      </w:r>
      <w:r w:rsidRPr="00FD274F">
        <w:t xml:space="preserve"> be:</w:t>
      </w:r>
    </w:p>
    <w:p w14:paraId="646FDF6D" w14:textId="77777777" w:rsidR="00727ED5" w:rsidRPr="00FD274F" w:rsidRDefault="00727ED5" w:rsidP="0008193D">
      <w:pPr>
        <w:pStyle w:val="BodyPara"/>
      </w:pPr>
      <w:r w:rsidRPr="00FD274F">
        <w:t>subject to consultation before making; and</w:t>
      </w:r>
    </w:p>
    <w:p w14:paraId="32DB37D5" w14:textId="77777777" w:rsidR="00727ED5" w:rsidRPr="00FD274F" w:rsidRDefault="00727ED5" w:rsidP="0008193D">
      <w:pPr>
        <w:pStyle w:val="BodyPara"/>
      </w:pPr>
      <w:r w:rsidRPr="00FD274F">
        <w:t>drafted to a certain standard; and</w:t>
      </w:r>
    </w:p>
    <w:p w14:paraId="1EF9BB0D" w14:textId="77777777" w:rsidR="00727ED5" w:rsidRPr="00FD274F" w:rsidRDefault="00727ED5" w:rsidP="0008193D">
      <w:pPr>
        <w:pStyle w:val="BodyPara"/>
      </w:pPr>
      <w:r w:rsidRPr="00FD274F">
        <w:t>made public and accessible; and</w:t>
      </w:r>
    </w:p>
    <w:p w14:paraId="6D899EF0" w14:textId="77777777" w:rsidR="00727ED5" w:rsidRPr="00FD274F" w:rsidRDefault="00F1401E" w:rsidP="0008193D">
      <w:pPr>
        <w:pStyle w:val="BodyPara"/>
      </w:pPr>
      <w:r>
        <w:t>tabled in the Parliament; and</w:t>
      </w:r>
    </w:p>
    <w:p w14:paraId="53A34663" w14:textId="77777777" w:rsidR="00727ED5" w:rsidRPr="00FD274F" w:rsidRDefault="00727ED5" w:rsidP="0008193D">
      <w:pPr>
        <w:pStyle w:val="BodyPara"/>
      </w:pPr>
      <w:r w:rsidRPr="00FD274F">
        <w:t>subject to disallowance and sunsetting.</w:t>
      </w:r>
    </w:p>
    <w:p w14:paraId="39D01EB4" w14:textId="4BFEBD74" w:rsidR="002C74F6" w:rsidRPr="00FD274F" w:rsidRDefault="00727ED5" w:rsidP="002C74F6">
      <w:pPr>
        <w:pStyle w:val="BodyNum"/>
      </w:pPr>
      <w:r w:rsidRPr="00FD274F">
        <w:t xml:space="preserve">The recommendations of the Administrative Review Council were largely adopted when </w:t>
      </w:r>
      <w:r w:rsidRPr="00FD274F">
        <w:rPr>
          <w:szCs w:val="24"/>
        </w:rPr>
        <w:t xml:space="preserve">the </w:t>
      </w:r>
      <w:r w:rsidR="002C74F6" w:rsidRPr="00FD274F">
        <w:rPr>
          <w:i/>
          <w:szCs w:val="24"/>
        </w:rPr>
        <w:t>Leg</w:t>
      </w:r>
      <w:r w:rsidR="002C74F6" w:rsidRPr="00CC183F">
        <w:rPr>
          <w:i/>
          <w:szCs w:val="24"/>
        </w:rPr>
        <w:t>islative Instruments Act 2003</w:t>
      </w:r>
      <w:r w:rsidR="002C74F6" w:rsidRPr="00CC183F">
        <w:rPr>
          <w:szCs w:val="24"/>
        </w:rPr>
        <w:t xml:space="preserve"> </w:t>
      </w:r>
      <w:r w:rsidR="00CC183F" w:rsidRPr="00B00B38">
        <w:t xml:space="preserve">(the </w:t>
      </w:r>
      <w:r w:rsidR="00CC183F" w:rsidRPr="00B00B38">
        <w:rPr>
          <w:b/>
          <w:i/>
        </w:rPr>
        <w:t>L</w:t>
      </w:r>
      <w:r w:rsidR="00CC183F">
        <w:rPr>
          <w:b/>
          <w:i/>
        </w:rPr>
        <w:t>I</w:t>
      </w:r>
      <w:r w:rsidR="00CC183F" w:rsidRPr="00CC7302">
        <w:rPr>
          <w:b/>
          <w:i/>
        </w:rPr>
        <w:t>A</w:t>
      </w:r>
      <w:r w:rsidR="00CC183F">
        <w:t xml:space="preserve">) </w:t>
      </w:r>
      <w:r w:rsidRPr="00CC183F">
        <w:t>w</w:t>
      </w:r>
      <w:r w:rsidRPr="00FD274F">
        <w:t>as enacted</w:t>
      </w:r>
      <w:r w:rsidR="00A82705">
        <w:t>.</w:t>
      </w:r>
    </w:p>
    <w:p w14:paraId="0036B7F6" w14:textId="77777777" w:rsidR="002C74F6" w:rsidRPr="00FD274F" w:rsidRDefault="002C74F6" w:rsidP="002C74F6">
      <w:pPr>
        <w:pStyle w:val="Head3"/>
      </w:pPr>
      <w:bookmarkStart w:id="8" w:name="_Toc112918742"/>
      <w:r w:rsidRPr="00FD274F">
        <w:lastRenderedPageBreak/>
        <w:t>The Legislative Instruments Act 2003</w:t>
      </w:r>
      <w:r w:rsidR="0020527B" w:rsidRPr="00FD274F">
        <w:t xml:space="preserve"> (the LIA)</w:t>
      </w:r>
      <w:bookmarkEnd w:id="8"/>
    </w:p>
    <w:p w14:paraId="4E3C004E" w14:textId="0FDECAD2" w:rsidR="006D2E7E" w:rsidRPr="00FD274F" w:rsidRDefault="002C74F6" w:rsidP="002C74F6">
      <w:pPr>
        <w:pStyle w:val="BodyNum"/>
      </w:pPr>
      <w:r w:rsidRPr="00FD274F">
        <w:t xml:space="preserve">The </w:t>
      </w:r>
      <w:r w:rsidRPr="00CC183F">
        <w:rPr>
          <w:i/>
        </w:rPr>
        <w:t>Legislative Instruments Act 2003</w:t>
      </w:r>
      <w:r w:rsidRPr="00CC183F">
        <w:t xml:space="preserve"> </w:t>
      </w:r>
      <w:r w:rsidR="00727ED5" w:rsidRPr="00CC183F">
        <w:t>e</w:t>
      </w:r>
      <w:r w:rsidR="00727ED5" w:rsidRPr="00FD274F">
        <w:t>stablishe</w:t>
      </w:r>
      <w:r w:rsidRPr="00FD274F">
        <w:t>d</w:t>
      </w:r>
      <w:r w:rsidR="00727ED5" w:rsidRPr="00FD274F">
        <w:t xml:space="preserve"> a comprehensive regime for the management of Commonwealth legislative instruments</w:t>
      </w:r>
      <w:r w:rsidR="00075195" w:rsidRPr="00FD274F">
        <w:t xml:space="preserve">, and </w:t>
      </w:r>
      <w:r w:rsidR="00F735C3" w:rsidRPr="00FD274F">
        <w:t xml:space="preserve">what was then the </w:t>
      </w:r>
      <w:r w:rsidR="006D2E7E" w:rsidRPr="00FD274F">
        <w:t>Federal Register of Legislative Instruments (</w:t>
      </w:r>
      <w:proofErr w:type="spellStart"/>
      <w:r w:rsidR="006D2E7E" w:rsidRPr="00CC7302">
        <w:rPr>
          <w:b/>
          <w:i/>
        </w:rPr>
        <w:t>FRLI</w:t>
      </w:r>
      <w:proofErr w:type="spellEnd"/>
      <w:r w:rsidR="006D2E7E" w:rsidRPr="00FD274F">
        <w:t>). The Act also:</w:t>
      </w:r>
    </w:p>
    <w:p w14:paraId="6EE4830E" w14:textId="0647B295" w:rsidR="00727ED5" w:rsidRPr="00FD274F" w:rsidRDefault="006D2E7E" w:rsidP="00E32FD9">
      <w:pPr>
        <w:pStyle w:val="BodyPara"/>
        <w:spacing w:before="180"/>
      </w:pPr>
      <w:r w:rsidRPr="00FD274F">
        <w:t>created a c</w:t>
      </w:r>
      <w:r w:rsidR="00727ED5" w:rsidRPr="00FD274F">
        <w:t>oncept of legislative instrument</w:t>
      </w:r>
      <w:r w:rsidRPr="00FD274F">
        <w:t xml:space="preserve"> based on what an instrument did rather than what i</w:t>
      </w:r>
      <w:r w:rsidR="00B50F3D">
        <w:t>t</w:t>
      </w:r>
      <w:r w:rsidRPr="00FD274F">
        <w:t xml:space="preserve"> was called</w:t>
      </w:r>
      <w:r w:rsidR="00727ED5" w:rsidRPr="00FD274F">
        <w:t>; and</w:t>
      </w:r>
    </w:p>
    <w:p w14:paraId="4F84ACB1" w14:textId="77777777" w:rsidR="006D2E7E" w:rsidRPr="00FD274F" w:rsidRDefault="006D2E7E" w:rsidP="00E32FD9">
      <w:pPr>
        <w:pStyle w:val="BodyPara"/>
        <w:spacing w:before="180"/>
      </w:pPr>
      <w:r w:rsidRPr="00FD274F">
        <w:t>required the registration of all new legislative instruments made on or after 1 Januar</w:t>
      </w:r>
      <w:r w:rsidR="00A82705">
        <w:t>y 2005; and</w:t>
      </w:r>
    </w:p>
    <w:p w14:paraId="2FE1DED7" w14:textId="77777777" w:rsidR="006D2E7E" w:rsidRPr="00FD274F" w:rsidRDefault="006D2E7E" w:rsidP="00E32FD9">
      <w:pPr>
        <w:pStyle w:val="BodyPara"/>
        <w:spacing w:before="180"/>
      </w:pPr>
      <w:r w:rsidRPr="00FD274F">
        <w:t>repealed any older legislative instrument</w:t>
      </w:r>
      <w:r w:rsidR="000312DD">
        <w:t>s</w:t>
      </w:r>
      <w:r w:rsidRPr="00FD274F">
        <w:t xml:space="preserve"> that w</w:t>
      </w:r>
      <w:r w:rsidR="000312DD">
        <w:t>ere</w:t>
      </w:r>
      <w:r w:rsidRPr="00FD274F">
        <w:t xml:space="preserve"> not lodged for registration</w:t>
      </w:r>
      <w:r w:rsidR="00F068FE" w:rsidRPr="00FD274F">
        <w:t xml:space="preserve"> </w:t>
      </w:r>
      <w:r w:rsidRPr="00FD274F">
        <w:t>before</w:t>
      </w:r>
      <w:r w:rsidR="00075195" w:rsidRPr="00FD274F">
        <w:t xml:space="preserve"> 1 January 2008, </w:t>
      </w:r>
      <w:r w:rsidRPr="00FD274F">
        <w:t xml:space="preserve">under what was known as </w:t>
      </w:r>
      <w:proofErr w:type="spellStart"/>
      <w:r w:rsidRPr="00FD274F">
        <w:t>backcapture</w:t>
      </w:r>
      <w:proofErr w:type="spellEnd"/>
      <w:r w:rsidRPr="00FD274F">
        <w:t>.</w:t>
      </w:r>
    </w:p>
    <w:p w14:paraId="072E9E19" w14:textId="77777777" w:rsidR="006028D5" w:rsidRPr="00FD274F" w:rsidRDefault="00075195" w:rsidP="006028D5">
      <w:pPr>
        <w:pStyle w:val="BodyNum"/>
      </w:pPr>
      <w:bookmarkStart w:id="9" w:name="_Ref442190464"/>
      <w:r w:rsidRPr="00FD274F">
        <w:t xml:space="preserve">As </w:t>
      </w:r>
      <w:r w:rsidR="006028D5" w:rsidRPr="00FD274F">
        <w:t>part of this</w:t>
      </w:r>
      <w:r w:rsidRPr="00FD274F">
        <w:t xml:space="preserve">, the Act </w:t>
      </w:r>
      <w:r w:rsidR="006028D5" w:rsidRPr="00FD274F">
        <w:t>required the online publication of every type of instrument that had previously been printed as a Statutory Rule, and of a much wider range of instruments that had not previously been required to be published systematically.</w:t>
      </w:r>
      <w:bookmarkEnd w:id="9"/>
    </w:p>
    <w:p w14:paraId="2273DD35" w14:textId="54EF5286" w:rsidR="002C74F6" w:rsidRPr="00FD274F" w:rsidRDefault="0020527B" w:rsidP="00F434C0">
      <w:pPr>
        <w:pStyle w:val="BodyNum"/>
      </w:pPr>
      <w:r w:rsidRPr="00FD274F">
        <w:t>A formal review o</w:t>
      </w:r>
      <w:r w:rsidRPr="00CC183F">
        <w:t>f the LIA c</w:t>
      </w:r>
      <w:r w:rsidRPr="00FD274F">
        <w:t>onducted over 2008</w:t>
      </w:r>
      <w:r w:rsidR="009C4251">
        <w:noBreakHyphen/>
      </w:r>
      <w:r w:rsidRPr="00FD274F">
        <w:t xml:space="preserve">09 found that </w:t>
      </w:r>
      <w:r w:rsidR="00202980" w:rsidRPr="00FD274F">
        <w:t xml:space="preserve">it had </w:t>
      </w:r>
      <w:r w:rsidR="00727ED5" w:rsidRPr="00FD274F">
        <w:t>“fundamentally changed the way in which Commonwealth legislative instruments are made, published and reviewed. It gives effect to important principles of access to the law and review of executive action which underpin open and accountable</w:t>
      </w:r>
      <w:r w:rsidR="00CF7332" w:rsidRPr="00FD274F">
        <w:t xml:space="preserve"> government</w:t>
      </w:r>
      <w:r w:rsidR="00CF7332" w:rsidRPr="009A4D26">
        <w:t>”</w:t>
      </w:r>
      <w:r w:rsidRPr="009A4D26">
        <w:rPr>
          <w:rStyle w:val="FootnoteReference"/>
        </w:rPr>
        <w:footnoteReference w:id="3"/>
      </w:r>
      <w:r w:rsidR="00A82705" w:rsidRPr="009A4D26">
        <w:t>.</w:t>
      </w:r>
    </w:p>
    <w:p w14:paraId="51F9EF9A" w14:textId="6749CFB1" w:rsidR="00727ED5" w:rsidRPr="00FD274F" w:rsidRDefault="0020527B" w:rsidP="00F07CBB">
      <w:pPr>
        <w:pStyle w:val="BodyNum"/>
      </w:pPr>
      <w:r w:rsidRPr="00FD274F">
        <w:t xml:space="preserve">The review also made a number of recommendations, including to </w:t>
      </w:r>
      <w:r w:rsidR="00F07CBB" w:rsidRPr="00FD274F">
        <w:t>amend the LIA to cover a wider range of instruments. Relevant legislation was enacted in stages</w:t>
      </w:r>
      <w:r w:rsidR="00202980" w:rsidRPr="00FD274F">
        <w:t xml:space="preserve">, culminating in the commencement of the </w:t>
      </w:r>
      <w:hyperlink r:id="rId28" w:history="1">
        <w:r w:rsidR="006D2E7E" w:rsidRPr="009A4D26">
          <w:rPr>
            <w:rStyle w:val="Hyperlink"/>
            <w:i/>
          </w:rPr>
          <w:t>Acts and Instruments (Framework Reform) Act 2015</w:t>
        </w:r>
      </w:hyperlink>
      <w:r w:rsidR="00202980" w:rsidRPr="009A4D26">
        <w:t xml:space="preserve"> a</w:t>
      </w:r>
      <w:r w:rsidR="00202980" w:rsidRPr="00FD274F">
        <w:t xml:space="preserve">nd in </w:t>
      </w:r>
      <w:r w:rsidR="00F07CBB" w:rsidRPr="00FD274F">
        <w:t xml:space="preserve">the LIA becoming the </w:t>
      </w:r>
      <w:r w:rsidR="00F07CBB" w:rsidRPr="00FD274F">
        <w:rPr>
          <w:i/>
        </w:rPr>
        <w:t>Legislation Act 2003</w:t>
      </w:r>
      <w:r w:rsidR="00202980" w:rsidRPr="00FD274F">
        <w:t xml:space="preserve"> on </w:t>
      </w:r>
      <w:r w:rsidR="00F07CBB" w:rsidRPr="00FD274F">
        <w:t>5 March 2016.</w:t>
      </w:r>
    </w:p>
    <w:p w14:paraId="7C69CD5E" w14:textId="77777777" w:rsidR="002C74F6" w:rsidRPr="00FD274F" w:rsidRDefault="002C74F6" w:rsidP="002C74F6">
      <w:pPr>
        <w:pStyle w:val="Head3"/>
      </w:pPr>
      <w:bookmarkStart w:id="10" w:name="_Toc112918743"/>
      <w:r w:rsidRPr="00FD274F">
        <w:t>The Legislation Act 2003</w:t>
      </w:r>
      <w:bookmarkEnd w:id="10"/>
    </w:p>
    <w:p w14:paraId="01F89AF8" w14:textId="77777777" w:rsidR="009000D9" w:rsidRPr="00FD274F" w:rsidRDefault="00075195" w:rsidP="002C74F6">
      <w:pPr>
        <w:pStyle w:val="BodyNum"/>
      </w:pPr>
      <w:r w:rsidRPr="00FD274F">
        <w:t xml:space="preserve">The </w:t>
      </w:r>
      <w:r w:rsidRPr="00FD274F">
        <w:rPr>
          <w:i/>
        </w:rPr>
        <w:t>Legislation Act 2003</w:t>
      </w:r>
      <w:r w:rsidRPr="00FD274F">
        <w:t xml:space="preserve"> establishes a comprehensive regime for the publication of all Commonwealth legislation </w:t>
      </w:r>
      <w:r w:rsidR="009000D9" w:rsidRPr="00FD274F">
        <w:t>and related notic</w:t>
      </w:r>
      <w:r w:rsidR="00346DC8" w:rsidRPr="00FD274F">
        <w:t>es. Of particular note is that:</w:t>
      </w:r>
    </w:p>
    <w:p w14:paraId="395DCD79" w14:textId="77777777" w:rsidR="009000D9" w:rsidRPr="00FD274F" w:rsidRDefault="00346DC8" w:rsidP="00E32FD9">
      <w:pPr>
        <w:pStyle w:val="BodyPara"/>
        <w:spacing w:before="180"/>
      </w:pPr>
      <w:r w:rsidRPr="00FD274F">
        <w:t xml:space="preserve">it </w:t>
      </w:r>
      <w:r w:rsidR="009000D9" w:rsidRPr="00FD274F">
        <w:t xml:space="preserve">extends to Commonwealth Acts, the publication of which was previously </w:t>
      </w:r>
      <w:r w:rsidR="00A82705">
        <w:t>governed by a separate Act; and</w:t>
      </w:r>
    </w:p>
    <w:p w14:paraId="5EA06955" w14:textId="77777777" w:rsidR="00E02BC1" w:rsidRPr="00FD274F" w:rsidRDefault="00346DC8" w:rsidP="00E32FD9">
      <w:pPr>
        <w:pStyle w:val="BodyPara"/>
        <w:spacing w:before="180"/>
      </w:pPr>
      <w:r w:rsidRPr="00FD274F">
        <w:t xml:space="preserve">it also </w:t>
      </w:r>
      <w:r w:rsidR="009000D9" w:rsidRPr="00FD274F">
        <w:t>establishes a category of notifiable instrument</w:t>
      </w:r>
      <w:r w:rsidR="001E2A69">
        <w:t>s</w:t>
      </w:r>
      <w:r w:rsidR="00E32FD9" w:rsidRPr="00FD274F">
        <w:t>,</w:t>
      </w:r>
      <w:r w:rsidR="009000D9" w:rsidRPr="00FD274F">
        <w:t xml:space="preserve"> </w:t>
      </w:r>
      <w:r w:rsidR="00E02BC1" w:rsidRPr="00FD274F">
        <w:t>for notices of a legal nature that are not legislative but still of long</w:t>
      </w:r>
      <w:r w:rsidR="009C4251">
        <w:noBreakHyphen/>
      </w:r>
      <w:r w:rsidR="00E02BC1" w:rsidRPr="00FD274F">
        <w:t>term public interest;</w:t>
      </w:r>
      <w:r w:rsidR="00BF60F7" w:rsidRPr="00FD274F">
        <w:t xml:space="preserve"> and</w:t>
      </w:r>
    </w:p>
    <w:p w14:paraId="4AF5D292" w14:textId="77777777" w:rsidR="009000D9" w:rsidRPr="00FD274F" w:rsidRDefault="00346DC8" w:rsidP="00E32FD9">
      <w:pPr>
        <w:pStyle w:val="BodyPara"/>
        <w:spacing w:before="180"/>
      </w:pPr>
      <w:r w:rsidRPr="00FD274F">
        <w:t xml:space="preserve">it </w:t>
      </w:r>
      <w:r w:rsidR="009000D9" w:rsidRPr="00FD274F">
        <w:t>does not change existing requirements relating to the development and scrutiny of legislative instruments (e.g. disallowance and sunsetting).</w:t>
      </w:r>
    </w:p>
    <w:p w14:paraId="539C0C12" w14:textId="77777777" w:rsidR="00232C66" w:rsidRPr="00FA2521" w:rsidRDefault="00232C66" w:rsidP="009000D9">
      <w:pPr>
        <w:pStyle w:val="Head3"/>
      </w:pPr>
      <w:bookmarkStart w:id="11" w:name="_Toc112918744"/>
      <w:r w:rsidRPr="00FA2521">
        <w:t>Sunsetting Review</w:t>
      </w:r>
      <w:bookmarkEnd w:id="11"/>
    </w:p>
    <w:p w14:paraId="2487F0FF" w14:textId="625271A6" w:rsidR="00232C66" w:rsidRPr="00FA2521" w:rsidRDefault="00232C66" w:rsidP="00232C66">
      <w:pPr>
        <w:pStyle w:val="BodyNum"/>
      </w:pPr>
      <w:r w:rsidRPr="00FA2521">
        <w:t xml:space="preserve">In 2017, the </w:t>
      </w:r>
      <w:hyperlink r:id="rId29" w:history="1">
        <w:r w:rsidR="00CC183F" w:rsidRPr="00CC183F">
          <w:rPr>
            <w:rStyle w:val="Hyperlink"/>
          </w:rPr>
          <w:t>LA</w:t>
        </w:r>
      </w:hyperlink>
      <w:r w:rsidRPr="00FA2521">
        <w:t xml:space="preserve"> was subject to a review of sunsetting and related matters specified by the Attorney</w:t>
      </w:r>
      <w:r w:rsidR="009C4251">
        <w:noBreakHyphen/>
      </w:r>
      <w:r w:rsidRPr="00FA2521">
        <w:t xml:space="preserve">General under </w:t>
      </w:r>
      <w:r w:rsidRPr="00CC183F">
        <w:t xml:space="preserve">section 60 of the </w:t>
      </w:r>
      <w:hyperlink r:id="rId30" w:history="1">
        <w:r w:rsidRPr="00CC183F">
          <w:rPr>
            <w:rStyle w:val="Hyperlink"/>
          </w:rPr>
          <w:t>LA</w:t>
        </w:r>
      </w:hyperlink>
      <w:r w:rsidR="00F1401E" w:rsidRPr="00CC183F">
        <w:t>.</w:t>
      </w:r>
    </w:p>
    <w:p w14:paraId="0E35340A" w14:textId="77777777" w:rsidR="00FA2521" w:rsidRPr="00FA2521" w:rsidRDefault="00740FA1" w:rsidP="00232C66">
      <w:pPr>
        <w:pStyle w:val="BodyNum"/>
      </w:pPr>
      <w:r w:rsidRPr="00FA2521">
        <w:lastRenderedPageBreak/>
        <w:t xml:space="preserve">The </w:t>
      </w:r>
      <w:r w:rsidRPr="009805B7">
        <w:rPr>
          <w:i/>
        </w:rPr>
        <w:t>Report on the Operation of the Sunsetting Provisions in the Legislation Act 2003</w:t>
      </w:r>
      <w:r w:rsidRPr="009805B7">
        <w:t>,</w:t>
      </w:r>
      <w:r w:rsidR="009D776B" w:rsidRPr="009805B7">
        <w:t xml:space="preserve"> </w:t>
      </w:r>
      <w:r w:rsidRPr="009805B7">
        <w:t>published in September 2017</w:t>
      </w:r>
      <w:r w:rsidRPr="009805B7">
        <w:rPr>
          <w:rStyle w:val="FootnoteReference"/>
        </w:rPr>
        <w:footnoteReference w:id="4"/>
      </w:r>
      <w:r w:rsidRPr="009805B7">
        <w:t>,</w:t>
      </w:r>
      <w:r w:rsidRPr="00FA2521">
        <w:t xml:space="preserve"> made a number of recommendations. Overall, the review supported the sunsetting framework and recommended that the 10</w:t>
      </w:r>
      <w:r w:rsidR="009C4251">
        <w:noBreakHyphen/>
      </w:r>
      <w:r w:rsidRPr="00FA2521">
        <w:t>year</w:t>
      </w:r>
      <w:r w:rsidR="00C46CED">
        <w:t xml:space="preserve"> sunsetting period be maintained.</w:t>
      </w:r>
    </w:p>
    <w:p w14:paraId="2A1A2F76" w14:textId="77777777" w:rsidR="00FA2521" w:rsidRDefault="00FA2521" w:rsidP="00232C66">
      <w:pPr>
        <w:pStyle w:val="BodyNum"/>
      </w:pPr>
      <w:r>
        <w:t>Some of the other recommendations include</w:t>
      </w:r>
      <w:r w:rsidR="00B50F3D">
        <w:t xml:space="preserve"> that</w:t>
      </w:r>
      <w:r>
        <w:t>:</w:t>
      </w:r>
    </w:p>
    <w:p w14:paraId="499B94D0" w14:textId="77777777" w:rsidR="00FA2521" w:rsidRDefault="00FA2521" w:rsidP="00FA2521">
      <w:pPr>
        <w:pStyle w:val="BodyPara"/>
      </w:pPr>
      <w:r>
        <w:t xml:space="preserve">the sunsetting framework not be extended to </w:t>
      </w:r>
      <w:r w:rsidR="00CC7302">
        <w:t>Acts</w:t>
      </w:r>
      <w:r w:rsidR="00865F8E">
        <w:t xml:space="preserve">; </w:t>
      </w:r>
      <w:r w:rsidR="00D761EF">
        <w:t>and</w:t>
      </w:r>
    </w:p>
    <w:p w14:paraId="70A8CC52" w14:textId="079ABBCC" w:rsidR="00865F8E" w:rsidRDefault="00865F8E" w:rsidP="00FA2521">
      <w:pPr>
        <w:pStyle w:val="BodyPara"/>
      </w:pPr>
      <w:r>
        <w:t>another review of sunsetting provisions be undertaken by 1 October 2027.</w:t>
      </w:r>
    </w:p>
    <w:p w14:paraId="16B3610D" w14:textId="5BDBF5EB" w:rsidR="00CF164C" w:rsidRDefault="00CF164C" w:rsidP="00CF164C">
      <w:pPr>
        <w:pStyle w:val="BodyNum"/>
      </w:pPr>
      <w:r>
        <w:t xml:space="preserve">The </w:t>
      </w:r>
      <w:hyperlink r:id="rId31" w:history="1">
        <w:r w:rsidR="00CC7302" w:rsidRPr="009805B7">
          <w:rPr>
            <w:rStyle w:val="Hyperlink"/>
            <w:i/>
          </w:rPr>
          <w:t>Legislation Amendment (Sunsetting Review and Other Measures) Act 2018</w:t>
        </w:r>
      </w:hyperlink>
      <w:r w:rsidRPr="009805B7">
        <w:t xml:space="preserve"> was</w:t>
      </w:r>
      <w:r>
        <w:t xml:space="preserve"> assented to on 24 August 2018</w:t>
      </w:r>
      <w:r w:rsidR="00D761EF">
        <w:t>. The Act addresses a number of the Sunsetting Review recommendations including</w:t>
      </w:r>
      <w:r w:rsidR="001E480D">
        <w:t xml:space="preserve"> that</w:t>
      </w:r>
      <w:r w:rsidR="00D761EF">
        <w:t>:</w:t>
      </w:r>
    </w:p>
    <w:p w14:paraId="7A9EDB8D" w14:textId="282A55B3" w:rsidR="00D761EF" w:rsidRDefault="00D761EF" w:rsidP="00D761EF">
      <w:pPr>
        <w:pStyle w:val="BodyPara"/>
      </w:pPr>
      <w:r>
        <w:t>the Attorney</w:t>
      </w:r>
      <w:r w:rsidR="009C4251">
        <w:noBreakHyphen/>
      </w:r>
      <w:r>
        <w:t>General be allowed to grant deferrals of sunsetting for up to 24</w:t>
      </w:r>
      <w:r w:rsidR="000B64E3">
        <w:t> </w:t>
      </w:r>
      <w:r w:rsidR="00A82705">
        <w:t>months;</w:t>
      </w:r>
      <w:r w:rsidR="002600D1">
        <w:t xml:space="preserve"> and</w:t>
      </w:r>
    </w:p>
    <w:p w14:paraId="3B59BA64" w14:textId="56234764" w:rsidR="001E480D" w:rsidRDefault="001E480D" w:rsidP="00D761EF">
      <w:pPr>
        <w:pStyle w:val="BodyPara"/>
      </w:pPr>
      <w:r>
        <w:t>Parliament be allowed to pass a resolution to roll over a legislative instrument at any time after that instrument is mentioned in the sunsetting lis</w:t>
      </w:r>
      <w:r w:rsidR="00A82705">
        <w:t>t or a certificate of deferral;</w:t>
      </w:r>
      <w:r w:rsidR="002600D1">
        <w:t xml:space="preserve"> and</w:t>
      </w:r>
    </w:p>
    <w:p w14:paraId="7C506611" w14:textId="20760E77" w:rsidR="00174A11" w:rsidRDefault="00174A11" w:rsidP="00174A11">
      <w:pPr>
        <w:pStyle w:val="BodyPara"/>
      </w:pPr>
      <w:r>
        <w:t xml:space="preserve">rules of court should be subject to the registration and publication requirements of the </w:t>
      </w:r>
      <w:hyperlink r:id="rId32" w:history="1">
        <w:r w:rsidRPr="00657CF9">
          <w:rPr>
            <w:rStyle w:val="Hyperlink"/>
          </w:rPr>
          <w:t>LA</w:t>
        </w:r>
      </w:hyperlink>
      <w:r>
        <w:t xml:space="preserve"> but not subject to sunsetting</w:t>
      </w:r>
      <w:r w:rsidR="00A82705">
        <w:t>;</w:t>
      </w:r>
      <w:r w:rsidR="002600D1">
        <w:t xml:space="preserve"> and</w:t>
      </w:r>
    </w:p>
    <w:p w14:paraId="33688EEA" w14:textId="6C15B9C1" w:rsidR="00D761EF" w:rsidRDefault="00D761EF" w:rsidP="00D761EF">
      <w:pPr>
        <w:pStyle w:val="BodyPara"/>
      </w:pPr>
      <w:r>
        <w:t xml:space="preserve">automatic repeal of disallowable legislative instruments under Division 1 of Part 3 of Chapter 3 of the </w:t>
      </w:r>
      <w:hyperlink r:id="rId33" w:history="1">
        <w:r w:rsidRPr="00657CF9">
          <w:rPr>
            <w:rStyle w:val="Hyperlink"/>
          </w:rPr>
          <w:t>LA</w:t>
        </w:r>
      </w:hyperlink>
      <w:r w:rsidRPr="00657CF9">
        <w:t xml:space="preserve"> </w:t>
      </w:r>
      <w:r w:rsidR="00F1401E" w:rsidRPr="00657CF9">
        <w:t>do</w:t>
      </w:r>
      <w:r w:rsidR="00F1401E">
        <w:t xml:space="preserve"> </w:t>
      </w:r>
      <w:r>
        <w:t>not operate before the end of the disallowance period; and</w:t>
      </w:r>
    </w:p>
    <w:p w14:paraId="4D3F80D9" w14:textId="2DF69F24" w:rsidR="00D761EF" w:rsidRDefault="001E480D" w:rsidP="00D761EF">
      <w:pPr>
        <w:pStyle w:val="BodyPara"/>
      </w:pPr>
      <w:r>
        <w:t xml:space="preserve">the term </w:t>
      </w:r>
      <w:r>
        <w:rPr>
          <w:b/>
          <w:i/>
        </w:rPr>
        <w:t>sitting day</w:t>
      </w:r>
      <w:r>
        <w:t xml:space="preserve"> be defined in t</w:t>
      </w:r>
      <w:r w:rsidRPr="009805B7">
        <w:t xml:space="preserve">he </w:t>
      </w:r>
      <w:hyperlink r:id="rId34" w:history="1">
        <w:r w:rsidR="009805B7" w:rsidRPr="009A4D26">
          <w:rPr>
            <w:rStyle w:val="Hyperlink"/>
            <w:i/>
          </w:rPr>
          <w:t>Acts Interpretation Act 1901</w:t>
        </w:r>
      </w:hyperlink>
      <w:r w:rsidRPr="009805B7">
        <w:t>.</w:t>
      </w:r>
    </w:p>
    <w:p w14:paraId="183ED682" w14:textId="77777777" w:rsidR="009000D9" w:rsidRPr="00FD274F" w:rsidRDefault="009000D9" w:rsidP="009000D9">
      <w:pPr>
        <w:pStyle w:val="Head3"/>
      </w:pPr>
      <w:bookmarkStart w:id="12" w:name="_Toc112918745"/>
      <w:r w:rsidRPr="00FD274F">
        <w:t>Further statutory reviews</w:t>
      </w:r>
      <w:bookmarkEnd w:id="12"/>
    </w:p>
    <w:p w14:paraId="53EF47D6" w14:textId="1C501C98" w:rsidR="00434F5B" w:rsidRDefault="00434F5B" w:rsidP="00BB4992">
      <w:pPr>
        <w:pStyle w:val="BodyNum"/>
      </w:pPr>
      <w:r w:rsidRPr="00434F5B">
        <w:t>A review of the operation o</w:t>
      </w:r>
      <w:r w:rsidRPr="00657CF9">
        <w:t>f Part 4 of Chapter 3</w:t>
      </w:r>
      <w:r w:rsidRPr="00434F5B">
        <w:t xml:space="preserve"> of the </w:t>
      </w:r>
      <w:hyperlink r:id="rId35" w:history="1">
        <w:r w:rsidRPr="00657CF9">
          <w:rPr>
            <w:rStyle w:val="Hyperlink"/>
          </w:rPr>
          <w:t>LA</w:t>
        </w:r>
      </w:hyperlink>
      <w:r w:rsidRPr="00657CF9">
        <w:t xml:space="preserve"> (</w:t>
      </w:r>
      <w:r w:rsidRPr="00434F5B">
        <w:t xml:space="preserve">sunsetting of legislative instruments) will be conducted in 2027 under section 60 of the </w:t>
      </w:r>
      <w:hyperlink r:id="rId36" w:history="1">
        <w:r w:rsidRPr="00657CF9">
          <w:rPr>
            <w:rStyle w:val="Hyperlink"/>
          </w:rPr>
          <w:t>LA</w:t>
        </w:r>
      </w:hyperlink>
      <w:r w:rsidRPr="00657CF9">
        <w:t>.</w:t>
      </w:r>
    </w:p>
    <w:p w14:paraId="304399E7" w14:textId="4865B634" w:rsidR="00E32FD9" w:rsidRPr="00474A59" w:rsidRDefault="00474A59" w:rsidP="00474A59">
      <w:pPr>
        <w:pStyle w:val="BodyNum"/>
      </w:pPr>
      <w:r>
        <w:t xml:space="preserve">A review of the operation of the </w:t>
      </w:r>
      <w:hyperlink r:id="rId37" w:history="1">
        <w:r w:rsidRPr="00657CF9">
          <w:rPr>
            <w:rStyle w:val="Hyperlink"/>
          </w:rPr>
          <w:t>LA</w:t>
        </w:r>
      </w:hyperlink>
      <w:r w:rsidRPr="00657CF9">
        <w:t xml:space="preserve"> is u</w:t>
      </w:r>
      <w:r>
        <w:t>nderway as required by secti</w:t>
      </w:r>
      <w:r w:rsidRPr="00657CF9">
        <w:t>on 59 of the Act.</w:t>
      </w:r>
      <w:bookmarkStart w:id="13" w:name="Chapter2"/>
      <w:r w:rsidR="00E32FD9" w:rsidRPr="00FD274F">
        <w:br w:type="page"/>
      </w:r>
    </w:p>
    <w:p w14:paraId="2C73ED70" w14:textId="77777777" w:rsidR="00727ED5" w:rsidRPr="00FD274F" w:rsidRDefault="00CD5270" w:rsidP="004855B6">
      <w:pPr>
        <w:pStyle w:val="Head2"/>
      </w:pPr>
      <w:bookmarkStart w:id="14" w:name="_Toc112918746"/>
      <w:r w:rsidRPr="00FD274F">
        <w:lastRenderedPageBreak/>
        <w:t>Chapter 2—</w:t>
      </w:r>
      <w:r w:rsidR="00727ED5" w:rsidRPr="00FD274F">
        <w:t>Key concepts</w:t>
      </w:r>
      <w:bookmarkEnd w:id="14"/>
    </w:p>
    <w:bookmarkEnd w:id="13"/>
    <w:p w14:paraId="7668B634" w14:textId="77777777" w:rsidR="00727ED5" w:rsidRPr="00FD274F" w:rsidRDefault="00727ED5" w:rsidP="00C83987">
      <w:pPr>
        <w:pStyle w:val="SundryBoxHeadBold"/>
      </w:pPr>
      <w:r w:rsidRPr="00FD274F">
        <w:t>Main points</w:t>
      </w:r>
    </w:p>
    <w:p w14:paraId="2A22E4E6" w14:textId="010BD192" w:rsidR="00727ED5" w:rsidRPr="00FD274F" w:rsidRDefault="00727ED5" w:rsidP="00F75BA9">
      <w:pPr>
        <w:pStyle w:val="SundryBoxBullet"/>
      </w:pPr>
      <w:r w:rsidRPr="00FD274F">
        <w:t>•</w:t>
      </w:r>
      <w:r w:rsidRPr="00FD274F">
        <w:tab/>
        <w:t xml:space="preserve">The </w:t>
      </w:r>
      <w:hyperlink r:id="rId38" w:history="1">
        <w:r w:rsidR="00BD4ED0" w:rsidRPr="00FC211B">
          <w:rPr>
            <w:rStyle w:val="Hyperlink"/>
          </w:rPr>
          <w:t>LA</w:t>
        </w:r>
      </w:hyperlink>
      <w:r w:rsidR="00BD4ED0" w:rsidRPr="00FC211B">
        <w:rPr>
          <w:rStyle w:val="Hyperlink"/>
        </w:rPr>
        <w:t xml:space="preserve"> </w:t>
      </w:r>
      <w:r w:rsidRPr="00FC211B">
        <w:t>im</w:t>
      </w:r>
      <w:r w:rsidRPr="00FD274F">
        <w:t>poses a number of obligations on rule</w:t>
      </w:r>
      <w:r w:rsidR="009C4251">
        <w:noBreakHyphen/>
      </w:r>
      <w:r w:rsidRPr="00FD274F">
        <w:t>makers in res</w:t>
      </w:r>
      <w:r w:rsidR="00F735C3" w:rsidRPr="00FD274F">
        <w:t>pect of legislative instruments and notifiable instruments.</w:t>
      </w:r>
    </w:p>
    <w:p w14:paraId="17B416B6" w14:textId="3D737800" w:rsidR="00727ED5" w:rsidRPr="00FD274F" w:rsidRDefault="00727ED5" w:rsidP="00F75BA9">
      <w:pPr>
        <w:pStyle w:val="SundryBoxBullet"/>
      </w:pPr>
      <w:r w:rsidRPr="00FD274F">
        <w:t>•</w:t>
      </w:r>
      <w:r w:rsidRPr="00FD274F">
        <w:tab/>
      </w:r>
      <w:r w:rsidR="00902D72">
        <w:t xml:space="preserve">For the purposes of the </w:t>
      </w:r>
      <w:hyperlink r:id="rId39" w:history="1">
        <w:r w:rsidR="00F66686" w:rsidRPr="00FC211B">
          <w:rPr>
            <w:rStyle w:val="Hyperlink"/>
          </w:rPr>
          <w:t>LA</w:t>
        </w:r>
      </w:hyperlink>
      <w:r w:rsidRPr="00FC211B">
        <w:t xml:space="preserve">, the </w:t>
      </w:r>
      <w:r w:rsidRPr="00FC211B">
        <w:rPr>
          <w:b/>
          <w:i/>
        </w:rPr>
        <w:t>r</w:t>
      </w:r>
      <w:r w:rsidRPr="00FD274F">
        <w:rPr>
          <w:b/>
          <w:i/>
        </w:rPr>
        <w:t>ule</w:t>
      </w:r>
      <w:r w:rsidR="009C4251">
        <w:rPr>
          <w:b/>
          <w:i/>
        </w:rPr>
        <w:noBreakHyphen/>
      </w:r>
      <w:r w:rsidRPr="00FD274F">
        <w:rPr>
          <w:b/>
          <w:i/>
        </w:rPr>
        <w:t>maker</w:t>
      </w:r>
      <w:r w:rsidRPr="00FD274F">
        <w:t xml:space="preserve"> generally refers to the person or body </w:t>
      </w:r>
      <w:r w:rsidR="0014479F">
        <w:t xml:space="preserve">(or a delegate) </w:t>
      </w:r>
      <w:r w:rsidRPr="00FD274F">
        <w:t>authorised to make a</w:t>
      </w:r>
      <w:r w:rsidR="00A47EB7" w:rsidRPr="00FD274F">
        <w:t>n</w:t>
      </w:r>
      <w:r w:rsidRPr="00FD274F">
        <w:t xml:space="preserve"> instrument under </w:t>
      </w:r>
      <w:r w:rsidR="00A47EB7" w:rsidRPr="00FD274F">
        <w:t>its</w:t>
      </w:r>
      <w:r w:rsidRPr="00FD274F">
        <w:t xml:space="preserve"> enabling legislation.</w:t>
      </w:r>
    </w:p>
    <w:p w14:paraId="72D7FEB5" w14:textId="5CB134DD" w:rsidR="00727ED5" w:rsidRPr="00FD274F" w:rsidRDefault="00727ED5" w:rsidP="00F75BA9">
      <w:pPr>
        <w:pStyle w:val="SundryBoxBullet"/>
      </w:pPr>
      <w:r w:rsidRPr="00FD274F">
        <w:t>•</w:t>
      </w:r>
      <w:r w:rsidRPr="00FD274F">
        <w:tab/>
        <w:t xml:space="preserve">Declarations about whether or not a class of instrument is a legislative instrument </w:t>
      </w:r>
      <w:r w:rsidR="00A47EB7" w:rsidRPr="00FD274F">
        <w:t xml:space="preserve">or a notifiable instrument </w:t>
      </w:r>
      <w:r w:rsidRPr="00FD274F">
        <w:t>can be found in t</w:t>
      </w:r>
      <w:r w:rsidRPr="00FC211B">
        <w:t xml:space="preserve">he </w:t>
      </w:r>
      <w:hyperlink r:id="rId40" w:history="1">
        <w:r w:rsidRPr="00FC211B">
          <w:rPr>
            <w:rStyle w:val="Hyperlink"/>
          </w:rPr>
          <w:t>LA</w:t>
        </w:r>
      </w:hyperlink>
      <w:r w:rsidRPr="00FC211B">
        <w:t xml:space="preserve">, </w:t>
      </w:r>
      <w:hyperlink r:id="rId41" w:history="1">
        <w:proofErr w:type="spellStart"/>
        <w:r w:rsidR="00F62728" w:rsidRPr="00FC211B">
          <w:rPr>
            <w:rStyle w:val="Hyperlink"/>
          </w:rPr>
          <w:t>LEOMR</w:t>
        </w:r>
        <w:proofErr w:type="spellEnd"/>
      </w:hyperlink>
      <w:r w:rsidRPr="00FC211B">
        <w:t xml:space="preserve"> a</w:t>
      </w:r>
      <w:r w:rsidRPr="00FD274F">
        <w:t>nd some enabling legislation.</w:t>
      </w:r>
    </w:p>
    <w:p w14:paraId="6353679A" w14:textId="1545E5A5" w:rsidR="00727ED5" w:rsidRPr="00FD274F" w:rsidRDefault="00A47EB7" w:rsidP="00F75BA9">
      <w:pPr>
        <w:pStyle w:val="SundryBoxBullet"/>
      </w:pPr>
      <w:r w:rsidRPr="00FD274F">
        <w:t>•</w:t>
      </w:r>
      <w:r w:rsidRPr="00FD274F">
        <w:tab/>
        <w:t>In</w:t>
      </w:r>
      <w:r w:rsidR="00727ED5" w:rsidRPr="00FD274F">
        <w:t xml:space="preserve"> the absence of an express declaration, the definition of a</w:t>
      </w:r>
      <w:r w:rsidR="00727ED5" w:rsidRPr="00FD274F">
        <w:rPr>
          <w:b/>
        </w:rPr>
        <w:t xml:space="preserve"> </w:t>
      </w:r>
      <w:r w:rsidR="00727ED5" w:rsidRPr="00FD274F">
        <w:rPr>
          <w:b/>
          <w:i/>
        </w:rPr>
        <w:t>legislative instrument</w:t>
      </w:r>
      <w:r w:rsidR="00727ED5" w:rsidRPr="00FD274F">
        <w:t xml:space="preserve"> in </w:t>
      </w:r>
      <w:r w:rsidR="00727ED5" w:rsidRPr="00FC211B">
        <w:t xml:space="preserve">section </w:t>
      </w:r>
      <w:r w:rsidRPr="00FC211B">
        <w:t>8</w:t>
      </w:r>
      <w:r w:rsidR="00727ED5" w:rsidRPr="00FC211B">
        <w:t xml:space="preserve"> of the </w:t>
      </w:r>
      <w:hyperlink r:id="rId42" w:history="1">
        <w:r w:rsidR="00935A9B" w:rsidRPr="00FC211B">
          <w:rPr>
            <w:rStyle w:val="Hyperlink"/>
          </w:rPr>
          <w:t>LA</w:t>
        </w:r>
      </w:hyperlink>
      <w:r w:rsidR="00935A9B" w:rsidRPr="00FD274F">
        <w:rPr>
          <w:rStyle w:val="Hyperlink"/>
        </w:rPr>
        <w:t xml:space="preserve"> </w:t>
      </w:r>
      <w:r w:rsidR="00727ED5" w:rsidRPr="00FD274F">
        <w:t>must be applied to an instrument.</w:t>
      </w:r>
    </w:p>
    <w:p w14:paraId="11BA76E9" w14:textId="77777777" w:rsidR="00727ED5" w:rsidRPr="00FD274F" w:rsidRDefault="00727ED5" w:rsidP="00F75BA9">
      <w:pPr>
        <w:pStyle w:val="SundryBoxBullet"/>
      </w:pPr>
      <w:r w:rsidRPr="00FD274F">
        <w:t>•</w:t>
      </w:r>
      <w:r w:rsidRPr="00FD274F">
        <w:tab/>
        <w:t>If it is unclear whether an instrument is a legislative instrument, it would be prudent to get legal advice and take action if necessary to put the issue beyond doubt.</w:t>
      </w:r>
    </w:p>
    <w:p w14:paraId="397074B4" w14:textId="77777777" w:rsidR="00727ED5" w:rsidRPr="00FD274F" w:rsidRDefault="00727ED5" w:rsidP="00F75BA9">
      <w:pPr>
        <w:pStyle w:val="SundryBoxBullet"/>
      </w:pPr>
      <w:r w:rsidRPr="00FD274F">
        <w:t>•</w:t>
      </w:r>
      <w:r w:rsidRPr="00FD274F">
        <w:tab/>
      </w:r>
      <w:r w:rsidR="00A27943" w:rsidRPr="00FD274F">
        <w:t>The Federal Register of Legislati</w:t>
      </w:r>
      <w:r w:rsidR="00F735C3" w:rsidRPr="00FD274F">
        <w:t>on is an authorised database of legislation and related material including instruments, their</w:t>
      </w:r>
      <w:r w:rsidRPr="00FD274F">
        <w:t xml:space="preserve"> explanatory statements and compilations of instruments as amended.</w:t>
      </w:r>
    </w:p>
    <w:p w14:paraId="2A39EFBD" w14:textId="358798E0" w:rsidR="00727ED5" w:rsidRPr="00FD274F" w:rsidRDefault="00727ED5" w:rsidP="00F75BA9">
      <w:pPr>
        <w:pStyle w:val="SundryBoxBullet"/>
        <w:rPr>
          <w:color w:val="0000FF"/>
        </w:rPr>
      </w:pPr>
      <w:r w:rsidRPr="00FD274F">
        <w:t>•</w:t>
      </w:r>
      <w:r w:rsidRPr="00FD274F">
        <w:tab/>
      </w:r>
      <w:r w:rsidR="00F735C3" w:rsidRPr="00FD274F">
        <w:t xml:space="preserve">The Register is </w:t>
      </w:r>
      <w:r w:rsidRPr="00FD274F">
        <w:t>accessible online free of charge</w:t>
      </w:r>
      <w:r w:rsidR="00F735C3" w:rsidRPr="00FD274F">
        <w:t xml:space="preserve"> at </w:t>
      </w:r>
      <w:hyperlink r:id="rId43" w:history="1">
        <w:r w:rsidR="00F735C3" w:rsidRPr="00FD274F">
          <w:rPr>
            <w:rStyle w:val="Hyperlink"/>
          </w:rPr>
          <w:t>https://www.legislation.gov.au</w:t>
        </w:r>
      </w:hyperlink>
      <w:r w:rsidR="00F735C3" w:rsidRPr="002C35F6">
        <w:t>.</w:t>
      </w:r>
    </w:p>
    <w:p w14:paraId="0BAEF10B" w14:textId="77777777" w:rsidR="00727ED5" w:rsidRPr="00FD274F" w:rsidRDefault="00727ED5" w:rsidP="004855B6">
      <w:pPr>
        <w:pStyle w:val="Head3"/>
      </w:pPr>
      <w:bookmarkStart w:id="15" w:name="_Toc112918747"/>
      <w:r w:rsidRPr="00FD274F">
        <w:t>Who is a rule</w:t>
      </w:r>
      <w:r w:rsidR="009C4251">
        <w:noBreakHyphen/>
      </w:r>
      <w:r w:rsidRPr="00FD274F">
        <w:t>maker?</w:t>
      </w:r>
      <w:bookmarkEnd w:id="15"/>
    </w:p>
    <w:p w14:paraId="5161DC22" w14:textId="77423643" w:rsidR="00F735C3" w:rsidRPr="00FD274F" w:rsidRDefault="00727ED5" w:rsidP="0008193D">
      <w:pPr>
        <w:pStyle w:val="BodyNum"/>
      </w:pPr>
      <w:r w:rsidRPr="00FD274F">
        <w:t>Th</w:t>
      </w:r>
      <w:r w:rsidRPr="00FC211B">
        <w:t xml:space="preserve">e </w:t>
      </w:r>
      <w:hyperlink r:id="rId44" w:history="1">
        <w:r w:rsidR="00FC211B" w:rsidRPr="00FC211B">
          <w:rPr>
            <w:rStyle w:val="Hyperlink"/>
          </w:rPr>
          <w:t>LA</w:t>
        </w:r>
      </w:hyperlink>
      <w:r w:rsidRPr="00FD274F">
        <w:t xml:space="preserve"> imposes a number of obligations on </w:t>
      </w:r>
      <w:r w:rsidR="00346DC8" w:rsidRPr="00FD274F">
        <w:t>rule</w:t>
      </w:r>
      <w:r w:rsidR="009C4251">
        <w:noBreakHyphen/>
      </w:r>
      <w:r w:rsidR="00346DC8" w:rsidRPr="00FD274F">
        <w:t xml:space="preserve">makers, </w:t>
      </w:r>
      <w:r w:rsidR="00F735C3" w:rsidRPr="00FD274F">
        <w:t>including lodging instruments for registration, and notifying events that may affect the accuracy an</w:t>
      </w:r>
      <w:r w:rsidR="00F1401E">
        <w:t>d completeness of the Register.</w:t>
      </w:r>
    </w:p>
    <w:p w14:paraId="3246D37A" w14:textId="2E5D9CA8" w:rsidR="00346DC8" w:rsidRPr="00FD274F" w:rsidRDefault="00727ED5" w:rsidP="0008193D">
      <w:pPr>
        <w:pStyle w:val="BodyNum"/>
      </w:pPr>
      <w:r w:rsidRPr="00FD274F">
        <w:t xml:space="preserve">For the purposes of the </w:t>
      </w:r>
      <w:hyperlink r:id="rId45" w:history="1">
        <w:r w:rsidR="00FC211B" w:rsidRPr="00FC211B">
          <w:rPr>
            <w:rStyle w:val="Hyperlink"/>
          </w:rPr>
          <w:t>LA</w:t>
        </w:r>
      </w:hyperlink>
      <w:r w:rsidRPr="00FC211B">
        <w:t>,</w:t>
      </w:r>
      <w:r w:rsidRPr="00FD274F">
        <w:t xml:space="preserve"> </w:t>
      </w:r>
      <w:r w:rsidRPr="00FD274F">
        <w:rPr>
          <w:b/>
          <w:i/>
        </w:rPr>
        <w:t>rule</w:t>
      </w:r>
      <w:r w:rsidR="009C4251">
        <w:rPr>
          <w:b/>
          <w:i/>
        </w:rPr>
        <w:noBreakHyphen/>
      </w:r>
      <w:r w:rsidRPr="00FD274F">
        <w:rPr>
          <w:b/>
          <w:i/>
        </w:rPr>
        <w:t>maker</w:t>
      </w:r>
      <w:r w:rsidRPr="00FD274F">
        <w:t xml:space="preserve"> generally means the person or body authorised to make an instrument under its enabling legislation, whether or not the person or body actually made the instrument concerne</w:t>
      </w:r>
      <w:r w:rsidRPr="00FC211B">
        <w:t>d (</w:t>
      </w:r>
      <w:hyperlink r:id="rId46" w:history="1">
        <w:r w:rsidR="00F735C3" w:rsidRPr="00FC211B">
          <w:rPr>
            <w:rStyle w:val="Hyperlink"/>
          </w:rPr>
          <w:t>L</w:t>
        </w:r>
        <w:r w:rsidRPr="00FC211B">
          <w:rPr>
            <w:rStyle w:val="Hyperlink"/>
          </w:rPr>
          <w:t>A</w:t>
        </w:r>
      </w:hyperlink>
      <w:r w:rsidRPr="00FC211B">
        <w:t xml:space="preserve"> s </w:t>
      </w:r>
      <w:r w:rsidR="00F550E3" w:rsidRPr="00FC211B">
        <w:t>6</w:t>
      </w:r>
      <w:r w:rsidRPr="00FC211B">
        <w:t>(</w:t>
      </w:r>
      <w:r w:rsidR="00F550E3" w:rsidRPr="00FC211B">
        <w:t>1)(c)</w:t>
      </w:r>
      <w:r w:rsidRPr="00FC211B">
        <w:t>).</w:t>
      </w:r>
      <w:r w:rsidRPr="00FD274F">
        <w:t xml:space="preserve"> </w:t>
      </w:r>
      <w:r w:rsidR="00346DC8" w:rsidRPr="00FD274F">
        <w:t>There is one exception to this rule. For instruments made by the Governor</w:t>
      </w:r>
      <w:r w:rsidR="009C4251">
        <w:noBreakHyphen/>
      </w:r>
      <w:r w:rsidR="00346DC8" w:rsidRPr="00FD274F">
        <w:t>General, the rule</w:t>
      </w:r>
      <w:r w:rsidR="009C4251">
        <w:noBreakHyphen/>
      </w:r>
      <w:r w:rsidR="00346DC8" w:rsidRPr="00FD274F">
        <w:t>maker is taken to be:</w:t>
      </w:r>
    </w:p>
    <w:p w14:paraId="622BC1F7" w14:textId="65BF51F9" w:rsidR="00346DC8" w:rsidRPr="00FD274F" w:rsidRDefault="00346DC8" w:rsidP="00346DC8">
      <w:pPr>
        <w:pStyle w:val="BodyPara"/>
      </w:pPr>
      <w:r w:rsidRPr="00FD274F">
        <w:t>the Minister responsible for the enabling legislation under which the instrument is m</w:t>
      </w:r>
      <w:r w:rsidRPr="00FC211B">
        <w:t>ade (</w:t>
      </w:r>
      <w:hyperlink r:id="rId47" w:history="1">
        <w:r w:rsidRPr="00FC211B">
          <w:rPr>
            <w:rStyle w:val="Hyperlink"/>
          </w:rPr>
          <w:t>LA</w:t>
        </w:r>
      </w:hyperlink>
      <w:r w:rsidRPr="00FC211B">
        <w:t xml:space="preserve"> s</w:t>
      </w:r>
      <w:r w:rsidR="00B62BDE" w:rsidRPr="00FC211B">
        <w:t> </w:t>
      </w:r>
      <w:r w:rsidR="00F1401E" w:rsidRPr="00FC211B">
        <w:t>6(1)(a)); or</w:t>
      </w:r>
    </w:p>
    <w:p w14:paraId="43BD07FB" w14:textId="77B8BCAF" w:rsidR="00346DC8" w:rsidRPr="00FD274F" w:rsidRDefault="00346DC8" w:rsidP="00346DC8">
      <w:pPr>
        <w:pStyle w:val="BodyPara"/>
      </w:pPr>
      <w:r w:rsidRPr="00FD274F">
        <w:t xml:space="preserve">if the instrument is made </w:t>
      </w:r>
      <w:r w:rsidR="00364B2A" w:rsidRPr="00FD274F">
        <w:t xml:space="preserve">under </w:t>
      </w:r>
      <w:r w:rsidR="00937C67" w:rsidRPr="00FD274F">
        <w:t>executive power</w:t>
      </w:r>
      <w:r w:rsidRPr="00FD274F">
        <w:t>—the Prime Minister, or a Minister prescribed by regulatio</w:t>
      </w:r>
      <w:r w:rsidRPr="00FC211B">
        <w:t>n (</w:t>
      </w:r>
      <w:hyperlink r:id="rId48" w:history="1">
        <w:r w:rsidRPr="00FC211B">
          <w:rPr>
            <w:rStyle w:val="Hyperlink"/>
          </w:rPr>
          <w:t>LA</w:t>
        </w:r>
      </w:hyperlink>
      <w:r w:rsidRPr="00FC211B">
        <w:t xml:space="preserve"> s</w:t>
      </w:r>
      <w:r w:rsidR="00B62BDE" w:rsidRPr="00FC211B">
        <w:t> </w:t>
      </w:r>
      <w:r w:rsidRPr="00FC211B">
        <w:t>6(1)(b)).</w:t>
      </w:r>
    </w:p>
    <w:p w14:paraId="45E80D90" w14:textId="7256F31C" w:rsidR="00727ED5" w:rsidRPr="00FD274F" w:rsidRDefault="00727ED5" w:rsidP="0008193D">
      <w:pPr>
        <w:pStyle w:val="BodyNum"/>
      </w:pPr>
      <w:r w:rsidRPr="00FD274F">
        <w:t>A rule</w:t>
      </w:r>
      <w:r w:rsidR="009C4251">
        <w:noBreakHyphen/>
      </w:r>
      <w:r w:rsidRPr="00FD274F">
        <w:t xml:space="preserve">maker may be able to delegate the power to make an instrument </w:t>
      </w:r>
      <w:r w:rsidR="00D65987">
        <w:t xml:space="preserve">to another person </w:t>
      </w:r>
      <w:r w:rsidRPr="004A7454">
        <w:t xml:space="preserve">(see paragraphs </w:t>
      </w:r>
      <w:r w:rsidRPr="00FC211B">
        <w:fldChar w:fldCharType="begin"/>
      </w:r>
      <w:r w:rsidRPr="004A7454">
        <w:instrText xml:space="preserve"> REF _Ref369883259 \r \h </w:instrText>
      </w:r>
      <w:r w:rsidR="00F308D0" w:rsidRPr="004A7454">
        <w:instrText xml:space="preserve"> \* MERGEFORMAT </w:instrText>
      </w:r>
      <w:r w:rsidRPr="00FC211B">
        <w:fldChar w:fldCharType="separate"/>
      </w:r>
      <w:r w:rsidR="003E1B43" w:rsidRPr="004A7454">
        <w:t>99</w:t>
      </w:r>
      <w:r w:rsidRPr="00FC211B">
        <w:fldChar w:fldCharType="end"/>
      </w:r>
      <w:r w:rsidR="00BF60F7" w:rsidRPr="004A7454">
        <w:t xml:space="preserve"> to </w:t>
      </w:r>
      <w:r w:rsidR="001E5C10" w:rsidRPr="00FC211B">
        <w:fldChar w:fldCharType="begin"/>
      </w:r>
      <w:r w:rsidR="001E5C10" w:rsidRPr="004A7454">
        <w:instrText xml:space="preserve"> REF _Ref449608075 \r \h </w:instrText>
      </w:r>
      <w:r w:rsidR="00F308D0" w:rsidRPr="004A7454">
        <w:instrText xml:space="preserve"> \* MERGEFORMAT </w:instrText>
      </w:r>
      <w:r w:rsidR="001E5C10" w:rsidRPr="00FC211B">
        <w:fldChar w:fldCharType="separate"/>
      </w:r>
      <w:r w:rsidR="003E1B43" w:rsidRPr="004A7454">
        <w:t>103</w:t>
      </w:r>
      <w:r w:rsidR="001E5C10" w:rsidRPr="00FC211B">
        <w:fldChar w:fldCharType="end"/>
      </w:r>
      <w:r w:rsidRPr="004A7454">
        <w:t xml:space="preserve">). </w:t>
      </w:r>
      <w:r w:rsidR="009632F8" w:rsidRPr="004A7454">
        <w:t>H</w:t>
      </w:r>
      <w:r w:rsidR="00D65987">
        <w:t>owever, t</w:t>
      </w:r>
      <w:r w:rsidRPr="00FD274F">
        <w:t>he delegation of power does not affect the obligations of the rule</w:t>
      </w:r>
      <w:r w:rsidR="009C4251">
        <w:noBreakHyphen/>
      </w:r>
      <w:r w:rsidRPr="00FD274F">
        <w:t>maker under t</w:t>
      </w:r>
      <w:r w:rsidRPr="00FC211B">
        <w:t xml:space="preserve">he </w:t>
      </w:r>
      <w:hyperlink r:id="rId49" w:history="1">
        <w:r w:rsidR="00F66686" w:rsidRPr="00FC211B">
          <w:rPr>
            <w:rStyle w:val="Hyperlink"/>
          </w:rPr>
          <w:t>LA</w:t>
        </w:r>
      </w:hyperlink>
      <w:r w:rsidRPr="00FC211B">
        <w:t>.</w:t>
      </w:r>
    </w:p>
    <w:p w14:paraId="725D1DEF" w14:textId="0CB95E2E" w:rsidR="00727ED5" w:rsidRPr="00FD274F" w:rsidRDefault="00727ED5" w:rsidP="0008193D">
      <w:pPr>
        <w:pStyle w:val="BodyNum"/>
      </w:pPr>
      <w:r w:rsidRPr="00FD274F">
        <w:t>Although rule</w:t>
      </w:r>
      <w:r w:rsidR="009C4251">
        <w:noBreakHyphen/>
      </w:r>
      <w:r w:rsidRPr="00FD274F">
        <w:t xml:space="preserve">makers are responsible for ensuring that the requirements of </w:t>
      </w:r>
      <w:r w:rsidRPr="00FC211B">
        <w:t xml:space="preserve">the </w:t>
      </w:r>
      <w:hyperlink r:id="rId50" w:history="1">
        <w:r w:rsidR="001E2A69" w:rsidRPr="00FC211B">
          <w:rPr>
            <w:rStyle w:val="Hyperlink"/>
          </w:rPr>
          <w:t>LA</w:t>
        </w:r>
      </w:hyperlink>
      <w:r w:rsidR="001E2A69">
        <w:t xml:space="preserve"> </w:t>
      </w:r>
      <w:r w:rsidRPr="00FD274F">
        <w:t>are met, agencies play an important role advising rule</w:t>
      </w:r>
      <w:r w:rsidR="009C4251">
        <w:noBreakHyphen/>
      </w:r>
      <w:r w:rsidRPr="00FD274F">
        <w:t>makers on their powers and obligations, and taking care of administrative matters such as lodgement of instruments and other material for registration, preparation of compilations if required, and payment of associated fees.</w:t>
      </w:r>
    </w:p>
    <w:p w14:paraId="795244BE" w14:textId="77777777" w:rsidR="00727ED5" w:rsidRPr="00FD274F" w:rsidRDefault="00727ED5" w:rsidP="004855B6">
      <w:pPr>
        <w:pStyle w:val="Head3"/>
      </w:pPr>
      <w:bookmarkStart w:id="16" w:name="_Toc112918748"/>
      <w:r w:rsidRPr="00FD274F">
        <w:lastRenderedPageBreak/>
        <w:t>What is a</w:t>
      </w:r>
      <w:r w:rsidR="00364B2A" w:rsidRPr="00FD274F">
        <w:t>n</w:t>
      </w:r>
      <w:r w:rsidRPr="00FD274F">
        <w:t xml:space="preserve"> instrument?</w:t>
      </w:r>
      <w:bookmarkEnd w:id="16"/>
    </w:p>
    <w:p w14:paraId="64243504" w14:textId="52D892F0" w:rsidR="00364B2A" w:rsidRPr="00FD274F" w:rsidRDefault="008B5D8C" w:rsidP="000735A6">
      <w:pPr>
        <w:pStyle w:val="BodyNum"/>
      </w:pPr>
      <w:r w:rsidRPr="00FD274F">
        <w:t xml:space="preserve">An </w:t>
      </w:r>
      <w:r w:rsidRPr="00FD274F">
        <w:rPr>
          <w:b/>
          <w:i/>
        </w:rPr>
        <w:t>in</w:t>
      </w:r>
      <w:r w:rsidR="00405567" w:rsidRPr="00FD274F">
        <w:rPr>
          <w:b/>
          <w:i/>
        </w:rPr>
        <w:t>s</w:t>
      </w:r>
      <w:r w:rsidRPr="00FD274F">
        <w:rPr>
          <w:b/>
          <w:i/>
        </w:rPr>
        <w:t>trument</w:t>
      </w:r>
      <w:r w:rsidRPr="00FD274F">
        <w:t xml:space="preserve"> means any writing or other document, and includes an instrument in electronic form </w:t>
      </w:r>
      <w:r w:rsidRPr="00E970D8">
        <w:t>(</w:t>
      </w:r>
      <w:hyperlink r:id="rId51" w:history="1">
        <w:r w:rsidR="00F6707A" w:rsidRPr="00E970D8">
          <w:rPr>
            <w:rStyle w:val="Hyperlink"/>
          </w:rPr>
          <w:t>LA</w:t>
        </w:r>
      </w:hyperlink>
      <w:r w:rsidR="00405567" w:rsidRPr="00E970D8">
        <w:t xml:space="preserve"> s 4). </w:t>
      </w:r>
      <w:r w:rsidR="00364B2A" w:rsidRPr="00E970D8">
        <w:t>For</w:t>
      </w:r>
      <w:r w:rsidR="00364B2A" w:rsidRPr="00FD274F">
        <w:t xml:space="preserve"> the purposes of </w:t>
      </w:r>
      <w:r w:rsidR="00C025DF" w:rsidRPr="00FD274F">
        <w:t xml:space="preserve">complying with </w:t>
      </w:r>
      <w:r w:rsidR="00364B2A" w:rsidRPr="00FD274F">
        <w:t>th</w:t>
      </w:r>
      <w:r w:rsidR="00364B2A" w:rsidRPr="00E970D8">
        <w:t xml:space="preserve">e </w:t>
      </w:r>
      <w:hyperlink r:id="rId52" w:history="1">
        <w:r w:rsidR="00F66686" w:rsidRPr="00E970D8">
          <w:rPr>
            <w:rStyle w:val="Hyperlink"/>
          </w:rPr>
          <w:t>LA</w:t>
        </w:r>
      </w:hyperlink>
      <w:r w:rsidR="00364B2A" w:rsidRPr="00E970D8">
        <w:t>,</w:t>
      </w:r>
      <w:r w:rsidR="00364B2A" w:rsidRPr="00FD274F">
        <w:t xml:space="preserve"> there are three distinct types of instrument </w:t>
      </w:r>
      <w:r w:rsidR="006C3571" w:rsidRPr="00FD274F">
        <w:t>to consider:</w:t>
      </w:r>
    </w:p>
    <w:p w14:paraId="5C12CE5E" w14:textId="44EF837E" w:rsidR="00405567" w:rsidRPr="00FD274F" w:rsidRDefault="00405567" w:rsidP="00405567">
      <w:pPr>
        <w:pStyle w:val="BodyPara"/>
      </w:pPr>
      <w:r w:rsidRPr="00FD274F">
        <w:rPr>
          <w:b/>
          <w:i/>
        </w:rPr>
        <w:t>legislative instruments</w:t>
      </w:r>
      <w:r w:rsidR="006C3571" w:rsidRPr="00FD274F">
        <w:t>, which ar</w:t>
      </w:r>
      <w:r w:rsidR="00831E79" w:rsidRPr="00FD274F">
        <w:t xml:space="preserve">e subject to additional requirements as outlined in </w:t>
      </w:r>
      <w:hyperlink w:anchor="Chapter7" w:history="1">
        <w:r w:rsidR="00831E79" w:rsidRPr="004A7454">
          <w:rPr>
            <w:rStyle w:val="Hyperlink"/>
          </w:rPr>
          <w:t>Part 2</w:t>
        </w:r>
      </w:hyperlink>
      <w:r w:rsidR="00364B2A" w:rsidRPr="00FD274F">
        <w:t>;</w:t>
      </w:r>
      <w:r w:rsidR="00BF60F7" w:rsidRPr="00FD274F">
        <w:t xml:space="preserve"> and</w:t>
      </w:r>
    </w:p>
    <w:p w14:paraId="5883C5E9" w14:textId="77777777" w:rsidR="00405567" w:rsidRPr="00FD274F" w:rsidRDefault="00405567" w:rsidP="00405567">
      <w:pPr>
        <w:pStyle w:val="BodyPara"/>
      </w:pPr>
      <w:r w:rsidRPr="00FD274F">
        <w:rPr>
          <w:b/>
          <w:i/>
        </w:rPr>
        <w:t>notifiable instruments</w:t>
      </w:r>
      <w:r w:rsidR="00364B2A" w:rsidRPr="00FD274F">
        <w:t>;</w:t>
      </w:r>
      <w:r w:rsidR="00BF60F7" w:rsidRPr="00FD274F">
        <w:t xml:space="preserve"> and</w:t>
      </w:r>
    </w:p>
    <w:p w14:paraId="524C6CB6" w14:textId="77777777" w:rsidR="00405567" w:rsidRPr="00FD274F" w:rsidRDefault="006C3571" w:rsidP="00405567">
      <w:pPr>
        <w:pStyle w:val="BodyPara"/>
      </w:pPr>
      <w:r w:rsidRPr="00FD274F">
        <w:t>other instruments</w:t>
      </w:r>
      <w:r w:rsidR="000C6C43">
        <w:t xml:space="preserve"> </w:t>
      </w:r>
      <w:r w:rsidRPr="00FD274F">
        <w:t>that are</w:t>
      </w:r>
      <w:r w:rsidR="00F1401E">
        <w:t xml:space="preserve"> not required to be registered.</w:t>
      </w:r>
    </w:p>
    <w:p w14:paraId="58F35FA0" w14:textId="1072F3D8" w:rsidR="00BB4992" w:rsidRPr="00FD274F" w:rsidRDefault="00902D72" w:rsidP="000735A6">
      <w:pPr>
        <w:pStyle w:val="BodyNum"/>
      </w:pPr>
      <w:r>
        <w:t>To identify the type of instrument</w:t>
      </w:r>
      <w:r w:rsidR="00865F8E">
        <w:t xml:space="preserve">, it is necessary to </w:t>
      </w:r>
      <w:r w:rsidR="00301F96" w:rsidRPr="00FD274F">
        <w:t xml:space="preserve">look at the text of an instrument and see whether it </w:t>
      </w:r>
      <w:r w:rsidR="00BB4992" w:rsidRPr="00FD274F">
        <w:t xml:space="preserve">commences, amends or repeals a registered law </w:t>
      </w:r>
      <w:r w:rsidR="00BB4992" w:rsidRPr="00235C52">
        <w:t xml:space="preserve">(see paragraph </w:t>
      </w:r>
      <w:r w:rsidR="00BB4992" w:rsidRPr="00E970D8">
        <w:fldChar w:fldCharType="begin"/>
      </w:r>
      <w:r w:rsidR="00BB4992" w:rsidRPr="00235C52">
        <w:instrText xml:space="preserve"> REF _Ref442190512 \r \h </w:instrText>
      </w:r>
      <w:r w:rsidR="007F38AE" w:rsidRPr="00235C52">
        <w:instrText xml:space="preserve"> \* MERGEFORMAT </w:instrText>
      </w:r>
      <w:r w:rsidR="00BB4992" w:rsidRPr="00E970D8">
        <w:fldChar w:fldCharType="separate"/>
      </w:r>
      <w:r w:rsidR="003E1B43" w:rsidRPr="00235C52">
        <w:t>25</w:t>
      </w:r>
      <w:r w:rsidR="00BB4992" w:rsidRPr="00E970D8">
        <w:fldChar w:fldCharType="end"/>
      </w:r>
      <w:r w:rsidR="00BB4992" w:rsidRPr="00235C52">
        <w:t xml:space="preserve">). </w:t>
      </w:r>
      <w:r w:rsidR="0012172F" w:rsidRPr="00235C52">
        <w:t>F</w:t>
      </w:r>
      <w:r w:rsidR="0012172F" w:rsidRPr="00FD274F">
        <w:t xml:space="preserve">or instruments that are </w:t>
      </w:r>
      <w:r w:rsidR="00831E79" w:rsidRPr="00FD274F">
        <w:t>stand</w:t>
      </w:r>
      <w:r w:rsidR="009C4251">
        <w:noBreakHyphen/>
      </w:r>
      <w:r w:rsidR="00831E79" w:rsidRPr="00FD274F">
        <w:t xml:space="preserve">alone or </w:t>
      </w:r>
      <w:r w:rsidR="006C3571" w:rsidRPr="00FD274F">
        <w:rPr>
          <w:b/>
          <w:i/>
        </w:rPr>
        <w:t>principal instrument</w:t>
      </w:r>
      <w:r w:rsidR="0012172F" w:rsidRPr="00FD274F">
        <w:rPr>
          <w:b/>
          <w:i/>
        </w:rPr>
        <w:t>s</w:t>
      </w:r>
      <w:r w:rsidR="00BB4992" w:rsidRPr="00FD274F">
        <w:t xml:space="preserve">, </w:t>
      </w:r>
      <w:r w:rsidR="00831E79" w:rsidRPr="00FD274F">
        <w:t xml:space="preserve">it is </w:t>
      </w:r>
      <w:r w:rsidR="00BB4992" w:rsidRPr="00FD274F">
        <w:t xml:space="preserve">necessary </w:t>
      </w:r>
      <w:r w:rsidR="006801CB" w:rsidRPr="00FD274F">
        <w:t xml:space="preserve">to </w:t>
      </w:r>
      <w:r w:rsidR="007F38AE" w:rsidRPr="00FD274F">
        <w:t>establish</w:t>
      </w:r>
      <w:r w:rsidR="006801CB" w:rsidRPr="00FD274F">
        <w:t xml:space="preserve"> whether </w:t>
      </w:r>
      <w:r w:rsidR="00831E79" w:rsidRPr="00FD274F">
        <w:t xml:space="preserve">an </w:t>
      </w:r>
      <w:r w:rsidR="006801CB" w:rsidRPr="00FD274F">
        <w:t>instrument:</w:t>
      </w:r>
    </w:p>
    <w:p w14:paraId="0BA87158" w14:textId="33BF4130" w:rsidR="006C3571" w:rsidRPr="00FD274F" w:rsidRDefault="00BB4992" w:rsidP="00BB4992">
      <w:pPr>
        <w:pStyle w:val="BodyPara"/>
      </w:pPr>
      <w:r w:rsidRPr="00FD274F">
        <w:t>has been declared to be a legislative instrument (</w:t>
      </w:r>
      <w:r w:rsidRPr="00235C52">
        <w:t xml:space="preserve">paragraph </w:t>
      </w:r>
      <w:r w:rsidR="007F38AE" w:rsidRPr="00235C52">
        <w:fldChar w:fldCharType="begin"/>
      </w:r>
      <w:r w:rsidR="007F38AE" w:rsidRPr="00E970D8">
        <w:instrText xml:space="preserve"> REF _Ref367445987 \r \h  \* MERGEFORMAT </w:instrText>
      </w:r>
      <w:r w:rsidR="007F38AE" w:rsidRPr="00235C52">
        <w:fldChar w:fldCharType="separate"/>
      </w:r>
      <w:r w:rsidR="003E1B43" w:rsidRPr="00235C52">
        <w:t>28</w:t>
      </w:r>
      <w:r w:rsidR="007F38AE" w:rsidRPr="00235C52">
        <w:fldChar w:fldCharType="end"/>
      </w:r>
      <w:r w:rsidRPr="00235C52">
        <w:t>);</w:t>
      </w:r>
      <w:r w:rsidR="006801CB" w:rsidRPr="00235C52">
        <w:t xml:space="preserve"> or</w:t>
      </w:r>
    </w:p>
    <w:p w14:paraId="5810E5E1" w14:textId="7948700E" w:rsidR="00583170" w:rsidRPr="00FD274F" w:rsidRDefault="00BB4992" w:rsidP="00583170">
      <w:pPr>
        <w:pStyle w:val="BodyPara"/>
      </w:pPr>
      <w:r w:rsidRPr="00FD274F">
        <w:t>has been declared to be a notifiable instrumen</w:t>
      </w:r>
      <w:r w:rsidRPr="00235C52">
        <w:t xml:space="preserve">t (paragraph </w:t>
      </w:r>
      <w:r w:rsidR="007F38AE" w:rsidRPr="00E970D8">
        <w:fldChar w:fldCharType="begin"/>
      </w:r>
      <w:r w:rsidR="007F38AE" w:rsidRPr="00235C52">
        <w:instrText xml:space="preserve"> REF _Ref442195914 \r \h  \* MERGEFORMAT </w:instrText>
      </w:r>
      <w:r w:rsidR="007F38AE" w:rsidRPr="00E970D8">
        <w:fldChar w:fldCharType="separate"/>
      </w:r>
      <w:r w:rsidR="003E1B43" w:rsidRPr="00235C52">
        <w:t>33</w:t>
      </w:r>
      <w:r w:rsidR="007F38AE" w:rsidRPr="00E970D8">
        <w:fldChar w:fldCharType="end"/>
      </w:r>
      <w:r w:rsidR="00583170" w:rsidRPr="00235C52">
        <w:t>); or</w:t>
      </w:r>
    </w:p>
    <w:p w14:paraId="1B4FC953" w14:textId="6F7F7698" w:rsidR="00BB4992" w:rsidRPr="00FD274F" w:rsidRDefault="00C025DF" w:rsidP="00BB4992">
      <w:pPr>
        <w:pStyle w:val="BodyPara"/>
      </w:pPr>
      <w:r w:rsidRPr="00FD274F">
        <w:t xml:space="preserve">is subject to other criteria including, in some cases, whether the instrument is of legislative character </w:t>
      </w:r>
      <w:r w:rsidR="007F38AE" w:rsidRPr="0009463D">
        <w:t>(paragraph</w:t>
      </w:r>
      <w:r w:rsidR="00BF60F7" w:rsidRPr="0009463D">
        <w:t>s</w:t>
      </w:r>
      <w:r w:rsidR="007F38AE" w:rsidRPr="0009463D">
        <w:t xml:space="preserve"> </w:t>
      </w:r>
      <w:r w:rsidR="007F38AE" w:rsidRPr="00E970D8">
        <w:fldChar w:fldCharType="begin"/>
      </w:r>
      <w:r w:rsidR="007F38AE" w:rsidRPr="0009463D">
        <w:instrText xml:space="preserve"> REF _Ref442196278 \r \h  \* MERGEFORMAT </w:instrText>
      </w:r>
      <w:r w:rsidR="007F38AE" w:rsidRPr="00E970D8">
        <w:fldChar w:fldCharType="separate"/>
      </w:r>
      <w:r w:rsidR="003E1B43" w:rsidRPr="0009463D">
        <w:t>36</w:t>
      </w:r>
      <w:r w:rsidR="007F38AE" w:rsidRPr="00E970D8">
        <w:fldChar w:fldCharType="end"/>
      </w:r>
      <w:r w:rsidR="00BF60F7" w:rsidRPr="0009463D">
        <w:t xml:space="preserve"> to </w:t>
      </w:r>
      <w:r w:rsidR="008D05AF" w:rsidRPr="00E970D8">
        <w:fldChar w:fldCharType="begin"/>
      </w:r>
      <w:r w:rsidR="008D05AF" w:rsidRPr="0009463D">
        <w:instrText xml:space="preserve"> REF _Ref444606268 \r \h </w:instrText>
      </w:r>
      <w:r w:rsidR="00F308D0" w:rsidRPr="0009463D">
        <w:instrText xml:space="preserve"> \* MERGEFORMAT </w:instrText>
      </w:r>
      <w:r w:rsidR="008D05AF" w:rsidRPr="00E970D8">
        <w:fldChar w:fldCharType="separate"/>
      </w:r>
      <w:r w:rsidR="003E1B43" w:rsidRPr="0009463D">
        <w:t>38</w:t>
      </w:r>
      <w:r w:rsidR="008D05AF" w:rsidRPr="00E970D8">
        <w:fldChar w:fldCharType="end"/>
      </w:r>
      <w:r w:rsidR="007F38AE" w:rsidRPr="0009463D">
        <w:t>).</w:t>
      </w:r>
    </w:p>
    <w:p w14:paraId="5EEB2DCC" w14:textId="7314D1CB" w:rsidR="00BB4992" w:rsidRPr="00FD274F" w:rsidRDefault="00865F8E" w:rsidP="00BB4992">
      <w:pPr>
        <w:pStyle w:val="BodyNum"/>
      </w:pPr>
      <w:r>
        <w:t>It cannot be assumed that</w:t>
      </w:r>
      <w:r w:rsidR="0012172F" w:rsidRPr="00FD274F">
        <w:t xml:space="preserve"> a legislative instrument </w:t>
      </w:r>
      <w:r w:rsidR="00BB4992" w:rsidRPr="00FD274F">
        <w:t>is of legislative character. The fact that an instrument is a legislative instrument does not imply that it is or must be of legislative charact</w:t>
      </w:r>
      <w:r w:rsidR="00BB4992" w:rsidRPr="00A01157">
        <w:t>er (</w:t>
      </w:r>
      <w:hyperlink r:id="rId53" w:history="1">
        <w:r w:rsidR="00F6707A" w:rsidRPr="00A01157">
          <w:rPr>
            <w:rStyle w:val="Hyperlink"/>
          </w:rPr>
          <w:t>LA</w:t>
        </w:r>
      </w:hyperlink>
      <w:r w:rsidR="00BB4992" w:rsidRPr="00A01157">
        <w:t xml:space="preserve"> s 9(1)).</w:t>
      </w:r>
      <w:r w:rsidR="00BB4992" w:rsidRPr="00FD274F">
        <w:t xml:space="preserve"> The reverse is also true: the fact that an instrument is not a legislative </w:t>
      </w:r>
      <w:r w:rsidR="00CE2573" w:rsidRPr="00FD274F">
        <w:t>instrument</w:t>
      </w:r>
      <w:r w:rsidR="00BB4992" w:rsidRPr="00FD274F">
        <w:t xml:space="preserve"> does not imply that it is not or must not be of legislative chara</w:t>
      </w:r>
      <w:r w:rsidR="00BB4992" w:rsidRPr="00A01157">
        <w:t>cter (</w:t>
      </w:r>
      <w:hyperlink r:id="rId54" w:history="1">
        <w:r w:rsidR="00BB4992" w:rsidRPr="00A01157">
          <w:rPr>
            <w:rStyle w:val="Hyperlink"/>
          </w:rPr>
          <w:t>LA</w:t>
        </w:r>
      </w:hyperlink>
      <w:r w:rsidR="00BB4992" w:rsidRPr="00A01157">
        <w:t xml:space="preserve"> s 9(2))</w:t>
      </w:r>
      <w:r w:rsidR="00BB4992" w:rsidRPr="00FD274F">
        <w:t>.</w:t>
      </w:r>
    </w:p>
    <w:p w14:paraId="7F48D13C" w14:textId="77777777" w:rsidR="00BF0EA5" w:rsidRPr="00FD274F" w:rsidRDefault="00BF0EA5" w:rsidP="00BF0EA5">
      <w:pPr>
        <w:pStyle w:val="Head4"/>
      </w:pPr>
      <w:bookmarkStart w:id="17" w:name="_Toc112918749"/>
      <w:r w:rsidRPr="00FD274F">
        <w:t xml:space="preserve">Instruments that commence, amend or repeal registered </w:t>
      </w:r>
      <w:r w:rsidR="00120D87" w:rsidRPr="00FD274F">
        <w:t>laws</w:t>
      </w:r>
      <w:bookmarkEnd w:id="17"/>
    </w:p>
    <w:p w14:paraId="278FDABE" w14:textId="77777777" w:rsidR="000559AF" w:rsidRPr="00FD274F" w:rsidRDefault="000559AF" w:rsidP="00BF0EA5">
      <w:pPr>
        <w:pStyle w:val="BodyNum"/>
      </w:pPr>
      <w:bookmarkStart w:id="18" w:name="_Ref442190512"/>
      <w:r w:rsidRPr="00FD274F">
        <w:t xml:space="preserve">An instrument must be lodged for registration if it commences, amends or repeals </w:t>
      </w:r>
      <w:r w:rsidR="00BB4992" w:rsidRPr="00FD274F">
        <w:t xml:space="preserve">a </w:t>
      </w:r>
      <w:r w:rsidRPr="00FD274F">
        <w:t xml:space="preserve">registered instrument, Act or provision of such an instrument or Act (a </w:t>
      </w:r>
      <w:r w:rsidRPr="00FD274F">
        <w:rPr>
          <w:b/>
          <w:i/>
        </w:rPr>
        <w:t>r</w:t>
      </w:r>
      <w:r w:rsidRPr="0009463D">
        <w:rPr>
          <w:b/>
          <w:i/>
        </w:rPr>
        <w:t>egistered law</w:t>
      </w:r>
      <w:r w:rsidRPr="0009463D">
        <w:t>).</w:t>
      </w:r>
      <w:bookmarkEnd w:id="18"/>
    </w:p>
    <w:p w14:paraId="54C76CE2" w14:textId="1DAC2B4E" w:rsidR="00BB4992" w:rsidRPr="00FD274F" w:rsidRDefault="000735A6" w:rsidP="000559AF">
      <w:pPr>
        <w:pStyle w:val="BodyNum"/>
      </w:pPr>
      <w:r w:rsidRPr="00FD274F">
        <w:t>A</w:t>
      </w:r>
      <w:r w:rsidR="000559AF" w:rsidRPr="00FD274F">
        <w:t>n instrument that has the sole effect of commencing a registered law</w:t>
      </w:r>
      <w:r w:rsidRPr="00FD274F">
        <w:t xml:space="preserve"> (a </w:t>
      </w:r>
      <w:r w:rsidRPr="0009463D">
        <w:rPr>
          <w:b/>
          <w:i/>
        </w:rPr>
        <w:t>commencement instrument</w:t>
      </w:r>
      <w:r w:rsidRPr="0009463D">
        <w:t>)</w:t>
      </w:r>
      <w:r w:rsidRPr="00FD274F">
        <w:t xml:space="preserve"> </w:t>
      </w:r>
      <w:r w:rsidR="000559AF" w:rsidRPr="00FD274F">
        <w:t>must in all cases be lodged for registration as a notifiable instrume</w:t>
      </w:r>
      <w:r w:rsidR="000559AF" w:rsidRPr="00A01157">
        <w:t xml:space="preserve">nt </w:t>
      </w:r>
      <w:r w:rsidR="006801CB" w:rsidRPr="00A01157">
        <w:t>(</w:t>
      </w:r>
      <w:hyperlink r:id="rId55" w:history="1">
        <w:r w:rsidR="006801CB" w:rsidRPr="00A01157">
          <w:rPr>
            <w:rStyle w:val="Hyperlink"/>
          </w:rPr>
          <w:t>LA</w:t>
        </w:r>
      </w:hyperlink>
      <w:r w:rsidR="006801CB" w:rsidRPr="00A01157">
        <w:t xml:space="preserve"> s 4 and 11(2)(a)</w:t>
      </w:r>
      <w:r w:rsidR="000559AF" w:rsidRPr="00A01157">
        <w:t>).</w:t>
      </w:r>
      <w:r w:rsidR="00BB4992" w:rsidRPr="00A01157">
        <w:t xml:space="preserve"> T</w:t>
      </w:r>
      <w:r w:rsidR="00BB4992" w:rsidRPr="00FD274F">
        <w:t xml:space="preserve">his </w:t>
      </w:r>
      <w:r w:rsidR="0012172F" w:rsidRPr="00FD274F">
        <w:t xml:space="preserve">also applies to </w:t>
      </w:r>
      <w:r w:rsidR="00BB4992" w:rsidRPr="00FD274F">
        <w:t>an</w:t>
      </w:r>
      <w:r w:rsidR="006801CB" w:rsidRPr="00FD274F">
        <w:t>y</w:t>
      </w:r>
      <w:r w:rsidR="00BB4992" w:rsidRPr="00FD274F">
        <w:t xml:space="preserve"> instrument that announces the day </w:t>
      </w:r>
      <w:r w:rsidR="0012172F" w:rsidRPr="00FD274F">
        <w:t xml:space="preserve">that </w:t>
      </w:r>
      <w:r w:rsidR="00BB4992" w:rsidRPr="00FD274F">
        <w:t>an international agreement enters into force for Australia, regardless of whether the treaty itself is ever registered (</w:t>
      </w:r>
      <w:hyperlink r:id="rId56" w:history="1">
        <w:hyperlink r:id="rId57" w:history="1">
          <w:r w:rsidR="00F62728" w:rsidRPr="0053438B">
            <w:rPr>
              <w:rStyle w:val="Hyperlink"/>
            </w:rPr>
            <w:t>LEOMR</w:t>
          </w:r>
        </w:hyperlink>
      </w:hyperlink>
      <w:r w:rsidR="00BB4992" w:rsidRPr="0053438B">
        <w:t xml:space="preserve"> s 8</w:t>
      </w:r>
      <w:r w:rsidR="00937C67" w:rsidRPr="0053438B">
        <w:t xml:space="preserve"> item </w:t>
      </w:r>
      <w:r w:rsidR="00BB4992" w:rsidRPr="0053438B">
        <w:t>1).</w:t>
      </w:r>
    </w:p>
    <w:p w14:paraId="01A90D58" w14:textId="0E82C8DB" w:rsidR="00DC51FA" w:rsidRPr="00FD274F" w:rsidRDefault="000735A6" w:rsidP="00DC51FA">
      <w:pPr>
        <w:pStyle w:val="BodyNum"/>
      </w:pPr>
      <w:r w:rsidRPr="00FD274F">
        <w:t xml:space="preserve">An instrument that amends or repeals a registered law must also be </w:t>
      </w:r>
      <w:r w:rsidR="00DC51FA" w:rsidRPr="00FD274F">
        <w:t>lodged for registration</w:t>
      </w:r>
      <w:r w:rsidR="00F240A8" w:rsidRPr="00FD274F">
        <w:t>. If it only affects notifiable instruments, it must be lodged as a notifiable instrume</w:t>
      </w:r>
      <w:r w:rsidR="00F240A8" w:rsidRPr="00A01157">
        <w:t xml:space="preserve">nt </w:t>
      </w:r>
      <w:r w:rsidR="00DC51FA" w:rsidRPr="00A01157">
        <w:t>(</w:t>
      </w:r>
      <w:hyperlink r:id="rId58" w:history="1">
        <w:r w:rsidR="00DC51FA" w:rsidRPr="00A01157">
          <w:rPr>
            <w:rStyle w:val="Hyperlink"/>
          </w:rPr>
          <w:t>LA</w:t>
        </w:r>
      </w:hyperlink>
      <w:r w:rsidR="00DC51FA" w:rsidRPr="00A01157">
        <w:t xml:space="preserve"> s </w:t>
      </w:r>
      <w:r w:rsidR="007F38AE" w:rsidRPr="00A01157">
        <w:t>1</w:t>
      </w:r>
      <w:r w:rsidR="00937C67" w:rsidRPr="00A01157">
        <w:t>1</w:t>
      </w:r>
      <w:r w:rsidR="007F38AE" w:rsidRPr="00A01157">
        <w:t>(2)(d)</w:t>
      </w:r>
      <w:r w:rsidR="00DC51FA" w:rsidRPr="00A01157">
        <w:t>)</w:t>
      </w:r>
      <w:r w:rsidR="00F240A8" w:rsidRPr="00A01157">
        <w:t>. O</w:t>
      </w:r>
      <w:r w:rsidR="00F240A8" w:rsidRPr="00FD274F">
        <w:t xml:space="preserve">therwise, </w:t>
      </w:r>
      <w:r w:rsidR="0034007E" w:rsidRPr="00FD274F">
        <w:t xml:space="preserve">unless the instrument’s enabling Act specifies otherwise, </w:t>
      </w:r>
      <w:r w:rsidR="00F240A8" w:rsidRPr="00FD274F">
        <w:t>it must be lodged as a legis</w:t>
      </w:r>
      <w:r w:rsidR="00DC51FA" w:rsidRPr="00FD274F">
        <w:t>lative instrument (</w:t>
      </w:r>
      <w:hyperlink r:id="rId59" w:history="1">
        <w:r w:rsidR="007F38AE" w:rsidRPr="00A01157">
          <w:rPr>
            <w:rStyle w:val="Hyperlink"/>
          </w:rPr>
          <w:t>LA</w:t>
        </w:r>
      </w:hyperlink>
      <w:r w:rsidR="00DC51FA" w:rsidRPr="00A01157">
        <w:t xml:space="preserve"> s </w:t>
      </w:r>
      <w:r w:rsidR="007F38AE" w:rsidRPr="00A01157">
        <w:t>10</w:t>
      </w:r>
      <w:r w:rsidR="00F240A8" w:rsidRPr="00A01157">
        <w:t>(1)</w:t>
      </w:r>
      <w:r w:rsidR="007F38AE" w:rsidRPr="00A01157">
        <w:t>(d)</w:t>
      </w:r>
      <w:r w:rsidR="00BF60F7" w:rsidRPr="00A01157">
        <w:t>)</w:t>
      </w:r>
      <w:r w:rsidR="00DC51FA" w:rsidRPr="00A01157">
        <w:t>.</w:t>
      </w:r>
    </w:p>
    <w:p w14:paraId="4D71AA61" w14:textId="77777777" w:rsidR="00727ED5" w:rsidRPr="00FD274F" w:rsidRDefault="00727ED5" w:rsidP="000735A6">
      <w:pPr>
        <w:pStyle w:val="Head4"/>
      </w:pPr>
      <w:bookmarkStart w:id="19" w:name="_Toc112918750"/>
      <w:r w:rsidRPr="00FD274F">
        <w:lastRenderedPageBreak/>
        <w:t>Instruments declared to be legislative instruments</w:t>
      </w:r>
      <w:bookmarkEnd w:id="19"/>
    </w:p>
    <w:p w14:paraId="1CA23B09" w14:textId="25016A8E" w:rsidR="00727ED5" w:rsidRPr="00FD274F" w:rsidRDefault="00727ED5" w:rsidP="000B64E3">
      <w:pPr>
        <w:pStyle w:val="BodyNum"/>
        <w:keepNext/>
      </w:pPr>
      <w:bookmarkStart w:id="20" w:name="_Ref367445987"/>
      <w:r w:rsidRPr="00FD274F">
        <w:t>An instrument’s enabling legislation ma</w:t>
      </w:r>
      <w:r w:rsidRPr="00A01157">
        <w:t>y declare it to be a legislative instrument. Examples of provisions</w:t>
      </w:r>
      <w:r w:rsidR="00321924" w:rsidRPr="00A01157">
        <w:t xml:space="preserve"> </w:t>
      </w:r>
      <w:r w:rsidRPr="00A01157">
        <w:t>that do this are</w:t>
      </w:r>
      <w:r w:rsidR="00BF60F7" w:rsidRPr="00A01157">
        <w:t xml:space="preserve"> as follows</w:t>
      </w:r>
      <w:r w:rsidR="00A75092" w:rsidRPr="00A01157">
        <w:t xml:space="preserve"> (</w:t>
      </w:r>
      <w:hyperlink r:id="rId60" w:history="1">
        <w:r w:rsidR="00A75092" w:rsidRPr="00A01157">
          <w:rPr>
            <w:rStyle w:val="Hyperlink"/>
          </w:rPr>
          <w:t>LA</w:t>
        </w:r>
      </w:hyperlink>
      <w:r w:rsidR="00A75092" w:rsidRPr="00A01157">
        <w:t xml:space="preserve"> s 8(2))</w:t>
      </w:r>
      <w:r w:rsidRPr="00A01157">
        <w:t>:</w:t>
      </w:r>
      <w:bookmarkEnd w:id="20"/>
    </w:p>
    <w:p w14:paraId="16BF8783" w14:textId="77777777" w:rsidR="00A75092" w:rsidRPr="00FD274F" w:rsidRDefault="00727ED5" w:rsidP="00FA0184">
      <w:pPr>
        <w:pStyle w:val="BodyPara"/>
      </w:pPr>
      <w:r w:rsidRPr="00FD274F">
        <w:t xml:space="preserve">“The Minister may, by legislative instrument, determine </w:t>
      </w:r>
      <w:r w:rsidR="00A75092" w:rsidRPr="00FD274F">
        <w:t>licence conditions…”</w:t>
      </w:r>
      <w:r w:rsidR="00BF60F7" w:rsidRPr="00FD274F">
        <w:t>;</w:t>
      </w:r>
    </w:p>
    <w:p w14:paraId="4CBE6BC1" w14:textId="77777777" w:rsidR="00727ED5" w:rsidRPr="00FD274F" w:rsidRDefault="00727ED5" w:rsidP="00FA0184">
      <w:pPr>
        <w:pStyle w:val="BodyPara"/>
      </w:pPr>
      <w:r w:rsidRPr="00FD274F">
        <w:t xml:space="preserve">“An instrument made under </w:t>
      </w:r>
      <w:r w:rsidR="00BF60F7" w:rsidRPr="00FD274F">
        <w:t>... is a legislative instrument</w:t>
      </w:r>
      <w:r w:rsidRPr="00FD274F">
        <w:t>”</w:t>
      </w:r>
      <w:r w:rsidR="00BF60F7" w:rsidRPr="00FD274F">
        <w:t>.</w:t>
      </w:r>
    </w:p>
    <w:p w14:paraId="4038A9AC" w14:textId="4A602697" w:rsidR="00727ED5" w:rsidRPr="00FD274F" w:rsidRDefault="00A75092" w:rsidP="0008193D">
      <w:pPr>
        <w:pStyle w:val="BodyNum"/>
      </w:pPr>
      <w:r w:rsidRPr="00FD274F">
        <w:t>T</w:t>
      </w:r>
      <w:r w:rsidR="00727ED5" w:rsidRPr="00FD274F">
        <w:t xml:space="preserve">he </w:t>
      </w:r>
      <w:hyperlink r:id="rId61" w:history="1">
        <w:r w:rsidR="00F735C3" w:rsidRPr="006F45CA">
          <w:rPr>
            <w:rStyle w:val="Hyperlink"/>
          </w:rPr>
          <w:t>L</w:t>
        </w:r>
        <w:r w:rsidR="00727ED5" w:rsidRPr="006F45CA">
          <w:rPr>
            <w:rStyle w:val="Hyperlink"/>
          </w:rPr>
          <w:t>A</w:t>
        </w:r>
      </w:hyperlink>
      <w:r w:rsidR="00727ED5" w:rsidRPr="006F45CA">
        <w:t xml:space="preserve"> a</w:t>
      </w:r>
      <w:r w:rsidR="00727ED5" w:rsidRPr="00FD274F">
        <w:t>lso declares the following to be a legislative instrument:</w:t>
      </w:r>
    </w:p>
    <w:p w14:paraId="58D20E2A" w14:textId="65B54F10" w:rsidR="00727ED5" w:rsidRPr="00FD274F" w:rsidRDefault="00727ED5" w:rsidP="0008193D">
      <w:pPr>
        <w:pStyle w:val="BodyPara"/>
      </w:pPr>
      <w:r w:rsidRPr="00FD274F">
        <w:t>an instrument described as a regulation by its enabling legislation</w:t>
      </w:r>
      <w:r w:rsidR="00847D72" w:rsidRPr="00FD274F">
        <w:t xml:space="preserve"> </w:t>
      </w:r>
      <w:r w:rsidR="00847D72" w:rsidRPr="006F45CA">
        <w:t>(</w:t>
      </w:r>
      <w:hyperlink r:id="rId62" w:history="1">
        <w:r w:rsidR="00F6707A" w:rsidRPr="006F45CA">
          <w:rPr>
            <w:rStyle w:val="Hyperlink"/>
          </w:rPr>
          <w:t>LA</w:t>
        </w:r>
      </w:hyperlink>
      <w:r w:rsidR="00E02BC1" w:rsidRPr="006F45CA">
        <w:t> </w:t>
      </w:r>
      <w:r w:rsidR="00847D72" w:rsidRPr="006F45CA">
        <w:t>s 10(1)</w:t>
      </w:r>
      <w:r w:rsidR="00937C67" w:rsidRPr="006F45CA">
        <w:t>(a)</w:t>
      </w:r>
      <w:r w:rsidR="00847D72" w:rsidRPr="006F45CA">
        <w:t>)</w:t>
      </w:r>
      <w:r w:rsidRPr="006F45CA">
        <w:t>;</w:t>
      </w:r>
    </w:p>
    <w:p w14:paraId="0D764391" w14:textId="77A6FB57" w:rsidR="00847D72" w:rsidRPr="00FD274F" w:rsidRDefault="00847D72" w:rsidP="0008193D">
      <w:pPr>
        <w:pStyle w:val="BodyPara"/>
      </w:pPr>
      <w:r w:rsidRPr="00FD274F">
        <w:t>an instrument described as a Proclamation by its enabling legislation, unless it is a commencement inst</w:t>
      </w:r>
      <w:r w:rsidRPr="006F45CA">
        <w:t>rument (</w:t>
      </w:r>
      <w:hyperlink r:id="rId63" w:history="1">
        <w:r w:rsidR="00F6707A" w:rsidRPr="006F45CA">
          <w:rPr>
            <w:rStyle w:val="Hyperlink"/>
          </w:rPr>
          <w:t>LA</w:t>
        </w:r>
      </w:hyperlink>
      <w:r w:rsidRPr="006F45CA">
        <w:t xml:space="preserve"> s 10(1)(a)</w:t>
      </w:r>
      <w:r w:rsidR="003311FB" w:rsidRPr="006F45CA">
        <w:t xml:space="preserve"> and </w:t>
      </w:r>
      <w:r w:rsidR="00E02BC1" w:rsidRPr="006F45CA">
        <w:t>11(2)</w:t>
      </w:r>
      <w:r w:rsidR="00F1401E" w:rsidRPr="006F45CA">
        <w:t>);</w:t>
      </w:r>
    </w:p>
    <w:p w14:paraId="0D0AD125" w14:textId="5C053356" w:rsidR="00847D72" w:rsidRPr="00FD274F" w:rsidRDefault="00927C4F" w:rsidP="0008193D">
      <w:pPr>
        <w:pStyle w:val="BodyPara"/>
      </w:pPr>
      <w:r w:rsidRPr="00FD274F">
        <w:t xml:space="preserve">an </w:t>
      </w:r>
      <w:r w:rsidR="00847D72" w:rsidRPr="00FD274F">
        <w:t xml:space="preserve">ordinance </w:t>
      </w:r>
      <w:r w:rsidRPr="00FD274F">
        <w:t>t</w:t>
      </w:r>
      <w:r w:rsidR="00C5399D" w:rsidRPr="00FD274F">
        <w:t xml:space="preserve">hat deals with </w:t>
      </w:r>
      <w:r w:rsidR="008B5D8C" w:rsidRPr="00FD274F">
        <w:t>certain aspects of the</w:t>
      </w:r>
      <w:r w:rsidR="00C5399D" w:rsidRPr="00FD274F">
        <w:t xml:space="preserve"> governance of Australian Territories </w:t>
      </w:r>
      <w:r w:rsidR="00847D72" w:rsidRPr="00FD274F">
        <w:t>(</w:t>
      </w:r>
      <w:r w:rsidRPr="00FD274F">
        <w:t xml:space="preserve">for </w:t>
      </w:r>
      <w:r w:rsidRPr="006F45CA">
        <w:t xml:space="preserve">details see </w:t>
      </w:r>
      <w:hyperlink r:id="rId64" w:history="1">
        <w:r w:rsidR="00F6707A" w:rsidRPr="006F45CA">
          <w:rPr>
            <w:rStyle w:val="Hyperlink"/>
          </w:rPr>
          <w:t>LA</w:t>
        </w:r>
      </w:hyperlink>
      <w:r w:rsidR="003311FB" w:rsidRPr="006F45CA">
        <w:t xml:space="preserve"> s 10(1)(b) and </w:t>
      </w:r>
      <w:r w:rsidR="00847D72" w:rsidRPr="006F45CA">
        <w:t>10(2));</w:t>
      </w:r>
    </w:p>
    <w:p w14:paraId="73062625" w14:textId="79FFD43F" w:rsidR="00727ED5" w:rsidRPr="00FD274F" w:rsidRDefault="003311FB" w:rsidP="0008193D">
      <w:pPr>
        <w:pStyle w:val="BodyPara"/>
      </w:pPr>
      <w:r w:rsidRPr="00FD274F">
        <w:t xml:space="preserve">an instrument prescribed by regulation </w:t>
      </w:r>
      <w:r w:rsidRPr="006F45CA">
        <w:t>(</w:t>
      </w:r>
      <w:hyperlink r:id="rId65" w:history="1">
        <w:r w:rsidR="00F6707A" w:rsidRPr="006F45CA">
          <w:rPr>
            <w:rStyle w:val="Hyperlink"/>
          </w:rPr>
          <w:t>LA</w:t>
        </w:r>
      </w:hyperlink>
      <w:r w:rsidRPr="006F45CA">
        <w:t xml:space="preserve"> s 10(1)(c)</w:t>
      </w:r>
      <w:r w:rsidR="00831095" w:rsidRPr="006F45CA">
        <w:t>)</w:t>
      </w:r>
      <w:r w:rsidRPr="006F45CA">
        <w:t>;</w:t>
      </w:r>
    </w:p>
    <w:p w14:paraId="4DF25200" w14:textId="6C41881F" w:rsidR="003311FB" w:rsidRPr="00FD274F" w:rsidRDefault="003311FB" w:rsidP="0008193D">
      <w:pPr>
        <w:pStyle w:val="BodyPara"/>
      </w:pPr>
      <w:r w:rsidRPr="00FD274F">
        <w:t>an instrument that includes a provision that amends or repeals another legislative instrumen</w:t>
      </w:r>
      <w:r w:rsidRPr="006F45CA">
        <w:t>t</w:t>
      </w:r>
      <w:r w:rsidR="00A75092" w:rsidRPr="006F45CA">
        <w:t xml:space="preserve"> (</w:t>
      </w:r>
      <w:hyperlink r:id="rId66" w:history="1">
        <w:r w:rsidR="00F6707A" w:rsidRPr="006F45CA">
          <w:rPr>
            <w:rStyle w:val="Hyperlink"/>
          </w:rPr>
          <w:t>LA</w:t>
        </w:r>
      </w:hyperlink>
      <w:r w:rsidR="00A75092" w:rsidRPr="006F45CA">
        <w:t xml:space="preserve"> s 10(1)(d))</w:t>
      </w:r>
      <w:r w:rsidR="00F1401E" w:rsidRPr="006F45CA">
        <w:t>;</w:t>
      </w:r>
    </w:p>
    <w:p w14:paraId="6440ADE1" w14:textId="291004A0" w:rsidR="005B7512" w:rsidRPr="00FD274F" w:rsidRDefault="005B7512" w:rsidP="0008193D">
      <w:pPr>
        <w:pStyle w:val="BodyPara"/>
      </w:pPr>
      <w:r w:rsidRPr="00FD274F">
        <w:t xml:space="preserve">any instrument that is registered as a legislative instrument, unless it is a notifiable instrument that meets certain criteria </w:t>
      </w:r>
      <w:r w:rsidRPr="006F45CA">
        <w:t>(</w:t>
      </w:r>
      <w:hyperlink r:id="rId67" w:history="1">
        <w:r w:rsidR="00F6707A" w:rsidRPr="006F45CA">
          <w:rPr>
            <w:rStyle w:val="Hyperlink"/>
          </w:rPr>
          <w:t>LA</w:t>
        </w:r>
      </w:hyperlink>
      <w:r w:rsidR="00F1401E" w:rsidRPr="006F45CA">
        <w:t xml:space="preserve"> s 8(8)).</w:t>
      </w:r>
    </w:p>
    <w:p w14:paraId="205B6F73" w14:textId="23633897" w:rsidR="00060F83" w:rsidRPr="005262F0" w:rsidRDefault="00B51826" w:rsidP="00B51826">
      <w:pPr>
        <w:pStyle w:val="BodyNum"/>
      </w:pPr>
      <w:r w:rsidRPr="005262F0">
        <w:t xml:space="preserve">Commonwealth rules of court are not legislative instruments </w:t>
      </w:r>
      <w:r w:rsidRPr="006F45CA">
        <w:t>(</w:t>
      </w:r>
      <w:hyperlink r:id="rId68" w:history="1">
        <w:r w:rsidRPr="006F45CA">
          <w:rPr>
            <w:rStyle w:val="Hyperlink"/>
          </w:rPr>
          <w:t>LA</w:t>
        </w:r>
      </w:hyperlink>
      <w:r w:rsidRPr="006F45CA">
        <w:t xml:space="preserve"> s 8(8)(d)).</w:t>
      </w:r>
      <w:r w:rsidRPr="005262F0">
        <w:t xml:space="preserve"> However, the enabling legislation for Commonwealth rules of court has the effect that the </w:t>
      </w:r>
      <w:hyperlink r:id="rId69" w:history="1">
        <w:r w:rsidRPr="006F45CA">
          <w:rPr>
            <w:rStyle w:val="Hyperlink"/>
          </w:rPr>
          <w:t>LA</w:t>
        </w:r>
      </w:hyperlink>
      <w:r w:rsidRPr="005262F0">
        <w:t xml:space="preserve"> generally applies in relation to the rules of court as if a reference in t</w:t>
      </w:r>
      <w:r w:rsidRPr="006F45CA">
        <w:t xml:space="preserve">he </w:t>
      </w:r>
      <w:hyperlink r:id="rId70" w:history="1">
        <w:r w:rsidRPr="006F45CA">
          <w:rPr>
            <w:rStyle w:val="Hyperlink"/>
          </w:rPr>
          <w:t>LA</w:t>
        </w:r>
      </w:hyperlink>
      <w:r w:rsidRPr="006F45CA">
        <w:t xml:space="preserve"> to</w:t>
      </w:r>
      <w:r w:rsidRPr="005262F0">
        <w:t xml:space="preserve"> a legislative instrument were a reference to a rule of court. This means that the rules of court are subject to most of the provisions of th</w:t>
      </w:r>
      <w:r w:rsidRPr="006F45CA">
        <w:t xml:space="preserve">e </w:t>
      </w:r>
      <w:hyperlink r:id="rId71" w:history="1">
        <w:r w:rsidRPr="006F45CA">
          <w:rPr>
            <w:rStyle w:val="Hyperlink"/>
          </w:rPr>
          <w:t>LA</w:t>
        </w:r>
      </w:hyperlink>
      <w:r w:rsidRPr="006F45CA">
        <w:t>, includi</w:t>
      </w:r>
      <w:r w:rsidRPr="005262F0">
        <w:t>ng the provisions about registration</w:t>
      </w:r>
      <w:r w:rsidR="00C30D99">
        <w:t>, publication</w:t>
      </w:r>
      <w:r w:rsidR="00060F83" w:rsidRPr="005262F0">
        <w:t xml:space="preserve"> and</w:t>
      </w:r>
      <w:r w:rsidRPr="005262F0">
        <w:t xml:space="preserve"> disallowance</w:t>
      </w:r>
      <w:r w:rsidR="00F1401E">
        <w:t>.</w:t>
      </w:r>
    </w:p>
    <w:p w14:paraId="6ECF5907" w14:textId="77777777" w:rsidR="00B51826" w:rsidRPr="00C04082" w:rsidRDefault="00060F83" w:rsidP="00B51826">
      <w:pPr>
        <w:pStyle w:val="BodyNum"/>
      </w:pPr>
      <w:r>
        <w:t xml:space="preserve">The exception is </w:t>
      </w:r>
      <w:r w:rsidR="00F44554">
        <w:t>that</w:t>
      </w:r>
      <w:r>
        <w:t xml:space="preserve"> sunsetting does not apply</w:t>
      </w:r>
      <w:r w:rsidR="00F44554">
        <w:t xml:space="preserve"> to most rules of court</w:t>
      </w:r>
      <w:r w:rsidR="00B51826" w:rsidRPr="00C04082">
        <w:t>.</w:t>
      </w:r>
    </w:p>
    <w:p w14:paraId="239761F9" w14:textId="307EB074" w:rsidR="00646149" w:rsidRPr="00FD274F" w:rsidRDefault="0012172F" w:rsidP="006B39E4">
      <w:pPr>
        <w:pStyle w:val="BodyNum"/>
      </w:pPr>
      <w:r w:rsidRPr="00FD274F">
        <w:t xml:space="preserve">If an instrument is declared to be a legislative instrument, </w:t>
      </w:r>
      <w:r w:rsidR="00B67117" w:rsidRPr="00FD274F">
        <w:t>no further action is required to establish its status under th</w:t>
      </w:r>
      <w:r w:rsidR="00B67117" w:rsidRPr="006F45CA">
        <w:t xml:space="preserve">e </w:t>
      </w:r>
      <w:hyperlink r:id="rId72" w:history="1">
        <w:r w:rsidR="00F6707A" w:rsidRPr="006F45CA">
          <w:rPr>
            <w:rStyle w:val="Hyperlink"/>
          </w:rPr>
          <w:t>LA</w:t>
        </w:r>
      </w:hyperlink>
      <w:r w:rsidR="00B67117" w:rsidRPr="006F45CA">
        <w:t>.</w:t>
      </w:r>
    </w:p>
    <w:p w14:paraId="01964DD3" w14:textId="77777777" w:rsidR="00364B2A" w:rsidRPr="00FD274F" w:rsidRDefault="00364B2A" w:rsidP="00364B2A">
      <w:pPr>
        <w:pStyle w:val="Head4"/>
      </w:pPr>
      <w:bookmarkStart w:id="21" w:name="_Toc112918751"/>
      <w:r w:rsidRPr="00FD274F">
        <w:t>Instruments declared to be notifiable instruments</w:t>
      </w:r>
      <w:bookmarkEnd w:id="21"/>
    </w:p>
    <w:p w14:paraId="7E344C40" w14:textId="4B34A7FA" w:rsidR="00364B2A" w:rsidRPr="00FD274F" w:rsidRDefault="00364B2A" w:rsidP="00364B2A">
      <w:pPr>
        <w:pStyle w:val="BodyNum"/>
      </w:pPr>
      <w:bookmarkStart w:id="22" w:name="_Ref442195914"/>
      <w:bookmarkStart w:id="23" w:name="_Ref367445999"/>
      <w:r w:rsidRPr="00FD274F">
        <w:t>An instrument’s enabling legislation may declare it to be a notifiable instrument. Examples of provisions that do this are</w:t>
      </w:r>
      <w:r w:rsidR="00BF60F7" w:rsidRPr="00FD274F">
        <w:t xml:space="preserve"> as follows</w:t>
      </w:r>
      <w:r w:rsidRPr="00FD274F">
        <w:t xml:space="preserve"> (</w:t>
      </w:r>
      <w:hyperlink r:id="rId73" w:history="1">
        <w:r w:rsidRPr="006F45CA">
          <w:rPr>
            <w:rStyle w:val="Hyperlink"/>
          </w:rPr>
          <w:t>LA</w:t>
        </w:r>
      </w:hyperlink>
      <w:r w:rsidRPr="006F45CA">
        <w:t xml:space="preserve"> s 11(1)):</w:t>
      </w:r>
      <w:bookmarkEnd w:id="22"/>
    </w:p>
    <w:p w14:paraId="375E20B9" w14:textId="77777777" w:rsidR="00364B2A" w:rsidRPr="00FD274F" w:rsidRDefault="00364B2A" w:rsidP="00364B2A">
      <w:pPr>
        <w:pStyle w:val="BodyPara"/>
      </w:pPr>
      <w:r w:rsidRPr="00FD274F">
        <w:t>“The Minister may, by notifiable instrument, approve a form…”</w:t>
      </w:r>
      <w:r w:rsidR="00BF60F7" w:rsidRPr="00FD274F">
        <w:t>;</w:t>
      </w:r>
    </w:p>
    <w:p w14:paraId="311A26C2" w14:textId="77777777" w:rsidR="00364B2A" w:rsidRPr="00FD274F" w:rsidRDefault="00364B2A" w:rsidP="00364B2A">
      <w:pPr>
        <w:pStyle w:val="BodyPara"/>
      </w:pPr>
      <w:r w:rsidRPr="00FD274F">
        <w:t>“An instrument made under ... is a notifiable</w:t>
      </w:r>
      <w:r w:rsidR="00BF60F7" w:rsidRPr="00FD274F">
        <w:t xml:space="preserve"> instrument</w:t>
      </w:r>
      <w:r w:rsidRPr="00FD274F">
        <w:t>”</w:t>
      </w:r>
      <w:r w:rsidR="00BF60F7" w:rsidRPr="00FD274F">
        <w:t>.</w:t>
      </w:r>
    </w:p>
    <w:p w14:paraId="534DBA3D" w14:textId="7ABD3C69" w:rsidR="00321924" w:rsidRPr="00FD274F" w:rsidRDefault="00321924" w:rsidP="00364B2A">
      <w:pPr>
        <w:pStyle w:val="BodyNum"/>
      </w:pPr>
      <w:r w:rsidRPr="00FD274F">
        <w:t xml:space="preserve">The </w:t>
      </w:r>
      <w:hyperlink r:id="rId74" w:history="1">
        <w:r w:rsidRPr="006F45CA">
          <w:rPr>
            <w:rStyle w:val="Hyperlink"/>
          </w:rPr>
          <w:t>LA</w:t>
        </w:r>
      </w:hyperlink>
      <w:r w:rsidRPr="0053438B">
        <w:t xml:space="preserve"> and </w:t>
      </w:r>
      <w:hyperlink r:id="rId75" w:history="1">
        <w:hyperlink r:id="rId76" w:history="1">
          <w:r w:rsidR="00F62728" w:rsidRPr="0053438B">
            <w:rPr>
              <w:rStyle w:val="Hyperlink"/>
            </w:rPr>
            <w:t>LEOMR</w:t>
          </w:r>
        </w:hyperlink>
      </w:hyperlink>
      <w:r w:rsidRPr="0053438B">
        <w:t xml:space="preserve"> also de</w:t>
      </w:r>
      <w:r w:rsidRPr="00FD274F">
        <w:t>clare the following to be a notifiable instrument:</w:t>
      </w:r>
    </w:p>
    <w:p w14:paraId="67EEA73A" w14:textId="312EC3A4" w:rsidR="00902D6C" w:rsidRPr="006F45CA" w:rsidRDefault="00902D6C" w:rsidP="00902D6C">
      <w:pPr>
        <w:pStyle w:val="BodyPara"/>
      </w:pPr>
      <w:r w:rsidRPr="00FD274F">
        <w:lastRenderedPageBreak/>
        <w:t>a commencement instrument</w:t>
      </w:r>
      <w:r w:rsidR="00BB4992" w:rsidRPr="00FD274F">
        <w:t xml:space="preserve"> that commences a registered law</w:t>
      </w:r>
      <w:r w:rsidR="00DF356F" w:rsidRPr="00FD274F">
        <w:t xml:space="preserve"> </w:t>
      </w:r>
      <w:r w:rsidRPr="006F45CA">
        <w:t>(</w:t>
      </w:r>
      <w:hyperlink r:id="rId77" w:history="1">
        <w:r w:rsidRPr="006F45CA">
          <w:rPr>
            <w:rStyle w:val="Hyperlink"/>
          </w:rPr>
          <w:t>LA</w:t>
        </w:r>
      </w:hyperlink>
      <w:r w:rsidRPr="006F45CA">
        <w:t xml:space="preserve"> s </w:t>
      </w:r>
      <w:r w:rsidR="006F45CA">
        <w:t xml:space="preserve">4 and </w:t>
      </w:r>
      <w:r w:rsidRPr="006F45CA">
        <w:t>8(8)(b)</w:t>
      </w:r>
      <w:r w:rsidR="00F1401E" w:rsidRPr="006F45CA">
        <w:t>;</w:t>
      </w:r>
    </w:p>
    <w:p w14:paraId="49923995" w14:textId="2FED85EF" w:rsidR="00902D6C" w:rsidRPr="00FD274F" w:rsidRDefault="00902D6C" w:rsidP="00902D6C">
      <w:pPr>
        <w:pStyle w:val="BodyPara"/>
      </w:pPr>
      <w:r w:rsidRPr="00FD274F">
        <w:t>an instrument that announces the day an international agreement enters into force for Australia</w:t>
      </w:r>
      <w:r w:rsidR="00BB4992" w:rsidRPr="00FD274F">
        <w:t xml:space="preserve">, regardless of whether the treaty itself has been registered </w:t>
      </w:r>
      <w:r w:rsidRPr="0053438B">
        <w:t>(</w:t>
      </w:r>
      <w:hyperlink r:id="rId78" w:history="1">
        <w:hyperlink r:id="rId79" w:history="1">
          <w:hyperlink r:id="rId80" w:history="1">
            <w:r w:rsidR="00F62728" w:rsidRPr="0053438B">
              <w:rPr>
                <w:rStyle w:val="Hyperlink"/>
              </w:rPr>
              <w:t>LEOMR</w:t>
            </w:r>
          </w:hyperlink>
        </w:hyperlink>
      </w:hyperlink>
      <w:r w:rsidR="000A10B7" w:rsidRPr="0053438B">
        <w:t xml:space="preserve"> s 8 item </w:t>
      </w:r>
      <w:r w:rsidRPr="0053438B">
        <w:t>1).</w:t>
      </w:r>
    </w:p>
    <w:bookmarkEnd w:id="23"/>
    <w:p w14:paraId="09B7D6FC" w14:textId="4637DD2B" w:rsidR="00646149" w:rsidRPr="00FD274F" w:rsidRDefault="00646149" w:rsidP="00646149">
      <w:pPr>
        <w:pStyle w:val="BodyNum"/>
      </w:pPr>
      <w:r w:rsidRPr="00FD274F">
        <w:t xml:space="preserve">If an instrument is declared to be a notifiable instrument, </w:t>
      </w:r>
      <w:r w:rsidR="00B67117" w:rsidRPr="00FD274F">
        <w:t>no further action is required to establish its status under th</w:t>
      </w:r>
      <w:r w:rsidR="00B67117" w:rsidRPr="006F45CA">
        <w:t xml:space="preserve">e </w:t>
      </w:r>
      <w:hyperlink r:id="rId81" w:history="1">
        <w:r w:rsidR="00F6707A" w:rsidRPr="006F45CA">
          <w:rPr>
            <w:rStyle w:val="Hyperlink"/>
          </w:rPr>
          <w:t>LA</w:t>
        </w:r>
      </w:hyperlink>
      <w:r w:rsidR="00B67117" w:rsidRPr="006F45CA">
        <w:t>.</w:t>
      </w:r>
    </w:p>
    <w:p w14:paraId="6CBF2A75" w14:textId="77777777" w:rsidR="00321924" w:rsidRPr="00FD274F" w:rsidRDefault="00321924" w:rsidP="00321924">
      <w:pPr>
        <w:pStyle w:val="Head4"/>
      </w:pPr>
      <w:bookmarkStart w:id="24" w:name="_Toc112918752"/>
      <w:r w:rsidRPr="00FD274F">
        <w:t>Other instruments</w:t>
      </w:r>
      <w:bookmarkEnd w:id="24"/>
      <w:r w:rsidRPr="00FD274F">
        <w:t xml:space="preserve"> </w:t>
      </w:r>
    </w:p>
    <w:p w14:paraId="7CCCAB15" w14:textId="6FE2E42F" w:rsidR="00C3664A" w:rsidRPr="00FD274F" w:rsidRDefault="00B84779" w:rsidP="006801CB">
      <w:pPr>
        <w:pStyle w:val="BodyNum"/>
      </w:pPr>
      <w:bookmarkStart w:id="25" w:name="_Ref442196278"/>
      <w:r w:rsidRPr="00FD274F">
        <w:t xml:space="preserve">Sometimes an instrument’s enabling legislation will include a different kind of declaration to the effect </w:t>
      </w:r>
      <w:r w:rsidR="0012172F" w:rsidRPr="00FD274F">
        <w:t xml:space="preserve">that an instrument is not a </w:t>
      </w:r>
      <w:r w:rsidR="006801CB" w:rsidRPr="00FD274F">
        <w:t>legislative instrument</w:t>
      </w:r>
      <w:r w:rsidR="000312DD">
        <w:t>,</w:t>
      </w:r>
      <w:r w:rsidR="006801CB" w:rsidRPr="00FD274F">
        <w:t xml:space="preserve"> or </w:t>
      </w:r>
      <w:r w:rsidR="00646149" w:rsidRPr="00FD274F">
        <w:t xml:space="preserve">is not </w:t>
      </w:r>
      <w:r w:rsidRPr="00FD274F">
        <w:t>a</w:t>
      </w:r>
      <w:r w:rsidR="006801CB" w:rsidRPr="00FD274F">
        <w:t xml:space="preserve"> notifiable instrument. </w:t>
      </w:r>
      <w:r w:rsidR="00C3664A" w:rsidRPr="006F45CA">
        <w:t xml:space="preserve">The </w:t>
      </w:r>
      <w:hyperlink r:id="rId82" w:history="1">
        <w:r w:rsidR="00F6707A" w:rsidRPr="006F45CA">
          <w:rPr>
            <w:rStyle w:val="Hyperlink"/>
          </w:rPr>
          <w:t>LA</w:t>
        </w:r>
      </w:hyperlink>
      <w:r w:rsidR="00C3664A" w:rsidRPr="006F45CA">
        <w:t xml:space="preserve"> an</w:t>
      </w:r>
      <w:r w:rsidR="00C3664A" w:rsidRPr="00317B28">
        <w:t xml:space="preserve">d </w:t>
      </w:r>
      <w:hyperlink r:id="rId83" w:history="1">
        <w:proofErr w:type="spellStart"/>
        <w:r w:rsidR="00F62728" w:rsidRPr="00317B28">
          <w:rPr>
            <w:rStyle w:val="Hyperlink"/>
          </w:rPr>
          <w:t>LEOMR</w:t>
        </w:r>
        <w:proofErr w:type="spellEnd"/>
      </w:hyperlink>
      <w:r w:rsidR="00C3664A" w:rsidRPr="00317B28">
        <w:t xml:space="preserve"> also</w:t>
      </w:r>
      <w:r w:rsidR="00C3664A" w:rsidRPr="00FD274F">
        <w:t xml:space="preserve"> contain </w:t>
      </w:r>
      <w:r w:rsidR="0012172F" w:rsidRPr="00FD274F">
        <w:t xml:space="preserve">declarations that certain instruments are not legislative instruments </w:t>
      </w:r>
      <w:r w:rsidR="00C3664A" w:rsidRPr="00FD274F">
        <w:t>as follows:</w:t>
      </w:r>
      <w:bookmarkEnd w:id="25"/>
    </w:p>
    <w:p w14:paraId="52CC4A13" w14:textId="18AC7366" w:rsidR="006801CB" w:rsidRPr="00317B28" w:rsidRDefault="006801CB" w:rsidP="006801CB">
      <w:pPr>
        <w:pStyle w:val="BodyPara"/>
      </w:pPr>
      <w:r w:rsidRPr="00FD274F">
        <w:t>specific declarations for instruments made u</w:t>
      </w:r>
      <w:r w:rsidRPr="00317B28">
        <w:t>nder a particular Act or provision of an Act (</w:t>
      </w:r>
      <w:hyperlink r:id="rId84" w:history="1">
        <w:r w:rsidRPr="00317B28">
          <w:rPr>
            <w:rStyle w:val="Hyperlink"/>
          </w:rPr>
          <w:t>LA</w:t>
        </w:r>
      </w:hyperlink>
      <w:r w:rsidRPr="00317B28">
        <w:t xml:space="preserve"> s 8(8) and </w:t>
      </w:r>
      <w:hyperlink r:id="rId85" w:history="1">
        <w:hyperlink r:id="rId86" w:history="1">
          <w:r w:rsidR="00F62728" w:rsidRPr="00317B28">
            <w:rPr>
              <w:rStyle w:val="Hyperlink"/>
            </w:rPr>
            <w:t>LEOMR</w:t>
          </w:r>
        </w:hyperlink>
      </w:hyperlink>
      <w:r w:rsidR="00BF60F7" w:rsidRPr="00317B28">
        <w:t xml:space="preserve"> s 7);</w:t>
      </w:r>
    </w:p>
    <w:p w14:paraId="0242A814" w14:textId="5D8202BD" w:rsidR="006801CB" w:rsidRPr="00FD274F" w:rsidRDefault="006801CB" w:rsidP="006801CB">
      <w:pPr>
        <w:pStyle w:val="BodyPara"/>
      </w:pPr>
      <w:r w:rsidRPr="00317B28">
        <w:t>generic declarations that apply to instrum</w:t>
      </w:r>
      <w:r w:rsidRPr="00FD274F">
        <w:t>ents made under a</w:t>
      </w:r>
      <w:r w:rsidR="008262BB">
        <w:t>ny</w:t>
      </w:r>
      <w:r w:rsidRPr="00FD274F">
        <w:t xml:space="preserve"> Act unless the contrary intention appears (</w:t>
      </w:r>
      <w:hyperlink r:id="rId87" w:history="1">
        <w:hyperlink r:id="rId88" w:history="1">
          <w:r w:rsidR="00F62728" w:rsidRPr="00317B28">
            <w:rPr>
              <w:rStyle w:val="Hyperlink"/>
            </w:rPr>
            <w:t>LEOMR</w:t>
          </w:r>
        </w:hyperlink>
      </w:hyperlink>
      <w:r w:rsidRPr="00317B28">
        <w:t xml:space="preserve"> s 6).</w:t>
      </w:r>
    </w:p>
    <w:p w14:paraId="5236AD54" w14:textId="003410C5" w:rsidR="00AE02C5" w:rsidRPr="00FD274F" w:rsidRDefault="00AE02C5" w:rsidP="00AE02C5">
      <w:pPr>
        <w:pStyle w:val="BodyNum"/>
      </w:pPr>
      <w:r w:rsidRPr="00FD274F">
        <w:t xml:space="preserve">Please note, </w:t>
      </w:r>
      <w:hyperlink r:id="rId89" w:history="1">
        <w:hyperlink r:id="rId90" w:history="1">
          <w:r w:rsidR="00F6707A" w:rsidRPr="00317B28">
            <w:rPr>
              <w:rStyle w:val="Hyperlink"/>
            </w:rPr>
            <w:t>LEOMR</w:t>
          </w:r>
        </w:hyperlink>
      </w:hyperlink>
      <w:r w:rsidR="00F6707A">
        <w:rPr>
          <w:rStyle w:val="Hyperlink"/>
        </w:rPr>
        <w:t xml:space="preserve"> </w:t>
      </w:r>
      <w:r w:rsidRPr="00FD274F">
        <w:t xml:space="preserve">does not apply if an Act (such </w:t>
      </w:r>
      <w:r w:rsidR="00BF60F7" w:rsidRPr="00FD274F">
        <w:t xml:space="preserve">as </w:t>
      </w:r>
      <w:r w:rsidRPr="00FD274F">
        <w:t xml:space="preserve">an instrument’s enabling Act) declares that </w:t>
      </w:r>
      <w:r w:rsidR="00646149" w:rsidRPr="00FD274F">
        <w:t>an instrument is a legislative instrum</w:t>
      </w:r>
      <w:r w:rsidR="0028091B" w:rsidRPr="00FD274F">
        <w:t>ent. An instrument’s enabling Act should always be checked for declarations befo</w:t>
      </w:r>
      <w:r w:rsidR="0028091B" w:rsidRPr="00317B28">
        <w:t xml:space="preserve">re </w:t>
      </w:r>
      <w:hyperlink r:id="rId91" w:history="1">
        <w:hyperlink r:id="rId92" w:history="1">
          <w:r w:rsidR="00317B28" w:rsidRPr="00317B28">
            <w:rPr>
              <w:rStyle w:val="Hyperlink"/>
            </w:rPr>
            <w:t>LEOMR</w:t>
          </w:r>
        </w:hyperlink>
      </w:hyperlink>
      <w:r w:rsidR="0028091B" w:rsidRPr="00317B28">
        <w:t>, a</w:t>
      </w:r>
      <w:r w:rsidR="0028091B" w:rsidRPr="00FD274F">
        <w:t>nd lo</w:t>
      </w:r>
      <w:r w:rsidRPr="00FD274F">
        <w:t xml:space="preserve">dging agencies are </w:t>
      </w:r>
      <w:r w:rsidR="0028091B" w:rsidRPr="00FD274F">
        <w:t>advised to take particular care when it comes to:</w:t>
      </w:r>
    </w:p>
    <w:p w14:paraId="16A453DA" w14:textId="4D48F362" w:rsidR="004D43D9" w:rsidRPr="00317B28" w:rsidRDefault="004D43D9" w:rsidP="004D43D9">
      <w:pPr>
        <w:pStyle w:val="BodyPara"/>
      </w:pPr>
      <w:r w:rsidRPr="00FD274F">
        <w:t xml:space="preserve">instruments of delegation </w:t>
      </w:r>
      <w:r w:rsidR="00723930" w:rsidRPr="00FD274F">
        <w:t xml:space="preserve">and directions to delegates </w:t>
      </w:r>
      <w:r w:rsidR="00937C67" w:rsidRPr="00317B28">
        <w:t>(</w:t>
      </w:r>
      <w:hyperlink r:id="rId93" w:history="1">
        <w:hyperlink r:id="rId94" w:history="1">
          <w:r w:rsidR="00F62728" w:rsidRPr="00317B28">
            <w:rPr>
              <w:rStyle w:val="Hyperlink"/>
            </w:rPr>
            <w:t>LEOMR</w:t>
          </w:r>
        </w:hyperlink>
      </w:hyperlink>
      <w:r w:rsidR="00937C67" w:rsidRPr="00317B28">
        <w:t xml:space="preserve"> s 6</w:t>
      </w:r>
      <w:r w:rsidR="00CB5883">
        <w:t>(1)</w:t>
      </w:r>
      <w:r w:rsidR="00937C67" w:rsidRPr="00317B28">
        <w:t xml:space="preserve"> items </w:t>
      </w:r>
      <w:r w:rsidRPr="00317B28">
        <w:t>1 and 2);</w:t>
      </w:r>
      <w:r w:rsidR="00F1401E" w:rsidRPr="00317B28">
        <w:t xml:space="preserve"> and</w:t>
      </w:r>
    </w:p>
    <w:p w14:paraId="39317EA1" w14:textId="6CCC0DA8" w:rsidR="004D43D9" w:rsidRPr="00FD274F" w:rsidRDefault="004D43D9" w:rsidP="004D43D9">
      <w:pPr>
        <w:pStyle w:val="BodyPara"/>
      </w:pPr>
      <w:r w:rsidRPr="00FD274F">
        <w:t>instruments of authorisation and approval (</w:t>
      </w:r>
      <w:hyperlink r:id="rId95" w:history="1">
        <w:hyperlink r:id="rId96" w:history="1">
          <w:r w:rsidR="00F62728" w:rsidRPr="00FD274F">
            <w:rPr>
              <w:rStyle w:val="Hyperlink"/>
            </w:rPr>
            <w:t>LEOMR</w:t>
          </w:r>
        </w:hyperlink>
      </w:hyperlink>
      <w:r w:rsidRPr="00FD274F">
        <w:t xml:space="preserve"> </w:t>
      </w:r>
      <w:r w:rsidRPr="00317B28">
        <w:t>s 6</w:t>
      </w:r>
      <w:r w:rsidR="00CB5883">
        <w:t>(1)</w:t>
      </w:r>
      <w:r w:rsidRPr="00317B28">
        <w:t xml:space="preserve"> item</w:t>
      </w:r>
      <w:r w:rsidR="00937C67" w:rsidRPr="00317B28">
        <w:t>s</w:t>
      </w:r>
      <w:r w:rsidR="00F1401E" w:rsidRPr="00317B28">
        <w:t xml:space="preserve"> 4 and 5);</w:t>
      </w:r>
      <w:r w:rsidR="00F1401E">
        <w:t xml:space="preserve"> and</w:t>
      </w:r>
    </w:p>
    <w:p w14:paraId="3AD3B550" w14:textId="2E6B749E" w:rsidR="004D43D9" w:rsidRPr="00FD274F" w:rsidRDefault="004D43D9" w:rsidP="004D43D9">
      <w:pPr>
        <w:pStyle w:val="BodyPara"/>
      </w:pPr>
      <w:r w:rsidRPr="00FD274F">
        <w:t>instruments prescribing or approving forms (</w:t>
      </w:r>
      <w:hyperlink r:id="rId97" w:history="1">
        <w:hyperlink r:id="rId98" w:history="1">
          <w:r w:rsidR="00F62728" w:rsidRPr="00317B28">
            <w:rPr>
              <w:rStyle w:val="Hyperlink"/>
            </w:rPr>
            <w:t>LEOMR</w:t>
          </w:r>
        </w:hyperlink>
      </w:hyperlink>
      <w:r w:rsidRPr="00317B28">
        <w:t xml:space="preserve"> s 6</w:t>
      </w:r>
      <w:r w:rsidR="00CB5883">
        <w:t>(1)</w:t>
      </w:r>
      <w:r w:rsidRPr="00317B28">
        <w:t xml:space="preserve"> item 6)</w:t>
      </w:r>
      <w:r w:rsidRPr="00FD274F">
        <w:t>.</w:t>
      </w:r>
    </w:p>
    <w:p w14:paraId="66DF9B32" w14:textId="11A5BB6A" w:rsidR="00727ED5" w:rsidRPr="00FD274F" w:rsidRDefault="00DC7765" w:rsidP="00321924">
      <w:pPr>
        <w:pStyle w:val="BodyNum"/>
      </w:pPr>
      <w:bookmarkStart w:id="26" w:name="_Ref444606268"/>
      <w:r w:rsidRPr="00FD274F">
        <w:t>In the event that no declaration</w:t>
      </w:r>
      <w:r w:rsidR="00646149" w:rsidRPr="00FD274F">
        <w:t xml:space="preserve"> can be found</w:t>
      </w:r>
      <w:r w:rsidR="0028091B" w:rsidRPr="00FD274F">
        <w:t xml:space="preserve"> in an Act o</w:t>
      </w:r>
      <w:r w:rsidR="0028091B" w:rsidRPr="00317B28">
        <w:t xml:space="preserve">r </w:t>
      </w:r>
      <w:hyperlink r:id="rId99" w:history="1">
        <w:hyperlink r:id="rId100" w:history="1">
          <w:r w:rsidR="00F6707A" w:rsidRPr="00317B28">
            <w:rPr>
              <w:rStyle w:val="Hyperlink"/>
            </w:rPr>
            <w:t>LEOMR</w:t>
          </w:r>
        </w:hyperlink>
      </w:hyperlink>
      <w:r w:rsidR="00AE02C5" w:rsidRPr="00317B28">
        <w:t>,</w:t>
      </w:r>
      <w:r w:rsidR="00AE02C5" w:rsidRPr="00FD274F">
        <w:t xml:space="preserve"> </w:t>
      </w:r>
      <w:r w:rsidR="00B67117" w:rsidRPr="00FD274F">
        <w:t xml:space="preserve">the status of the instrument under the </w:t>
      </w:r>
      <w:hyperlink r:id="rId101" w:history="1">
        <w:r w:rsidR="00F66686" w:rsidRPr="006F45CA">
          <w:rPr>
            <w:rStyle w:val="Hyperlink"/>
          </w:rPr>
          <w:t>LA</w:t>
        </w:r>
      </w:hyperlink>
      <w:r w:rsidR="00B67117" w:rsidRPr="00FD274F">
        <w:t xml:space="preserve"> can only be established by </w:t>
      </w:r>
      <w:r w:rsidR="0028091B" w:rsidRPr="00FD274F">
        <w:t>looking closely at</w:t>
      </w:r>
      <w:r w:rsidRPr="00FD274F">
        <w:t xml:space="preserve"> </w:t>
      </w:r>
      <w:bookmarkStart w:id="27" w:name="_Ref367446033"/>
      <w:r w:rsidR="00646149" w:rsidRPr="00FD274F">
        <w:t xml:space="preserve">the </w:t>
      </w:r>
      <w:r w:rsidR="00B67117" w:rsidRPr="00FD274F">
        <w:t xml:space="preserve">individual </w:t>
      </w:r>
      <w:r w:rsidR="00646149" w:rsidRPr="00FD274F">
        <w:t xml:space="preserve">instrument that </w:t>
      </w:r>
      <w:r w:rsidRPr="00FD274F">
        <w:t>has been or will be made</w:t>
      </w:r>
      <w:r w:rsidR="008D05AF" w:rsidRPr="00FD274F">
        <w:t xml:space="preserve"> and whether it is of legislative character</w:t>
      </w:r>
      <w:r w:rsidRPr="00FD274F">
        <w:t xml:space="preserve">. </w:t>
      </w:r>
      <w:bookmarkEnd w:id="27"/>
      <w:r w:rsidR="00CE2573" w:rsidRPr="006F45CA">
        <w:t>Subsection</w:t>
      </w:r>
      <w:r w:rsidR="0096793B" w:rsidRPr="006F45CA">
        <w:t xml:space="preserve"> 8(4) of the </w:t>
      </w:r>
      <w:hyperlink r:id="rId102" w:history="1">
        <w:r w:rsidR="00F6707A" w:rsidRPr="006F45CA">
          <w:rPr>
            <w:rStyle w:val="Hyperlink"/>
          </w:rPr>
          <w:t>LA</w:t>
        </w:r>
      </w:hyperlink>
      <w:r w:rsidR="0096793B" w:rsidRPr="006F45CA">
        <w:t xml:space="preserve"> s</w:t>
      </w:r>
      <w:r w:rsidR="0096793B" w:rsidRPr="00FD274F">
        <w:t>pecifies that an instrument is a legislative instrument if:</w:t>
      </w:r>
      <w:bookmarkEnd w:id="26"/>
    </w:p>
    <w:p w14:paraId="2B51C4E7" w14:textId="77777777" w:rsidR="0096793B" w:rsidRPr="00FD274F" w:rsidRDefault="0096793B" w:rsidP="0096793B">
      <w:pPr>
        <w:pStyle w:val="BodyPara"/>
      </w:pPr>
      <w:r w:rsidRPr="00FD274F">
        <w:t>it is made under a power d</w:t>
      </w:r>
      <w:r w:rsidR="00F1401E">
        <w:t>elegated by the Parliament; and</w:t>
      </w:r>
    </w:p>
    <w:p w14:paraId="7AFB8F6E" w14:textId="77777777" w:rsidR="0096793B" w:rsidRPr="00FD274F" w:rsidRDefault="0096793B" w:rsidP="0096793B">
      <w:pPr>
        <w:pStyle w:val="BodyPara"/>
      </w:pPr>
      <w:r w:rsidRPr="00FD274F">
        <w:t>any provision of the instrument:</w:t>
      </w:r>
    </w:p>
    <w:p w14:paraId="1FBA7409" w14:textId="77777777" w:rsidR="0096793B" w:rsidRPr="00FD274F" w:rsidRDefault="0096793B" w:rsidP="0008193D">
      <w:pPr>
        <w:pStyle w:val="BodySubPara"/>
      </w:pPr>
      <w:r w:rsidRPr="00FD274F">
        <w:t xml:space="preserve">determines the law or </w:t>
      </w:r>
      <w:r w:rsidR="00727ED5" w:rsidRPr="00FD274F">
        <w:t>alters the content of the law, r</w:t>
      </w:r>
      <w:r w:rsidRPr="00FD274F">
        <w:t>ather than whether or how i</w:t>
      </w:r>
      <w:r w:rsidR="00BF60F7" w:rsidRPr="00FD274F">
        <w:t>t applies to particular cases or</w:t>
      </w:r>
      <w:r w:rsidR="00F1401E">
        <w:t xml:space="preserve"> circumstances; and</w:t>
      </w:r>
    </w:p>
    <w:p w14:paraId="4F024786" w14:textId="77777777" w:rsidR="00727ED5" w:rsidRPr="00FD274F" w:rsidRDefault="00727ED5" w:rsidP="0096793B">
      <w:pPr>
        <w:pStyle w:val="BodySubPara"/>
      </w:pPr>
      <w:r w:rsidRPr="00FD274F">
        <w:t>has the direct or indirect effect of affecting a privilege or interest, imposing an obligation, creating a right, or varying or removing an obligation or right.</w:t>
      </w:r>
    </w:p>
    <w:p w14:paraId="257EB9BF" w14:textId="77777777" w:rsidR="00ED7070" w:rsidRPr="00FD274F" w:rsidRDefault="0096793B" w:rsidP="00061427">
      <w:pPr>
        <w:pStyle w:val="BodyNum"/>
      </w:pPr>
      <w:r w:rsidRPr="00FD274F">
        <w:lastRenderedPageBreak/>
        <w:t xml:space="preserve">Even if an instrument is </w:t>
      </w:r>
      <w:r w:rsidR="00061427" w:rsidRPr="00FD274F">
        <w:t xml:space="preserve">not a legislative instrument, it may still be useful to lodge it for registration as a </w:t>
      </w:r>
      <w:r w:rsidR="00CE2573" w:rsidRPr="00FD274F">
        <w:t>notifiable</w:t>
      </w:r>
      <w:r w:rsidR="00061427" w:rsidRPr="00FD274F">
        <w:t xml:space="preserve"> in</w:t>
      </w:r>
      <w:r w:rsidR="00ED7070" w:rsidRPr="00FD274F">
        <w:t>strument</w:t>
      </w:r>
      <w:r w:rsidR="007B20C9" w:rsidRPr="00FD274F">
        <w:t>, especially if it is required to be published in the Gazette or elsewhere. R</w:t>
      </w:r>
      <w:r w:rsidR="00ED7070" w:rsidRPr="00FD274F">
        <w:t xml:space="preserve">egistering </w:t>
      </w:r>
      <w:r w:rsidR="007B20C9" w:rsidRPr="00FD274F">
        <w:t xml:space="preserve">such </w:t>
      </w:r>
      <w:r w:rsidR="00ED7070" w:rsidRPr="00FD274F">
        <w:t>an instrument as a notifiable instrument:</w:t>
      </w:r>
    </w:p>
    <w:p w14:paraId="09A8949B" w14:textId="3984F47E" w:rsidR="00ED7070" w:rsidRPr="00FD274F" w:rsidRDefault="00ED7070" w:rsidP="00ED7070">
      <w:pPr>
        <w:pStyle w:val="BodyPara"/>
      </w:pPr>
      <w:r w:rsidRPr="00FD274F">
        <w:t>will generally satisfy any statutory requirement for the instrument to be gazetted or publis</w:t>
      </w:r>
      <w:r w:rsidRPr="00102718">
        <w:t>hed</w:t>
      </w:r>
      <w:r w:rsidR="00937C67" w:rsidRPr="00102718">
        <w:t xml:space="preserve"> (see </w:t>
      </w:r>
      <w:hyperlink r:id="rId103" w:history="1">
        <w:r w:rsidR="00937C67" w:rsidRPr="00102718">
          <w:rPr>
            <w:rStyle w:val="Hyperlink"/>
          </w:rPr>
          <w:t>LA</w:t>
        </w:r>
      </w:hyperlink>
      <w:r w:rsidR="00937C67" w:rsidRPr="00102718">
        <w:t xml:space="preserve"> s 11(4))</w:t>
      </w:r>
      <w:r w:rsidRPr="00102718">
        <w:t>;</w:t>
      </w:r>
      <w:r w:rsidR="00937C67" w:rsidRPr="00102718">
        <w:t xml:space="preserve"> a</w:t>
      </w:r>
      <w:r w:rsidR="00937C67" w:rsidRPr="00FD274F">
        <w:t>nd</w:t>
      </w:r>
    </w:p>
    <w:p w14:paraId="2359A4F9" w14:textId="77777777" w:rsidR="00ED7070" w:rsidRPr="00FD274F" w:rsidRDefault="00ED7070" w:rsidP="00ED7070">
      <w:pPr>
        <w:pStyle w:val="BodyPara"/>
      </w:pPr>
      <w:r w:rsidRPr="00FD274F">
        <w:t>is much cheaper than alternatives suc</w:t>
      </w:r>
      <w:r w:rsidR="00F1401E">
        <w:t>h as newspaper advertising; and</w:t>
      </w:r>
    </w:p>
    <w:p w14:paraId="411AB3CE" w14:textId="77777777" w:rsidR="00ED7070" w:rsidRPr="00FD274F" w:rsidRDefault="00ED7070" w:rsidP="00ED7070">
      <w:pPr>
        <w:pStyle w:val="BodyPara"/>
      </w:pPr>
      <w:r w:rsidRPr="00FD274F">
        <w:t>ensures long</w:t>
      </w:r>
      <w:r w:rsidR="009C4251">
        <w:noBreakHyphen/>
      </w:r>
      <w:r w:rsidRPr="00FD274F">
        <w:t>term access to your instrument (unlike agency websites where there is often pressure to archive older content and to change URLs for agency name changes and website redevelopment).</w:t>
      </w:r>
    </w:p>
    <w:p w14:paraId="3870CD63" w14:textId="31A08C38" w:rsidR="002440CB" w:rsidRPr="00FD274F" w:rsidRDefault="002440CB" w:rsidP="002440CB">
      <w:pPr>
        <w:pStyle w:val="BodyNum"/>
      </w:pPr>
      <w:r w:rsidRPr="00FD274F">
        <w:t xml:space="preserve">Unlike legislative instruments, notifiable instruments are not subject to tabling, disallowance or sunsetting. However, they can still be repealed in bulk by means of a regulation made under </w:t>
      </w:r>
      <w:r w:rsidRPr="00102718">
        <w:t xml:space="preserve">section 48E of the </w:t>
      </w:r>
      <w:hyperlink r:id="rId104" w:history="1">
        <w:r w:rsidR="00F6707A" w:rsidRPr="00102718">
          <w:rPr>
            <w:rStyle w:val="Hyperlink"/>
          </w:rPr>
          <w:t>LA</w:t>
        </w:r>
      </w:hyperlink>
      <w:r w:rsidRPr="00102718">
        <w:t xml:space="preserve"> if</w:t>
      </w:r>
      <w:r w:rsidRPr="00FD274F">
        <w:t xml:space="preserve"> appropria</w:t>
      </w:r>
      <w:r w:rsidRPr="0009463D">
        <w:t xml:space="preserve">te (see paragraph </w:t>
      </w:r>
      <w:r w:rsidR="006C574C">
        <w:fldChar w:fldCharType="begin"/>
      </w:r>
      <w:r w:rsidR="006C574C">
        <w:instrText xml:space="preserve"> REF _Ref110331308 \r \h </w:instrText>
      </w:r>
      <w:r w:rsidR="006C574C">
        <w:fldChar w:fldCharType="separate"/>
      </w:r>
      <w:r w:rsidR="006C574C">
        <w:t>223</w:t>
      </w:r>
      <w:r w:rsidR="006C574C">
        <w:fldChar w:fldCharType="end"/>
      </w:r>
      <w:r w:rsidRPr="00102718">
        <w:t>).</w:t>
      </w:r>
    </w:p>
    <w:p w14:paraId="5A8429DA" w14:textId="77777777" w:rsidR="00484FB8" w:rsidRPr="00FD274F" w:rsidRDefault="00DC7765" w:rsidP="00484FB8">
      <w:pPr>
        <w:pStyle w:val="Head3"/>
      </w:pPr>
      <w:bookmarkStart w:id="28" w:name="_Toc112918753"/>
      <w:r w:rsidRPr="00FD274F">
        <w:t>If there is uncertainty about the status of an instrument</w:t>
      </w:r>
      <w:bookmarkEnd w:id="28"/>
    </w:p>
    <w:p w14:paraId="1B4676B3" w14:textId="618CAF71" w:rsidR="001619A8" w:rsidRPr="00FD274F" w:rsidRDefault="001619A8" w:rsidP="001619A8">
      <w:pPr>
        <w:pStyle w:val="BodyNum"/>
      </w:pPr>
      <w:r w:rsidRPr="00FD274F">
        <w:t>It is important to identify instruments correctly: a legislative instrument is not</w:t>
      </w:r>
      <w:r w:rsidR="00F068FE" w:rsidRPr="00FD274F">
        <w:t xml:space="preserve"> </w:t>
      </w:r>
      <w:r w:rsidRPr="00FD274F">
        <w:t xml:space="preserve">enforceable by or against any person including the Commonwealth unless and until it is registered as a legislative instrument </w:t>
      </w:r>
      <w:r w:rsidRPr="00102718">
        <w:t>(</w:t>
      </w:r>
      <w:hyperlink r:id="rId105" w:history="1">
        <w:r w:rsidRPr="00102718">
          <w:rPr>
            <w:rStyle w:val="Hyperlink"/>
          </w:rPr>
          <w:t>LA</w:t>
        </w:r>
      </w:hyperlink>
      <w:r w:rsidRPr="00102718">
        <w:t xml:space="preserve"> s 15K</w:t>
      </w:r>
      <w:r w:rsidR="000C6BC2" w:rsidRPr="00102718">
        <w:t>(1)</w:t>
      </w:r>
      <w:r w:rsidR="00F1401E" w:rsidRPr="00102718">
        <w:t>).</w:t>
      </w:r>
    </w:p>
    <w:p w14:paraId="79447715" w14:textId="698686E6" w:rsidR="006014BA" w:rsidRPr="00FD274F" w:rsidRDefault="006014BA" w:rsidP="00AD6DEB">
      <w:pPr>
        <w:pStyle w:val="BodyNum"/>
      </w:pPr>
      <w:r w:rsidRPr="00FD274F">
        <w:t xml:space="preserve">Lodging agencies, not </w:t>
      </w:r>
      <w:proofErr w:type="spellStart"/>
      <w:r w:rsidRPr="00FD274F">
        <w:t>OPC</w:t>
      </w:r>
      <w:proofErr w:type="spellEnd"/>
      <w:r w:rsidRPr="00FD274F">
        <w:t xml:space="preserve">, are responsible for establishing the status of an instrument under the </w:t>
      </w:r>
      <w:hyperlink r:id="rId106" w:history="1">
        <w:r w:rsidR="00F66686" w:rsidRPr="00102718">
          <w:rPr>
            <w:rStyle w:val="Hyperlink"/>
          </w:rPr>
          <w:t>LA</w:t>
        </w:r>
      </w:hyperlink>
      <w:r w:rsidRPr="00102718">
        <w:t xml:space="preserve"> a</w:t>
      </w:r>
      <w:r w:rsidRPr="00FD274F">
        <w:t xml:space="preserve">nd for choosing the appropriate lodgement type at </w:t>
      </w:r>
      <w:r w:rsidR="00F1401E">
        <w:t xml:space="preserve">the </w:t>
      </w:r>
      <w:r w:rsidRPr="00FD274F">
        <w:t xml:space="preserve">time of lodgement. Under </w:t>
      </w:r>
      <w:r w:rsidRPr="00102718">
        <w:t xml:space="preserve">section 15H of the </w:t>
      </w:r>
      <w:hyperlink r:id="rId107" w:history="1">
        <w:r w:rsidR="00F66686" w:rsidRPr="00102718">
          <w:rPr>
            <w:rStyle w:val="Hyperlink"/>
          </w:rPr>
          <w:t>LA</w:t>
        </w:r>
      </w:hyperlink>
      <w:r w:rsidRPr="00102718">
        <w:t>, if an i</w:t>
      </w:r>
      <w:r w:rsidRPr="00FD274F">
        <w:t>nstrument is lodged for registration:</w:t>
      </w:r>
    </w:p>
    <w:p w14:paraId="52995A76" w14:textId="68F21605" w:rsidR="001619A8" w:rsidRPr="00FD274F" w:rsidRDefault="001619A8" w:rsidP="001619A8">
      <w:pPr>
        <w:pStyle w:val="BodyPara"/>
      </w:pPr>
      <w:r w:rsidRPr="00FD274F">
        <w:t xml:space="preserve">as a legislative instrument, it must be registered as a legislative instrument </w:t>
      </w:r>
      <w:r w:rsidRPr="00102718">
        <w:t>(</w:t>
      </w:r>
      <w:hyperlink r:id="rId108" w:history="1">
        <w:r w:rsidRPr="00102718">
          <w:rPr>
            <w:rStyle w:val="Hyperlink"/>
          </w:rPr>
          <w:t>LA</w:t>
        </w:r>
      </w:hyperlink>
      <w:r w:rsidRPr="00102718">
        <w:t xml:space="preserve"> s</w:t>
      </w:r>
      <w:r w:rsidR="001E5C10" w:rsidRPr="00102718">
        <w:t xml:space="preserve"> </w:t>
      </w:r>
      <w:r w:rsidR="00F1401E" w:rsidRPr="00102718">
        <w:t>15H(1)(a));</w:t>
      </w:r>
      <w:r w:rsidR="00F1401E">
        <w:t xml:space="preserve"> or</w:t>
      </w:r>
    </w:p>
    <w:p w14:paraId="60304831" w14:textId="2A43B04F" w:rsidR="00031E4C" w:rsidRPr="00FD274F" w:rsidRDefault="00031E4C" w:rsidP="00031E4C">
      <w:pPr>
        <w:pStyle w:val="BodyPara"/>
      </w:pPr>
      <w:r w:rsidRPr="00FD274F">
        <w:t>as a notifiable instrument, it must be registered as a notifiable instrument (</w:t>
      </w:r>
      <w:hyperlink r:id="rId109" w:history="1">
        <w:r w:rsidRPr="00102718">
          <w:rPr>
            <w:rStyle w:val="Hyperlink"/>
          </w:rPr>
          <w:t>LA</w:t>
        </w:r>
      </w:hyperlink>
      <w:r w:rsidR="00622CC0" w:rsidRPr="00102718">
        <w:rPr>
          <w:rStyle w:val="Hyperlink"/>
        </w:rPr>
        <w:t> </w:t>
      </w:r>
      <w:r w:rsidRPr="00102718">
        <w:t>s 15H(1)(b))</w:t>
      </w:r>
      <w:r w:rsidR="001619A8" w:rsidRPr="00102718">
        <w:t>.</w:t>
      </w:r>
    </w:p>
    <w:p w14:paraId="374E6C26" w14:textId="77777777" w:rsidR="00484FB8" w:rsidRPr="00FD274F" w:rsidRDefault="00484FB8" w:rsidP="00484FB8">
      <w:pPr>
        <w:pStyle w:val="Head4"/>
      </w:pPr>
      <w:bookmarkStart w:id="29" w:name="_Toc112918754"/>
      <w:r w:rsidRPr="00FD274F">
        <w:t>For new instruments</w:t>
      </w:r>
      <w:bookmarkEnd w:id="29"/>
    </w:p>
    <w:p w14:paraId="5697BA4E" w14:textId="77777777" w:rsidR="00845F4C" w:rsidRPr="00FD274F" w:rsidRDefault="00484FB8" w:rsidP="00484FB8">
      <w:pPr>
        <w:pStyle w:val="BodyNum"/>
      </w:pPr>
      <w:r w:rsidRPr="00FD274F">
        <w:t xml:space="preserve">If it is unclear whether a particular instrument is a legislative instrument, it would be prudent to get legal advice and consider the potential risks to government policy if the instrument is, or is not, registered as a legislative </w:t>
      </w:r>
      <w:r w:rsidR="00CE2573" w:rsidRPr="00FD274F">
        <w:t>instrument. If</w:t>
      </w:r>
      <w:r w:rsidRPr="00FD274F">
        <w:t xml:space="preserve"> there is a need to put the issue beyond doubt</w:t>
      </w:r>
      <w:r w:rsidR="00845F4C" w:rsidRPr="00FD274F">
        <w:t>, there are two options to consider as follows:</w:t>
      </w:r>
    </w:p>
    <w:p w14:paraId="15D32DA3" w14:textId="01CF8F29" w:rsidR="00845F4C" w:rsidRPr="00FD274F" w:rsidRDefault="00845F4C" w:rsidP="00845F4C">
      <w:pPr>
        <w:pStyle w:val="BodyPara"/>
      </w:pPr>
      <w:r w:rsidRPr="00FD274F">
        <w:t>if the instrument does not need to be made urgently—there may be scope to include an express declaration in relevant legislation (gen</w:t>
      </w:r>
      <w:r w:rsidRPr="00317B28">
        <w:t xml:space="preserve">erally </w:t>
      </w:r>
      <w:hyperlink r:id="rId110" w:history="1">
        <w:proofErr w:type="spellStart"/>
        <w:r w:rsidR="00F62728" w:rsidRPr="00317B28">
          <w:rPr>
            <w:rStyle w:val="Hyperlink"/>
          </w:rPr>
          <w:t>LEOMR</w:t>
        </w:r>
        <w:proofErr w:type="spellEnd"/>
      </w:hyperlink>
      <w:r w:rsidR="00F1401E" w:rsidRPr="00317B28">
        <w:t>);</w:t>
      </w:r>
      <w:r w:rsidR="00F1401E">
        <w:t xml:space="preserve"> or</w:t>
      </w:r>
    </w:p>
    <w:p w14:paraId="618A7DE3" w14:textId="77777777" w:rsidR="00484FB8" w:rsidRPr="00FD274F" w:rsidRDefault="00845F4C" w:rsidP="00484FB8">
      <w:pPr>
        <w:pStyle w:val="BodyPara"/>
      </w:pPr>
      <w:r w:rsidRPr="00FD274F">
        <w:t xml:space="preserve">if the instrument has already been made, or needs to be made urgently—it </w:t>
      </w:r>
      <w:r w:rsidR="00484FB8" w:rsidRPr="00FD274F">
        <w:t xml:space="preserve">should be registered </w:t>
      </w:r>
      <w:r w:rsidR="001619A8" w:rsidRPr="00FD274F">
        <w:t>as</w:t>
      </w:r>
      <w:r w:rsidR="00F1401E">
        <w:t xml:space="preserve"> a legislative instrument.</w:t>
      </w:r>
    </w:p>
    <w:p w14:paraId="190C45BC" w14:textId="4B95E22E" w:rsidR="00A47EB7" w:rsidRPr="00FD274F" w:rsidRDefault="00484FB8" w:rsidP="00484FB8">
      <w:pPr>
        <w:pStyle w:val="BodyNum"/>
      </w:pPr>
      <w:r w:rsidRPr="00FD274F">
        <w:t xml:space="preserve">Registering an instrument as a legislative instrument generally </w:t>
      </w:r>
      <w:r w:rsidR="00FA3343" w:rsidRPr="00FD274F">
        <w:t xml:space="preserve">results in </w:t>
      </w:r>
      <w:r w:rsidRPr="00FD274F">
        <w:t>it</w:t>
      </w:r>
      <w:r w:rsidR="00FA3343" w:rsidRPr="00FD274F">
        <w:t>,</w:t>
      </w:r>
      <w:r w:rsidRPr="00FD274F">
        <w:t xml:space="preserve"> and an </w:t>
      </w:r>
      <w:r w:rsidR="00CE2573" w:rsidRPr="00FD274F">
        <w:t>instrument</w:t>
      </w:r>
      <w:r w:rsidRPr="00FD274F">
        <w:t xml:space="preserve"> that amends or repeals it</w:t>
      </w:r>
      <w:r w:rsidR="00FA3343" w:rsidRPr="00FD274F">
        <w:t>, becoming</w:t>
      </w:r>
      <w:r w:rsidRPr="00FD274F">
        <w:t xml:space="preserve"> a legislative instrumen</w:t>
      </w:r>
      <w:r w:rsidRPr="00102718">
        <w:t>t (</w:t>
      </w:r>
      <w:hyperlink r:id="rId111" w:history="1">
        <w:r w:rsidRPr="00102718">
          <w:rPr>
            <w:rStyle w:val="Hyperlink"/>
          </w:rPr>
          <w:t>LA</w:t>
        </w:r>
      </w:hyperlink>
      <w:r w:rsidRPr="00102718">
        <w:t xml:space="preserve"> s </w:t>
      </w:r>
      <w:r w:rsidR="00C30D99" w:rsidRPr="00102718">
        <w:t>10(</w:t>
      </w:r>
      <w:r w:rsidR="00102718">
        <w:t>1</w:t>
      </w:r>
      <w:r w:rsidR="00C30D99" w:rsidRPr="00102718">
        <w:t>)</w:t>
      </w:r>
      <w:r w:rsidRPr="00102718">
        <w:t>(</w:t>
      </w:r>
      <w:r w:rsidR="00102718">
        <w:t>d</w:t>
      </w:r>
      <w:r w:rsidRPr="00102718">
        <w:t>))</w:t>
      </w:r>
      <w:r w:rsidR="00AD6DEB" w:rsidRPr="00102718">
        <w:t>.</w:t>
      </w:r>
      <w:r w:rsidR="00AD6DEB" w:rsidRPr="00FD274F">
        <w:t xml:space="preserve"> However, this principle</w:t>
      </w:r>
      <w:r w:rsidR="00FA3343" w:rsidRPr="00FD274F">
        <w:t>, and associated disallowance and sunsetting regimes, does not apply to</w:t>
      </w:r>
      <w:r w:rsidR="00A47EB7" w:rsidRPr="00FD274F">
        <w:t xml:space="preserve"> a notifiable instrument that is:</w:t>
      </w:r>
    </w:p>
    <w:p w14:paraId="06DBEFBA" w14:textId="14858499" w:rsidR="00484FB8" w:rsidRPr="00FD274F" w:rsidRDefault="00A47EB7" w:rsidP="00A47EB7">
      <w:pPr>
        <w:pStyle w:val="BodyPara"/>
      </w:pPr>
      <w:r w:rsidRPr="00FD274F">
        <w:lastRenderedPageBreak/>
        <w:t xml:space="preserve">a </w:t>
      </w:r>
      <w:r w:rsidR="00484FB8" w:rsidRPr="00FD274F">
        <w:t>commencement instrumen</w:t>
      </w:r>
      <w:r w:rsidR="00484FB8" w:rsidRPr="00AB101B">
        <w:t>t (</w:t>
      </w:r>
      <w:hyperlink r:id="rId112" w:history="1">
        <w:r w:rsidR="00484FB8" w:rsidRPr="00AB101B">
          <w:rPr>
            <w:rStyle w:val="Hyperlink"/>
          </w:rPr>
          <w:t>LA</w:t>
        </w:r>
      </w:hyperlink>
      <w:r w:rsidR="00484FB8" w:rsidRPr="00AB101B">
        <w:t xml:space="preserve"> s 8(8)(b) and 11(2)); o</w:t>
      </w:r>
      <w:r w:rsidR="00484FB8" w:rsidRPr="00FD274F">
        <w:t>r</w:t>
      </w:r>
    </w:p>
    <w:p w14:paraId="3E886F6A" w14:textId="613C9641" w:rsidR="00484FB8" w:rsidRPr="00AB101B" w:rsidRDefault="00484FB8" w:rsidP="00484FB8">
      <w:pPr>
        <w:pStyle w:val="BodyPara"/>
      </w:pPr>
      <w:r w:rsidRPr="00FD274F">
        <w:t xml:space="preserve">declared to be a notifiable instrument by its enabling legislation </w:t>
      </w:r>
      <w:r w:rsidRPr="00AB101B">
        <w:t>(</w:t>
      </w:r>
      <w:hyperlink r:id="rId113" w:history="1">
        <w:r w:rsidRPr="00AB101B">
          <w:rPr>
            <w:rStyle w:val="Hyperlink"/>
          </w:rPr>
          <w:t>LA</w:t>
        </w:r>
      </w:hyperlink>
      <w:r w:rsidRPr="00AB101B">
        <w:t xml:space="preserve"> </w:t>
      </w:r>
      <w:r w:rsidR="00916D88" w:rsidRPr="00AB101B">
        <w:t>s 8(8)(a) and 11(1)).</w:t>
      </w:r>
    </w:p>
    <w:p w14:paraId="1326FBDE" w14:textId="3A7AE35E" w:rsidR="00C11612" w:rsidRPr="00FD274F" w:rsidRDefault="00C11612" w:rsidP="00C11612">
      <w:pPr>
        <w:pStyle w:val="noteToPara"/>
        <w:ind w:left="1429"/>
      </w:pPr>
      <w:r w:rsidRPr="00FD274F">
        <w:t xml:space="preserve">Note: </w:t>
      </w:r>
      <w:r w:rsidRPr="00FD274F">
        <w:tab/>
        <w:t>If an instrument is declared to be a notifiable instrument by se</w:t>
      </w:r>
      <w:r w:rsidRPr="00F409B4">
        <w:t xml:space="preserve">ction 8 of </w:t>
      </w:r>
      <w:hyperlink r:id="rId114" w:history="1">
        <w:hyperlink r:id="rId115" w:history="1">
          <w:r w:rsidR="00F62728" w:rsidRPr="00F409B4">
            <w:rPr>
              <w:rStyle w:val="Hyperlink"/>
            </w:rPr>
            <w:t>LEOMR</w:t>
          </w:r>
        </w:hyperlink>
      </w:hyperlink>
      <w:r w:rsidRPr="00F409B4">
        <w:t xml:space="preserve"> bu</w:t>
      </w:r>
      <w:r w:rsidRPr="00FD274F">
        <w:t xml:space="preserve">t it is registered as a legislative instrument, it will become a legislative instrument under </w:t>
      </w:r>
      <w:r w:rsidR="00BF60F7" w:rsidRPr="00FD274F">
        <w:t>s</w:t>
      </w:r>
      <w:r w:rsidR="00BF60F7" w:rsidRPr="00AB101B">
        <w:t>ub</w:t>
      </w:r>
      <w:r w:rsidRPr="00AB101B">
        <w:t xml:space="preserve">section 8(3) of the </w:t>
      </w:r>
      <w:hyperlink r:id="rId116" w:history="1">
        <w:r w:rsidR="00622CC0" w:rsidRPr="00AB101B">
          <w:rPr>
            <w:rStyle w:val="Hyperlink"/>
          </w:rPr>
          <w:t>LA</w:t>
        </w:r>
      </w:hyperlink>
      <w:r w:rsidRPr="00AB101B">
        <w:t>.</w:t>
      </w:r>
      <w:r w:rsidRPr="00FD274F">
        <w:t xml:space="preserve"> </w:t>
      </w:r>
      <w:r w:rsidR="00C30D99">
        <w:t>However, an instrument that is stated to be a notifiable instrument in its primary law cannot become a legislative instrument through registration as such (s</w:t>
      </w:r>
      <w:r w:rsidR="00C30D99" w:rsidRPr="00AB101B">
        <w:t>ee subsection 8(8)</w:t>
      </w:r>
      <w:r w:rsidR="00AB101B">
        <w:t xml:space="preserve"> </w:t>
      </w:r>
      <w:r w:rsidR="00AB101B" w:rsidRPr="00AB101B">
        <w:t xml:space="preserve">of the </w:t>
      </w:r>
      <w:hyperlink r:id="rId117" w:history="1">
        <w:r w:rsidR="00AB101B" w:rsidRPr="00AB101B">
          <w:rPr>
            <w:rStyle w:val="Hyperlink"/>
          </w:rPr>
          <w:t>LA</w:t>
        </w:r>
      </w:hyperlink>
      <w:r w:rsidR="00C30D99" w:rsidRPr="00AB101B">
        <w:t>).</w:t>
      </w:r>
    </w:p>
    <w:p w14:paraId="59993CA1" w14:textId="27CA506F" w:rsidR="00FA3343" w:rsidRPr="00FD274F" w:rsidRDefault="00FA3343" w:rsidP="001619A8">
      <w:pPr>
        <w:pStyle w:val="BodyNum"/>
      </w:pPr>
      <w:r w:rsidRPr="00FD274F">
        <w:t xml:space="preserve">An express declaration that an instrument is not a legislative instrument can be inserted </w:t>
      </w:r>
      <w:r w:rsidRPr="00F409B4">
        <w:t xml:space="preserve">into </w:t>
      </w:r>
      <w:hyperlink r:id="rId118" w:history="1">
        <w:hyperlink r:id="rId119" w:history="1">
          <w:r w:rsidR="00F62728" w:rsidRPr="00F409B4">
            <w:rPr>
              <w:rStyle w:val="Hyperlink"/>
            </w:rPr>
            <w:t>LEOMR</w:t>
          </w:r>
        </w:hyperlink>
      </w:hyperlink>
      <w:r w:rsidRPr="00FD274F">
        <w:t xml:space="preserve"> or an instrument’s enabling legislation, b</w:t>
      </w:r>
      <w:r w:rsidR="00484FB8" w:rsidRPr="00FD274F">
        <w:t>ut exceptional policy reasons will be required</w:t>
      </w:r>
      <w:r w:rsidR="00937C67" w:rsidRPr="00FD274F">
        <w:t xml:space="preserve"> for a type of instrument that is </w:t>
      </w:r>
      <w:r w:rsidR="008D05AF" w:rsidRPr="00FD274F">
        <w:t>likely to be of legislative character (</w:t>
      </w:r>
      <w:r w:rsidR="008D05AF" w:rsidRPr="0009463D">
        <w:t xml:space="preserve">see </w:t>
      </w:r>
      <w:r w:rsidR="00937C67" w:rsidRPr="0009463D">
        <w:t xml:space="preserve">paragraph </w:t>
      </w:r>
      <w:r w:rsidR="008D05AF" w:rsidRPr="00C856F3">
        <w:fldChar w:fldCharType="begin"/>
      </w:r>
      <w:r w:rsidR="008D05AF" w:rsidRPr="0009463D">
        <w:instrText xml:space="preserve"> REF _Ref444606268 \r \h  \* MERGEFORMAT </w:instrText>
      </w:r>
      <w:r w:rsidR="008D05AF" w:rsidRPr="00C856F3">
        <w:fldChar w:fldCharType="separate"/>
      </w:r>
      <w:r w:rsidR="003E1B43" w:rsidRPr="0009463D">
        <w:t>38</w:t>
      </w:r>
      <w:r w:rsidR="008D05AF" w:rsidRPr="00C856F3">
        <w:fldChar w:fldCharType="end"/>
      </w:r>
      <w:r w:rsidR="00937C67" w:rsidRPr="0009463D">
        <w:t>)</w:t>
      </w:r>
      <w:r w:rsidR="008D05AF" w:rsidRPr="0009463D">
        <w:t>.</w:t>
      </w:r>
      <w:r w:rsidR="008D05AF" w:rsidRPr="00FD274F">
        <w:t xml:space="preserve"> Before making </w:t>
      </w:r>
      <w:r w:rsidR="00484FB8" w:rsidRPr="00FD274F">
        <w:t xml:space="preserve">or instructing </w:t>
      </w:r>
      <w:proofErr w:type="spellStart"/>
      <w:r w:rsidR="00484FB8" w:rsidRPr="00FD274F">
        <w:t>OPC</w:t>
      </w:r>
      <w:proofErr w:type="spellEnd"/>
      <w:r w:rsidR="00484FB8" w:rsidRPr="00FD274F">
        <w:t xml:space="preserve"> to draft an exemption, please consult </w:t>
      </w:r>
      <w:r w:rsidR="00484FB8" w:rsidRPr="00F409B4">
        <w:t>AGD (</w:t>
      </w:r>
      <w:hyperlink r:id="rId120" w:history="1">
        <w:r w:rsidR="00AB2784" w:rsidRPr="00F409B4">
          <w:rPr>
            <w:rStyle w:val="Hyperlink"/>
          </w:rPr>
          <w:t>adminlaw@ag.gov.au</w:t>
        </w:r>
      </w:hyperlink>
      <w:r w:rsidR="00D15F08" w:rsidRPr="00FD274F">
        <w:rPr>
          <w:rStyle w:val="Hyperlink"/>
        </w:rPr>
        <w:t xml:space="preserve"> </w:t>
      </w:r>
      <w:r w:rsidR="00D15F08" w:rsidRPr="00FD274F">
        <w:t>or (02) 6141 2736</w:t>
      </w:r>
      <w:r w:rsidR="00484FB8" w:rsidRPr="00F409B4">
        <w:t>).</w:t>
      </w:r>
      <w:r w:rsidR="00484FB8" w:rsidRPr="00FD274F">
        <w:t xml:space="preserve"> The formal policy approval of the responsible Minister and the Attorney</w:t>
      </w:r>
      <w:r w:rsidR="009C4251">
        <w:noBreakHyphen/>
      </w:r>
      <w:r w:rsidR="00484FB8" w:rsidRPr="00FD274F">
        <w:t xml:space="preserve">General is required for </w:t>
      </w:r>
      <w:r w:rsidRPr="00FD274F">
        <w:t>such a declaration.</w:t>
      </w:r>
    </w:p>
    <w:p w14:paraId="66B7C32E" w14:textId="77777777" w:rsidR="00484FB8" w:rsidRPr="00FD274F" w:rsidRDefault="00FA3343" w:rsidP="00484FB8">
      <w:pPr>
        <w:pStyle w:val="Head4"/>
      </w:pPr>
      <w:bookmarkStart w:id="30" w:name="_Toc112918755"/>
      <w:r w:rsidRPr="00FD274F">
        <w:t xml:space="preserve">For </w:t>
      </w:r>
      <w:r w:rsidR="00484FB8" w:rsidRPr="00FD274F">
        <w:t>older instruments</w:t>
      </w:r>
      <w:bookmarkEnd w:id="30"/>
    </w:p>
    <w:p w14:paraId="32C79B9F" w14:textId="77777777" w:rsidR="00CE2573" w:rsidRPr="00FD274F" w:rsidRDefault="008D05AF" w:rsidP="00CE2573">
      <w:pPr>
        <w:pStyle w:val="BodyNum"/>
      </w:pPr>
      <w:r w:rsidRPr="00FD274F">
        <w:t xml:space="preserve">Instruments that would be notifiable instruments if they were made on or after </w:t>
      </w:r>
      <w:r w:rsidR="00CE2573" w:rsidRPr="00FD274F">
        <w:t>5</w:t>
      </w:r>
      <w:r w:rsidRPr="00FD274F">
        <w:t> </w:t>
      </w:r>
      <w:r w:rsidR="00CE2573" w:rsidRPr="00FD274F">
        <w:t>March 2016 are not required to be lodged for registration. However, they can be registered if the First Parliamentary Counsel agrees that this is likely to be useful to users of the Register, for example, because instruments of ongoing or historic interest would cease to be available online as a result of m</w:t>
      </w:r>
      <w:r w:rsidR="00F1401E">
        <w:t>achinery of government changes.</w:t>
      </w:r>
    </w:p>
    <w:p w14:paraId="2EA9E96C" w14:textId="407A406A" w:rsidR="00484FB8" w:rsidRPr="00FD274F" w:rsidRDefault="00484FB8" w:rsidP="00484FB8">
      <w:pPr>
        <w:pStyle w:val="BodyNum"/>
      </w:pPr>
      <w:r w:rsidRPr="00FD274F">
        <w:t xml:space="preserve">Legislative instruments made </w:t>
      </w:r>
      <w:r w:rsidR="00CE2573" w:rsidRPr="00FD274F">
        <w:t xml:space="preserve">before 1 January 2005 were, however, </w:t>
      </w:r>
      <w:r w:rsidRPr="00FD274F">
        <w:t>required to be lodged by certain deadlines that have now passed. Any legislative instruments not lodged by the relevant deadline were, in almost all cases, repealed by the operation of s</w:t>
      </w:r>
      <w:r w:rsidRPr="00F409B4">
        <w:t xml:space="preserve">ection 32 of the </w:t>
      </w:r>
      <w:hyperlink r:id="rId121" w:history="1">
        <w:r w:rsidR="001E5C10" w:rsidRPr="00F409B4">
          <w:rPr>
            <w:rStyle w:val="Hyperlink"/>
          </w:rPr>
          <w:t>L</w:t>
        </w:r>
        <w:r w:rsidRPr="00F409B4">
          <w:rPr>
            <w:rStyle w:val="Hyperlink"/>
          </w:rPr>
          <w:t>A</w:t>
        </w:r>
      </w:hyperlink>
      <w:r w:rsidR="001E5C10" w:rsidRPr="00FD274F">
        <w:rPr>
          <w:rStyle w:val="Hyperlink"/>
        </w:rPr>
        <w:t xml:space="preserve"> </w:t>
      </w:r>
      <w:r w:rsidR="001E5C10" w:rsidRPr="00FD274F">
        <w:t>when it was known as th</w:t>
      </w:r>
      <w:r w:rsidR="001E5C10" w:rsidRPr="00F409B4">
        <w:t>e LIA.</w:t>
      </w:r>
      <w:r w:rsidRPr="00FD274F">
        <w:t xml:space="preserve"> That section has since been repealed, but its repeal does not affect:</w:t>
      </w:r>
    </w:p>
    <w:p w14:paraId="476C92B9" w14:textId="77777777" w:rsidR="00484FB8" w:rsidRPr="00FD274F" w:rsidRDefault="00484FB8" w:rsidP="00484FB8">
      <w:pPr>
        <w:pStyle w:val="BodyPara"/>
      </w:pPr>
      <w:r w:rsidRPr="00FD274F">
        <w:t xml:space="preserve">the operation of a handful of older legislative instruments lodged later and registered under </w:t>
      </w:r>
      <w:r w:rsidR="00BF60F7" w:rsidRPr="00FD274F">
        <w:t>sub</w:t>
      </w:r>
      <w:r w:rsidRPr="00FD274F">
        <w:t>secti</w:t>
      </w:r>
      <w:r w:rsidRPr="00F409B4">
        <w:t>on</w:t>
      </w:r>
      <w:r w:rsidR="00BF60F7" w:rsidRPr="00F409B4">
        <w:t>s</w:t>
      </w:r>
      <w:r w:rsidRPr="00F409B4">
        <w:t xml:space="preserve"> 32(3) and 32(4)</w:t>
      </w:r>
      <w:r w:rsidR="00BF60F7" w:rsidRPr="00F409B4">
        <w:t xml:space="preserve"> of the LIA</w:t>
      </w:r>
      <w:r w:rsidR="00F1401E" w:rsidRPr="00F409B4">
        <w:t>;</w:t>
      </w:r>
      <w:r w:rsidR="00F1401E">
        <w:t xml:space="preserve"> and</w:t>
      </w:r>
    </w:p>
    <w:p w14:paraId="2B45AFC8" w14:textId="77777777" w:rsidR="00484FB8" w:rsidRPr="00FD274F" w:rsidRDefault="00484FB8" w:rsidP="00484FB8">
      <w:pPr>
        <w:pStyle w:val="BodyPara"/>
      </w:pPr>
      <w:r w:rsidRPr="00FD274F">
        <w:t>the repeal of all other legislative instruments not lodged as required.</w:t>
      </w:r>
    </w:p>
    <w:p w14:paraId="2B7546B4" w14:textId="77777777" w:rsidR="00727ED5" w:rsidRPr="00FD274F" w:rsidRDefault="00727ED5" w:rsidP="004855B6">
      <w:pPr>
        <w:pStyle w:val="Head3"/>
      </w:pPr>
      <w:bookmarkStart w:id="31" w:name="_Toc112918756"/>
      <w:r w:rsidRPr="00FD274F">
        <w:t>What is th</w:t>
      </w:r>
      <w:r w:rsidR="003B0691" w:rsidRPr="00FD274F">
        <w:t>e Federal Register of Legislation</w:t>
      </w:r>
      <w:r w:rsidRPr="00FD274F">
        <w:t>?</w:t>
      </w:r>
      <w:bookmarkEnd w:id="31"/>
    </w:p>
    <w:p w14:paraId="4D261FF6" w14:textId="2D05F24F" w:rsidR="00727ED5" w:rsidRPr="00FD274F" w:rsidRDefault="0059231B" w:rsidP="0008193D">
      <w:pPr>
        <w:pStyle w:val="BodyNum"/>
      </w:pPr>
      <w:r w:rsidRPr="00FD274F">
        <w:t>The Federal Register of Legislation is the authorised whole</w:t>
      </w:r>
      <w:r w:rsidR="009C4251">
        <w:noBreakHyphen/>
      </w:r>
      <w:r w:rsidRPr="00FD274F">
        <w:t>of</w:t>
      </w:r>
      <w:r w:rsidR="009C4251">
        <w:noBreakHyphen/>
      </w:r>
      <w:r w:rsidRPr="00FD274F">
        <w:t xml:space="preserve">government website for Commonwealth legislation and related documents. </w:t>
      </w:r>
      <w:r w:rsidR="00BF60F7" w:rsidRPr="00FD274F">
        <w:t>The Register</w:t>
      </w:r>
      <w:r w:rsidRPr="00FD274F">
        <w:t xml:space="preserve"> contains the full text of laws, as well as details of the lifecycle of individual laws and the relationships between them. It is managed by </w:t>
      </w:r>
      <w:proofErr w:type="spellStart"/>
      <w:r w:rsidR="00321640" w:rsidRPr="00FD274F">
        <w:t>OPC</w:t>
      </w:r>
      <w:proofErr w:type="spellEnd"/>
      <w:r w:rsidRPr="00FD274F">
        <w:t xml:space="preserve"> in accordance w</w:t>
      </w:r>
      <w:r w:rsidRPr="00C856F3">
        <w:t xml:space="preserve">ith section 15A of the </w:t>
      </w:r>
      <w:hyperlink r:id="rId122" w:history="1">
        <w:r w:rsidR="00727ED5" w:rsidRPr="00C856F3">
          <w:rPr>
            <w:rStyle w:val="Hyperlink"/>
          </w:rPr>
          <w:t>LA</w:t>
        </w:r>
      </w:hyperlink>
      <w:r w:rsidR="00321640" w:rsidRPr="00C856F3">
        <w:rPr>
          <w:rStyle w:val="Hyperlink"/>
        </w:rPr>
        <w:t>,</w:t>
      </w:r>
      <w:r w:rsidRPr="00C856F3">
        <w:rPr>
          <w:rStyle w:val="Hyperlink"/>
        </w:rPr>
        <w:t xml:space="preserve"> </w:t>
      </w:r>
      <w:r w:rsidRPr="00C856F3">
        <w:t>a</w:t>
      </w:r>
      <w:r w:rsidRPr="00FD274F">
        <w:t xml:space="preserve">nd </w:t>
      </w:r>
      <w:r w:rsidR="00321640" w:rsidRPr="00FD274F">
        <w:t xml:space="preserve">it </w:t>
      </w:r>
      <w:r w:rsidR="00E6705D" w:rsidRPr="00FD274F">
        <w:t>includes</w:t>
      </w:r>
      <w:r w:rsidR="00727ED5" w:rsidRPr="00FD274F">
        <w:t>:</w:t>
      </w:r>
    </w:p>
    <w:p w14:paraId="4AA4FF87" w14:textId="77777777" w:rsidR="00E6705D" w:rsidRDefault="00E6705D" w:rsidP="0008193D">
      <w:pPr>
        <w:pStyle w:val="BodyPara"/>
      </w:pPr>
      <w:r w:rsidRPr="00FD274F">
        <w:t>all Acts</w:t>
      </w:r>
      <w:r w:rsidR="00B429A4" w:rsidRPr="00FD274F">
        <w:t xml:space="preserve"> as</w:t>
      </w:r>
      <w:r w:rsidRPr="00FD274F">
        <w:t xml:space="preserve"> made since 1901;</w:t>
      </w:r>
      <w:r w:rsidR="00BF60F7" w:rsidRPr="00FD274F">
        <w:t xml:space="preserve"> and</w:t>
      </w:r>
    </w:p>
    <w:p w14:paraId="36EBABBF" w14:textId="77777777" w:rsidR="00FF030C" w:rsidRDefault="00FF030C" w:rsidP="0008193D">
      <w:pPr>
        <w:pStyle w:val="BodyPara"/>
      </w:pPr>
      <w:r>
        <w:t>all St</w:t>
      </w:r>
      <w:r w:rsidR="003800DF">
        <w:t>atutory Rules as made from 1904 to 2004</w:t>
      </w:r>
      <w:r w:rsidR="00942F8D">
        <w:t>; and</w:t>
      </w:r>
    </w:p>
    <w:p w14:paraId="0A287FBA" w14:textId="77777777" w:rsidR="00B429A4" w:rsidRPr="00FD274F" w:rsidRDefault="00727ED5" w:rsidP="0008193D">
      <w:pPr>
        <w:pStyle w:val="BodyPara"/>
      </w:pPr>
      <w:r w:rsidRPr="00FD274F">
        <w:t>all legislative instruments</w:t>
      </w:r>
      <w:r w:rsidR="00B429A4" w:rsidRPr="00FD274F">
        <w:t xml:space="preserve"> made on or </w:t>
      </w:r>
      <w:r w:rsidR="00DC7765" w:rsidRPr="00FD274F">
        <w:t xml:space="preserve">from </w:t>
      </w:r>
      <w:r w:rsidR="00B429A4" w:rsidRPr="00FD274F">
        <w:t>1 January 2005, including all older instruments in force on 1 January 200</w:t>
      </w:r>
      <w:r w:rsidR="00C30D99">
        <w:t>5</w:t>
      </w:r>
      <w:r w:rsidR="00DC7765" w:rsidRPr="00FD274F">
        <w:t>, and associated explanatory statements</w:t>
      </w:r>
      <w:r w:rsidR="00B429A4" w:rsidRPr="00FD274F">
        <w:t>;</w:t>
      </w:r>
      <w:r w:rsidR="00BF60F7" w:rsidRPr="00FD274F">
        <w:t xml:space="preserve"> and</w:t>
      </w:r>
    </w:p>
    <w:p w14:paraId="4EB8C508" w14:textId="77777777" w:rsidR="00B429A4" w:rsidRPr="00FD274F" w:rsidRDefault="00B429A4" w:rsidP="00B429A4">
      <w:pPr>
        <w:pStyle w:val="BodyPara"/>
      </w:pPr>
      <w:r w:rsidRPr="00FD274F">
        <w:t xml:space="preserve">all notifiable instruments as made from 5 March 2016; </w:t>
      </w:r>
      <w:r w:rsidR="00BF60F7" w:rsidRPr="00FD274F">
        <w:t>and</w:t>
      </w:r>
    </w:p>
    <w:p w14:paraId="216BA22B" w14:textId="77777777" w:rsidR="00727ED5" w:rsidRPr="00FD274F" w:rsidRDefault="00727ED5" w:rsidP="0008193D">
      <w:pPr>
        <w:pStyle w:val="BodyPara"/>
      </w:pPr>
      <w:r w:rsidRPr="00FD274F">
        <w:lastRenderedPageBreak/>
        <w:t xml:space="preserve">compilations showing the text of </w:t>
      </w:r>
      <w:r w:rsidR="00E6705D" w:rsidRPr="00FD274F">
        <w:t xml:space="preserve">Acts and </w:t>
      </w:r>
      <w:r w:rsidR="00942F8D">
        <w:t>instruments as amended; and</w:t>
      </w:r>
    </w:p>
    <w:p w14:paraId="3939126E" w14:textId="77777777" w:rsidR="00727ED5" w:rsidRPr="00FD274F" w:rsidRDefault="00DC7765" w:rsidP="0008193D">
      <w:pPr>
        <w:pStyle w:val="BodyPara"/>
      </w:pPr>
      <w:r w:rsidRPr="00FD274F">
        <w:t xml:space="preserve">related documents </w:t>
      </w:r>
      <w:r w:rsidR="00902D6C" w:rsidRPr="00FD274F">
        <w:t xml:space="preserve">such as </w:t>
      </w:r>
      <w:r w:rsidRPr="00FD274F">
        <w:t xml:space="preserve">Gazette notices, </w:t>
      </w:r>
      <w:r w:rsidR="00902D6C" w:rsidRPr="00FD274F">
        <w:t>Bills</w:t>
      </w:r>
      <w:r w:rsidRPr="00FD274F">
        <w:t xml:space="preserve"> and explanatory memorandums</w:t>
      </w:r>
      <w:r w:rsidR="00321640" w:rsidRPr="00FD274F">
        <w:t>.</w:t>
      </w:r>
    </w:p>
    <w:p w14:paraId="5D84D263" w14:textId="582D8555" w:rsidR="00727ED5" w:rsidRPr="00FD274F" w:rsidRDefault="0059231B" w:rsidP="00F434C0">
      <w:pPr>
        <w:pStyle w:val="BodyNum"/>
      </w:pPr>
      <w:r w:rsidRPr="00FD274F">
        <w:t>The authoris</w:t>
      </w:r>
      <w:r w:rsidR="002B08B6" w:rsidRPr="00FD274F">
        <w:t>e</w:t>
      </w:r>
      <w:r w:rsidRPr="00FD274F">
        <w:t xml:space="preserve">d version of a document that has been registered is always in a </w:t>
      </w:r>
      <w:r w:rsidR="001E5C10" w:rsidRPr="00FD274F">
        <w:t>PDF</w:t>
      </w:r>
      <w:r w:rsidRPr="00FD274F">
        <w:t xml:space="preserve"> format and is always stamped with the document’s unique identifier and a prescribed form of words such as “Authorised version” or “Authoritative” </w:t>
      </w:r>
      <w:r w:rsidRPr="00F409B4">
        <w:t xml:space="preserve">(for a complete list, see </w:t>
      </w:r>
      <w:hyperlink r:id="rId123" w:history="1">
        <w:r w:rsidRPr="00F409B4">
          <w:rPr>
            <w:rStyle w:val="Hyperlink"/>
          </w:rPr>
          <w:t>Rule</w:t>
        </w:r>
      </w:hyperlink>
      <w:r w:rsidR="00B95D16" w:rsidRPr="00F409B4">
        <w:t xml:space="preserve"> s 14</w:t>
      </w:r>
      <w:r w:rsidRPr="00F409B4">
        <w:t>).</w:t>
      </w:r>
      <w:r w:rsidRPr="00FD274F">
        <w:t xml:space="preserve"> </w:t>
      </w:r>
    </w:p>
    <w:p w14:paraId="4B88044B" w14:textId="14795001" w:rsidR="00727ED5" w:rsidRPr="00FD274F" w:rsidRDefault="00727ED5" w:rsidP="0008193D">
      <w:pPr>
        <w:pStyle w:val="BodyNum"/>
      </w:pPr>
      <w:r w:rsidRPr="00FD274F">
        <w:t xml:space="preserve">For information on how and when to lodge </w:t>
      </w:r>
      <w:r w:rsidR="007D63BE" w:rsidRPr="00FD274F">
        <w:t>instruments and related documents f</w:t>
      </w:r>
      <w:r w:rsidRPr="00FD274F">
        <w:t xml:space="preserve">or registration, see </w:t>
      </w:r>
      <w:hyperlink w:anchor="Chapter4" w:history="1">
        <w:r w:rsidRPr="00041A27">
          <w:rPr>
            <w:rStyle w:val="Hyperlink"/>
          </w:rPr>
          <w:t>Chapter 4</w:t>
        </w:r>
      </w:hyperlink>
      <w:r w:rsidRPr="00FD274F">
        <w:t xml:space="preserve">. For information on how and when to lodge compilations, see </w:t>
      </w:r>
      <w:hyperlink w:anchor="Chapter5" w:history="1">
        <w:r w:rsidRPr="00041A27">
          <w:rPr>
            <w:rStyle w:val="Hyperlink"/>
          </w:rPr>
          <w:t xml:space="preserve">Chapter </w:t>
        </w:r>
        <w:r w:rsidR="007D63BE" w:rsidRPr="00041A27">
          <w:rPr>
            <w:rStyle w:val="Hyperlink"/>
          </w:rPr>
          <w:t>5</w:t>
        </w:r>
      </w:hyperlink>
      <w:r w:rsidRPr="00041A27">
        <w:t>.</w:t>
      </w:r>
    </w:p>
    <w:p w14:paraId="3C199367" w14:textId="77777777" w:rsidR="00727ED5" w:rsidRPr="00FD274F" w:rsidRDefault="00727ED5" w:rsidP="004855B6">
      <w:pPr>
        <w:pStyle w:val="Head2"/>
        <w:rPr>
          <w:rFonts w:cs="Arial"/>
          <w:sz w:val="32"/>
        </w:rPr>
      </w:pPr>
      <w:r w:rsidRPr="00FD274F">
        <w:br w:type="page"/>
      </w:r>
      <w:bookmarkStart w:id="32" w:name="_Toc112918757"/>
      <w:bookmarkStart w:id="33" w:name="Chapter3"/>
      <w:r w:rsidR="00F434C0" w:rsidRPr="00FD274F">
        <w:rPr>
          <w:rFonts w:cs="Arial"/>
          <w:sz w:val="32"/>
        </w:rPr>
        <w:lastRenderedPageBreak/>
        <w:t>Chapter 3—</w:t>
      </w:r>
      <w:r w:rsidRPr="00FD274F">
        <w:rPr>
          <w:rFonts w:cs="Arial"/>
          <w:sz w:val="32"/>
        </w:rPr>
        <w:t>Drafting and interpretation of instruments</w:t>
      </w:r>
      <w:bookmarkEnd w:id="32"/>
    </w:p>
    <w:bookmarkEnd w:id="33"/>
    <w:p w14:paraId="3C38AE4F" w14:textId="77777777" w:rsidR="0037654B" w:rsidRPr="00FD274F" w:rsidRDefault="0037654B" w:rsidP="0037654B">
      <w:pPr>
        <w:pStyle w:val="SundryBoxHeadBold"/>
      </w:pPr>
      <w:r w:rsidRPr="00FD274F">
        <w:t>Main points</w:t>
      </w:r>
    </w:p>
    <w:p w14:paraId="6583E902" w14:textId="77777777" w:rsidR="0037654B" w:rsidRPr="00FD274F" w:rsidRDefault="0037654B" w:rsidP="0037654B">
      <w:pPr>
        <w:pStyle w:val="SundryBoxBullet"/>
      </w:pPr>
      <w:r w:rsidRPr="00FD274F">
        <w:t>•</w:t>
      </w:r>
      <w:r w:rsidRPr="00FD274F">
        <w:tab/>
      </w:r>
      <w:proofErr w:type="spellStart"/>
      <w:r w:rsidRPr="00FD274F">
        <w:t>OPC</w:t>
      </w:r>
      <w:proofErr w:type="spellEnd"/>
      <w:r w:rsidRPr="00FD274F">
        <w:t xml:space="preserve"> is required to draft certain instruments, is available to assist with other drafting matters, and publishes detailed guidance on a range of drafting issues.</w:t>
      </w:r>
    </w:p>
    <w:p w14:paraId="108EE98A" w14:textId="622E66E9" w:rsidR="0037654B" w:rsidRPr="00FD274F" w:rsidRDefault="0037654B" w:rsidP="0037654B">
      <w:pPr>
        <w:pStyle w:val="SundryBoxBullet"/>
      </w:pPr>
      <w:r w:rsidRPr="00FD274F">
        <w:t>•</w:t>
      </w:r>
      <w:r w:rsidRPr="00FD274F">
        <w:tab/>
        <w:t>In reading or drafting a legislative instrument, it is important to have regard to any special provisions in the enabling legislation that may apply in addition to, or instead of, the default rules provided b</w:t>
      </w:r>
      <w:r w:rsidRPr="00C856F3">
        <w:t xml:space="preserve">y the </w:t>
      </w:r>
      <w:hyperlink r:id="rId124" w:history="1">
        <w:r w:rsidR="00F66686" w:rsidRPr="00C856F3">
          <w:rPr>
            <w:rStyle w:val="Hyperlink"/>
          </w:rPr>
          <w:t>LA</w:t>
        </w:r>
      </w:hyperlink>
      <w:r w:rsidRPr="00C856F3">
        <w:rPr>
          <w:rStyle w:val="Hyperlink"/>
        </w:rPr>
        <w:t xml:space="preserve"> </w:t>
      </w:r>
      <w:r w:rsidRPr="00C856F3">
        <w:t>o</w:t>
      </w:r>
      <w:r w:rsidRPr="00FD274F">
        <w:t>n issues such as commencement, incorporation of documents by reference, and use of gender</w:t>
      </w:r>
      <w:r w:rsidR="009C4251">
        <w:noBreakHyphen/>
      </w:r>
      <w:r w:rsidRPr="00FD274F">
        <w:t>specific language.</w:t>
      </w:r>
    </w:p>
    <w:p w14:paraId="55A2179E" w14:textId="14F5EBA0" w:rsidR="0037654B" w:rsidRPr="00FD274F" w:rsidRDefault="0037654B" w:rsidP="0037654B">
      <w:pPr>
        <w:pStyle w:val="SundryBoxBullet"/>
      </w:pPr>
      <w:r w:rsidRPr="00FD274F">
        <w:t>•</w:t>
      </w:r>
      <w:r w:rsidRPr="00FD274F">
        <w:tab/>
        <w:t xml:space="preserve">Lack of attention to the default </w:t>
      </w:r>
      <w:hyperlink r:id="rId125" w:history="1">
        <w:r w:rsidR="00E31530" w:rsidRPr="00C856F3">
          <w:rPr>
            <w:rStyle w:val="Hyperlink"/>
          </w:rPr>
          <w:t>LA</w:t>
        </w:r>
      </w:hyperlink>
      <w:r w:rsidRPr="00FD274F">
        <w:rPr>
          <w:rStyle w:val="Hyperlink"/>
        </w:rPr>
        <w:t xml:space="preserve"> </w:t>
      </w:r>
      <w:r w:rsidRPr="00FD274F">
        <w:t>rules can have significant legal and other consequences.</w:t>
      </w:r>
    </w:p>
    <w:p w14:paraId="4670E2FD" w14:textId="77777777" w:rsidR="0037654B" w:rsidRPr="00FD274F" w:rsidRDefault="0037654B" w:rsidP="0037654B">
      <w:pPr>
        <w:pStyle w:val="SundryBoxBullet"/>
      </w:pPr>
      <w:r w:rsidRPr="00FD274F">
        <w:t>•</w:t>
      </w:r>
      <w:r w:rsidRPr="00FD274F">
        <w:tab/>
        <w:t>Attention to formatting issues is also important to ensure that registered documents meet government accessibility requirements and read as intended.</w:t>
      </w:r>
    </w:p>
    <w:p w14:paraId="73C0CE89" w14:textId="77777777" w:rsidR="0037654B" w:rsidRPr="00FD274F" w:rsidRDefault="0037654B" w:rsidP="0037654B">
      <w:pPr>
        <w:pStyle w:val="Head3"/>
      </w:pPr>
      <w:bookmarkStart w:id="34" w:name="_Toc112918758"/>
      <w:r w:rsidRPr="00FD274F">
        <w:t>Drafting of legislative instruments</w:t>
      </w:r>
      <w:bookmarkEnd w:id="34"/>
    </w:p>
    <w:p w14:paraId="46C05AAD" w14:textId="292EE9F0" w:rsidR="0037654B" w:rsidRPr="00FD274F" w:rsidRDefault="0037654B" w:rsidP="0037654B">
      <w:pPr>
        <w:pStyle w:val="BodyNum"/>
      </w:pPr>
      <w:bookmarkStart w:id="35" w:name="_Ref386114686"/>
      <w:r w:rsidRPr="00FD274F">
        <w:t>Under the</w:t>
      </w:r>
      <w:r w:rsidR="00025A58">
        <w:t xml:space="preserve"> </w:t>
      </w:r>
      <w:hyperlink r:id="rId126" w:history="1">
        <w:r w:rsidR="00025A58" w:rsidRPr="00C97A6C">
          <w:rPr>
            <w:rStyle w:val="Hyperlink"/>
            <w:i/>
          </w:rPr>
          <w:t>Legal Services Directions 2017</w:t>
        </w:r>
      </w:hyperlink>
      <w:r w:rsidRPr="00C97A6C">
        <w:t>, c</w:t>
      </w:r>
      <w:r w:rsidRPr="00FD274F">
        <w:t xml:space="preserve">ertain drafting work is tied to </w:t>
      </w:r>
      <w:proofErr w:type="spellStart"/>
      <w:r w:rsidRPr="00FD274F">
        <w:t>OPC</w:t>
      </w:r>
      <w:proofErr w:type="spellEnd"/>
      <w:r w:rsidRPr="00FD274F">
        <w:t xml:space="preserve">. Agencies must use </w:t>
      </w:r>
      <w:proofErr w:type="spellStart"/>
      <w:r w:rsidRPr="00FD274F">
        <w:t>OPC’s</w:t>
      </w:r>
      <w:proofErr w:type="spellEnd"/>
      <w:r w:rsidRPr="00FD274F">
        <w:t xml:space="preserve"> drafting services to prepare new or amending regulations, Ordinances and regulations of </w:t>
      </w:r>
      <w:r w:rsidR="006B25C6" w:rsidRPr="00FD274F">
        <w:t xml:space="preserve">certain </w:t>
      </w:r>
      <w:r w:rsidRPr="00FD274F">
        <w:t>Territories</w:t>
      </w:r>
      <w:r w:rsidR="00F068FE" w:rsidRPr="00FD274F">
        <w:t xml:space="preserve">, </w:t>
      </w:r>
      <w:r w:rsidRPr="00FD274F">
        <w:t>and any other legislative instruments made or approved by the Governor</w:t>
      </w:r>
      <w:r w:rsidR="009C4251">
        <w:noBreakHyphen/>
      </w:r>
      <w:r w:rsidRPr="00FD274F">
        <w:t>General.</w:t>
      </w:r>
      <w:bookmarkEnd w:id="35"/>
    </w:p>
    <w:p w14:paraId="5C6370E5" w14:textId="25E4904D" w:rsidR="0037654B" w:rsidRPr="00FD274F" w:rsidRDefault="0037654B" w:rsidP="0037654B">
      <w:pPr>
        <w:pStyle w:val="BodyNum"/>
        <w:rPr>
          <w:spacing w:val="-2"/>
        </w:rPr>
      </w:pPr>
      <w:r w:rsidRPr="00FD274F">
        <w:rPr>
          <w:spacing w:val="-2"/>
        </w:rPr>
        <w:t xml:space="preserve">To better target </w:t>
      </w:r>
      <w:proofErr w:type="spellStart"/>
      <w:r w:rsidRPr="00FD274F">
        <w:rPr>
          <w:spacing w:val="-2"/>
        </w:rPr>
        <w:t>OPC’s</w:t>
      </w:r>
      <w:proofErr w:type="spellEnd"/>
      <w:r w:rsidRPr="00FD274F">
        <w:rPr>
          <w:spacing w:val="-2"/>
        </w:rPr>
        <w:t xml:space="preserve"> drafting services to government needs, </w:t>
      </w:r>
      <w:proofErr w:type="spellStart"/>
      <w:r w:rsidRPr="00FD274F">
        <w:rPr>
          <w:spacing w:val="-2"/>
        </w:rPr>
        <w:t>OPC</w:t>
      </w:r>
      <w:proofErr w:type="spellEnd"/>
      <w:r w:rsidRPr="00FD274F">
        <w:rPr>
          <w:spacing w:val="-2"/>
        </w:rPr>
        <w:t xml:space="preserve"> has a prioritisation system for legislative instruments made or approved by the Governor</w:t>
      </w:r>
      <w:r w:rsidR="009C4251">
        <w:rPr>
          <w:spacing w:val="-2"/>
        </w:rPr>
        <w:noBreakHyphen/>
      </w:r>
      <w:r w:rsidRPr="00FD274F">
        <w:rPr>
          <w:spacing w:val="-2"/>
        </w:rPr>
        <w:t>General (</w:t>
      </w:r>
      <w:proofErr w:type="spellStart"/>
      <w:r w:rsidRPr="00FD274F">
        <w:rPr>
          <w:spacing w:val="-2"/>
        </w:rPr>
        <w:t>ExCo</w:t>
      </w:r>
      <w:proofErr w:type="spellEnd"/>
      <w:r w:rsidRPr="00FD274F">
        <w:rPr>
          <w:spacing w:val="-2"/>
        </w:rPr>
        <w:t xml:space="preserve"> instruments). General policy approval from the Minister (or the Cabinet) for </w:t>
      </w:r>
      <w:proofErr w:type="spellStart"/>
      <w:r w:rsidRPr="00FD274F">
        <w:rPr>
          <w:spacing w:val="-2"/>
        </w:rPr>
        <w:t>ExCo</w:t>
      </w:r>
      <w:proofErr w:type="spellEnd"/>
      <w:r w:rsidRPr="00FD274F">
        <w:rPr>
          <w:spacing w:val="-2"/>
        </w:rPr>
        <w:t xml:space="preserve"> instruments is also required to be in place at the time drafting instructions are issued to </w:t>
      </w:r>
      <w:proofErr w:type="spellStart"/>
      <w:r w:rsidRPr="00FD274F">
        <w:rPr>
          <w:spacing w:val="-2"/>
        </w:rPr>
        <w:t>OPC</w:t>
      </w:r>
      <w:proofErr w:type="spellEnd"/>
      <w:r w:rsidRPr="00FD274F">
        <w:rPr>
          <w:spacing w:val="-2"/>
        </w:rPr>
        <w:t xml:space="preserve"> unless other arrangements have bee</w:t>
      </w:r>
      <w:r w:rsidRPr="00C97A6C">
        <w:rPr>
          <w:spacing w:val="-2"/>
        </w:rPr>
        <w:t xml:space="preserve">n made with </w:t>
      </w:r>
      <w:proofErr w:type="spellStart"/>
      <w:r w:rsidRPr="00C97A6C">
        <w:rPr>
          <w:spacing w:val="-2"/>
        </w:rPr>
        <w:t>OPC</w:t>
      </w:r>
      <w:proofErr w:type="spellEnd"/>
      <w:r w:rsidRPr="00C97A6C">
        <w:rPr>
          <w:spacing w:val="-2"/>
        </w:rPr>
        <w:t xml:space="preserve">. More information is available on the </w:t>
      </w:r>
      <w:proofErr w:type="spellStart"/>
      <w:r w:rsidRPr="00C97A6C">
        <w:rPr>
          <w:spacing w:val="-2"/>
        </w:rPr>
        <w:t>OPC</w:t>
      </w:r>
      <w:proofErr w:type="spellEnd"/>
      <w:r w:rsidRPr="00C97A6C">
        <w:rPr>
          <w:spacing w:val="-2"/>
        </w:rPr>
        <w:t xml:space="preserve"> website</w:t>
      </w:r>
      <w:r w:rsidRPr="00C97A6C">
        <w:rPr>
          <w:rStyle w:val="FootnoteReference"/>
          <w:spacing w:val="-2"/>
        </w:rPr>
        <w:footnoteReference w:id="5"/>
      </w:r>
      <w:r w:rsidRPr="00C97A6C">
        <w:rPr>
          <w:spacing w:val="-2"/>
        </w:rPr>
        <w:t xml:space="preserve"> or by contacting </w:t>
      </w:r>
      <w:hyperlink r:id="rId127" w:history="1">
        <w:proofErr w:type="spellStart"/>
        <w:r w:rsidRPr="00E12592">
          <w:rPr>
            <w:rStyle w:val="Hyperlink"/>
            <w:spacing w:val="-2"/>
          </w:rPr>
          <w:t>OPC</w:t>
        </w:r>
        <w:r w:rsidR="001E2A69" w:rsidRPr="00E12592">
          <w:rPr>
            <w:rStyle w:val="Hyperlink"/>
            <w:spacing w:val="-2"/>
          </w:rPr>
          <w:t>’s</w:t>
        </w:r>
        <w:proofErr w:type="spellEnd"/>
        <w:r w:rsidRPr="00E12592">
          <w:rPr>
            <w:rStyle w:val="Hyperlink"/>
            <w:spacing w:val="-2"/>
          </w:rPr>
          <w:t xml:space="preserve"> instrument client adviser</w:t>
        </w:r>
        <w:r w:rsidR="001E2A69" w:rsidRPr="00E12592">
          <w:rPr>
            <w:rStyle w:val="Hyperlink"/>
            <w:spacing w:val="-2"/>
          </w:rPr>
          <w:t>s</w:t>
        </w:r>
      </w:hyperlink>
      <w:r w:rsidRPr="00C97A6C">
        <w:rPr>
          <w:spacing w:val="-2"/>
        </w:rPr>
        <w:t>.</w:t>
      </w:r>
    </w:p>
    <w:p w14:paraId="6DEED70F" w14:textId="77777777" w:rsidR="0037654B" w:rsidRPr="00FD274F" w:rsidRDefault="0037654B" w:rsidP="0037654B">
      <w:pPr>
        <w:pStyle w:val="BodyNum"/>
      </w:pPr>
      <w:r w:rsidRPr="00FD274F">
        <w:t xml:space="preserve">Agencies that are developing legislative proposals for instruments required to be drafted by </w:t>
      </w:r>
      <w:proofErr w:type="spellStart"/>
      <w:r w:rsidRPr="00FD274F">
        <w:t>OPC</w:t>
      </w:r>
      <w:proofErr w:type="spellEnd"/>
      <w:r w:rsidRPr="00FD274F">
        <w:t xml:space="preserve"> but that lack the in</w:t>
      </w:r>
      <w:r w:rsidR="009C4251">
        <w:noBreakHyphen/>
      </w:r>
      <w:r w:rsidRPr="00FD274F">
        <w:t xml:space="preserve">house expertise to answer key legal questions can also get quick, informal advice on drafting aspects of legislation proposals from </w:t>
      </w:r>
      <w:proofErr w:type="spellStart"/>
      <w:r w:rsidRPr="00FD274F">
        <w:t>OPC</w:t>
      </w:r>
      <w:r w:rsidR="001E2A69">
        <w:t>’s</w:t>
      </w:r>
      <w:proofErr w:type="spellEnd"/>
      <w:r w:rsidRPr="00FD274F">
        <w:t xml:space="preserve"> instrument client adviser</w:t>
      </w:r>
      <w:r w:rsidR="001E2A69">
        <w:t>s</w:t>
      </w:r>
      <w:r w:rsidRPr="00FD274F">
        <w:t>.</w:t>
      </w:r>
    </w:p>
    <w:p w14:paraId="7EBD3A6E" w14:textId="0798D404" w:rsidR="0037654B" w:rsidRPr="00FD274F" w:rsidRDefault="0037654B" w:rsidP="0037654B">
      <w:pPr>
        <w:pStyle w:val="BodyNum"/>
        <w:rPr>
          <w:rStyle w:val="Hyperlink"/>
          <w:color w:val="auto"/>
        </w:rPr>
      </w:pPr>
      <w:proofErr w:type="spellStart"/>
      <w:r w:rsidRPr="00FD274F">
        <w:t>OPC</w:t>
      </w:r>
      <w:proofErr w:type="spellEnd"/>
      <w:r w:rsidRPr="00FD274F">
        <w:t xml:space="preserve"> is available to draft other instruments on a fee</w:t>
      </w:r>
      <w:r w:rsidR="009C4251">
        <w:noBreakHyphen/>
      </w:r>
      <w:r w:rsidRPr="00FD274F">
        <w:t>for</w:t>
      </w:r>
      <w:r w:rsidR="009C4251">
        <w:noBreakHyphen/>
      </w:r>
      <w:r w:rsidRPr="00FD274F">
        <w:t xml:space="preserve">service basis. </w:t>
      </w:r>
      <w:proofErr w:type="spellStart"/>
      <w:r w:rsidRPr="00FD274F">
        <w:t>OPC</w:t>
      </w:r>
      <w:proofErr w:type="spellEnd"/>
      <w:r w:rsidRPr="00FD274F">
        <w:t xml:space="preserve"> can also provide a range of support services for </w:t>
      </w:r>
      <w:r w:rsidR="003339B3">
        <w:t>agencies drafting their own instruments</w:t>
      </w:r>
      <w:r w:rsidRPr="00FD274F">
        <w:t xml:space="preserve"> including editorial, document design and compilation services on this basis. More information about </w:t>
      </w:r>
      <w:proofErr w:type="spellStart"/>
      <w:r w:rsidRPr="00FD274F">
        <w:t>OPC</w:t>
      </w:r>
      <w:proofErr w:type="spellEnd"/>
      <w:r w:rsidRPr="00FD274F">
        <w:t xml:space="preserve"> instrument drafting and support services is available on the </w:t>
      </w:r>
      <w:proofErr w:type="spellStart"/>
      <w:r w:rsidRPr="00FD274F">
        <w:t>OPC</w:t>
      </w:r>
      <w:proofErr w:type="spellEnd"/>
      <w:r w:rsidRPr="00FD274F">
        <w:t xml:space="preserve"> website </w:t>
      </w:r>
      <w:hyperlink r:id="rId128" w:history="1">
        <w:r w:rsidR="00734AB2" w:rsidRPr="00E12592">
          <w:rPr>
            <w:rStyle w:val="Hyperlink"/>
          </w:rPr>
          <w:t>https://www.opc.gov.au/</w:t>
        </w:r>
      </w:hyperlink>
      <w:r w:rsidRPr="00E12592">
        <w:rPr>
          <w:rStyle w:val="Hyperlink"/>
        </w:rPr>
        <w:t>.</w:t>
      </w:r>
    </w:p>
    <w:p w14:paraId="3C778207" w14:textId="77777777" w:rsidR="0037654B" w:rsidRPr="00FD274F" w:rsidRDefault="0037654B" w:rsidP="000B64E3">
      <w:pPr>
        <w:pStyle w:val="BodyNum"/>
        <w:keepNext/>
      </w:pPr>
      <w:r w:rsidRPr="00FD274F">
        <w:lastRenderedPageBreak/>
        <w:t xml:space="preserve">If an instrument is not to be drafted by </w:t>
      </w:r>
      <w:proofErr w:type="spellStart"/>
      <w:r w:rsidRPr="00FD274F">
        <w:t>OPC</w:t>
      </w:r>
      <w:proofErr w:type="spellEnd"/>
      <w:r w:rsidRPr="00FD274F">
        <w:t>, the person drafting the instrument needs to be aware of the drafting and publishing standards set out in th</w:t>
      </w:r>
      <w:r w:rsidRPr="00DA1B94">
        <w:t>is Chapter</w:t>
      </w:r>
      <w:r w:rsidRPr="00FD274F">
        <w:t>. Compliance with these standards is important and will help ensure that new instruments are:</w:t>
      </w:r>
    </w:p>
    <w:p w14:paraId="4FC407F4" w14:textId="3A0CBD0B" w:rsidR="0037654B" w:rsidRPr="00FD274F" w:rsidRDefault="0037654B" w:rsidP="0037654B">
      <w:pPr>
        <w:pStyle w:val="BodyPara"/>
      </w:pPr>
      <w:r w:rsidRPr="00FD274F">
        <w:t xml:space="preserve">legally effective—there are a number of laws of general application to consider (see </w:t>
      </w:r>
      <w:r w:rsidRPr="00DA1B94">
        <w:t xml:space="preserve">paragraphs </w:t>
      </w:r>
      <w:r w:rsidRPr="007841D1">
        <w:fldChar w:fldCharType="begin"/>
      </w:r>
      <w:r w:rsidRPr="00DA1B94">
        <w:instrText xml:space="preserve"> REF _Ref367446103 \r \h </w:instrText>
      </w:r>
      <w:r w:rsidR="00F308D0" w:rsidRPr="00DA1B94">
        <w:instrText xml:space="preserve"> \* MERGEFORMAT </w:instrText>
      </w:r>
      <w:r w:rsidRPr="007841D1">
        <w:fldChar w:fldCharType="separate"/>
      </w:r>
      <w:r w:rsidR="003E1B43" w:rsidRPr="00DA1B94">
        <w:t>56</w:t>
      </w:r>
      <w:r w:rsidRPr="007841D1">
        <w:fldChar w:fldCharType="end"/>
      </w:r>
      <w:r w:rsidRPr="00DA1B94">
        <w:t xml:space="preserve"> to </w:t>
      </w:r>
      <w:r w:rsidR="006C574C">
        <w:rPr>
          <w:highlight w:val="yellow"/>
        </w:rPr>
        <w:fldChar w:fldCharType="begin"/>
      </w:r>
      <w:r w:rsidR="006C574C">
        <w:instrText xml:space="preserve"> REF _Ref384706703 \r \h </w:instrText>
      </w:r>
      <w:r w:rsidR="006C574C">
        <w:rPr>
          <w:highlight w:val="yellow"/>
        </w:rPr>
      </w:r>
      <w:r w:rsidR="006C574C">
        <w:rPr>
          <w:highlight w:val="yellow"/>
        </w:rPr>
        <w:fldChar w:fldCharType="separate"/>
      </w:r>
      <w:r w:rsidR="006C574C">
        <w:t>93</w:t>
      </w:r>
      <w:r w:rsidR="006C574C">
        <w:rPr>
          <w:highlight w:val="yellow"/>
        </w:rPr>
        <w:fldChar w:fldCharType="end"/>
      </w:r>
      <w:r w:rsidRPr="00DA1B94">
        <w:t>);</w:t>
      </w:r>
      <w:r w:rsidRPr="00FD274F">
        <w:t xml:space="preserve"> and</w:t>
      </w:r>
    </w:p>
    <w:p w14:paraId="2E720B6F" w14:textId="77777777" w:rsidR="0037654B" w:rsidRPr="00FD274F" w:rsidRDefault="00942F8D" w:rsidP="0037654B">
      <w:pPr>
        <w:pStyle w:val="BodyPara"/>
      </w:pPr>
      <w:r>
        <w:t>clear; and</w:t>
      </w:r>
    </w:p>
    <w:p w14:paraId="682D7B76" w14:textId="5A170E50" w:rsidR="0037654B" w:rsidRPr="00FD274F" w:rsidRDefault="0037654B" w:rsidP="0037654B">
      <w:pPr>
        <w:pStyle w:val="BodyPara"/>
      </w:pPr>
      <w:r w:rsidRPr="00FD274F">
        <w:t>intelligible to anticipated users, including people who may rely on assistive technolog</w:t>
      </w:r>
      <w:r w:rsidRPr="00DA1B94">
        <w:t xml:space="preserve">y (see paragraph </w:t>
      </w:r>
      <w:r w:rsidRPr="007841D1">
        <w:fldChar w:fldCharType="begin"/>
      </w:r>
      <w:r w:rsidRPr="00DA1B94">
        <w:instrText xml:space="preserve"> REF _Ref367446139 \r \h </w:instrText>
      </w:r>
      <w:r w:rsidR="00F308D0" w:rsidRPr="00DA1B94">
        <w:instrText xml:space="preserve"> \* MERGEFORMAT </w:instrText>
      </w:r>
      <w:r w:rsidRPr="007841D1">
        <w:fldChar w:fldCharType="separate"/>
      </w:r>
      <w:r w:rsidR="003E1B43" w:rsidRPr="00DA1B94">
        <w:t>112</w:t>
      </w:r>
      <w:r w:rsidRPr="007841D1">
        <w:fldChar w:fldCharType="end"/>
      </w:r>
      <w:r w:rsidRPr="00DA1B94">
        <w:t>).</w:t>
      </w:r>
    </w:p>
    <w:p w14:paraId="33E64B6A" w14:textId="77777777" w:rsidR="0037654B" w:rsidRPr="00FD274F" w:rsidRDefault="0037654B" w:rsidP="0037654B">
      <w:pPr>
        <w:pStyle w:val="Head3"/>
      </w:pPr>
      <w:bookmarkStart w:id="36" w:name="_Toc112918759"/>
      <w:r w:rsidRPr="00FD274F">
        <w:t>General principles for interpretation of instruments</w:t>
      </w:r>
      <w:bookmarkEnd w:id="36"/>
    </w:p>
    <w:p w14:paraId="24E7EA6A" w14:textId="0D0A477E" w:rsidR="0037654B" w:rsidRPr="00FD274F" w:rsidRDefault="0037654B" w:rsidP="0037654B">
      <w:pPr>
        <w:pStyle w:val="BodyNum"/>
      </w:pPr>
      <w:bookmarkStart w:id="37" w:name="_Ref367446103"/>
      <w:r w:rsidRPr="00FD274F">
        <w:t xml:space="preserve">Subject to a contrary intention in the enabling legislation, the </w:t>
      </w:r>
      <w:hyperlink r:id="rId129" w:history="1">
        <w:r w:rsidR="00F66686" w:rsidRPr="007841D1">
          <w:rPr>
            <w:rStyle w:val="Hyperlink"/>
          </w:rPr>
          <w:t>LA</w:t>
        </w:r>
      </w:hyperlink>
      <w:r w:rsidRPr="007841D1">
        <w:t>:</w:t>
      </w:r>
      <w:bookmarkEnd w:id="37"/>
    </w:p>
    <w:p w14:paraId="7018B43B" w14:textId="7B79239E" w:rsidR="0037654B" w:rsidRPr="00FD274F" w:rsidRDefault="0037654B" w:rsidP="0037654B">
      <w:pPr>
        <w:pStyle w:val="BodyPara"/>
      </w:pPr>
      <w:r w:rsidRPr="00FD274F">
        <w:t xml:space="preserve">applies the </w:t>
      </w:r>
      <w:hyperlink r:id="rId130" w:history="1">
        <w:hyperlink r:id="rId131" w:history="1">
          <w:r w:rsidRPr="00E12592">
            <w:rPr>
              <w:rStyle w:val="Hyperlink"/>
              <w:i/>
            </w:rPr>
            <w:t>Acts Interpretation Act 1901</w:t>
          </w:r>
        </w:hyperlink>
      </w:hyperlink>
      <w:r w:rsidRPr="00E12592">
        <w:t xml:space="preserve"> to</w:t>
      </w:r>
      <w:r w:rsidRPr="00FD274F">
        <w:t xml:space="preserve"> a legislative instrument as if it were an Act and each provision were a section of an Act </w:t>
      </w:r>
      <w:r w:rsidRPr="007841D1">
        <w:t>(</w:t>
      </w:r>
      <w:hyperlink r:id="rId132" w:history="1">
        <w:r w:rsidRPr="007841D1">
          <w:rPr>
            <w:rStyle w:val="Hyperlink"/>
          </w:rPr>
          <w:t>LA</w:t>
        </w:r>
      </w:hyperlink>
      <w:r w:rsidRPr="007841D1">
        <w:t xml:space="preserve"> s 13(1)(a));</w:t>
      </w:r>
      <w:r w:rsidRPr="00FD274F">
        <w:t xml:space="preserve"> and</w:t>
      </w:r>
    </w:p>
    <w:p w14:paraId="7EC71F76" w14:textId="71585503" w:rsidR="0037654B" w:rsidRPr="00FD274F" w:rsidRDefault="0037654B" w:rsidP="0037654B">
      <w:pPr>
        <w:pStyle w:val="BodyPara"/>
      </w:pPr>
      <w:r w:rsidRPr="00FD274F">
        <w:t xml:space="preserve">gives expressions used in a legislative instrument the same meaning as in the enabling legislation as in force from time to time </w:t>
      </w:r>
      <w:r w:rsidRPr="007841D1">
        <w:t>(</w:t>
      </w:r>
      <w:hyperlink r:id="rId133" w:history="1">
        <w:r w:rsidRPr="007841D1">
          <w:rPr>
            <w:rStyle w:val="Hyperlink"/>
          </w:rPr>
          <w:t>LA</w:t>
        </w:r>
      </w:hyperlink>
      <w:r w:rsidRPr="007841D1">
        <w:t xml:space="preserve"> s 13(1)(b));</w:t>
      </w:r>
      <w:r w:rsidRPr="00FD274F">
        <w:t xml:space="preserve"> and</w:t>
      </w:r>
    </w:p>
    <w:p w14:paraId="380EDE97" w14:textId="64C25497" w:rsidR="0037654B" w:rsidRPr="00FD274F" w:rsidRDefault="0037654B" w:rsidP="0037654B">
      <w:pPr>
        <w:pStyle w:val="BodyPara"/>
      </w:pPr>
      <w:r w:rsidRPr="00FD274F">
        <w:t>requires a legislative instrument to be read subject to the enabling legislation as in force from time to time, and so as not to exceed the rule</w:t>
      </w:r>
      <w:r w:rsidR="009C4251">
        <w:noBreakHyphen/>
      </w:r>
      <w:r w:rsidRPr="00FD274F">
        <w:t xml:space="preserve">maker’s power </w:t>
      </w:r>
      <w:r w:rsidRPr="007841D1">
        <w:t>(</w:t>
      </w:r>
      <w:hyperlink r:id="rId134" w:history="1">
        <w:r w:rsidRPr="007841D1">
          <w:rPr>
            <w:rStyle w:val="Hyperlink"/>
          </w:rPr>
          <w:t>LA</w:t>
        </w:r>
      </w:hyperlink>
      <w:r w:rsidRPr="007841D1">
        <w:t xml:space="preserve"> s 13(1)(c)); a</w:t>
      </w:r>
      <w:r w:rsidRPr="00FD274F">
        <w:t>nd</w:t>
      </w:r>
    </w:p>
    <w:p w14:paraId="2D7E0FE9" w14:textId="0E34127B" w:rsidR="0037654B" w:rsidRPr="00FD274F" w:rsidRDefault="0037654B" w:rsidP="0037654B">
      <w:pPr>
        <w:pStyle w:val="BodyPara"/>
        <w:rPr>
          <w:spacing w:val="-2"/>
        </w:rPr>
      </w:pPr>
      <w:r w:rsidRPr="00FD274F">
        <w:rPr>
          <w:spacing w:val="-2"/>
        </w:rPr>
        <w:t>provides that, if the legislative instrument exceeds the rule</w:t>
      </w:r>
      <w:r w:rsidR="009C4251">
        <w:rPr>
          <w:spacing w:val="-2"/>
        </w:rPr>
        <w:noBreakHyphen/>
      </w:r>
      <w:r w:rsidRPr="00FD274F">
        <w:rPr>
          <w:spacing w:val="-2"/>
        </w:rPr>
        <w:t>maker’s power, the instrument is taken to be valid to the extent that it is within pow</w:t>
      </w:r>
      <w:r w:rsidRPr="007841D1">
        <w:rPr>
          <w:spacing w:val="-2"/>
        </w:rPr>
        <w:t>er (</w:t>
      </w:r>
      <w:hyperlink r:id="rId135" w:history="1">
        <w:r w:rsidRPr="007841D1">
          <w:rPr>
            <w:rStyle w:val="Hyperlink"/>
            <w:spacing w:val="-2"/>
          </w:rPr>
          <w:t>LA</w:t>
        </w:r>
      </w:hyperlink>
      <w:r w:rsidRPr="007841D1">
        <w:rPr>
          <w:rStyle w:val="Hyperlink"/>
          <w:spacing w:val="-2"/>
        </w:rPr>
        <w:t> </w:t>
      </w:r>
      <w:r w:rsidRPr="007841D1">
        <w:rPr>
          <w:spacing w:val="-2"/>
        </w:rPr>
        <w:t>s 13(2))</w:t>
      </w:r>
      <w:r w:rsidRPr="00FD274F">
        <w:rPr>
          <w:spacing w:val="-2"/>
        </w:rPr>
        <w:t>.</w:t>
      </w:r>
    </w:p>
    <w:p w14:paraId="58353B4E" w14:textId="191C23C5" w:rsidR="0037654B" w:rsidRPr="00FD274F" w:rsidRDefault="0037654B" w:rsidP="0037654B">
      <w:pPr>
        <w:pStyle w:val="BodyNum"/>
      </w:pPr>
      <w:r w:rsidRPr="00FD274F">
        <w:t xml:space="preserve">The </w:t>
      </w:r>
      <w:hyperlink r:id="rId136" w:history="1">
        <w:r w:rsidR="00F66686" w:rsidRPr="007841D1">
          <w:rPr>
            <w:rStyle w:val="Hyperlink"/>
          </w:rPr>
          <w:t>LA</w:t>
        </w:r>
      </w:hyperlink>
      <w:r w:rsidRPr="007841D1">
        <w:rPr>
          <w:rStyle w:val="Hyperlink"/>
        </w:rPr>
        <w:t xml:space="preserve"> </w:t>
      </w:r>
      <w:r w:rsidRPr="007841D1">
        <w:t>als</w:t>
      </w:r>
      <w:r w:rsidRPr="00FD274F">
        <w:t>o provides that a rule</w:t>
      </w:r>
      <w:r w:rsidR="009C4251">
        <w:noBreakHyphen/>
      </w:r>
      <w:r w:rsidRPr="00FD274F">
        <w:t>maker, in exercising a power to make a legislative instrument in relation to a matter (including a thing, person or animal), may identify the matter by referring to a class or classes of matter</w:t>
      </w:r>
      <w:r w:rsidRPr="007841D1">
        <w:t>s (</w:t>
      </w:r>
      <w:hyperlink r:id="rId137" w:history="1">
        <w:r w:rsidRPr="007841D1">
          <w:rPr>
            <w:rStyle w:val="Hyperlink"/>
          </w:rPr>
          <w:t>LA</w:t>
        </w:r>
      </w:hyperlink>
      <w:r w:rsidRPr="007841D1">
        <w:t xml:space="preserve"> s 13(3)).</w:t>
      </w:r>
      <w:r w:rsidRPr="00FD274F">
        <w:t xml:space="preserve"> A rule</w:t>
      </w:r>
      <w:r w:rsidR="009C4251">
        <w:noBreakHyphen/>
      </w:r>
      <w:r w:rsidRPr="00FD274F">
        <w:t>maker may also:</w:t>
      </w:r>
    </w:p>
    <w:p w14:paraId="0D30FB20" w14:textId="6904009B" w:rsidR="0037654B" w:rsidRPr="00FD274F" w:rsidRDefault="0037654B" w:rsidP="0037654B">
      <w:pPr>
        <w:pStyle w:val="BodyPara"/>
      </w:pPr>
      <w:r w:rsidRPr="00FD274F">
        <w:t>specify when the instrument or a provision of the instrument commences (within the limits set out i</w:t>
      </w:r>
      <w:r w:rsidRPr="007841D1">
        <w:t xml:space="preserve">n </w:t>
      </w:r>
      <w:hyperlink r:id="rId138" w:history="1">
        <w:r w:rsidRPr="007841D1">
          <w:rPr>
            <w:rStyle w:val="Hyperlink"/>
          </w:rPr>
          <w:t>LA</w:t>
        </w:r>
      </w:hyperlink>
      <w:r w:rsidRPr="007841D1">
        <w:t xml:space="preserve"> s 12</w:t>
      </w:r>
      <w:r w:rsidRPr="00FD274F">
        <w:t>: s</w:t>
      </w:r>
      <w:r w:rsidRPr="00F719B9">
        <w:t xml:space="preserve">ee paragraph </w:t>
      </w:r>
      <w:r w:rsidRPr="007841D1">
        <w:fldChar w:fldCharType="begin"/>
      </w:r>
      <w:r w:rsidRPr="00F719B9">
        <w:instrText xml:space="preserve"> REF _Ref367446165 \r \h </w:instrText>
      </w:r>
      <w:r w:rsidR="00F308D0" w:rsidRPr="00F719B9">
        <w:instrText xml:space="preserve"> \* MERGEFORMAT </w:instrText>
      </w:r>
      <w:r w:rsidRPr="007841D1">
        <w:fldChar w:fldCharType="separate"/>
      </w:r>
      <w:r w:rsidR="003E1B43" w:rsidRPr="00F719B9">
        <w:t>69</w:t>
      </w:r>
      <w:r w:rsidRPr="007841D1">
        <w:fldChar w:fldCharType="end"/>
      </w:r>
      <w:r w:rsidRPr="00F719B9">
        <w:t>);</w:t>
      </w:r>
      <w:r w:rsidRPr="00FD274F">
        <w:t xml:space="preserve"> and</w:t>
      </w:r>
    </w:p>
    <w:p w14:paraId="2B1EC1A9" w14:textId="3A6D2E64" w:rsidR="0037654B" w:rsidRPr="00FD274F" w:rsidRDefault="0037654B" w:rsidP="0037654B">
      <w:pPr>
        <w:pStyle w:val="BodyPara"/>
      </w:pPr>
      <w:r w:rsidRPr="00FD274F">
        <w:t>prescribe matters by reference to another document (within the limits set out in</w:t>
      </w:r>
      <w:r w:rsidR="00F068FE" w:rsidRPr="00FD274F">
        <w:t xml:space="preserve"> </w:t>
      </w:r>
      <w:hyperlink r:id="rId139" w:history="1">
        <w:r w:rsidRPr="007841D1">
          <w:rPr>
            <w:rStyle w:val="Hyperlink"/>
          </w:rPr>
          <w:t>LA</w:t>
        </w:r>
      </w:hyperlink>
      <w:r w:rsidRPr="007841D1">
        <w:rPr>
          <w:rStyle w:val="Hyperlink"/>
        </w:rPr>
        <w:t xml:space="preserve"> </w:t>
      </w:r>
      <w:r w:rsidRPr="007841D1">
        <w:t>s 14:</w:t>
      </w:r>
      <w:r w:rsidRPr="00FD274F">
        <w:t xml:space="preserve"> see </w:t>
      </w:r>
      <w:r w:rsidRPr="00F719B9">
        <w:t xml:space="preserve">paragraph </w:t>
      </w:r>
      <w:r w:rsidRPr="007841D1">
        <w:fldChar w:fldCharType="begin"/>
      </w:r>
      <w:r w:rsidRPr="00F719B9">
        <w:instrText xml:space="preserve"> REF _Ref428882045 \r \h  \* MERGEFORMAT </w:instrText>
      </w:r>
      <w:r w:rsidRPr="007841D1">
        <w:fldChar w:fldCharType="separate"/>
      </w:r>
      <w:r w:rsidR="003E1B43" w:rsidRPr="00F719B9">
        <w:t>95</w:t>
      </w:r>
      <w:r w:rsidRPr="007841D1">
        <w:fldChar w:fldCharType="end"/>
      </w:r>
      <w:r w:rsidRPr="00F719B9">
        <w:t>).</w:t>
      </w:r>
    </w:p>
    <w:p w14:paraId="55F82B5D" w14:textId="77777777" w:rsidR="0037654B" w:rsidRPr="00FD274F" w:rsidRDefault="0037654B" w:rsidP="0037654B">
      <w:pPr>
        <w:pStyle w:val="Head3"/>
      </w:pPr>
      <w:bookmarkStart w:id="38" w:name="_Toc112918760"/>
      <w:r w:rsidRPr="00FD274F">
        <w:t>What should be included in an instrument</w:t>
      </w:r>
      <w:bookmarkEnd w:id="38"/>
    </w:p>
    <w:p w14:paraId="2CA466C1" w14:textId="77777777" w:rsidR="0037654B" w:rsidRPr="00FD274F" w:rsidRDefault="0037654B" w:rsidP="0037654B">
      <w:pPr>
        <w:pStyle w:val="BodyNum"/>
      </w:pPr>
      <w:r w:rsidRPr="00FD274F">
        <w:t>Appropriate Australian Government branding (e.g. the Commonwealth Coat of Arms or Australian Government logo) is important to ensure that an instrument is easily identifiable as an official document. The branding chosen should be consistent with relevant whole</w:t>
      </w:r>
      <w:r w:rsidR="009C4251">
        <w:noBreakHyphen/>
      </w:r>
      <w:r w:rsidRPr="00FD274F">
        <w:t>of</w:t>
      </w:r>
      <w:r w:rsidR="009C4251">
        <w:noBreakHyphen/>
      </w:r>
      <w:r w:rsidRPr="00FD274F">
        <w:t>government guidelin</w:t>
      </w:r>
      <w:r w:rsidRPr="00E12592">
        <w:t>es</w:t>
      </w:r>
      <w:r w:rsidRPr="00E12592">
        <w:rPr>
          <w:rStyle w:val="FootnoteReference"/>
        </w:rPr>
        <w:footnoteReference w:id="6"/>
      </w:r>
      <w:r w:rsidR="00942F8D" w:rsidRPr="00E12592">
        <w:t>.</w:t>
      </w:r>
    </w:p>
    <w:p w14:paraId="3A06B708" w14:textId="77777777" w:rsidR="0037654B" w:rsidRPr="00FD274F" w:rsidRDefault="0037654B" w:rsidP="0037654B">
      <w:pPr>
        <w:spacing w:line="240" w:lineRule="auto"/>
        <w:rPr>
          <w:rFonts w:ascii="Arial" w:eastAsia="Times New Roman" w:hAnsi="Arial" w:cs="Times New Roman"/>
          <w:b/>
          <w:kern w:val="28"/>
          <w:lang w:eastAsia="en-AU"/>
        </w:rPr>
      </w:pPr>
      <w:r w:rsidRPr="00FD274F">
        <w:br w:type="page"/>
      </w:r>
    </w:p>
    <w:p w14:paraId="2EA87B3C" w14:textId="77777777" w:rsidR="0037654B" w:rsidRPr="00FD274F" w:rsidRDefault="0037654B" w:rsidP="0037654B">
      <w:pPr>
        <w:pStyle w:val="Head4"/>
      </w:pPr>
      <w:bookmarkStart w:id="39" w:name="_Toc112918761"/>
      <w:r w:rsidRPr="00FD274F">
        <w:lastRenderedPageBreak/>
        <w:t>Recommended approach</w:t>
      </w:r>
      <w:bookmarkEnd w:id="39"/>
    </w:p>
    <w:p w14:paraId="108C71A9" w14:textId="77777777" w:rsidR="0037654B" w:rsidRPr="00134960" w:rsidRDefault="0037654B" w:rsidP="0037654B">
      <w:pPr>
        <w:pStyle w:val="BodyNum"/>
        <w:rPr>
          <w:spacing w:val="-4"/>
        </w:rPr>
      </w:pPr>
      <w:r w:rsidRPr="00FD274F">
        <w:rPr>
          <w:spacing w:val="-4"/>
        </w:rPr>
        <w:t xml:space="preserve">In addition to Australian Government branding, an instrument should include the following </w:t>
      </w:r>
      <w:r w:rsidRPr="00FD274F">
        <w:t xml:space="preserve">(see also </w:t>
      </w:r>
      <w:r w:rsidRPr="00134960">
        <w:t>Illustration 3A)</w:t>
      </w:r>
      <w:r w:rsidRPr="00134960">
        <w:rPr>
          <w:spacing w:val="-4"/>
        </w:rPr>
        <w:t>:</w:t>
      </w:r>
    </w:p>
    <w:p w14:paraId="76F11118" w14:textId="77777777" w:rsidR="0037654B" w:rsidRPr="00FD274F" w:rsidRDefault="0037654B" w:rsidP="0037654B">
      <w:pPr>
        <w:pStyle w:val="BodyPara"/>
      </w:pPr>
      <w:r w:rsidRPr="00FD274F">
        <w:t>the words making the instrument—these should reflect the language of the enabling Act;</w:t>
      </w:r>
    </w:p>
    <w:p w14:paraId="1929C879" w14:textId="77777777" w:rsidR="0037654B" w:rsidRPr="00FD274F" w:rsidRDefault="0037654B" w:rsidP="0037654B">
      <w:pPr>
        <w:pStyle w:val="BodyPara"/>
      </w:pPr>
      <w:r w:rsidRPr="00FD274F">
        <w:t>the date of making;</w:t>
      </w:r>
    </w:p>
    <w:p w14:paraId="72FC7C15" w14:textId="77777777" w:rsidR="0037654B" w:rsidRDefault="0037654B" w:rsidP="0037654B">
      <w:pPr>
        <w:pStyle w:val="BodyPara"/>
      </w:pPr>
      <w:r w:rsidRPr="00FD274F">
        <w:t>the name as signed, and title, of each maker of the instrument.</w:t>
      </w:r>
    </w:p>
    <w:p w14:paraId="5B311F53" w14:textId="77777777" w:rsidR="008262BB" w:rsidRDefault="008262BB" w:rsidP="00DC2AAA">
      <w:pPr>
        <w:pStyle w:val="BodyNum"/>
      </w:pPr>
      <w:r>
        <w:t xml:space="preserve">For a Minister or Assistant Minister, the title of the rule-maker should be the title </w:t>
      </w:r>
      <w:r w:rsidR="00DC2AAA">
        <w:t xml:space="preserve">by which the Minister or Assistant Minister was </w:t>
      </w:r>
      <w:r w:rsidR="00DB7610">
        <w:t xml:space="preserve">sworn </w:t>
      </w:r>
      <w:r>
        <w:t xml:space="preserve">in by the Governor-General. </w:t>
      </w:r>
    </w:p>
    <w:p w14:paraId="068B8A00" w14:textId="77777777" w:rsidR="008262BB" w:rsidRDefault="008262BB" w:rsidP="00DC2AAA">
      <w:pPr>
        <w:pStyle w:val="BodyNum"/>
      </w:pPr>
      <w:r>
        <w:t>So, for an Assistant Minister this will include the formal Parliamentary Secretary title, such as “</w:t>
      </w:r>
      <w:r w:rsidRPr="008262BB">
        <w:rPr>
          <w:iCs/>
          <w:szCs w:val="22"/>
        </w:rPr>
        <w:t xml:space="preserve">Assistant Minister to the Attorney-General, </w:t>
      </w:r>
      <w:r w:rsidRPr="008262BB">
        <w:rPr>
          <w:szCs w:val="22"/>
        </w:rPr>
        <w:t xml:space="preserve">Parliamentary Secretary to the </w:t>
      </w:r>
      <w:r w:rsidRPr="008262BB">
        <w:rPr>
          <w:iCs/>
          <w:szCs w:val="22"/>
        </w:rPr>
        <w:t>Attorney-General</w:t>
      </w:r>
      <w:r>
        <w:rPr>
          <w:iCs/>
          <w:szCs w:val="22"/>
        </w:rPr>
        <w:t>”</w:t>
      </w:r>
      <w:r>
        <w:t xml:space="preserve">. </w:t>
      </w:r>
    </w:p>
    <w:p w14:paraId="3239C31F" w14:textId="77777777" w:rsidR="008262BB" w:rsidRPr="00FD274F" w:rsidRDefault="008262BB" w:rsidP="00DC2AAA">
      <w:pPr>
        <w:pStyle w:val="BodyNum"/>
      </w:pPr>
      <w:r>
        <w:t xml:space="preserve">These titles can be verified with the </w:t>
      </w:r>
      <w:proofErr w:type="spellStart"/>
      <w:r>
        <w:t>ExCo</w:t>
      </w:r>
      <w:proofErr w:type="spellEnd"/>
      <w:r>
        <w:t xml:space="preserve"> and Government Division of </w:t>
      </w:r>
      <w:proofErr w:type="spellStart"/>
      <w:r>
        <w:t>PM&amp;C</w:t>
      </w:r>
      <w:proofErr w:type="spellEnd"/>
      <w:r>
        <w:t>.</w:t>
      </w:r>
    </w:p>
    <w:p w14:paraId="6CFF3AAD" w14:textId="2B0F1D7D" w:rsidR="0037654B" w:rsidRPr="00FD274F" w:rsidRDefault="0037654B" w:rsidP="0037654B">
      <w:pPr>
        <w:pStyle w:val="Body"/>
        <w:widowControl w:val="0"/>
        <w:rPr>
          <w:b/>
        </w:rPr>
      </w:pPr>
      <w:r w:rsidRPr="00134960">
        <w:rPr>
          <w:b/>
        </w:rPr>
        <w:t>Illustration 3A</w:t>
      </w:r>
      <w:r w:rsidRPr="00FD274F">
        <w:rPr>
          <w:b/>
        </w:rPr>
        <w:t>—generic official branding and making word</w:t>
      </w:r>
      <w:r w:rsidRPr="00E12592">
        <w:rPr>
          <w:b/>
        </w:rPr>
        <w:t>s</w:t>
      </w:r>
      <w:r w:rsidRPr="00E12592">
        <w:rPr>
          <w:rStyle w:val="FootnoteReference"/>
          <w:b/>
        </w:rPr>
        <w:footnoteReference w:id="7"/>
      </w:r>
    </w:p>
    <w:p w14:paraId="167AE474" w14:textId="77777777" w:rsidR="0037654B" w:rsidRPr="00FD274F" w:rsidRDefault="0037654B" w:rsidP="0037654B">
      <w:pPr>
        <w:pStyle w:val="BodyNum"/>
        <w:numPr>
          <w:ilvl w:val="0"/>
          <w:numId w:val="0"/>
        </w:numPr>
      </w:pPr>
      <w:r w:rsidRPr="00FD274F">
        <w:rPr>
          <w:noProof/>
        </w:rPr>
        <w:drawing>
          <wp:inline distT="0" distB="0" distL="0" distR="0" wp14:anchorId="3905F0E3" wp14:editId="33F7169F">
            <wp:extent cx="5661252" cy="4278574"/>
            <wp:effectExtent l="19050" t="19050" r="15875" b="27305"/>
            <wp:docPr id="5" name="Picture 5" descr="Shows generic official branding (the Australian coat of arms) and making words followed by a signature block." title="Illustration 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 3A.png"/>
                    <pic:cNvPicPr/>
                  </pic:nvPicPr>
                  <pic:blipFill>
                    <a:blip r:embed="rId140">
                      <a:extLst>
                        <a:ext uri="{28A0092B-C50C-407E-A947-70E740481C1C}">
                          <a14:useLocalDpi xmlns:a14="http://schemas.microsoft.com/office/drawing/2010/main" val="0"/>
                        </a:ext>
                      </a:extLst>
                    </a:blip>
                    <a:stretch>
                      <a:fillRect/>
                    </a:stretch>
                  </pic:blipFill>
                  <pic:spPr>
                    <a:xfrm>
                      <a:off x="0" y="0"/>
                      <a:ext cx="5677428" cy="4290799"/>
                    </a:xfrm>
                    <a:prstGeom prst="rect">
                      <a:avLst/>
                    </a:prstGeom>
                    <a:ln>
                      <a:solidFill>
                        <a:schemeClr val="accent1"/>
                      </a:solidFill>
                    </a:ln>
                  </pic:spPr>
                </pic:pic>
              </a:graphicData>
            </a:graphic>
          </wp:inline>
        </w:drawing>
      </w:r>
    </w:p>
    <w:p w14:paraId="039AF54F" w14:textId="77777777" w:rsidR="0037654B" w:rsidRPr="00FD274F" w:rsidRDefault="0037654B" w:rsidP="008C2E05">
      <w:pPr>
        <w:pStyle w:val="BodyNum"/>
        <w:keepNext/>
        <w:keepLines/>
      </w:pPr>
      <w:r w:rsidRPr="00FD274F">
        <w:lastRenderedPageBreak/>
        <w:t xml:space="preserve">The making words are usually followed by a page break, a table of contents unless the instrument is very short, and the main body of the instrument. The main body of the instrument should start with certain standard provisions, and these provisions should not be combined with the making words or with any other provisions. These standard provisions, and the recommended order of provisions, is as follows (see </w:t>
      </w:r>
      <w:r w:rsidRPr="00134960">
        <w:t>also Illustration 3B):</w:t>
      </w:r>
    </w:p>
    <w:p w14:paraId="6AC18FE5" w14:textId="5A978F38" w:rsidR="0037654B" w:rsidRPr="00FD274F" w:rsidRDefault="0037654B" w:rsidP="008C2E05">
      <w:pPr>
        <w:pStyle w:val="BodyPara"/>
        <w:keepNext/>
        <w:keepLines/>
      </w:pPr>
      <w:r w:rsidRPr="00FD274F">
        <w:rPr>
          <w:b/>
        </w:rPr>
        <w:t xml:space="preserve">Name. </w:t>
      </w:r>
      <w:r w:rsidRPr="00FD274F">
        <w:t xml:space="preserve">A naming provision should be included in all legislative instruments other than commencement instruments. The name given to an instrument should be convenient (not too long) and unique, so that the instrument can be identified with complete certainty from its name alone. For detailed guidance </w:t>
      </w:r>
      <w:r w:rsidRPr="0023124E">
        <w:t xml:space="preserve">on the naming of instruments, please refer to </w:t>
      </w:r>
      <w:hyperlink r:id="rId141" w:history="1">
        <w:proofErr w:type="spellStart"/>
        <w:r w:rsidRPr="0023124E">
          <w:rPr>
            <w:rStyle w:val="Hyperlink"/>
          </w:rPr>
          <w:t>OPC</w:t>
        </w:r>
        <w:proofErr w:type="spellEnd"/>
        <w:r w:rsidRPr="0023124E">
          <w:rPr>
            <w:rStyle w:val="Hyperlink"/>
          </w:rPr>
          <w:t xml:space="preserve"> Drafting Direction 1.1A</w:t>
        </w:r>
      </w:hyperlink>
      <w:r w:rsidRPr="0023124E">
        <w:rPr>
          <w:rStyle w:val="Hyperlink"/>
        </w:rPr>
        <w:t>.</w:t>
      </w:r>
      <w:r w:rsidR="00F068FE" w:rsidRPr="00FD274F">
        <w:rPr>
          <w:rStyle w:val="Hyperlink"/>
        </w:rPr>
        <w:t xml:space="preserve"> </w:t>
      </w:r>
      <w:r w:rsidRPr="00FD274F">
        <w:t xml:space="preserve">Note also that </w:t>
      </w:r>
      <w:r w:rsidR="00A06DD4">
        <w:t>First Parliamentary Counsel</w:t>
      </w:r>
      <w:r w:rsidRPr="00FD274F">
        <w:t xml:space="preserve"> may name or rename </w:t>
      </w:r>
      <w:r w:rsidR="00A06DD4">
        <w:t>instruments</w:t>
      </w:r>
      <w:r w:rsidRPr="00FD274F">
        <w:t xml:space="preserve"> if they do not have a name that is unique (</w:t>
      </w:r>
      <w:r w:rsidRPr="00481F36">
        <w:t xml:space="preserve">see </w:t>
      </w:r>
      <w:hyperlink r:id="rId142" w:history="1">
        <w:r w:rsidRPr="00481F36">
          <w:rPr>
            <w:rStyle w:val="Hyperlink"/>
          </w:rPr>
          <w:t>LA</w:t>
        </w:r>
      </w:hyperlink>
      <w:r w:rsidRPr="00481F36">
        <w:t xml:space="preserve"> s 15M(</w:t>
      </w:r>
      <w:r w:rsidRPr="00FD274F">
        <w:t>b) an</w:t>
      </w:r>
      <w:r w:rsidRPr="0023124E">
        <w:t xml:space="preserve">d </w:t>
      </w:r>
      <w:hyperlink r:id="rId143" w:history="1">
        <w:r w:rsidRPr="0023124E">
          <w:rPr>
            <w:rStyle w:val="Hyperlink"/>
          </w:rPr>
          <w:t>Rule</w:t>
        </w:r>
      </w:hyperlink>
      <w:r w:rsidRPr="0023124E">
        <w:t xml:space="preserve"> s 10)</w:t>
      </w:r>
      <w:r w:rsidRPr="00FD274F">
        <w:t>.</w:t>
      </w:r>
    </w:p>
    <w:p w14:paraId="1EBA26E0" w14:textId="61F5E1ED" w:rsidR="0037654B" w:rsidRPr="00873C43" w:rsidRDefault="0037654B" w:rsidP="0037654B">
      <w:pPr>
        <w:pStyle w:val="BodyPara"/>
      </w:pPr>
      <w:r w:rsidRPr="00FD274F">
        <w:rPr>
          <w:b/>
        </w:rPr>
        <w:t xml:space="preserve">Commencement. </w:t>
      </w:r>
      <w:r w:rsidRPr="00FD274F">
        <w:t xml:space="preserve">A commencement provision is important to set out when the instrument </w:t>
      </w:r>
      <w:r w:rsidRPr="00481F36">
        <w:t>will commence, even if the default commencement applying under th</w:t>
      </w:r>
      <w:r w:rsidRPr="00FD274F">
        <w:t xml:space="preserve">e </w:t>
      </w:r>
      <w:hyperlink r:id="rId144" w:history="1">
        <w:r w:rsidRPr="00FD274F">
          <w:rPr>
            <w:rStyle w:val="Hyperlink"/>
          </w:rPr>
          <w:t>LA</w:t>
        </w:r>
      </w:hyperlink>
      <w:r w:rsidRPr="00FD274F">
        <w:t xml:space="preserve"> is to be used. For more information on commencement, see paragra</w:t>
      </w:r>
      <w:r w:rsidRPr="00873C43">
        <w:t xml:space="preserve">phs </w:t>
      </w:r>
      <w:r w:rsidRPr="00873C43">
        <w:fldChar w:fldCharType="begin"/>
      </w:r>
      <w:r w:rsidRPr="00481F36">
        <w:instrText xml:space="preserve"> REF _Ref367446165 \r \h  \* MERGEFORMAT </w:instrText>
      </w:r>
      <w:r w:rsidRPr="00873C43">
        <w:fldChar w:fldCharType="separate"/>
      </w:r>
      <w:r w:rsidR="003E1B43" w:rsidRPr="00873C43">
        <w:t>69</w:t>
      </w:r>
      <w:r w:rsidRPr="00873C43">
        <w:fldChar w:fldCharType="end"/>
      </w:r>
      <w:r w:rsidRPr="00873C43">
        <w:t xml:space="preserve"> to </w:t>
      </w:r>
      <w:r w:rsidRPr="00481F36">
        <w:fldChar w:fldCharType="begin"/>
      </w:r>
      <w:r w:rsidRPr="00873C43">
        <w:instrText xml:space="preserve"> REF _Ref386036642 \r \h  \* MERGEFORMAT </w:instrText>
      </w:r>
      <w:r w:rsidRPr="00481F36">
        <w:fldChar w:fldCharType="separate"/>
      </w:r>
      <w:r w:rsidR="003E1B43" w:rsidRPr="00873C43">
        <w:t>79</w:t>
      </w:r>
      <w:r w:rsidRPr="00481F36">
        <w:fldChar w:fldCharType="end"/>
      </w:r>
      <w:r w:rsidR="00942F8D" w:rsidRPr="00873C43">
        <w:t>.</w:t>
      </w:r>
    </w:p>
    <w:p w14:paraId="66721B51" w14:textId="30E926ED" w:rsidR="0037654B" w:rsidRPr="00FD274F" w:rsidRDefault="0037654B" w:rsidP="0037654B">
      <w:pPr>
        <w:pStyle w:val="BodyPara"/>
      </w:pPr>
      <w:r w:rsidRPr="00FD274F">
        <w:rPr>
          <w:b/>
        </w:rPr>
        <w:t xml:space="preserve">Authority. </w:t>
      </w:r>
      <w:r w:rsidRPr="00FD274F">
        <w:t xml:space="preserve">An authority provision should be included in all legislative instruments other than commencement instruments, to identify the enabling legislation as defined </w:t>
      </w:r>
      <w:r w:rsidRPr="00481F36">
        <w:t xml:space="preserve">in </w:t>
      </w:r>
      <w:hyperlink r:id="rId145" w:history="1">
        <w:r w:rsidRPr="00481F36">
          <w:rPr>
            <w:rStyle w:val="Hyperlink"/>
          </w:rPr>
          <w:t>LA</w:t>
        </w:r>
      </w:hyperlink>
      <w:r w:rsidRPr="00481F36">
        <w:rPr>
          <w:rStyle w:val="Hyperlink"/>
        </w:rPr>
        <w:t xml:space="preserve"> </w:t>
      </w:r>
      <w:r w:rsidRPr="00481F36">
        <w:t>s 4. Th</w:t>
      </w:r>
      <w:r w:rsidRPr="00FD274F">
        <w:t>e authority provision should cite the full name of each piece of enabling legislation, and also the enabling provision unless the instrument is made under a general instrument</w:t>
      </w:r>
      <w:r w:rsidR="009C4251">
        <w:noBreakHyphen/>
      </w:r>
      <w:r w:rsidRPr="00FD274F">
        <w:t>making power.</w:t>
      </w:r>
    </w:p>
    <w:p w14:paraId="428ED841" w14:textId="7B87262A" w:rsidR="0037654B" w:rsidRPr="00FD274F" w:rsidRDefault="0037654B" w:rsidP="0037654B">
      <w:pPr>
        <w:pStyle w:val="BodyPara"/>
      </w:pPr>
      <w:r w:rsidRPr="00FD274F">
        <w:rPr>
          <w:b/>
        </w:rPr>
        <w:t>Definitions.</w:t>
      </w:r>
      <w:r w:rsidRPr="00FD274F">
        <w:t xml:space="preserve"> Any definitions should generally be presented together </w:t>
      </w:r>
      <w:r w:rsidR="00D24A92">
        <w:t>at the start of the instrument</w:t>
      </w:r>
      <w:r w:rsidRPr="00FD274F">
        <w:t xml:space="preserve"> wherever possible. If an expression is already defined </w:t>
      </w:r>
      <w:r w:rsidR="00DB7610">
        <w:t xml:space="preserve">for the purposes of the whole of </w:t>
      </w:r>
      <w:r w:rsidRPr="00FD274F">
        <w:t>an instrument’s enabling legislation, it is useful to note this but the definition should not be duplicated. An expression used in an instrument will generally have the same meaning as in its enabling legislation: se</w:t>
      </w:r>
      <w:r w:rsidRPr="00481F36">
        <w:t xml:space="preserve">e </w:t>
      </w:r>
      <w:hyperlink r:id="rId146" w:history="1">
        <w:r w:rsidRPr="00481F36">
          <w:rPr>
            <w:rStyle w:val="Hyperlink"/>
          </w:rPr>
          <w:t>LA</w:t>
        </w:r>
      </w:hyperlink>
      <w:r w:rsidRPr="00481F36">
        <w:rPr>
          <w:rStyle w:val="Hyperlink"/>
        </w:rPr>
        <w:t xml:space="preserve"> </w:t>
      </w:r>
      <w:r w:rsidR="00942F8D" w:rsidRPr="00481F36">
        <w:t>s 13(1)(b).</w:t>
      </w:r>
      <w:r w:rsidR="00DB7610">
        <w:t xml:space="preserve"> However, this will generally apply only if the definition applies for the purposes of the entire enabling legislation, and not just a part of the enabling legislation.</w:t>
      </w:r>
    </w:p>
    <w:p w14:paraId="7D0B09AE" w14:textId="0AD011D2" w:rsidR="0037654B" w:rsidRPr="00FD274F" w:rsidRDefault="0037654B" w:rsidP="0037654B">
      <w:pPr>
        <w:pStyle w:val="BodyNum"/>
      </w:pPr>
      <w:bookmarkStart w:id="40" w:name="_Ref422844015"/>
      <w:r w:rsidRPr="00FD274F">
        <w:t>Each provision in the main body of the instrument and in any Schedules should be referred to and numbered in an orderly way. This ensures that the provisions of an instrument can be referred to readily and amended with certainty, and compilations can be prepared of the instrument as amende</w:t>
      </w:r>
      <w:r w:rsidRPr="00A15B35">
        <w:t xml:space="preserve">d (see </w:t>
      </w:r>
      <w:hyperlink w:anchor="Chapter5" w:history="1">
        <w:r w:rsidRPr="00A15B35">
          <w:rPr>
            <w:rStyle w:val="Hyperlink"/>
          </w:rPr>
          <w:t>Chapter 5</w:t>
        </w:r>
      </w:hyperlink>
      <w:r w:rsidRPr="00A15B35">
        <w:t>). For c</w:t>
      </w:r>
      <w:r w:rsidRPr="00FD274F">
        <w:t xml:space="preserve">onsistency with the rest of the Commonwealth statute book, </w:t>
      </w:r>
      <w:r w:rsidR="003339B3">
        <w:t>the person drafting the instrument</w:t>
      </w:r>
      <w:r w:rsidRPr="00FD274F">
        <w:t xml:space="preserve"> should:</w:t>
      </w:r>
      <w:bookmarkEnd w:id="40"/>
    </w:p>
    <w:p w14:paraId="2B7F50C6" w14:textId="77777777" w:rsidR="0037654B" w:rsidRPr="00FD274F" w:rsidRDefault="0037654B" w:rsidP="0037654B">
      <w:pPr>
        <w:pStyle w:val="BodyPara"/>
        <w:rPr>
          <w:spacing w:val="-2"/>
        </w:rPr>
      </w:pPr>
      <w:r w:rsidRPr="00FD274F">
        <w:rPr>
          <w:spacing w:val="-2"/>
        </w:rPr>
        <w:t>use Arabic numerals (e.g. 1, 2, 3) for all headings, sections and subsections; and</w:t>
      </w:r>
    </w:p>
    <w:p w14:paraId="4E4A7972" w14:textId="77777777" w:rsidR="0037654B" w:rsidRPr="00FD274F" w:rsidRDefault="0037654B" w:rsidP="0037654B">
      <w:pPr>
        <w:pStyle w:val="BodyPara"/>
      </w:pPr>
      <w:r w:rsidRPr="00FD274F">
        <w:t>use letters (e.g. (a) and (b)) for paragraphs; and</w:t>
      </w:r>
    </w:p>
    <w:p w14:paraId="1A21E920" w14:textId="77777777" w:rsidR="0037654B" w:rsidRPr="00FD274F" w:rsidRDefault="0037654B" w:rsidP="0037654B">
      <w:pPr>
        <w:pStyle w:val="BodyPara"/>
      </w:pPr>
      <w:r w:rsidRPr="00FD274F">
        <w:t>if inserting a new section/s (e.g. after section 25), use capital letters after the numeral to indicate the sequence of sections (e.g. section 25A, 25B etc.); and</w:t>
      </w:r>
    </w:p>
    <w:p w14:paraId="21F93AE2" w14:textId="77777777" w:rsidR="0037654B" w:rsidRPr="00FD274F" w:rsidRDefault="0037654B" w:rsidP="0037654B">
      <w:pPr>
        <w:pStyle w:val="BodyPara"/>
        <w:rPr>
          <w:spacing w:val="-2"/>
        </w:rPr>
      </w:pPr>
      <w:r w:rsidRPr="00FD274F">
        <w:rPr>
          <w:spacing w:val="-2"/>
        </w:rPr>
        <w:t>if many new sections have been/are to be inserted, skip the letters “I” and “O” after numerals to avoid confusion e.g. between 25I and 251, and 25O and 250; and</w:t>
      </w:r>
    </w:p>
    <w:p w14:paraId="7154A3CD" w14:textId="77777777" w:rsidR="0037654B" w:rsidRPr="00FD274F" w:rsidRDefault="0037654B" w:rsidP="0037654B">
      <w:pPr>
        <w:pStyle w:val="BodyPara"/>
      </w:pPr>
      <w:r w:rsidRPr="00FD274F">
        <w:lastRenderedPageBreak/>
        <w:t>avoid using capitalised Roman numerals (e.g. I, II, III), unless inserting provisions into an existing instrum</w:t>
      </w:r>
      <w:r w:rsidR="00942F8D">
        <w:t>ent that already uses them; and</w:t>
      </w:r>
    </w:p>
    <w:p w14:paraId="571CD60C" w14:textId="77777777" w:rsidR="0037654B" w:rsidRPr="00FD274F" w:rsidRDefault="0037654B" w:rsidP="0037654B">
      <w:pPr>
        <w:pStyle w:val="BodyPara"/>
      </w:pPr>
      <w:r w:rsidRPr="00FD274F">
        <w:t>avoid “tidying up” legislation by renumbering it, without carefully considering the risks (especially if there are cross</w:t>
      </w:r>
      <w:r w:rsidR="009C4251">
        <w:noBreakHyphen/>
      </w:r>
      <w:r w:rsidRPr="00FD274F">
        <w:t>references in related documents).</w:t>
      </w:r>
    </w:p>
    <w:p w14:paraId="084C7DD4" w14:textId="6B4862CE" w:rsidR="0037654B" w:rsidRPr="0023124E" w:rsidRDefault="0037654B" w:rsidP="0037654B">
      <w:pPr>
        <w:pStyle w:val="BodyNum"/>
      </w:pPr>
      <w:r w:rsidRPr="00FD274F">
        <w:t>For detailed guidance on the numbering of provisions, and the risks involved in</w:t>
      </w:r>
      <w:r w:rsidR="00F068FE" w:rsidRPr="00FD274F">
        <w:t xml:space="preserve"> </w:t>
      </w:r>
      <w:r w:rsidRPr="00FD274F">
        <w:t xml:space="preserve">renumbering provisions, please refer </w:t>
      </w:r>
      <w:r w:rsidRPr="0023124E">
        <w:t xml:space="preserve">to </w:t>
      </w:r>
      <w:hyperlink r:id="rId147" w:history="1">
        <w:proofErr w:type="spellStart"/>
        <w:r w:rsidRPr="0023124E">
          <w:rPr>
            <w:rStyle w:val="Hyperlink"/>
          </w:rPr>
          <w:t>OPC</w:t>
        </w:r>
        <w:proofErr w:type="spellEnd"/>
        <w:r w:rsidRPr="0023124E">
          <w:rPr>
            <w:rStyle w:val="Hyperlink"/>
          </w:rPr>
          <w:t xml:space="preserve"> Drafting Direction 1.7</w:t>
        </w:r>
      </w:hyperlink>
      <w:r w:rsidR="00942F8D" w:rsidRPr="0023124E">
        <w:t>.</w:t>
      </w:r>
    </w:p>
    <w:p w14:paraId="7983DDF7" w14:textId="5BF178EE" w:rsidR="0037654B" w:rsidRDefault="0037654B" w:rsidP="00F071DA">
      <w:pPr>
        <w:pStyle w:val="Body"/>
        <w:pageBreakBefore/>
        <w:rPr>
          <w:b/>
        </w:rPr>
      </w:pPr>
      <w:r w:rsidRPr="00FD274F">
        <w:rPr>
          <w:b/>
        </w:rPr>
        <w:lastRenderedPageBreak/>
        <w:t>Illu</w:t>
      </w:r>
      <w:r w:rsidRPr="00A15B35">
        <w:rPr>
          <w:b/>
        </w:rPr>
        <w:t>stration 3B—s</w:t>
      </w:r>
      <w:r w:rsidRPr="00FD274F">
        <w:rPr>
          <w:b/>
        </w:rPr>
        <w:t>tandard order and format of provis</w:t>
      </w:r>
      <w:r w:rsidR="00942F8D">
        <w:rPr>
          <w:b/>
        </w:rPr>
        <w:t>ions in main body of instrument</w:t>
      </w:r>
    </w:p>
    <w:p w14:paraId="59B9388D" w14:textId="6B8DA3CE" w:rsidR="00F071DA" w:rsidRPr="00FD274F" w:rsidRDefault="00820B26" w:rsidP="00820B26">
      <w:pPr>
        <w:pStyle w:val="Body"/>
        <w:jc w:val="center"/>
        <w:rPr>
          <w:b/>
        </w:rPr>
      </w:pPr>
      <w:r>
        <w:rPr>
          <w:noProof/>
        </w:rPr>
        <w:drawing>
          <wp:inline distT="0" distB="0" distL="0" distR="0" wp14:anchorId="33D21644" wp14:editId="1A8815A0">
            <wp:extent cx="4933333" cy="8180952"/>
            <wp:effectExtent l="19050" t="19050" r="19685" b="10795"/>
            <wp:docPr id="8" name="Picture 8" descr="Template showing sections 1 to 5 with wording that is consistently used and brackets with descriptions of text to be custom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4933333" cy="8180952"/>
                    </a:xfrm>
                    <a:prstGeom prst="rect">
                      <a:avLst/>
                    </a:prstGeom>
                    <a:ln>
                      <a:solidFill>
                        <a:schemeClr val="tx1"/>
                      </a:solidFill>
                    </a:ln>
                  </pic:spPr>
                </pic:pic>
              </a:graphicData>
            </a:graphic>
          </wp:inline>
        </w:drawing>
      </w:r>
    </w:p>
    <w:p w14:paraId="0A27A629" w14:textId="286D7E28" w:rsidR="0091228E" w:rsidRPr="002600D1" w:rsidRDefault="0091228E" w:rsidP="0091228E">
      <w:pPr>
        <w:pStyle w:val="BodyNum"/>
      </w:pPr>
      <w:r>
        <w:lastRenderedPageBreak/>
        <w:t>If different provisions of the instrument commence at different times, additional rows can be added to the commencement table</w:t>
      </w:r>
      <w:r w:rsidRPr="0091228E">
        <w:rPr>
          <w:szCs w:val="24"/>
        </w:rPr>
        <w:t xml:space="preserve"> </w:t>
      </w:r>
      <w:r w:rsidRPr="00A15B35">
        <w:t>(see Illustration 3C)</w:t>
      </w:r>
      <w:r w:rsidRPr="00A15B35">
        <w:rPr>
          <w:szCs w:val="24"/>
        </w:rPr>
        <w:t>.</w:t>
      </w:r>
    </w:p>
    <w:p w14:paraId="08439201" w14:textId="5ACD2363" w:rsidR="0091228E" w:rsidRDefault="0091228E" w:rsidP="0091228E">
      <w:pPr>
        <w:pStyle w:val="Body"/>
        <w:rPr>
          <w:b/>
        </w:rPr>
      </w:pPr>
      <w:r w:rsidRPr="00FD274F">
        <w:rPr>
          <w:b/>
        </w:rPr>
        <w:t>Illustration 3</w:t>
      </w:r>
      <w:r>
        <w:rPr>
          <w:b/>
        </w:rPr>
        <w:t>C</w:t>
      </w:r>
      <w:r w:rsidRPr="00FD274F">
        <w:rPr>
          <w:b/>
        </w:rPr>
        <w:t>—</w:t>
      </w:r>
      <w:r w:rsidR="00392147">
        <w:rPr>
          <w:b/>
        </w:rPr>
        <w:t>commencement table with multiple commencement dates</w:t>
      </w:r>
    </w:p>
    <w:p w14:paraId="0A442819" w14:textId="77777777" w:rsidR="0091228E" w:rsidRPr="00FD274F" w:rsidRDefault="0091228E" w:rsidP="0091228E">
      <w:pPr>
        <w:pStyle w:val="Body"/>
        <w:jc w:val="center"/>
        <w:rPr>
          <w:b/>
        </w:rPr>
      </w:pPr>
      <w:r>
        <w:rPr>
          <w:noProof/>
        </w:rPr>
        <w:drawing>
          <wp:inline distT="0" distB="0" distL="0" distR="0" wp14:anchorId="07495F01" wp14:editId="042891DE">
            <wp:extent cx="5666667" cy="4819048"/>
            <wp:effectExtent l="19050" t="19050" r="10795" b="19685"/>
            <wp:docPr id="6" name="Picture 6" descr="Template showing a section 2 commencement table formatted with multiple rows for multiple commencement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5666667" cy="4819048"/>
                    </a:xfrm>
                    <a:prstGeom prst="rect">
                      <a:avLst/>
                    </a:prstGeom>
                    <a:ln>
                      <a:solidFill>
                        <a:schemeClr val="tx1"/>
                      </a:solidFill>
                    </a:ln>
                  </pic:spPr>
                </pic:pic>
              </a:graphicData>
            </a:graphic>
          </wp:inline>
        </w:drawing>
      </w:r>
    </w:p>
    <w:p w14:paraId="65C53966" w14:textId="0C9E1543" w:rsidR="0037654B" w:rsidRPr="00FD274F" w:rsidRDefault="0037654B" w:rsidP="0037654B">
      <w:pPr>
        <w:pStyle w:val="Head4"/>
      </w:pPr>
      <w:bookmarkStart w:id="41" w:name="_Toc112918762"/>
      <w:r w:rsidRPr="00FD274F">
        <w:t>Use of other approaches</w:t>
      </w:r>
      <w:bookmarkEnd w:id="41"/>
    </w:p>
    <w:p w14:paraId="5A37F81D" w14:textId="77777777" w:rsidR="0037654B" w:rsidRPr="00FD274F" w:rsidRDefault="003339B3" w:rsidP="0037654B">
      <w:pPr>
        <w:pStyle w:val="BodyNum"/>
      </w:pPr>
      <w:r>
        <w:t>The person drafting the instrument is</w:t>
      </w:r>
      <w:r w:rsidR="0037654B" w:rsidRPr="00FD274F">
        <w:t xml:space="preserve"> sometimes asked to omit standard provisions or numbering, or to include images or other content that is not legally necessary. Although this approach may make an instrument “look nice”, it can also make it difficult to apply amendments and, in extreme cases, to enforce an instrument. Consequently, if a rule</w:t>
      </w:r>
      <w:r w:rsidR="009C4251">
        <w:noBreakHyphen/>
      </w:r>
      <w:r w:rsidR="0037654B" w:rsidRPr="00FD274F">
        <w:t>maker wishes to proceed with a non</w:t>
      </w:r>
      <w:r w:rsidR="009C4251">
        <w:noBreakHyphen/>
      </w:r>
      <w:r w:rsidR="0037654B" w:rsidRPr="00FD274F">
        <w:t>standard approach, agencies are advised to ensure that the rule</w:t>
      </w:r>
      <w:r w:rsidR="009C4251">
        <w:noBreakHyphen/>
      </w:r>
      <w:r w:rsidR="0037654B" w:rsidRPr="00FD274F">
        <w:t>maker:</w:t>
      </w:r>
    </w:p>
    <w:p w14:paraId="30364641" w14:textId="77777777" w:rsidR="0037654B" w:rsidRPr="00FD274F" w:rsidRDefault="0037654B" w:rsidP="0037654B">
      <w:pPr>
        <w:pStyle w:val="BodyPara"/>
      </w:pPr>
      <w:r w:rsidRPr="00FD274F">
        <w:t>is awa</w:t>
      </w:r>
      <w:r w:rsidR="00942F8D">
        <w:t>re of the associated risks; and</w:t>
      </w:r>
    </w:p>
    <w:p w14:paraId="2D31FDA9" w14:textId="77777777" w:rsidR="0037654B" w:rsidRPr="00FD274F" w:rsidRDefault="0037654B" w:rsidP="0037654B">
      <w:pPr>
        <w:pStyle w:val="BodyPara"/>
      </w:pPr>
      <w:r w:rsidRPr="00FD274F">
        <w:t>includes non</w:t>
      </w:r>
      <w:r w:rsidR="009C4251">
        <w:noBreakHyphen/>
      </w:r>
      <w:r w:rsidRPr="00FD274F">
        <w:t>standa</w:t>
      </w:r>
      <w:r w:rsidR="001F5A17">
        <w:t>rd content as an attachment or S</w:t>
      </w:r>
      <w:r w:rsidRPr="00FD274F">
        <w:t>chedule to a short instrument that fo</w:t>
      </w:r>
      <w:r w:rsidR="00942F8D">
        <w:t>llows the recommended approach.</w:t>
      </w:r>
    </w:p>
    <w:p w14:paraId="71DD1242" w14:textId="77777777" w:rsidR="0037654B" w:rsidRPr="00FD274F" w:rsidRDefault="0037654B" w:rsidP="0037654B">
      <w:pPr>
        <w:pStyle w:val="BodyNum"/>
      </w:pPr>
      <w:r w:rsidRPr="00FD274F">
        <w:lastRenderedPageBreak/>
        <w:t>Even a very short instrument should include the enabling legislation and making words appropriate to that legislation in the text of the instrument. These details are important to establish whether the in</w:t>
      </w:r>
      <w:r w:rsidR="00942F8D">
        <w:t>strument has been validly made.</w:t>
      </w:r>
    </w:p>
    <w:p w14:paraId="49127453" w14:textId="77777777" w:rsidR="0037654B" w:rsidRPr="00FD274F" w:rsidRDefault="0037654B" w:rsidP="0037654B">
      <w:pPr>
        <w:pStyle w:val="Head3"/>
      </w:pPr>
      <w:bookmarkStart w:id="42" w:name="_Toc112918763"/>
      <w:r w:rsidRPr="00FD274F">
        <w:t>Default rules on commencement of instrument or provision</w:t>
      </w:r>
      <w:bookmarkEnd w:id="42"/>
    </w:p>
    <w:p w14:paraId="640561DA" w14:textId="5961D54D" w:rsidR="0037654B" w:rsidRDefault="0037654B" w:rsidP="0037654B">
      <w:pPr>
        <w:pStyle w:val="BodyNum"/>
      </w:pPr>
      <w:bookmarkStart w:id="43" w:name="_Ref367446165"/>
      <w:r w:rsidRPr="00FD274F">
        <w:t>In exercising the power to make a legislative instrument, the rule</w:t>
      </w:r>
      <w:r w:rsidR="009C4251">
        <w:noBreakHyphen/>
      </w:r>
      <w:r w:rsidRPr="00FD274F">
        <w:t>maker should always specify when the instrument, or each provision of the instrument, commences. In doing so, the rule</w:t>
      </w:r>
      <w:r w:rsidR="009C4251">
        <w:noBreakHyphen/>
      </w:r>
      <w:r w:rsidRPr="00FD274F">
        <w:t xml:space="preserve">maker must have regard to any special provisions in the instrument’s enabling legislation, and the default provisions of the </w:t>
      </w:r>
      <w:hyperlink r:id="rId150" w:history="1">
        <w:r w:rsidRPr="00FD274F">
          <w:rPr>
            <w:rStyle w:val="Hyperlink"/>
          </w:rPr>
          <w:t>LA</w:t>
        </w:r>
      </w:hyperlink>
      <w:r w:rsidRPr="00FD274F">
        <w:rPr>
          <w:rStyle w:val="Hyperlink"/>
        </w:rPr>
        <w:t xml:space="preserve"> </w:t>
      </w:r>
      <w:r w:rsidRPr="00DE3286">
        <w:t>(particularly s 12).</w:t>
      </w:r>
      <w:bookmarkEnd w:id="43"/>
    </w:p>
    <w:p w14:paraId="3D87CFE6" w14:textId="4242601D" w:rsidR="0037654B" w:rsidRPr="00FD274F" w:rsidRDefault="0037654B" w:rsidP="0037654B">
      <w:pPr>
        <w:pStyle w:val="BodyNum"/>
      </w:pPr>
      <w:r w:rsidRPr="00FD274F">
        <w:t xml:space="preserve">An instrument may provide for its commencement by enabling a commencement instrument to be made: see </w:t>
      </w:r>
      <w:hyperlink r:id="rId151" w:history="1">
        <w:r w:rsidRPr="00DE3286">
          <w:rPr>
            <w:rStyle w:val="Hyperlink"/>
          </w:rPr>
          <w:t>LA</w:t>
        </w:r>
      </w:hyperlink>
      <w:r w:rsidRPr="00DE3286">
        <w:t xml:space="preserve"> s 12(5).</w:t>
      </w:r>
      <w:r w:rsidRPr="00FD274F">
        <w:t xml:space="preserve"> Alternatively, an instrument or provision of an instrument may be expressed as commencing as follows:</w:t>
      </w:r>
    </w:p>
    <w:p w14:paraId="1E3F6D05" w14:textId="2E138130" w:rsidR="0037654B" w:rsidRPr="00FD274F" w:rsidRDefault="0037654B" w:rsidP="0037654B">
      <w:pPr>
        <w:pStyle w:val="BodyPara"/>
      </w:pPr>
      <w:r w:rsidRPr="00FD274F">
        <w:t xml:space="preserve">on a specified day—if no time is specified, the commencement will occur at the start of the </w:t>
      </w:r>
      <w:r w:rsidR="005E23E3">
        <w:t xml:space="preserve">specified </w:t>
      </w:r>
      <w:r w:rsidRPr="00FD274F">
        <w:t xml:space="preserve">day </w:t>
      </w:r>
      <w:r w:rsidR="005E23E3">
        <w:t>(s</w:t>
      </w:r>
      <w:r w:rsidR="005E23E3" w:rsidRPr="00414F6F">
        <w:t xml:space="preserve">ee </w:t>
      </w:r>
      <w:hyperlink r:id="rId152" w:history="1">
        <w:r w:rsidR="004D6FFE" w:rsidRPr="00414F6F">
          <w:rPr>
            <w:rStyle w:val="Hyperlink"/>
            <w:i/>
          </w:rPr>
          <w:t>Acts Interpretation Act 1901</w:t>
        </w:r>
      </w:hyperlink>
      <w:r w:rsidR="004D6FFE" w:rsidRPr="00414F6F">
        <w:rPr>
          <w:rStyle w:val="Hyperlink"/>
          <w:i/>
        </w:rPr>
        <w:t xml:space="preserve"> </w:t>
      </w:r>
      <w:r w:rsidR="005E23E3" w:rsidRPr="00414F6F">
        <w:t>s</w:t>
      </w:r>
      <w:r w:rsidR="00537794" w:rsidRPr="00414F6F">
        <w:t xml:space="preserve"> </w:t>
      </w:r>
      <w:r w:rsidR="005E23E3" w:rsidRPr="00414F6F">
        <w:t>3)</w:t>
      </w:r>
      <w:r w:rsidRPr="00414F6F">
        <w:t>;</w:t>
      </w:r>
    </w:p>
    <w:p w14:paraId="024610B8" w14:textId="77777777" w:rsidR="0037654B" w:rsidRPr="00FD274F" w:rsidRDefault="0037654B" w:rsidP="0037654B">
      <w:pPr>
        <w:pStyle w:val="BodyPara"/>
      </w:pPr>
      <w:r w:rsidRPr="00FD274F">
        <w:t>on a specified day and time—if a time is specified, it may be necessary to specify a time zone;</w:t>
      </w:r>
    </w:p>
    <w:p w14:paraId="54FC0349" w14:textId="77777777" w:rsidR="0037654B" w:rsidRPr="00FD274F" w:rsidRDefault="0037654B" w:rsidP="0037654B">
      <w:pPr>
        <w:pStyle w:val="BodyPara"/>
      </w:pPr>
      <w:r w:rsidRPr="00FD274F">
        <w:t>on or after a specified event such as:</w:t>
      </w:r>
    </w:p>
    <w:p w14:paraId="6316FA4F" w14:textId="77777777" w:rsidR="0037654B" w:rsidRPr="00FD274F" w:rsidRDefault="0037654B" w:rsidP="0037654B">
      <w:pPr>
        <w:pStyle w:val="BodySubPara"/>
      </w:pPr>
      <w:r w:rsidRPr="00FD274F">
        <w:t>the instrument’s registration; or</w:t>
      </w:r>
    </w:p>
    <w:p w14:paraId="038DA409" w14:textId="77777777" w:rsidR="0037654B" w:rsidRPr="00FD274F" w:rsidRDefault="0037654B" w:rsidP="0037654B">
      <w:pPr>
        <w:pStyle w:val="BodySubPara"/>
      </w:pPr>
      <w:r w:rsidRPr="00FD274F">
        <w:t>the commencement of a Commonwealth Act or provision of an Act; or</w:t>
      </w:r>
    </w:p>
    <w:p w14:paraId="6BDA9FFE" w14:textId="77777777" w:rsidR="0037654B" w:rsidRPr="00FD274F" w:rsidRDefault="0037654B" w:rsidP="0037654B">
      <w:pPr>
        <w:pStyle w:val="BodySubPara"/>
      </w:pPr>
      <w:r w:rsidRPr="00FD274F">
        <w:t>the commencement of a provision of a State law; or</w:t>
      </w:r>
    </w:p>
    <w:p w14:paraId="3D38D25A" w14:textId="28B38816" w:rsidR="0037654B" w:rsidRPr="00FD274F" w:rsidRDefault="0037654B" w:rsidP="0037654B">
      <w:pPr>
        <w:pStyle w:val="BodySubPara"/>
      </w:pPr>
      <w:r w:rsidRPr="00FD274F">
        <w:t>the entering into force for Australia of a treaty—this would normally be notified through a notifiable instrumen</w:t>
      </w:r>
      <w:r w:rsidRPr="00414F6F">
        <w:t>t (</w:t>
      </w:r>
      <w:hyperlink r:id="rId153" w:history="1">
        <w:hyperlink r:id="rId154" w:history="1">
          <w:hyperlink r:id="rId155" w:history="1">
            <w:r w:rsidRPr="00414F6F">
              <w:rPr>
                <w:rStyle w:val="Hyperlink"/>
              </w:rPr>
              <w:t>LEOMR</w:t>
            </w:r>
          </w:hyperlink>
        </w:hyperlink>
      </w:hyperlink>
      <w:r w:rsidRPr="00414F6F">
        <w:t xml:space="preserve"> s 8 item 1).</w:t>
      </w:r>
    </w:p>
    <w:p w14:paraId="47EAA2EF" w14:textId="3D4FECC6" w:rsidR="006903BF" w:rsidRPr="00FD274F" w:rsidRDefault="006903BF" w:rsidP="006903BF">
      <w:pPr>
        <w:pStyle w:val="BodyNum"/>
      </w:pPr>
      <w:bookmarkStart w:id="44" w:name="_Ref444692813"/>
      <w:bookmarkStart w:id="45" w:name="_Ref444869799"/>
      <w:bookmarkStart w:id="46" w:name="_Ref384384731"/>
      <w:bookmarkStart w:id="47" w:name="_Ref82670448"/>
      <w:r>
        <w:t xml:space="preserve">As a general rule it is not safe to commence an instrument when it is signed by the rule-maker for the reasons set out in </w:t>
      </w:r>
      <w:r w:rsidRPr="0020724A">
        <w:t xml:space="preserve">paragraph </w:t>
      </w:r>
      <w:r w:rsidRPr="00DE3286">
        <w:fldChar w:fldCharType="begin"/>
      </w:r>
      <w:r w:rsidRPr="0020724A">
        <w:instrText xml:space="preserve"> REF _Ref82670539 \r \h </w:instrText>
      </w:r>
      <w:r w:rsidR="00537794">
        <w:rPr>
          <w:highlight w:val="yellow"/>
        </w:rPr>
        <w:instrText xml:space="preserve"> \* MERGEFORMAT </w:instrText>
      </w:r>
      <w:r w:rsidRPr="00DE3286">
        <w:fldChar w:fldCharType="separate"/>
      </w:r>
      <w:r w:rsidR="003E1B43" w:rsidRPr="0020724A">
        <w:t>73</w:t>
      </w:r>
      <w:r w:rsidRPr="00DE3286">
        <w:fldChar w:fldCharType="end"/>
      </w:r>
      <w:r w:rsidRPr="0020724A">
        <w:t>.</w:t>
      </w:r>
    </w:p>
    <w:p w14:paraId="0F79754E" w14:textId="463C0431" w:rsidR="0037654B" w:rsidRPr="00FD274F" w:rsidRDefault="0037654B" w:rsidP="008C2E05">
      <w:pPr>
        <w:pStyle w:val="BodyNum"/>
        <w:keepLines/>
      </w:pPr>
      <w:bookmarkStart w:id="48" w:name="_Ref112862478"/>
      <w:r w:rsidRPr="00FD274F">
        <w:t xml:space="preserve">Special care is needed if an instrument is to be expressed to commence retrospectively, that is, before it is registered. </w:t>
      </w:r>
      <w:bookmarkEnd w:id="44"/>
      <w:bookmarkEnd w:id="45"/>
      <w:bookmarkEnd w:id="46"/>
      <w:r w:rsidRPr="00FD274F">
        <w:t xml:space="preserve">Subject to any contrary provision in an Act, a provision of an instrument may commence retrospectively </w:t>
      </w:r>
      <w:r w:rsidRPr="00DE3286">
        <w:t>(</w:t>
      </w:r>
      <w:hyperlink r:id="rId156" w:history="1">
        <w:r w:rsidRPr="00DE3286">
          <w:rPr>
            <w:rStyle w:val="Hyperlink"/>
          </w:rPr>
          <w:t>LA</w:t>
        </w:r>
      </w:hyperlink>
      <w:r w:rsidRPr="00DE3286">
        <w:t xml:space="preserve"> s 12(</w:t>
      </w:r>
      <w:r w:rsidR="00192FEA" w:rsidRPr="00DE3286">
        <w:t>1A</w:t>
      </w:r>
      <w:r w:rsidRPr="00DE3286">
        <w:t>)</w:t>
      </w:r>
      <w:r w:rsidR="00192FEA" w:rsidRPr="00DE3286">
        <w:t xml:space="preserve"> and (2)</w:t>
      </w:r>
      <w:r w:rsidRPr="00DE3286">
        <w:t>).</w:t>
      </w:r>
      <w:r w:rsidRPr="00FD274F">
        <w:t xml:space="preserve"> However, a provision that commences before it is registered does not apply in relation to a person (other than the Commonwealth or an authority of the Commonwealth) to the extent that as a result </w:t>
      </w:r>
      <w:r w:rsidRPr="00DE3286">
        <w:t>(</w:t>
      </w:r>
      <w:hyperlink r:id="rId157" w:history="1">
        <w:r w:rsidRPr="00DE3286">
          <w:rPr>
            <w:rStyle w:val="Hyperlink"/>
          </w:rPr>
          <w:t>LA</w:t>
        </w:r>
      </w:hyperlink>
      <w:r w:rsidRPr="00DE3286">
        <w:rPr>
          <w:rStyle w:val="Hyperlink"/>
        </w:rPr>
        <w:t xml:space="preserve"> </w:t>
      </w:r>
      <w:r w:rsidRPr="00DE3286">
        <w:t>s 12(2)):</w:t>
      </w:r>
      <w:bookmarkEnd w:id="47"/>
      <w:bookmarkEnd w:id="48"/>
    </w:p>
    <w:p w14:paraId="4195F9F1" w14:textId="77777777" w:rsidR="0037654B" w:rsidRPr="00FD274F" w:rsidRDefault="0037654B" w:rsidP="0037654B">
      <w:pPr>
        <w:pStyle w:val="BodyPara"/>
      </w:pPr>
      <w:r w:rsidRPr="00FD274F">
        <w:t xml:space="preserve">the person’s rights as at </w:t>
      </w:r>
      <w:r w:rsidR="00192FEA">
        <w:t>the time the instrument is registered</w:t>
      </w:r>
      <w:r w:rsidRPr="00FD274F">
        <w:t xml:space="preserve"> would be affected so as to disadvantage the person; or</w:t>
      </w:r>
    </w:p>
    <w:p w14:paraId="31A26CC4" w14:textId="77777777" w:rsidR="0037654B" w:rsidRDefault="0037654B" w:rsidP="0037654B">
      <w:pPr>
        <w:pStyle w:val="BodyPara"/>
      </w:pPr>
      <w:r w:rsidRPr="00FD274F">
        <w:t xml:space="preserve">liabilities would be imposed on the person in respect of anything done or omitted to be done before </w:t>
      </w:r>
      <w:r w:rsidR="00192FEA">
        <w:t>the instrument is registered</w:t>
      </w:r>
      <w:r w:rsidRPr="00FD274F">
        <w:t>.</w:t>
      </w:r>
    </w:p>
    <w:p w14:paraId="3F33695B" w14:textId="0A78752F" w:rsidR="006903BF" w:rsidRPr="006903BF" w:rsidRDefault="006903BF" w:rsidP="006903BF">
      <w:pPr>
        <w:pStyle w:val="BodyNum"/>
      </w:pPr>
      <w:bookmarkStart w:id="49" w:name="_Ref82670539"/>
      <w:r>
        <w:t>It is for this reason that legislative instruments should generally not be expressed to commence when the instrument is signed because this will be before the instrument is registered</w:t>
      </w:r>
      <w:r w:rsidR="000B3456">
        <w:t>,</w:t>
      </w:r>
      <w:r>
        <w:t xml:space="preserve"> and so the rules in </w:t>
      </w:r>
      <w:hyperlink r:id="rId158" w:history="1">
        <w:r w:rsidRPr="00DE3286">
          <w:rPr>
            <w:rStyle w:val="Hyperlink"/>
          </w:rPr>
          <w:t>LA</w:t>
        </w:r>
      </w:hyperlink>
      <w:r w:rsidRPr="00DE3286">
        <w:t xml:space="preserve"> s 12(1A) and (2)</w:t>
      </w:r>
      <w:r>
        <w:t xml:space="preserve"> will apply. </w:t>
      </w:r>
    </w:p>
    <w:bookmarkEnd w:id="49"/>
    <w:p w14:paraId="325D8CD8" w14:textId="77777777" w:rsidR="007A03DA" w:rsidRDefault="001864E9" w:rsidP="0037654B">
      <w:pPr>
        <w:pStyle w:val="BodyNum"/>
      </w:pPr>
      <w:r>
        <w:lastRenderedPageBreak/>
        <w:t xml:space="preserve">Care </w:t>
      </w:r>
      <w:r w:rsidR="007A03DA">
        <w:t xml:space="preserve">should </w:t>
      </w:r>
      <w:r>
        <w:t xml:space="preserve">also </w:t>
      </w:r>
      <w:r w:rsidR="007A03DA">
        <w:t xml:space="preserve">be taken to avoid having regulations made under a provision in a Bill if the regulations are </w:t>
      </w:r>
      <w:r>
        <w:t xml:space="preserve">to be </w:t>
      </w:r>
      <w:r w:rsidR="007A03DA">
        <w:t xml:space="preserve">made on the same day as the Bill is </w:t>
      </w:r>
      <w:r>
        <w:t xml:space="preserve">to be </w:t>
      </w:r>
      <w:r w:rsidR="007A03DA">
        <w:t xml:space="preserve">given Royal Assent. While this can be organised, it does require careful timing to ensure that the Royal Assent is given before the regulations are made. You should raise this with the </w:t>
      </w:r>
      <w:proofErr w:type="spellStart"/>
      <w:r w:rsidR="007A03DA">
        <w:t>ExCo</w:t>
      </w:r>
      <w:proofErr w:type="spellEnd"/>
      <w:r w:rsidR="007A03DA">
        <w:t xml:space="preserve"> Secretariat if this is required.</w:t>
      </w:r>
    </w:p>
    <w:p w14:paraId="49F10A91" w14:textId="0779B2FB" w:rsidR="001864E9" w:rsidRDefault="001864E9" w:rsidP="001864E9">
      <w:pPr>
        <w:pStyle w:val="BodyNum"/>
      </w:pPr>
      <w:bookmarkStart w:id="50" w:name="_Ref444873872"/>
      <w:r>
        <w:t>A</w:t>
      </w:r>
      <w:r w:rsidRPr="00FD274F">
        <w:t xml:space="preserve"> legislative instrument is not enforceable unless and until it is registered as a legislative instrument </w:t>
      </w:r>
      <w:r w:rsidRPr="00E21206">
        <w:t>(</w:t>
      </w:r>
      <w:hyperlink r:id="rId159" w:history="1">
        <w:r w:rsidRPr="00E21206">
          <w:rPr>
            <w:rStyle w:val="Hyperlink"/>
          </w:rPr>
          <w:t>LA</w:t>
        </w:r>
      </w:hyperlink>
      <w:r w:rsidRPr="00E21206">
        <w:t xml:space="preserve"> s 15K(1)).</w:t>
      </w:r>
      <w:bookmarkEnd w:id="50"/>
    </w:p>
    <w:p w14:paraId="3F2F3D2F" w14:textId="7EF0C0E4" w:rsidR="0037654B" w:rsidRPr="00E21206" w:rsidRDefault="0037654B" w:rsidP="0037654B">
      <w:pPr>
        <w:pStyle w:val="BodyNum"/>
      </w:pPr>
      <w:bookmarkStart w:id="51" w:name="_Ref112918881"/>
      <w:r w:rsidRPr="00FD274F">
        <w:t>Retrospectivity is an issue of concern to the Parliame</w:t>
      </w:r>
      <w:r w:rsidRPr="00B06770">
        <w:t>nt, s</w:t>
      </w:r>
      <w:r w:rsidRPr="00FD274F">
        <w:t>o if an instrument contains a retrospective provision, the instrument’s explanatory statement</w:t>
      </w:r>
      <w:r w:rsidR="00A83DA9" w:rsidRPr="00B06770">
        <w:t xml:space="preserve"> (see </w:t>
      </w:r>
      <w:hyperlink w:anchor="Chapter8" w:history="1">
        <w:r w:rsidR="006C574C">
          <w:rPr>
            <w:rStyle w:val="Hyperlink"/>
          </w:rPr>
          <w:t>Chapter 8</w:t>
        </w:r>
      </w:hyperlink>
      <w:r w:rsidR="00A83DA9" w:rsidRPr="00B06770">
        <w:t>)</w:t>
      </w:r>
      <w:r w:rsidRPr="00FD274F">
        <w:t xml:space="preserve"> should explain why retrospective commencement is appropriate and include an assurance that it is not affected by </w:t>
      </w:r>
      <w:r w:rsidRPr="00E21206">
        <w:t xml:space="preserve">subsection 12(2) of the </w:t>
      </w:r>
      <w:hyperlink r:id="rId160" w:history="1">
        <w:r w:rsidRPr="00E21206">
          <w:rPr>
            <w:rStyle w:val="Hyperlink"/>
          </w:rPr>
          <w:t>LA</w:t>
        </w:r>
      </w:hyperlink>
      <w:r w:rsidRPr="00E21206">
        <w:t>.</w:t>
      </w:r>
      <w:r w:rsidRPr="00FD274F">
        <w:t xml:space="preserve"> Additional assurances may be required for instruments to be made by the Governor</w:t>
      </w:r>
      <w:r w:rsidR="009C4251">
        <w:noBreakHyphen/>
      </w:r>
      <w:r w:rsidRPr="00FD274F">
        <w:t>General—please refer to the Federal Executive Council Handbook for up</w:t>
      </w:r>
      <w:r w:rsidR="009C4251">
        <w:noBreakHyphen/>
      </w:r>
      <w:r w:rsidRPr="00FD274F">
        <w:t>to</w:t>
      </w:r>
      <w:r w:rsidR="009C4251">
        <w:noBreakHyphen/>
      </w:r>
      <w:r w:rsidRPr="00FD274F">
        <w:t>date information on current requirement</w:t>
      </w:r>
      <w:r w:rsidRPr="00E21206">
        <w:t>s</w:t>
      </w:r>
      <w:r w:rsidRPr="00E21206">
        <w:rPr>
          <w:rStyle w:val="FootnoteReference"/>
        </w:rPr>
        <w:footnoteReference w:id="8"/>
      </w:r>
      <w:r w:rsidR="00942F8D" w:rsidRPr="00E21206">
        <w:t>.</w:t>
      </w:r>
      <w:bookmarkEnd w:id="51"/>
    </w:p>
    <w:p w14:paraId="124B0C1E" w14:textId="06315BE6" w:rsidR="0037654B" w:rsidRPr="00414F6F" w:rsidRDefault="0037654B" w:rsidP="0037654B">
      <w:pPr>
        <w:pStyle w:val="BodyNum"/>
      </w:pPr>
      <w:bookmarkStart w:id="52" w:name="_Ref369624675"/>
      <w:r w:rsidRPr="00FD274F">
        <w:t xml:space="preserve">Special care is also needed if an instrument is being made under a provision of an Act that has received assent but that has not yet commenced. Such an instrument cannot commence before its enabling provision, and is usually expressed as commencing at the same time as the enabling provision commences (rather than on a particular date that might change). There are also limits on what such an instrument can do: see </w:t>
      </w:r>
      <w:r w:rsidRPr="00414F6F">
        <w:t xml:space="preserve">section 4 of the </w:t>
      </w:r>
      <w:hyperlink r:id="rId161" w:history="1">
        <w:r w:rsidRPr="00414F6F">
          <w:rPr>
            <w:rStyle w:val="Hyperlink"/>
            <w:i/>
          </w:rPr>
          <w:t>Acts Interpretation Act 1901</w:t>
        </w:r>
      </w:hyperlink>
      <w:r w:rsidR="00942F8D" w:rsidRPr="00414F6F">
        <w:t>.</w:t>
      </w:r>
    </w:p>
    <w:p w14:paraId="641C9EC8" w14:textId="2E9F456C" w:rsidR="0037654B" w:rsidRPr="00FD274F" w:rsidRDefault="0037654B" w:rsidP="0037654B">
      <w:pPr>
        <w:pStyle w:val="BodyNum"/>
      </w:pPr>
      <w:r w:rsidRPr="00FD274F">
        <w:t xml:space="preserve">If there is no commencement provision, an instrument commences on the start of the day after it is registered </w:t>
      </w:r>
      <w:r w:rsidRPr="00E21206">
        <w:t>(</w:t>
      </w:r>
      <w:hyperlink r:id="rId162" w:history="1">
        <w:r w:rsidRPr="00E21206">
          <w:rPr>
            <w:rStyle w:val="Hyperlink"/>
          </w:rPr>
          <w:t>LA</w:t>
        </w:r>
      </w:hyperlink>
      <w:r w:rsidRPr="00E21206">
        <w:t xml:space="preserve"> s 12(1)(a)).</w:t>
      </w:r>
      <w:bookmarkEnd w:id="52"/>
      <w:r w:rsidRPr="00FD274F">
        <w:t xml:space="preserve"> However, </w:t>
      </w:r>
      <w:proofErr w:type="spellStart"/>
      <w:r w:rsidRPr="00FD274F">
        <w:t>OPC’s</w:t>
      </w:r>
      <w:proofErr w:type="spellEnd"/>
      <w:r w:rsidRPr="00FD274F">
        <w:t xml:space="preserve"> practice when drafting is to always specify when an instrument commences in a separate provision to ensure this is clear.</w:t>
      </w:r>
    </w:p>
    <w:p w14:paraId="39044E3A" w14:textId="77777777" w:rsidR="0037654B" w:rsidRPr="00FD274F" w:rsidRDefault="0037654B" w:rsidP="0037654B">
      <w:pPr>
        <w:pStyle w:val="BodyNum"/>
      </w:pPr>
      <w:bookmarkStart w:id="53" w:name="_Ref386036642"/>
      <w:r w:rsidRPr="00FD274F">
        <w:t xml:space="preserve">For further guidance and advice on commencement issues, please contact </w:t>
      </w:r>
      <w:proofErr w:type="spellStart"/>
      <w:r w:rsidRPr="00FD274F">
        <w:t>OPC</w:t>
      </w:r>
      <w:proofErr w:type="spellEnd"/>
      <w:r w:rsidRPr="00FD274F">
        <w:t>, preferably before an instrument is made.</w:t>
      </w:r>
      <w:bookmarkEnd w:id="53"/>
    </w:p>
    <w:p w14:paraId="7539CC4D" w14:textId="77777777" w:rsidR="0037654B" w:rsidRPr="00FD274F" w:rsidRDefault="0037654B" w:rsidP="0037654B">
      <w:pPr>
        <w:pStyle w:val="Head3"/>
      </w:pPr>
      <w:bookmarkStart w:id="54" w:name="_Toc112918764"/>
      <w:r w:rsidRPr="00FD274F">
        <w:t>Default rules on amendment or repeal</w:t>
      </w:r>
      <w:bookmarkEnd w:id="54"/>
    </w:p>
    <w:p w14:paraId="455F9FE2" w14:textId="4E873C94" w:rsidR="0037654B" w:rsidRPr="00FD274F" w:rsidRDefault="0037654B" w:rsidP="0037654B">
      <w:pPr>
        <w:pStyle w:val="BodyNum"/>
      </w:pPr>
      <w:bookmarkStart w:id="55" w:name="_Ref384376054"/>
      <w:r w:rsidRPr="00FD274F">
        <w:t xml:space="preserve">The general consequences of amending or repealing a legislative instrument, or a provision of a legislative instrument, are set out in </w:t>
      </w:r>
      <w:r w:rsidRPr="00414F6F">
        <w:t xml:space="preserve">section 7 of the </w:t>
      </w:r>
      <w:hyperlink r:id="rId163" w:history="1">
        <w:hyperlink r:id="rId164" w:history="1">
          <w:r w:rsidRPr="00414F6F">
            <w:rPr>
              <w:rStyle w:val="Hyperlink"/>
              <w:i/>
            </w:rPr>
            <w:t>Acts Interpretation Act 1901</w:t>
          </w:r>
        </w:hyperlink>
      </w:hyperlink>
      <w:r w:rsidRPr="00FD274F">
        <w:rPr>
          <w:rStyle w:val="Hyperlink"/>
          <w:i/>
        </w:rPr>
        <w:t xml:space="preserve"> </w:t>
      </w:r>
      <w:r w:rsidRPr="00FD274F">
        <w:t xml:space="preserve">as applied by </w:t>
      </w:r>
      <w:r w:rsidRPr="00E21206">
        <w:t xml:space="preserve">paragraph 13(1)(a) of the </w:t>
      </w:r>
      <w:hyperlink r:id="rId165" w:history="1">
        <w:r w:rsidRPr="00E21206">
          <w:rPr>
            <w:rStyle w:val="Hyperlink"/>
          </w:rPr>
          <w:t>LA</w:t>
        </w:r>
      </w:hyperlink>
      <w:r w:rsidRPr="00E21206">
        <w:t>.</w:t>
      </w:r>
      <w:r w:rsidRPr="00FD274F">
        <w:t xml:space="preserve"> Subject to a contrary intention in an instrument or Act, the amendment or repeal of an instrument does not, among other things:</w:t>
      </w:r>
    </w:p>
    <w:p w14:paraId="008568F6" w14:textId="77777777" w:rsidR="0037654B" w:rsidRPr="00FD274F" w:rsidRDefault="0037654B" w:rsidP="0037654B">
      <w:pPr>
        <w:pStyle w:val="BodyPara"/>
      </w:pPr>
      <w:r w:rsidRPr="00FD274F">
        <w:t>revive an instrument or provision repealed by the first instrument or provision unless express provision is made for the revival; or</w:t>
      </w:r>
    </w:p>
    <w:p w14:paraId="19186043" w14:textId="77777777" w:rsidR="0037654B" w:rsidRPr="00FD274F" w:rsidRDefault="0037654B" w:rsidP="0037654B">
      <w:pPr>
        <w:pStyle w:val="BodyPara"/>
      </w:pPr>
      <w:r w:rsidRPr="00FD274F">
        <w:t>revive anything else not in force or existing when the repeal or amendment takes effect (unless express provision is and can be made for the revival); or</w:t>
      </w:r>
    </w:p>
    <w:p w14:paraId="5731BB56" w14:textId="77777777" w:rsidR="0037654B" w:rsidRPr="00FD274F" w:rsidRDefault="0037654B" w:rsidP="0037654B">
      <w:pPr>
        <w:pStyle w:val="BodyPara"/>
      </w:pPr>
      <w:r w:rsidRPr="00FD274F">
        <w:t>affect the previous operation of (including any amendment made by), or anything done under, the instrument or provision; or</w:t>
      </w:r>
    </w:p>
    <w:p w14:paraId="29ECC525" w14:textId="77777777" w:rsidR="0037654B" w:rsidRPr="00FD274F" w:rsidRDefault="0037654B" w:rsidP="0037654B">
      <w:pPr>
        <w:pStyle w:val="BodyPara"/>
      </w:pPr>
      <w:r w:rsidRPr="00FD274F">
        <w:t>affect any right, privilege, obligation or liability acquired, accrued or incurred under the instrument or provision; or</w:t>
      </w:r>
    </w:p>
    <w:p w14:paraId="7B53F800" w14:textId="77777777" w:rsidR="0037654B" w:rsidRPr="00FD274F" w:rsidRDefault="0037654B" w:rsidP="0037654B">
      <w:pPr>
        <w:pStyle w:val="BodyPara"/>
      </w:pPr>
      <w:r w:rsidRPr="00FD274F">
        <w:lastRenderedPageBreak/>
        <w:t xml:space="preserve">affect any penalty, forfeiture or punishment incurred in respect of an offence committed against </w:t>
      </w:r>
      <w:r w:rsidR="00942F8D">
        <w:t>the instrument or provision; or</w:t>
      </w:r>
    </w:p>
    <w:p w14:paraId="5F5E16DA" w14:textId="77777777" w:rsidR="0037654B" w:rsidRPr="00FD274F" w:rsidRDefault="0037654B" w:rsidP="0037654B">
      <w:pPr>
        <w:pStyle w:val="BodyPara"/>
      </w:pPr>
      <w:r w:rsidRPr="00FD274F">
        <w:t>affect any associated investigation, legal proceeding or remedy.</w:t>
      </w:r>
    </w:p>
    <w:p w14:paraId="379F96F7" w14:textId="6F6749BD" w:rsidR="0037654B" w:rsidRPr="00FD274F" w:rsidRDefault="0037654B" w:rsidP="0037654B">
      <w:pPr>
        <w:pStyle w:val="BodyNum"/>
      </w:pPr>
      <w:r w:rsidRPr="00FD274F">
        <w:t xml:space="preserve">Under </w:t>
      </w:r>
      <w:r w:rsidRPr="005735D0">
        <w:t xml:space="preserve">the </w:t>
      </w:r>
      <w:hyperlink r:id="rId166" w:history="1">
        <w:r w:rsidR="00F66686" w:rsidRPr="005735D0">
          <w:rPr>
            <w:rStyle w:val="Hyperlink"/>
          </w:rPr>
          <w:t>LA</w:t>
        </w:r>
      </w:hyperlink>
      <w:r w:rsidRPr="005735D0">
        <w:t>, a</w:t>
      </w:r>
      <w:r w:rsidRPr="00FD274F">
        <w:t xml:space="preserve">mending an instrument generally triggers a requirement for one or more compilations to be prepared (see </w:t>
      </w:r>
      <w:hyperlink w:anchor="Chapter5" w:history="1">
        <w:r w:rsidRPr="005C17A5">
          <w:rPr>
            <w:rStyle w:val="Hyperlink"/>
          </w:rPr>
          <w:t>Chapter 5</w:t>
        </w:r>
      </w:hyperlink>
      <w:r w:rsidR="001F5A17">
        <w:t>)</w:t>
      </w:r>
      <w:r w:rsidRPr="00FD274F">
        <w:t xml:space="preserve"> but does not affect any sunset date that may apply to the instrument unde</w:t>
      </w:r>
      <w:r w:rsidRPr="005735D0">
        <w:t xml:space="preserve">r Part 4 of Chapter 3 of the </w:t>
      </w:r>
      <w:hyperlink r:id="rId167" w:history="1">
        <w:r w:rsidRPr="005735D0">
          <w:rPr>
            <w:rStyle w:val="Hyperlink"/>
          </w:rPr>
          <w:t>LA</w:t>
        </w:r>
      </w:hyperlink>
      <w:r w:rsidRPr="005C17A5">
        <w:rPr>
          <w:rStyle w:val="Hyperlink"/>
        </w:rPr>
        <w:t xml:space="preserve"> </w:t>
      </w:r>
      <w:r w:rsidRPr="005C17A5">
        <w:t xml:space="preserve">(see </w:t>
      </w:r>
      <w:hyperlink w:anchor="Chapter10" w:history="1">
        <w:r w:rsidRPr="005C17A5">
          <w:rPr>
            <w:rStyle w:val="Hyperlink"/>
          </w:rPr>
          <w:t>Chapter 10</w:t>
        </w:r>
      </w:hyperlink>
      <w:r w:rsidRPr="005C17A5">
        <w:t>).</w:t>
      </w:r>
      <w:r w:rsidRPr="00FD274F">
        <w:t xml:space="preserve"> Consequently, it may be better to </w:t>
      </w:r>
      <w:r w:rsidR="005E23E3">
        <w:t>repeal and replace</w:t>
      </w:r>
      <w:r w:rsidRPr="00FD274F">
        <w:t xml:space="preserve"> an instrument if it is approaching its sunset date or if extensive changes are being made to the text of the instrument.</w:t>
      </w:r>
    </w:p>
    <w:p w14:paraId="006F5F8B" w14:textId="35185499" w:rsidR="0037654B" w:rsidRPr="00FD274F" w:rsidRDefault="0037654B" w:rsidP="0037654B">
      <w:pPr>
        <w:pStyle w:val="BodyNum"/>
      </w:pPr>
      <w:r w:rsidRPr="00FD274F">
        <w:t>If an instrument is repealed, it is not removed from the Register. The instrument remains on permanen</w:t>
      </w:r>
      <w:r w:rsidR="001F5A17">
        <w:t>t public record on the Register</w:t>
      </w:r>
      <w:r w:rsidRPr="00FD274F">
        <w:t xml:space="preserve"> but is no longer displayed as in force.</w:t>
      </w:r>
      <w:r w:rsidR="00F068FE" w:rsidRPr="00FD274F">
        <w:t xml:space="preserve"> </w:t>
      </w:r>
      <w:r w:rsidRPr="00FD274F">
        <w:t>Th</w:t>
      </w:r>
      <w:r w:rsidRPr="005735D0">
        <w:t xml:space="preserve">e </w:t>
      </w:r>
      <w:hyperlink r:id="rId168" w:history="1">
        <w:r w:rsidR="00622CC0" w:rsidRPr="005735D0">
          <w:rPr>
            <w:rStyle w:val="Hyperlink"/>
          </w:rPr>
          <w:t>LA</w:t>
        </w:r>
      </w:hyperlink>
      <w:r w:rsidRPr="00FD274F">
        <w:t xml:space="preserve"> makes no provision for registered instruments (or parts of registered instruments) to be removed from the Register for any reason.</w:t>
      </w:r>
    </w:p>
    <w:p w14:paraId="4BB11ADB" w14:textId="77777777" w:rsidR="0037654B" w:rsidRPr="00FD274F" w:rsidRDefault="0037654B" w:rsidP="0037654B">
      <w:pPr>
        <w:pStyle w:val="Head4"/>
      </w:pPr>
      <w:bookmarkStart w:id="56" w:name="_Toc112918765"/>
      <w:r w:rsidRPr="00FD274F">
        <w:t>Amending and repealing instruments</w:t>
      </w:r>
      <w:bookmarkEnd w:id="56"/>
    </w:p>
    <w:p w14:paraId="646028B6" w14:textId="4DEB6E1A" w:rsidR="0037654B" w:rsidRPr="00FD274F" w:rsidRDefault="0037654B" w:rsidP="0037654B">
      <w:pPr>
        <w:pStyle w:val="BodyNum"/>
      </w:pPr>
      <w:r w:rsidRPr="00FD274F">
        <w:t>A rule</w:t>
      </w:r>
      <w:r w:rsidR="009C4251">
        <w:noBreakHyphen/>
      </w:r>
      <w:r w:rsidRPr="00FD274F">
        <w:t>maker who is authorised to make a particular type of instrument may amend or repeal any instrument of the same type that is in force. However, the rule</w:t>
      </w:r>
      <w:r w:rsidR="009C4251">
        <w:noBreakHyphen/>
      </w:r>
      <w:r w:rsidRPr="00FD274F">
        <w:t xml:space="preserve">maker must have regard to any special provisions in the instrument’s enabling legislation and the default provisions of the </w:t>
      </w:r>
      <w:hyperlink r:id="rId169" w:history="1">
        <w:hyperlink r:id="rId170" w:history="1">
          <w:r w:rsidRPr="00414F6F">
            <w:rPr>
              <w:rStyle w:val="Hyperlink"/>
              <w:i/>
            </w:rPr>
            <w:t>Acts Interpretation Act 1901</w:t>
          </w:r>
        </w:hyperlink>
      </w:hyperlink>
      <w:r w:rsidRPr="00414F6F">
        <w:t xml:space="preserve"> an</w:t>
      </w:r>
      <w:r w:rsidRPr="00FD274F">
        <w:t>d th</w:t>
      </w:r>
      <w:r w:rsidRPr="005735D0">
        <w:t xml:space="preserve">e </w:t>
      </w:r>
      <w:hyperlink r:id="rId171" w:history="1">
        <w:r w:rsidRPr="005735D0">
          <w:rPr>
            <w:rStyle w:val="Hyperlink"/>
          </w:rPr>
          <w:t>LA</w:t>
        </w:r>
      </w:hyperlink>
      <w:r w:rsidRPr="005735D0">
        <w:t>. T</w:t>
      </w:r>
      <w:r w:rsidRPr="00FD274F">
        <w:t>he rule</w:t>
      </w:r>
      <w:r w:rsidR="009C4251">
        <w:noBreakHyphen/>
      </w:r>
      <w:r w:rsidRPr="00FD274F">
        <w:t>maker should also:</w:t>
      </w:r>
    </w:p>
    <w:p w14:paraId="5806BBA9" w14:textId="77777777" w:rsidR="0037654B" w:rsidRPr="00FD274F" w:rsidRDefault="0037654B" w:rsidP="0037654B">
      <w:pPr>
        <w:pStyle w:val="BodyPara"/>
      </w:pPr>
      <w:r w:rsidRPr="00FD274F">
        <w:t>ensure that each instrument to be amended or repealed is clearly identified; and</w:t>
      </w:r>
    </w:p>
    <w:p w14:paraId="155A31AA" w14:textId="3E3B35B5" w:rsidR="0037654B" w:rsidRPr="00FD274F" w:rsidRDefault="0037654B" w:rsidP="0037654B">
      <w:pPr>
        <w:pStyle w:val="BodyPara"/>
      </w:pPr>
      <w:r w:rsidRPr="00FD274F">
        <w:t>consider whether a saving, transitional, application or self</w:t>
      </w:r>
      <w:r w:rsidR="009C4251">
        <w:noBreakHyphen/>
      </w:r>
      <w:r w:rsidRPr="00FD274F">
        <w:t xml:space="preserve">repealing provision is needed (see </w:t>
      </w:r>
      <w:r w:rsidRPr="005C17A5">
        <w:t xml:space="preserve">also paragraphs </w:t>
      </w:r>
      <w:r w:rsidRPr="005735D0">
        <w:fldChar w:fldCharType="begin"/>
      </w:r>
      <w:r w:rsidRPr="005C17A5">
        <w:instrText xml:space="preserve"> REF _Ref384650277 \r \h </w:instrText>
      </w:r>
      <w:r w:rsidR="00F308D0" w:rsidRPr="005C17A5">
        <w:instrText xml:space="preserve"> \* MERGEFORMAT </w:instrText>
      </w:r>
      <w:r w:rsidRPr="005735D0">
        <w:fldChar w:fldCharType="separate"/>
      </w:r>
      <w:r w:rsidR="003E1B43" w:rsidRPr="005C17A5">
        <w:t>92</w:t>
      </w:r>
      <w:r w:rsidRPr="005735D0">
        <w:fldChar w:fldCharType="end"/>
      </w:r>
      <w:r w:rsidRPr="005C17A5">
        <w:t xml:space="preserve"> and</w:t>
      </w:r>
      <w:r w:rsidR="00DE3D92" w:rsidRPr="005C17A5">
        <w:t xml:space="preserve"> </w:t>
      </w:r>
      <w:r w:rsidR="00DE3D92" w:rsidRPr="005735D0">
        <w:fldChar w:fldCharType="begin"/>
      </w:r>
      <w:r w:rsidR="00DE3D92" w:rsidRPr="005C17A5">
        <w:instrText xml:space="preserve"> REF _Ref384706703 \r \h </w:instrText>
      </w:r>
      <w:r w:rsidR="00537794">
        <w:rPr>
          <w:highlight w:val="yellow"/>
        </w:rPr>
        <w:instrText xml:space="preserve"> \* MERGEFORMAT </w:instrText>
      </w:r>
      <w:r w:rsidR="00DE3D92" w:rsidRPr="005735D0">
        <w:fldChar w:fldCharType="separate"/>
      </w:r>
      <w:r w:rsidR="003E1B43" w:rsidRPr="005C17A5">
        <w:t>93</w:t>
      </w:r>
      <w:r w:rsidR="00DE3D92" w:rsidRPr="005735D0">
        <w:fldChar w:fldCharType="end"/>
      </w:r>
      <w:r w:rsidR="00942F8D" w:rsidRPr="005C17A5">
        <w:t>);</w:t>
      </w:r>
      <w:r w:rsidR="00942F8D">
        <w:t xml:space="preserve"> and</w:t>
      </w:r>
    </w:p>
    <w:p w14:paraId="4030167B" w14:textId="77777777" w:rsidR="0037654B" w:rsidRPr="00FD274F" w:rsidRDefault="0037654B" w:rsidP="0037654B">
      <w:pPr>
        <w:pStyle w:val="BodyPara"/>
      </w:pPr>
      <w:r w:rsidRPr="00FD274F">
        <w:t>consider whether separate instruments are needed e.g. because only some of the instruments to be dealt with would normally be subject to disallowance.</w:t>
      </w:r>
    </w:p>
    <w:p w14:paraId="0FDB50B7" w14:textId="521B21C3" w:rsidR="0037654B" w:rsidRPr="005735D0" w:rsidRDefault="0037654B" w:rsidP="0037654B">
      <w:pPr>
        <w:pStyle w:val="BodyNum"/>
      </w:pPr>
      <w:r w:rsidRPr="00FD274F">
        <w:t xml:space="preserve">To ensure that an amendment or repeal is effective and does not have unintended consequences, it is essential to clearly identify each instrument that is to be amended or repealed. Under </w:t>
      </w:r>
      <w:r w:rsidRPr="00DF0E7B">
        <w:t xml:space="preserve">paragraph 40(1A)(b) of the </w:t>
      </w:r>
      <w:hyperlink r:id="rId172" w:history="1">
        <w:hyperlink r:id="rId173" w:history="1">
          <w:r w:rsidRPr="00DF0E7B">
            <w:rPr>
              <w:rStyle w:val="Hyperlink"/>
              <w:i/>
            </w:rPr>
            <w:t>Acts Interpretation Act 1901</w:t>
          </w:r>
        </w:hyperlink>
      </w:hyperlink>
      <w:r w:rsidRPr="00DF0E7B">
        <w:t xml:space="preserve"> (as ap</w:t>
      </w:r>
      <w:r w:rsidRPr="00FD274F">
        <w:t xml:space="preserve">plied by </w:t>
      </w:r>
      <w:r w:rsidRPr="005735D0">
        <w:t xml:space="preserve">paragraph 13(1)(a) of the </w:t>
      </w:r>
      <w:hyperlink r:id="rId174" w:history="1">
        <w:r w:rsidRPr="005735D0">
          <w:rPr>
            <w:rStyle w:val="Hyperlink"/>
          </w:rPr>
          <w:t>LA</w:t>
        </w:r>
      </w:hyperlink>
      <w:r w:rsidRPr="005735D0">
        <w:t xml:space="preserve">), a legislative instrument may be identified by </w:t>
      </w:r>
      <w:r w:rsidR="003B6911" w:rsidRPr="005735D0">
        <w:t xml:space="preserve">any </w:t>
      </w:r>
      <w:r w:rsidRPr="005735D0">
        <w:t>of the following:</w:t>
      </w:r>
    </w:p>
    <w:p w14:paraId="6BB442C3" w14:textId="77777777" w:rsidR="0037654B" w:rsidRPr="00FD274F" w:rsidRDefault="0037654B" w:rsidP="0037654B">
      <w:pPr>
        <w:pStyle w:val="BodyPara"/>
      </w:pPr>
      <w:r w:rsidRPr="00FD274F">
        <w:t>its name, if the instrument has a unique name equivalent to the short title of an Act;</w:t>
      </w:r>
    </w:p>
    <w:p w14:paraId="7D721B36" w14:textId="75EB1FC9" w:rsidR="003B6911" w:rsidRDefault="003B6911" w:rsidP="003B6911">
      <w:pPr>
        <w:pStyle w:val="BodyPara"/>
      </w:pPr>
      <w:r>
        <w:t xml:space="preserve">a unique identifier given to the instrument in accordance with rules prescribed under </w:t>
      </w:r>
      <w:r w:rsidRPr="005735D0">
        <w:t xml:space="preserve">the </w:t>
      </w:r>
      <w:hyperlink r:id="rId175" w:history="1">
        <w:r w:rsidRPr="005735D0">
          <w:rPr>
            <w:rStyle w:val="Hyperlink"/>
          </w:rPr>
          <w:t>LA</w:t>
        </w:r>
      </w:hyperlink>
      <w:r w:rsidRPr="005735D0">
        <w:t>; or</w:t>
      </w:r>
    </w:p>
    <w:p w14:paraId="1D8AE7DF" w14:textId="77777777" w:rsidR="003B6911" w:rsidRDefault="003B6911" w:rsidP="003B6911">
      <w:pPr>
        <w:pStyle w:val="BodyPara"/>
      </w:pPr>
      <w:r>
        <w:t>if the instrument was numbered under a Commonwealth law—the year it was made and its number, together with a reference (if necessary) to the kind of instrument; or</w:t>
      </w:r>
    </w:p>
    <w:p w14:paraId="74EE1639" w14:textId="77777777" w:rsidR="003B6911" w:rsidRDefault="003B6911" w:rsidP="003B6911">
      <w:pPr>
        <w:pStyle w:val="BodyPara"/>
      </w:pPr>
      <w:r>
        <w:t>if the instrument was notified or published in the Gazette—the date and (if necessary) number and page of the Gazette in which it was notified or published; or</w:t>
      </w:r>
    </w:p>
    <w:p w14:paraId="6CD77C18" w14:textId="77777777" w:rsidR="0037654B" w:rsidRPr="00FD274F" w:rsidRDefault="003B6911" w:rsidP="003B6911">
      <w:pPr>
        <w:pStyle w:val="BodyPara"/>
      </w:pPr>
      <w:r>
        <w:lastRenderedPageBreak/>
        <w:t>the date it was made, together with a reference to the Act or instrument, and (if necessary) provision, under which it was made.</w:t>
      </w:r>
    </w:p>
    <w:p w14:paraId="21C09A6F" w14:textId="582F5C14" w:rsidR="0037654B" w:rsidRPr="00FD274F" w:rsidRDefault="0037654B" w:rsidP="0037654B">
      <w:pPr>
        <w:pStyle w:val="BodyNum"/>
      </w:pPr>
      <w:r w:rsidRPr="00FD274F">
        <w:t>In the case of amendments, it is important to ensure that the provisions to be amended are clearly identified to ensure the amendments have effect and a compilation can be prepared that clearly indicates the history of amendments (s</w:t>
      </w:r>
      <w:r w:rsidRPr="005C434C">
        <w:t xml:space="preserve">ee </w:t>
      </w:r>
      <w:hyperlink w:anchor="Chapter5" w:history="1">
        <w:r w:rsidRPr="005C434C">
          <w:rPr>
            <w:rStyle w:val="Hyperlink"/>
          </w:rPr>
          <w:t>Chapter 5</w:t>
        </w:r>
      </w:hyperlink>
      <w:r w:rsidRPr="00FD274F">
        <w:rPr>
          <w:rStyle w:val="Hyperlink"/>
          <w:color w:val="auto"/>
        </w:rPr>
        <w:t>)</w:t>
      </w:r>
      <w:r w:rsidRPr="00FD274F">
        <w:t>. Unless a specific practice is required by the enabling legislation, it is also important:</w:t>
      </w:r>
    </w:p>
    <w:p w14:paraId="74F15595" w14:textId="14A667FB" w:rsidR="0037654B" w:rsidRPr="00FD274F" w:rsidRDefault="0037654B" w:rsidP="0037654B">
      <w:pPr>
        <w:pStyle w:val="BodyPara"/>
      </w:pPr>
      <w:r w:rsidRPr="00FD274F">
        <w:t xml:space="preserve">to clearly indicate that the relevant instrument is being amended, preferably by using the word “amend” for consistency with the </w:t>
      </w:r>
      <w:hyperlink r:id="rId176" w:history="1">
        <w:hyperlink r:id="rId177" w:history="1">
          <w:r w:rsidRPr="00DF0E7B">
            <w:rPr>
              <w:rStyle w:val="Hyperlink"/>
              <w:i/>
            </w:rPr>
            <w:t>Acts Interpretation Act 1901</w:t>
          </w:r>
        </w:hyperlink>
      </w:hyperlink>
      <w:r w:rsidRPr="00FD274F">
        <w:t xml:space="preserve"> and </w:t>
      </w:r>
      <w:r w:rsidRPr="0033228A">
        <w:t xml:space="preserve">the </w:t>
      </w:r>
      <w:hyperlink r:id="rId178" w:history="1">
        <w:r w:rsidRPr="0033228A">
          <w:rPr>
            <w:rStyle w:val="Hyperlink"/>
          </w:rPr>
          <w:t>LA</w:t>
        </w:r>
      </w:hyperlink>
      <w:r w:rsidRPr="0033228A">
        <w:t>;</w:t>
      </w:r>
      <w:r w:rsidRPr="00FD274F">
        <w:t xml:space="preserve"> and</w:t>
      </w:r>
    </w:p>
    <w:p w14:paraId="696D3D59" w14:textId="77777777" w:rsidR="0037654B" w:rsidRPr="00FD274F" w:rsidRDefault="0037654B" w:rsidP="0037654B">
      <w:pPr>
        <w:pStyle w:val="BodyPara"/>
      </w:pPr>
      <w:r w:rsidRPr="00FD274F">
        <w:t>to avoid a potentially ambiguous term that may have other meanings such as modify, sup</w:t>
      </w:r>
      <w:r w:rsidR="00942F8D">
        <w:t>ersede, replace or reverse; and</w:t>
      </w:r>
    </w:p>
    <w:p w14:paraId="1ED761DD" w14:textId="5EF928D0" w:rsidR="0037654B" w:rsidRPr="00FD274F" w:rsidRDefault="0037654B" w:rsidP="0037654B">
      <w:pPr>
        <w:pStyle w:val="BodyPara"/>
      </w:pPr>
      <w:r w:rsidRPr="00FD274F">
        <w:t xml:space="preserve">to ensure that any provisions that are inserted are numbered appropriately—for further guidance on numbering and renumbering issues, see </w:t>
      </w:r>
      <w:r w:rsidRPr="005C434C">
        <w:t xml:space="preserve">paragraph </w:t>
      </w:r>
      <w:r w:rsidRPr="0033228A">
        <w:fldChar w:fldCharType="begin"/>
      </w:r>
      <w:r w:rsidRPr="005C434C">
        <w:instrText xml:space="preserve"> REF _Ref422844015 \r \h  \* MERGEFORMAT </w:instrText>
      </w:r>
      <w:r w:rsidRPr="0033228A">
        <w:fldChar w:fldCharType="separate"/>
      </w:r>
      <w:r w:rsidR="003E1B43" w:rsidRPr="005C434C">
        <w:t>64</w:t>
      </w:r>
      <w:r w:rsidRPr="0033228A">
        <w:fldChar w:fldCharType="end"/>
      </w:r>
      <w:r w:rsidR="00942F8D" w:rsidRPr="005C434C">
        <w:t>;</w:t>
      </w:r>
      <w:r w:rsidR="00942F8D">
        <w:t xml:space="preserve"> and</w:t>
      </w:r>
    </w:p>
    <w:p w14:paraId="47D22FA7" w14:textId="77777777" w:rsidR="0037654B" w:rsidRPr="00FD274F" w:rsidRDefault="0037654B" w:rsidP="0037654B">
      <w:pPr>
        <w:pStyle w:val="BodyPara"/>
      </w:pPr>
      <w:r w:rsidRPr="00FD274F">
        <w:t>to include any application, saving or transitional provisions relating to an amendment into the principal instrument by amendment.</w:t>
      </w:r>
    </w:p>
    <w:p w14:paraId="657B07BC" w14:textId="179FA60E" w:rsidR="0037654B" w:rsidRPr="00DF0E7B" w:rsidRDefault="0037654B" w:rsidP="0037654B">
      <w:pPr>
        <w:pStyle w:val="BodyNum"/>
      </w:pPr>
      <w:r w:rsidRPr="00FD274F">
        <w:t xml:space="preserve">It is </w:t>
      </w:r>
      <w:proofErr w:type="spellStart"/>
      <w:r w:rsidRPr="00FD274F">
        <w:t>OPC’s</w:t>
      </w:r>
      <w:proofErr w:type="spellEnd"/>
      <w:r w:rsidRPr="00FD274F">
        <w:t xml:space="preserve"> drafting practice to present amendments and partial repeals in one or more Schedules, and to number the Schedules so that even if there is only one Schedule, it is called “Schedule 1”. Further guidance on such matters is available in the </w:t>
      </w:r>
      <w:proofErr w:type="spellStart"/>
      <w:r w:rsidRPr="00FD274F">
        <w:t>O</w:t>
      </w:r>
      <w:r w:rsidRPr="0033228A">
        <w:t>P</w:t>
      </w:r>
      <w:r w:rsidRPr="00FD274F">
        <w:t>C</w:t>
      </w:r>
      <w:proofErr w:type="spellEnd"/>
      <w:r w:rsidRPr="00FD274F">
        <w:t xml:space="preserve"> </w:t>
      </w:r>
      <w:hyperlink r:id="rId179" w:history="1">
        <w:r w:rsidRPr="00DF0E7B">
          <w:rPr>
            <w:rStyle w:val="Hyperlink"/>
          </w:rPr>
          <w:t>Amending forms manual</w:t>
        </w:r>
      </w:hyperlink>
      <w:r w:rsidRPr="00DF0E7B">
        <w:t>.</w:t>
      </w:r>
    </w:p>
    <w:p w14:paraId="3BE4B0FB" w14:textId="547793AA" w:rsidR="0037654B" w:rsidRPr="00FD274F" w:rsidRDefault="0037654B" w:rsidP="0037654B">
      <w:pPr>
        <w:pStyle w:val="BodyNum"/>
      </w:pPr>
      <w:r w:rsidRPr="00FD274F">
        <w:t>Amending an instrument does not change when it sunsets, so the date of amendment provided by the rule</w:t>
      </w:r>
      <w:r w:rsidR="009C4251">
        <w:noBreakHyphen/>
      </w:r>
      <w:r w:rsidRPr="00FD274F">
        <w:t xml:space="preserve">maker cannot be later than any sunset date that already applies to an instrument under </w:t>
      </w:r>
      <w:r w:rsidRPr="0033228A">
        <w:t xml:space="preserve">Part 4 of Chapter 3 of the </w:t>
      </w:r>
      <w:hyperlink r:id="rId180" w:history="1">
        <w:r w:rsidRPr="0033228A">
          <w:rPr>
            <w:rStyle w:val="Hyperlink"/>
          </w:rPr>
          <w:t>LA</w:t>
        </w:r>
      </w:hyperlink>
      <w:r w:rsidRPr="0033228A">
        <w:t>. If</w:t>
      </w:r>
      <w:r w:rsidRPr="00FD274F">
        <w:t xml:space="preserve"> the sunset date is soon, there may be workload and other benefits in making a single replacement instrument that incorporates amendments. More information on sunsetting issues is provided in </w:t>
      </w:r>
      <w:hyperlink w:anchor="Chapter10" w:history="1">
        <w:r w:rsidRPr="005C434C">
          <w:rPr>
            <w:rStyle w:val="Hyperlink"/>
          </w:rPr>
          <w:t>Chapter 10</w:t>
        </w:r>
      </w:hyperlink>
      <w:r w:rsidRPr="00FD274F">
        <w:t>.</w:t>
      </w:r>
    </w:p>
    <w:p w14:paraId="4F66666C" w14:textId="0E9AC8CB" w:rsidR="0037654B" w:rsidRPr="00FD274F" w:rsidRDefault="0037654B" w:rsidP="0037654B">
      <w:pPr>
        <w:pStyle w:val="BodyNum"/>
      </w:pPr>
      <w:r w:rsidRPr="00FD274F">
        <w:t xml:space="preserve">In repealing an instrument in its entirety, the date of repeal </w:t>
      </w:r>
      <w:bookmarkStart w:id="57" w:name="_Ref367446721"/>
      <w:r w:rsidRPr="00FD274F">
        <w:t>provided by the rule</w:t>
      </w:r>
      <w:r w:rsidR="009C4251">
        <w:noBreakHyphen/>
      </w:r>
      <w:r w:rsidRPr="00FD274F">
        <w:t xml:space="preserve">maker </w:t>
      </w:r>
      <w:r w:rsidR="00025A58">
        <w:t>will have no effect if it is</w:t>
      </w:r>
      <w:r w:rsidRPr="00FD274F">
        <w:t xml:space="preserve"> later than any sunset date that already applies under </w:t>
      </w:r>
      <w:r w:rsidRPr="0033228A">
        <w:t xml:space="preserve">Part 4 of Chapter 3 of the </w:t>
      </w:r>
      <w:hyperlink r:id="rId181" w:history="1">
        <w:r w:rsidR="00622CC0" w:rsidRPr="0033228A">
          <w:rPr>
            <w:rStyle w:val="Hyperlink"/>
          </w:rPr>
          <w:t>LA</w:t>
        </w:r>
      </w:hyperlink>
      <w:r w:rsidRPr="005C434C">
        <w:rPr>
          <w:rStyle w:val="Hyperlink"/>
        </w:rPr>
        <w:t xml:space="preserve"> </w:t>
      </w:r>
      <w:r w:rsidRPr="005C434C">
        <w:t xml:space="preserve">(see </w:t>
      </w:r>
      <w:hyperlink w:anchor="Chapter10" w:history="1">
        <w:r w:rsidRPr="005C434C">
          <w:rPr>
            <w:rStyle w:val="Hyperlink"/>
          </w:rPr>
          <w:t>Chapter 10</w:t>
        </w:r>
      </w:hyperlink>
      <w:r w:rsidRPr="005C434C">
        <w:t>). U</w:t>
      </w:r>
      <w:r w:rsidRPr="00FD274F">
        <w:t>nless a specific term is required by the enabling legislation, it is also important:</w:t>
      </w:r>
      <w:bookmarkEnd w:id="57"/>
    </w:p>
    <w:p w14:paraId="267423E3" w14:textId="304ECB8F" w:rsidR="0037654B" w:rsidRPr="00FD274F" w:rsidRDefault="0037654B" w:rsidP="0037654B">
      <w:pPr>
        <w:pStyle w:val="BodyPara"/>
      </w:pPr>
      <w:bookmarkStart w:id="58" w:name="_Ref369624772"/>
      <w:r w:rsidRPr="00FD274F">
        <w:t xml:space="preserve">to clearly indicate that the relevant instrument is being repealed preferably by using the word “repeal” for consistency with </w:t>
      </w:r>
      <w:r w:rsidRPr="00DF0E7B">
        <w:t xml:space="preserve">section 7 of the </w:t>
      </w:r>
      <w:hyperlink r:id="rId182" w:history="1">
        <w:hyperlink r:id="rId183" w:history="1">
          <w:r w:rsidRPr="00DF0E7B">
            <w:rPr>
              <w:rStyle w:val="Hyperlink"/>
              <w:i/>
            </w:rPr>
            <w:t>Acts Interpretation Act 1901</w:t>
          </w:r>
        </w:hyperlink>
      </w:hyperlink>
      <w:bookmarkEnd w:id="58"/>
      <w:r w:rsidRPr="00FD274F">
        <w:rPr>
          <w:rStyle w:val="Hyperlink"/>
          <w:i/>
        </w:rPr>
        <w:t xml:space="preserve"> </w:t>
      </w:r>
      <w:r w:rsidRPr="00FD274F">
        <w:t xml:space="preserve">and the </w:t>
      </w:r>
      <w:hyperlink r:id="rId184" w:history="1">
        <w:r w:rsidRPr="0033228A">
          <w:rPr>
            <w:rStyle w:val="Hyperlink"/>
          </w:rPr>
          <w:t>LA</w:t>
        </w:r>
      </w:hyperlink>
      <w:r w:rsidRPr="0033228A">
        <w:t>; a</w:t>
      </w:r>
      <w:r w:rsidRPr="00FD274F">
        <w:t>nd</w:t>
      </w:r>
    </w:p>
    <w:p w14:paraId="50918F75" w14:textId="77777777" w:rsidR="0037654B" w:rsidRPr="00FD274F" w:rsidRDefault="0037654B" w:rsidP="0037654B">
      <w:pPr>
        <w:pStyle w:val="BodyPara"/>
      </w:pPr>
      <w:r w:rsidRPr="00FD274F">
        <w:t>to avoid a potentially ambiguous term such as cease, end, finish, replace, sunset, supersede</w:t>
      </w:r>
      <w:r w:rsidR="00025A58">
        <w:t xml:space="preserve">, </w:t>
      </w:r>
      <w:r w:rsidRPr="00FD274F">
        <w:t>terminate</w:t>
      </w:r>
      <w:r w:rsidR="00025A58">
        <w:t xml:space="preserve"> or expire as if repealed</w:t>
      </w:r>
      <w:r w:rsidRPr="00FD274F">
        <w:t>—these terms may cease the effect of a law without removing it from the statute book.</w:t>
      </w:r>
    </w:p>
    <w:p w14:paraId="7B396D18" w14:textId="77777777" w:rsidR="0037654B" w:rsidRPr="00FD274F" w:rsidRDefault="0037654B" w:rsidP="0037654B">
      <w:pPr>
        <w:pStyle w:val="Head4"/>
      </w:pPr>
      <w:bookmarkStart w:id="59" w:name="_Toc112918766"/>
      <w:r w:rsidRPr="00FD274F">
        <w:t>Certain instruments will be subject to automatic repeal</w:t>
      </w:r>
      <w:bookmarkEnd w:id="59"/>
    </w:p>
    <w:p w14:paraId="651B19A4" w14:textId="05C1A092" w:rsidR="00192FEA" w:rsidRDefault="0037654B" w:rsidP="0037654B">
      <w:pPr>
        <w:pStyle w:val="BodyNum"/>
      </w:pPr>
      <w:bookmarkStart w:id="60" w:name="_Ref384703176"/>
      <w:bookmarkStart w:id="61" w:name="_Ref384723656"/>
      <w:r w:rsidRPr="00FD274F">
        <w:t xml:space="preserve">If an instrument is solely commencing, amending or repealing, it will be repealed automatically in full under </w:t>
      </w:r>
      <w:r w:rsidRPr="004B337C">
        <w:t xml:space="preserve">section 48A or 48B of the </w:t>
      </w:r>
      <w:hyperlink r:id="rId185" w:history="1">
        <w:r w:rsidRPr="004B337C">
          <w:rPr>
            <w:rStyle w:val="Hyperlink"/>
          </w:rPr>
          <w:t>LA</w:t>
        </w:r>
      </w:hyperlink>
      <w:r w:rsidR="00192FEA" w:rsidRPr="004B337C">
        <w:rPr>
          <w:rStyle w:val="Hyperlink"/>
        </w:rPr>
        <w:t xml:space="preserve"> </w:t>
      </w:r>
      <w:bookmarkEnd w:id="60"/>
      <w:bookmarkEnd w:id="61"/>
      <w:r w:rsidR="005E23E3" w:rsidRPr="004B337C">
        <w:t>on</w:t>
      </w:r>
      <w:r w:rsidR="005E23E3" w:rsidRPr="005E23E3">
        <w:t xml:space="preserve"> the day after</w:t>
      </w:r>
      <w:r w:rsidR="00D345AD">
        <w:t xml:space="preserve"> the latest of:</w:t>
      </w:r>
    </w:p>
    <w:p w14:paraId="5BB3A662" w14:textId="77777777" w:rsidR="00A837B6" w:rsidRDefault="00A837B6" w:rsidP="00CD3326">
      <w:pPr>
        <w:pStyle w:val="BodyPara"/>
      </w:pPr>
      <w:r w:rsidRPr="00A837B6">
        <w:lastRenderedPageBreak/>
        <w:t xml:space="preserve">for a disallowable legislative instrument—the end of the </w:t>
      </w:r>
      <w:r>
        <w:t>disallowance period</w:t>
      </w:r>
      <w:r w:rsidR="00CD3326">
        <w:t xml:space="preserve"> </w:t>
      </w:r>
      <w:r w:rsidR="00CD3326" w:rsidRPr="00CD3326">
        <w:t>for that instrument, when the instrument has fully commenced, or when the capacity for any further provisions to commence has been e</w:t>
      </w:r>
      <w:r w:rsidR="00CD3326">
        <w:t>xhausted;</w:t>
      </w:r>
    </w:p>
    <w:p w14:paraId="1602D678" w14:textId="77777777" w:rsidR="00192FEA" w:rsidRDefault="00A837B6" w:rsidP="00CD3326">
      <w:pPr>
        <w:pStyle w:val="BodyPara"/>
      </w:pPr>
      <w:r w:rsidRPr="00A837B6">
        <w:t xml:space="preserve">for a legislative instrument </w:t>
      </w:r>
      <w:r w:rsidR="00CD3326">
        <w:t>that is exempt from disallowance</w:t>
      </w:r>
      <w:r w:rsidRPr="00A837B6">
        <w:t xml:space="preserve"> or </w:t>
      </w:r>
      <w:r w:rsidR="00CD3326">
        <w:t xml:space="preserve">for </w:t>
      </w:r>
      <w:r w:rsidRPr="00A837B6">
        <w:t>a notifiable instrument—</w:t>
      </w:r>
      <w:r w:rsidR="00CD3326" w:rsidRPr="00CD3326">
        <w:t>when the instrument has fully commenced, the capacity for any further provisions to commence has been exhausted, or the instrument is re</w:t>
      </w:r>
      <w:r w:rsidR="00CD3326">
        <w:t>gistered</w:t>
      </w:r>
      <w:r w:rsidRPr="00A837B6">
        <w:t>.</w:t>
      </w:r>
    </w:p>
    <w:p w14:paraId="05EA7D68" w14:textId="77777777" w:rsidR="0037654B" w:rsidRPr="00FD274F" w:rsidRDefault="0037654B" w:rsidP="00192FEA">
      <w:pPr>
        <w:pStyle w:val="BodyNum"/>
      </w:pPr>
      <w:r w:rsidRPr="00FD274F">
        <w:t>There is no need to provide for its repeal.</w:t>
      </w:r>
    </w:p>
    <w:p w14:paraId="0FD9C105" w14:textId="59E3EDB0" w:rsidR="0037654B" w:rsidRPr="00FD274F" w:rsidRDefault="0037654B" w:rsidP="0037654B">
      <w:pPr>
        <w:pStyle w:val="BodyNum"/>
      </w:pPr>
      <w:bookmarkStart w:id="62" w:name="_Ref384713268"/>
      <w:r w:rsidRPr="00FD274F">
        <w:t>Agencies do, however, need to assess whether an instrument meets th</w:t>
      </w:r>
      <w:r w:rsidRPr="004B337C">
        <w:t xml:space="preserve">e </w:t>
      </w:r>
      <w:hyperlink r:id="rId186" w:history="1">
        <w:r w:rsidR="00F66686" w:rsidRPr="004B337C">
          <w:rPr>
            <w:rStyle w:val="Hyperlink"/>
          </w:rPr>
          <w:t>LA</w:t>
        </w:r>
      </w:hyperlink>
      <w:r w:rsidRPr="00FD274F">
        <w:t xml:space="preserve"> criteria for automatic repeal, and advise </w:t>
      </w:r>
      <w:proofErr w:type="spellStart"/>
      <w:r w:rsidRPr="00FD274F">
        <w:t>OPC</w:t>
      </w:r>
      <w:proofErr w:type="spellEnd"/>
      <w:r w:rsidRPr="00FD274F">
        <w:t xml:space="preserve"> of this (ideally at </w:t>
      </w:r>
      <w:r w:rsidR="00942F8D">
        <w:t xml:space="preserve">the </w:t>
      </w:r>
      <w:r w:rsidRPr="00FD274F">
        <w:t xml:space="preserve">time of lodgement). </w:t>
      </w:r>
      <w:r w:rsidR="00025A58">
        <w:t>N</w:t>
      </w:r>
      <w:r w:rsidRPr="00FD274F">
        <w:t>ote that the following do not affect whether an instrument is solely commencing, amending or repealing:</w:t>
      </w:r>
      <w:bookmarkEnd w:id="62"/>
    </w:p>
    <w:p w14:paraId="2FCEA62C" w14:textId="77777777" w:rsidR="0037654B" w:rsidRPr="00FD274F" w:rsidRDefault="0037654B" w:rsidP="0037654B">
      <w:pPr>
        <w:pStyle w:val="BodyPara"/>
      </w:pPr>
      <w:r w:rsidRPr="00FD274F">
        <w:t>a preamble or recital (however described);</w:t>
      </w:r>
    </w:p>
    <w:p w14:paraId="25C9B928" w14:textId="77777777" w:rsidR="0037654B" w:rsidRPr="00FD274F" w:rsidRDefault="0037654B" w:rsidP="0037654B">
      <w:pPr>
        <w:pStyle w:val="BodyPara"/>
      </w:pPr>
      <w:r w:rsidRPr="00FD274F">
        <w:t>a naming provision;</w:t>
      </w:r>
    </w:p>
    <w:p w14:paraId="46D0FED6" w14:textId="77777777" w:rsidR="0037654B" w:rsidRPr="00FD274F" w:rsidRDefault="0037654B" w:rsidP="0037654B">
      <w:pPr>
        <w:pStyle w:val="BodyPara"/>
      </w:pPr>
      <w:r w:rsidRPr="00FD274F">
        <w:t>a commencement provision;</w:t>
      </w:r>
    </w:p>
    <w:p w14:paraId="5ACD2045" w14:textId="77777777" w:rsidR="0037654B" w:rsidRPr="00FD274F" w:rsidRDefault="0037654B" w:rsidP="0037654B">
      <w:pPr>
        <w:pStyle w:val="BodyPara"/>
      </w:pPr>
      <w:r w:rsidRPr="00FD274F">
        <w:t>an authority provision;</w:t>
      </w:r>
    </w:p>
    <w:p w14:paraId="0A5BF0AE" w14:textId="77777777" w:rsidR="0037654B" w:rsidRPr="00FD274F" w:rsidRDefault="0037654B" w:rsidP="0037654B">
      <w:pPr>
        <w:pStyle w:val="BodyPara"/>
      </w:pPr>
      <w:r w:rsidRPr="00FD274F">
        <w:t>an objects provision, simplified outline or similar provision that sets out the purposes of, or explains, the instrument or any of its provisions;</w:t>
      </w:r>
    </w:p>
    <w:p w14:paraId="042CEF1F" w14:textId="77777777" w:rsidR="0037654B" w:rsidRPr="00FD274F" w:rsidRDefault="0037654B" w:rsidP="0037654B">
      <w:pPr>
        <w:pStyle w:val="BodyPara"/>
      </w:pPr>
      <w:r w:rsidRPr="00FD274F">
        <w:t>any provision that is being inserted into another instrument by amendment.</w:t>
      </w:r>
    </w:p>
    <w:p w14:paraId="4ADE3CAC" w14:textId="77777777" w:rsidR="0037654B" w:rsidRPr="00FD274F" w:rsidRDefault="0037654B" w:rsidP="0037654B">
      <w:pPr>
        <w:pStyle w:val="BodyNum"/>
      </w:pPr>
      <w:bookmarkStart w:id="63" w:name="_Ref384650277"/>
      <w:r w:rsidRPr="00FD274F">
        <w:t>An instrument can</w:t>
      </w:r>
      <w:r w:rsidR="00E25493">
        <w:t xml:space="preserve">not </w:t>
      </w:r>
      <w:r w:rsidRPr="00FD274F">
        <w:t xml:space="preserve">be considered solely commencing, amending or repealing if it contains any of the following provisions, </w:t>
      </w:r>
      <w:r w:rsidR="00E25493">
        <w:t xml:space="preserve">unless </w:t>
      </w:r>
      <w:r w:rsidRPr="00FD274F">
        <w:t>the provision is inserted into another instrument by amendment:</w:t>
      </w:r>
      <w:bookmarkEnd w:id="63"/>
    </w:p>
    <w:p w14:paraId="4ACA661B" w14:textId="77777777" w:rsidR="0037654B" w:rsidRPr="00FD274F" w:rsidRDefault="0037654B" w:rsidP="0037654B">
      <w:pPr>
        <w:pStyle w:val="BodyPara"/>
      </w:pPr>
      <w:r w:rsidRPr="00FD274F">
        <w:t xml:space="preserve">a saving provision such as “Parts X and Y of the </w:t>
      </w:r>
      <w:r w:rsidRPr="00FD274F">
        <w:rPr>
          <w:i/>
        </w:rPr>
        <w:t>Cat and Dog Regulation 2016</w:t>
      </w:r>
      <w:r w:rsidRPr="00FD274F">
        <w:t xml:space="preserve"> continue to apply in relation to …”;</w:t>
      </w:r>
    </w:p>
    <w:p w14:paraId="51BBE88F" w14:textId="77777777" w:rsidR="0037654B" w:rsidRPr="00FD274F" w:rsidRDefault="0037654B" w:rsidP="0037654B">
      <w:pPr>
        <w:pStyle w:val="BodyPara"/>
      </w:pPr>
      <w:r w:rsidRPr="00FD274F">
        <w:t>a transitional provision such as “If a person has lodged a claim before the commencement of the instrument … the claim is taken to have been ...”;</w:t>
      </w:r>
    </w:p>
    <w:p w14:paraId="30D58C1E" w14:textId="77777777" w:rsidR="0037654B" w:rsidRPr="00FD274F" w:rsidRDefault="0037654B" w:rsidP="0037654B">
      <w:pPr>
        <w:pStyle w:val="BodyPara"/>
      </w:pPr>
      <w:r w:rsidRPr="00FD274F">
        <w:t>an application provision such as “The amendments made by Schedule X apply / do not apply / only apply …”;</w:t>
      </w:r>
    </w:p>
    <w:p w14:paraId="0B6D3065" w14:textId="77777777" w:rsidR="0037654B" w:rsidRPr="00FD274F" w:rsidRDefault="0037654B" w:rsidP="0037654B">
      <w:pPr>
        <w:pStyle w:val="BodyPara"/>
      </w:pPr>
      <w:r w:rsidRPr="00FD274F">
        <w:t>a modification</w:t>
      </w:r>
      <w:r w:rsidRPr="00FD274F">
        <w:rPr>
          <w:spacing w:val="-2"/>
        </w:rPr>
        <w:t xml:space="preserve"> provision such as “The formula in section 99 is modified by …” </w:t>
      </w:r>
      <w:r w:rsidRPr="00FD274F">
        <w:t>(this may need to be read in the context of an application provision);</w:t>
      </w:r>
    </w:p>
    <w:p w14:paraId="76E64FD4" w14:textId="77777777" w:rsidR="0037654B" w:rsidRPr="00FD274F" w:rsidRDefault="0037654B" w:rsidP="0037654B">
      <w:pPr>
        <w:pStyle w:val="BodyPara"/>
      </w:pPr>
      <w:r w:rsidRPr="00FD274F">
        <w:t>any other substantive provision such as a requirement to notify or gazette certain information.</w:t>
      </w:r>
    </w:p>
    <w:p w14:paraId="7C91809B" w14:textId="77777777" w:rsidR="0037654B" w:rsidRPr="00FD274F" w:rsidRDefault="0037654B" w:rsidP="0037654B">
      <w:pPr>
        <w:pStyle w:val="Head4"/>
      </w:pPr>
      <w:bookmarkStart w:id="64" w:name="_Toc112918767"/>
      <w:bookmarkStart w:id="65" w:name="_Ref384376105"/>
      <w:r w:rsidRPr="00FD274F">
        <w:t>Use of self</w:t>
      </w:r>
      <w:r w:rsidR="009C4251">
        <w:noBreakHyphen/>
      </w:r>
      <w:r w:rsidRPr="00FD274F">
        <w:t>repealing provisions</w:t>
      </w:r>
      <w:bookmarkEnd w:id="64"/>
    </w:p>
    <w:p w14:paraId="74FFBF9A" w14:textId="77777777" w:rsidR="0037654B" w:rsidRPr="00FD274F" w:rsidRDefault="0037654B" w:rsidP="0037654B">
      <w:pPr>
        <w:pStyle w:val="BodyNum"/>
      </w:pPr>
      <w:bookmarkStart w:id="66" w:name="_Ref384706703"/>
      <w:r w:rsidRPr="00FD274F">
        <w:t xml:space="preserve">Unless an instrument is subject to automatic repeal, it will remain in force until it is repealed by some other means. If an instrument is only likely to be needed for a particular </w:t>
      </w:r>
      <w:r w:rsidRPr="00FD274F">
        <w:lastRenderedPageBreak/>
        <w:t>event or a limited period such as a financial or calendar year, a self</w:t>
      </w:r>
      <w:r w:rsidR="009C4251">
        <w:noBreakHyphen/>
      </w:r>
      <w:r w:rsidRPr="00FD274F">
        <w:t xml:space="preserve">repealing provision may be considered. In drafting such a provision, </w:t>
      </w:r>
      <w:proofErr w:type="spellStart"/>
      <w:r w:rsidRPr="00FD274F">
        <w:t>OPC’s</w:t>
      </w:r>
      <w:proofErr w:type="spellEnd"/>
      <w:r w:rsidRPr="00FD274F">
        <w:t xml:space="preserve"> current practice is</w:t>
      </w:r>
      <w:r w:rsidR="007A03DA">
        <w:t xml:space="preserve"> generally</w:t>
      </w:r>
      <w:r w:rsidRPr="00FD274F">
        <w:t>:</w:t>
      </w:r>
      <w:bookmarkEnd w:id="65"/>
      <w:bookmarkEnd w:id="66"/>
    </w:p>
    <w:p w14:paraId="12667C8C" w14:textId="77777777" w:rsidR="0037654B" w:rsidRPr="00FD274F" w:rsidRDefault="0037654B" w:rsidP="0037654B">
      <w:pPr>
        <w:pStyle w:val="BodyPara"/>
      </w:pPr>
      <w:r w:rsidRPr="00FD274F">
        <w:t>to include a separate self</w:t>
      </w:r>
      <w:r w:rsidR="009C4251">
        <w:noBreakHyphen/>
      </w:r>
      <w:r w:rsidRPr="00FD274F">
        <w:t>repealing provision under a heading such as “Repeal”; and</w:t>
      </w:r>
    </w:p>
    <w:p w14:paraId="00C4B53F" w14:textId="77777777" w:rsidR="0037654B" w:rsidRPr="00FD274F" w:rsidRDefault="0037654B" w:rsidP="0037654B">
      <w:pPr>
        <w:pStyle w:val="BodyPara"/>
      </w:pPr>
      <w:r w:rsidRPr="00FD274F">
        <w:t>to provide that the instrument is repealed; and</w:t>
      </w:r>
    </w:p>
    <w:p w14:paraId="1569CFB6" w14:textId="77777777" w:rsidR="0037654B" w:rsidRPr="00F53136" w:rsidRDefault="0037654B" w:rsidP="0037654B">
      <w:pPr>
        <w:pStyle w:val="BodyPara"/>
      </w:pPr>
      <w:r w:rsidRPr="00F53136">
        <w:t xml:space="preserve">to specify that the instrument is repealed </w:t>
      </w:r>
      <w:r w:rsidR="00C10EE1">
        <w:t>at the start of</w:t>
      </w:r>
      <w:r w:rsidRPr="00F53136">
        <w:t xml:space="preserve"> a specified day, with the day chosen taking into account not only any sunset date that may apply, but also the need for the instrument:</w:t>
      </w:r>
    </w:p>
    <w:p w14:paraId="175237D6" w14:textId="77777777" w:rsidR="0037654B" w:rsidRPr="00FD274F" w:rsidRDefault="0037654B" w:rsidP="0037654B">
      <w:pPr>
        <w:pStyle w:val="BodySubPara"/>
      </w:pPr>
      <w:r w:rsidRPr="00FD274F">
        <w:t>to be registered and to commence in full before it is repealed; and</w:t>
      </w:r>
    </w:p>
    <w:p w14:paraId="4834CCFE" w14:textId="77777777" w:rsidR="0037654B" w:rsidRPr="00FD274F" w:rsidRDefault="0037654B" w:rsidP="0037654B">
      <w:pPr>
        <w:pStyle w:val="BodySubPara"/>
      </w:pPr>
      <w:r w:rsidRPr="00FD274F">
        <w:t>to remain in force until the event or period to which it relates has passed.</w:t>
      </w:r>
    </w:p>
    <w:p w14:paraId="2CA90FF8" w14:textId="77777777" w:rsidR="0037654B" w:rsidRPr="00FD274F" w:rsidRDefault="0037654B" w:rsidP="0037654B">
      <w:pPr>
        <w:pStyle w:val="Head3"/>
      </w:pPr>
      <w:bookmarkStart w:id="67" w:name="_Toc112918768"/>
      <w:bookmarkStart w:id="68" w:name="_Ref367446182"/>
      <w:bookmarkEnd w:id="55"/>
      <w:r w:rsidRPr="00FD274F">
        <w:t>Default rules on incorporating documents by reference</w:t>
      </w:r>
      <w:bookmarkEnd w:id="67"/>
    </w:p>
    <w:p w14:paraId="6CD6573C" w14:textId="633546B3" w:rsidR="0037654B" w:rsidRPr="00FD274F" w:rsidRDefault="0037654B" w:rsidP="0037654B">
      <w:pPr>
        <w:pStyle w:val="BodyNum"/>
      </w:pPr>
      <w:bookmarkStart w:id="69" w:name="_Ref428882029"/>
      <w:r w:rsidRPr="00FD274F">
        <w:t>In exercising the power to make a legislative instrument in relation to a matter, a rule</w:t>
      </w:r>
      <w:r w:rsidR="009C4251">
        <w:noBreakHyphen/>
      </w:r>
      <w:r w:rsidRPr="00FD274F">
        <w:t>maker may prescribe matters by reference to another document, such as model legislation enacted by another jurisdiction. In doing so, the rule</w:t>
      </w:r>
      <w:r w:rsidR="009C4251">
        <w:noBreakHyphen/>
      </w:r>
      <w:r w:rsidRPr="00FD274F">
        <w:t xml:space="preserve">maker must comply with the default provisions of </w:t>
      </w:r>
      <w:r w:rsidRPr="004B337C">
        <w:t xml:space="preserve">the </w:t>
      </w:r>
      <w:hyperlink r:id="rId187" w:history="1">
        <w:r w:rsidRPr="004B337C">
          <w:rPr>
            <w:rStyle w:val="Hyperlink"/>
          </w:rPr>
          <w:t>LA</w:t>
        </w:r>
      </w:hyperlink>
      <w:r w:rsidRPr="004B337C">
        <w:rPr>
          <w:rStyle w:val="Hyperlink"/>
        </w:rPr>
        <w:t xml:space="preserve"> </w:t>
      </w:r>
      <w:r w:rsidRPr="004B337C">
        <w:t>(particularly section 14), a</w:t>
      </w:r>
      <w:r w:rsidRPr="00FD274F">
        <w:t>nd any special provisions of the instrument’s enabling legislation.</w:t>
      </w:r>
      <w:bookmarkEnd w:id="68"/>
      <w:bookmarkEnd w:id="69"/>
    </w:p>
    <w:p w14:paraId="75DD9733" w14:textId="3DB95FE7" w:rsidR="00590137" w:rsidRPr="00A2685F" w:rsidRDefault="0037654B" w:rsidP="00590137">
      <w:pPr>
        <w:pStyle w:val="BodyNum"/>
      </w:pPr>
      <w:bookmarkStart w:id="70" w:name="_Ref428882045"/>
      <w:r w:rsidRPr="00A2685F">
        <w:t>Unde</w:t>
      </w:r>
      <w:r w:rsidRPr="004B337C">
        <w:t xml:space="preserve">r section 14 of the </w:t>
      </w:r>
      <w:hyperlink r:id="rId188" w:history="1">
        <w:r w:rsidRPr="004B337C">
          <w:rPr>
            <w:rStyle w:val="Hyperlink"/>
          </w:rPr>
          <w:t>LA</w:t>
        </w:r>
      </w:hyperlink>
      <w:r w:rsidRPr="004B337C">
        <w:t xml:space="preserve">, </w:t>
      </w:r>
      <w:r w:rsidR="001C7E66" w:rsidRPr="004B337C">
        <w:t>if a</w:t>
      </w:r>
      <w:r w:rsidR="001C7E66" w:rsidRPr="00A2685F">
        <w:t>uthorised</w:t>
      </w:r>
      <w:r w:rsidR="002554B6">
        <w:t xml:space="preserve"> or required</w:t>
      </w:r>
      <w:r w:rsidR="001C7E66" w:rsidRPr="00A2685F">
        <w:t xml:space="preserve"> by the enabling legislation</w:t>
      </w:r>
      <w:r w:rsidR="007A03DA">
        <w:t>,</w:t>
      </w:r>
      <w:r w:rsidR="001C7E66" w:rsidRPr="00A2685F">
        <w:t xml:space="preserve"> </w:t>
      </w:r>
      <w:r w:rsidRPr="00A2685F">
        <w:t xml:space="preserve">a legislative instrument </w:t>
      </w:r>
      <w:r w:rsidR="00016AB6" w:rsidRPr="00A2685F">
        <w:t xml:space="preserve">or notifiable instrument </w:t>
      </w:r>
      <w:r w:rsidRPr="00A2685F">
        <w:t>may</w:t>
      </w:r>
      <w:r w:rsidR="001C4A78" w:rsidRPr="00A2685F">
        <w:t xml:space="preserve"> make provision</w:t>
      </w:r>
      <w:r w:rsidR="001C7E66" w:rsidRPr="00A2685F">
        <w:t xml:space="preserve"> </w:t>
      </w:r>
      <w:r w:rsidR="001C4A78" w:rsidRPr="00A2685F">
        <w:t xml:space="preserve">in relation to any matter by </w:t>
      </w:r>
      <w:r w:rsidRPr="00A2685F">
        <w:t>apply</w:t>
      </w:r>
      <w:r w:rsidR="001C4A78" w:rsidRPr="00A2685F">
        <w:t>ing</w:t>
      </w:r>
      <w:r w:rsidRPr="00A2685F">
        <w:t>, adopt</w:t>
      </w:r>
      <w:r w:rsidR="001C4A78" w:rsidRPr="00A2685F">
        <w:t>ing</w:t>
      </w:r>
      <w:r w:rsidRPr="00A2685F">
        <w:t xml:space="preserve"> or incorporat</w:t>
      </w:r>
      <w:r w:rsidR="001C4A78" w:rsidRPr="00A2685F">
        <w:t>ing</w:t>
      </w:r>
      <w:bookmarkEnd w:id="70"/>
      <w:r w:rsidR="00A2685F">
        <w:t xml:space="preserve"> </w:t>
      </w:r>
      <w:r w:rsidR="00590137" w:rsidRPr="00A2685F">
        <w:t>some or all of another document, with or without modification. A document may be:</w:t>
      </w:r>
    </w:p>
    <w:p w14:paraId="50FE69DA" w14:textId="77777777" w:rsidR="00590137" w:rsidRPr="00A2685F" w:rsidRDefault="00590137" w:rsidP="00590137">
      <w:pPr>
        <w:pStyle w:val="BodyPara"/>
      </w:pPr>
      <w:r w:rsidRPr="00A2685F">
        <w:t>the provisions of an Act, disallowable legislative instrument or rule of court as in force at a particular time or as in force from time to time</w:t>
      </w:r>
      <w:r w:rsidR="005E23E3">
        <w:t>; or</w:t>
      </w:r>
    </w:p>
    <w:p w14:paraId="4B2FA071" w14:textId="77777777" w:rsidR="00590137" w:rsidRPr="00A2685F" w:rsidRDefault="00590137" w:rsidP="00590137">
      <w:pPr>
        <w:pStyle w:val="BodyPara"/>
      </w:pPr>
      <w:r w:rsidRPr="00A2685F">
        <w:t xml:space="preserve">any other instrument or writing as in force or existing at the time the instrument commences or </w:t>
      </w:r>
      <w:r w:rsidR="00A2685F" w:rsidRPr="00A2685F">
        <w:t>a time before the instrument commences (and not from time to time, unless the contrary intention appears).</w:t>
      </w:r>
    </w:p>
    <w:p w14:paraId="7D2AFD7E" w14:textId="77777777" w:rsidR="0037654B" w:rsidRPr="00A2685F" w:rsidRDefault="0037654B" w:rsidP="00590137">
      <w:pPr>
        <w:pStyle w:val="BodyNum"/>
      </w:pPr>
      <w:r w:rsidRPr="00A2685F">
        <w:t>To ensure that an incorporation by reference is effective, does not have unintended consequences, and is clear on the face of the instrument, it is essential to clearly identify the document that is incorporated.</w:t>
      </w:r>
    </w:p>
    <w:p w14:paraId="754BC0EF" w14:textId="18225062" w:rsidR="0037654B" w:rsidRPr="00FD274F" w:rsidRDefault="0037654B" w:rsidP="0037654B">
      <w:pPr>
        <w:pStyle w:val="BodyNum"/>
      </w:pPr>
      <w:r w:rsidRPr="00FD274F">
        <w:t xml:space="preserve">As it is usually necessary to refer to the document to understand or apply the law made by the instrument, </w:t>
      </w:r>
      <w:r w:rsidRPr="004B337C">
        <w:t xml:space="preserve">the </w:t>
      </w:r>
      <w:hyperlink r:id="rId189" w:history="1">
        <w:r w:rsidRPr="004B337C">
          <w:rPr>
            <w:rStyle w:val="Hyperlink"/>
          </w:rPr>
          <w:t>LA</w:t>
        </w:r>
      </w:hyperlink>
      <w:r w:rsidRPr="004B337C">
        <w:rPr>
          <w:rStyle w:val="Hyperlink"/>
        </w:rPr>
        <w:t xml:space="preserve"> </w:t>
      </w:r>
      <w:r w:rsidRPr="004B337C">
        <w:t>re</w:t>
      </w:r>
      <w:r w:rsidRPr="00FD274F">
        <w:t>quires the rule</w:t>
      </w:r>
      <w:r w:rsidR="009C4251">
        <w:noBreakHyphen/>
      </w:r>
      <w:r w:rsidRPr="00FD274F">
        <w:t>maker:</w:t>
      </w:r>
    </w:p>
    <w:p w14:paraId="76357BE5" w14:textId="0A68C205" w:rsidR="0037654B" w:rsidRPr="00FD274F" w:rsidRDefault="0037654B" w:rsidP="0037654B">
      <w:pPr>
        <w:pStyle w:val="BodyPara"/>
      </w:pPr>
      <w:r w:rsidRPr="00FD274F">
        <w:t>to describe the document, and indicate how it may be obtained, in the explanatory statemen</w:t>
      </w:r>
      <w:r w:rsidRPr="004B337C">
        <w:t xml:space="preserve">t (see </w:t>
      </w:r>
      <w:hyperlink r:id="rId190" w:history="1">
        <w:r w:rsidRPr="004B337C">
          <w:rPr>
            <w:rStyle w:val="Hyperlink"/>
          </w:rPr>
          <w:t>LA</w:t>
        </w:r>
      </w:hyperlink>
      <w:r w:rsidRPr="004B337C">
        <w:rPr>
          <w:rStyle w:val="Hyperlink"/>
        </w:rPr>
        <w:t xml:space="preserve"> </w:t>
      </w:r>
      <w:r w:rsidRPr="004B337C">
        <w:t>s 15J(2)(c</w:t>
      </w:r>
      <w:r w:rsidRPr="00FD274F">
        <w:t xml:space="preserve">) and </w:t>
      </w:r>
      <w:hyperlink w:anchor="Chapter8" w:history="1">
        <w:r w:rsidRPr="002763E0">
          <w:rPr>
            <w:rStyle w:val="Hyperlink"/>
          </w:rPr>
          <w:t>Chapter 8</w:t>
        </w:r>
      </w:hyperlink>
      <w:r w:rsidRPr="002763E0">
        <w:t>);</w:t>
      </w:r>
      <w:r w:rsidRPr="00FD274F">
        <w:t xml:space="preserve"> and</w:t>
      </w:r>
    </w:p>
    <w:p w14:paraId="7CDEEFC2" w14:textId="6FE7E473" w:rsidR="0037654B" w:rsidRPr="00FD274F" w:rsidRDefault="0037654B" w:rsidP="0037654B">
      <w:pPr>
        <w:pStyle w:val="BodyPara"/>
      </w:pPr>
      <w:r w:rsidRPr="00FD274F">
        <w:t>to make the document available for inspection, if and as required by either House of the Parliament, while the instrument is open to disallowance (se</w:t>
      </w:r>
      <w:r w:rsidRPr="004B337C">
        <w:t xml:space="preserve">e </w:t>
      </w:r>
      <w:hyperlink r:id="rId191" w:history="1">
        <w:r w:rsidRPr="004B337C">
          <w:rPr>
            <w:rStyle w:val="Hyperlink"/>
          </w:rPr>
          <w:t>LA</w:t>
        </w:r>
      </w:hyperlink>
      <w:r w:rsidRPr="004B337C">
        <w:rPr>
          <w:rStyle w:val="Hyperlink"/>
        </w:rPr>
        <w:t xml:space="preserve"> </w:t>
      </w:r>
      <w:r w:rsidRPr="004B337C">
        <w:t>s 41 a</w:t>
      </w:r>
      <w:r w:rsidRPr="00FD274F">
        <w:t xml:space="preserve">nd </w:t>
      </w:r>
      <w:hyperlink w:anchor="Chapter9" w:history="1">
        <w:r w:rsidRPr="002763E0">
          <w:rPr>
            <w:rStyle w:val="Hyperlink"/>
          </w:rPr>
          <w:t>Chapter 9</w:t>
        </w:r>
      </w:hyperlink>
      <w:r w:rsidRPr="002763E0">
        <w:t>).</w:t>
      </w:r>
    </w:p>
    <w:p w14:paraId="0FA0D127" w14:textId="77777777" w:rsidR="0037654B" w:rsidRPr="00FD274F" w:rsidRDefault="0037654B" w:rsidP="00CD6FA3">
      <w:pPr>
        <w:pStyle w:val="BodyNum"/>
        <w:keepLines/>
      </w:pPr>
      <w:bookmarkStart w:id="71" w:name="_Ref435530063"/>
      <w:r w:rsidRPr="00FD274F">
        <w:lastRenderedPageBreak/>
        <w:t>Although agencies are not required to make documents incorporated by reference available elsewhere, the practice of incorporating documents that are not readily available “may increase the cost of compliance for the community and the risk of non</w:t>
      </w:r>
      <w:r w:rsidR="009C4251">
        <w:noBreakHyphen/>
      </w:r>
      <w:r w:rsidRPr="00FD274F">
        <w:t>compliance”</w:t>
      </w:r>
      <w:r w:rsidRPr="00FD274F">
        <w:rPr>
          <w:rStyle w:val="FootnoteReference"/>
        </w:rPr>
        <w:footnoteReference w:id="9"/>
      </w:r>
      <w:r w:rsidRPr="00FD274F">
        <w:t>. If it is necessary to incorporate such material, it may be possible to reduce the costs and risks e.g. by purchasing print copies for distribution to major regional libraries through the Commonwealth Library Deposit and Free Issue Scheme</w:t>
      </w:r>
      <w:r w:rsidRPr="004B337C">
        <w:t>s</w:t>
      </w:r>
      <w:r w:rsidRPr="004B337C">
        <w:rPr>
          <w:rStyle w:val="FootnoteReference"/>
        </w:rPr>
        <w:footnoteReference w:id="10"/>
      </w:r>
      <w:r w:rsidRPr="004B337C">
        <w:t>.</w:t>
      </w:r>
      <w:bookmarkEnd w:id="71"/>
    </w:p>
    <w:p w14:paraId="27847965" w14:textId="77777777" w:rsidR="001F1262" w:rsidRDefault="001F1262" w:rsidP="001F1262">
      <w:pPr>
        <w:pStyle w:val="Head3"/>
      </w:pPr>
      <w:bookmarkStart w:id="72" w:name="_Toc526347512"/>
      <w:bookmarkStart w:id="73" w:name="_Toc112918769"/>
      <w:r w:rsidRPr="00FD274F">
        <w:t>Scope to delegate power</w:t>
      </w:r>
      <w:bookmarkEnd w:id="72"/>
      <w:bookmarkEnd w:id="73"/>
    </w:p>
    <w:p w14:paraId="2031E252" w14:textId="77777777" w:rsidR="001F1262" w:rsidRPr="001F1262" w:rsidRDefault="001F1262" w:rsidP="001F1262">
      <w:pPr>
        <w:pStyle w:val="Head4"/>
      </w:pPr>
      <w:bookmarkStart w:id="74" w:name="_Toc112918770"/>
      <w:r>
        <w:t>Delegating a power to make a legislative instrument</w:t>
      </w:r>
      <w:bookmarkEnd w:id="74"/>
    </w:p>
    <w:p w14:paraId="34C43A55" w14:textId="77777777" w:rsidR="001F1262" w:rsidRPr="00FD274F" w:rsidRDefault="001F1262" w:rsidP="001F1262">
      <w:pPr>
        <w:pStyle w:val="BodyNum"/>
      </w:pPr>
      <w:bookmarkStart w:id="75" w:name="_Ref369883259"/>
      <w:r w:rsidRPr="00FD274F">
        <w:t>A rule</w:t>
      </w:r>
      <w:r w:rsidRPr="00FD274F">
        <w:noBreakHyphen/>
        <w:t>maker may, in some circumstances, be able to delegate to a third party the power to make instruments or exercise other powers. It is important to note, however, that delegation is usually only possible if an Act makes explicit provision for it to occur. Examples of provisions that do this include the following:</w:t>
      </w:r>
      <w:bookmarkEnd w:id="75"/>
    </w:p>
    <w:p w14:paraId="66FEA0D9" w14:textId="77777777" w:rsidR="001F1262" w:rsidRPr="00FD274F" w:rsidRDefault="001F1262" w:rsidP="001F1262">
      <w:pPr>
        <w:pStyle w:val="BodyParaBullet"/>
        <w:numPr>
          <w:ilvl w:val="0"/>
          <w:numId w:val="0"/>
        </w:numPr>
        <w:ind w:left="720"/>
      </w:pPr>
      <w:r w:rsidRPr="00FD274F">
        <w:t>“The Minister may, in writing, delegate his or her powers under this Act to an SES employee or an APS employee performing duties in the Department.”</w:t>
      </w:r>
    </w:p>
    <w:p w14:paraId="516D9A18" w14:textId="77777777" w:rsidR="001F1262" w:rsidRPr="00FD274F" w:rsidRDefault="001F1262" w:rsidP="001F1262">
      <w:pPr>
        <w:pStyle w:val="BodyParaBullet"/>
        <w:numPr>
          <w:ilvl w:val="0"/>
          <w:numId w:val="0"/>
        </w:numPr>
        <w:ind w:left="720"/>
        <w:rPr>
          <w:spacing w:val="-2"/>
        </w:rPr>
      </w:pPr>
      <w:r w:rsidRPr="00FD274F">
        <w:rPr>
          <w:spacing w:val="-2"/>
        </w:rPr>
        <w:t>“The First Parliamentary Counsel may, by signed instrument, delegate to … an SES employee in the Office of Parliamentary Counsel or in the Department any of the powers or functions of the First Parliamentary Counsel under this Act.”</w:t>
      </w:r>
    </w:p>
    <w:p w14:paraId="74BD6ED2" w14:textId="56C3EAC3" w:rsidR="001F1262" w:rsidRPr="00FD274F" w:rsidRDefault="001F1262" w:rsidP="001F1262">
      <w:pPr>
        <w:pStyle w:val="BodyNum"/>
      </w:pPr>
      <w:r w:rsidRPr="00FD274F">
        <w:rPr>
          <w:color w:val="000000"/>
        </w:rPr>
        <w:t xml:space="preserve">It is also important to note that delegating a power does not </w:t>
      </w:r>
      <w:r w:rsidRPr="00FD274F">
        <w:t xml:space="preserve">expand the statutory limits of that power, affect any obligations that may apply under Acts of general application including </w:t>
      </w:r>
      <w:r w:rsidRPr="004B337C">
        <w:t xml:space="preserve">the </w:t>
      </w:r>
      <w:hyperlink r:id="rId192" w:history="1">
        <w:r w:rsidRPr="004B337C">
          <w:rPr>
            <w:rStyle w:val="Hyperlink"/>
          </w:rPr>
          <w:t>LA</w:t>
        </w:r>
      </w:hyperlink>
      <w:r w:rsidRPr="00FD274F">
        <w:t>, or mean that the delegate can sub</w:t>
      </w:r>
      <w:r w:rsidRPr="00FD274F">
        <w:noBreakHyphen/>
        <w:t>delegate the power further (</w:t>
      </w:r>
      <w:r w:rsidRPr="00390F6E">
        <w:t xml:space="preserve">see </w:t>
      </w:r>
      <w:hyperlink r:id="rId193" w:history="1">
        <w:hyperlink r:id="rId194" w:history="1">
          <w:r w:rsidRPr="00390F6E">
            <w:rPr>
              <w:rStyle w:val="Hyperlink"/>
              <w:i/>
            </w:rPr>
            <w:t>Acts Interpretation Act 1901</w:t>
          </w:r>
        </w:hyperlink>
      </w:hyperlink>
      <w:r w:rsidRPr="00390F6E">
        <w:t xml:space="preserve"> s 34AB(1)(b)). In ad</w:t>
      </w:r>
      <w:r w:rsidRPr="00FD274F">
        <w:t>dition, the delegator:</w:t>
      </w:r>
    </w:p>
    <w:p w14:paraId="225161E8" w14:textId="77777777" w:rsidR="001F1262" w:rsidRPr="00FD274F" w:rsidRDefault="001F1262" w:rsidP="001F1262">
      <w:pPr>
        <w:pStyle w:val="BodyPara"/>
      </w:pPr>
      <w:r w:rsidRPr="00FD274F">
        <w:t>will need to make a formal instrument of delegation specifying who can exercise the power being delegated; and</w:t>
      </w:r>
    </w:p>
    <w:p w14:paraId="2725BF40" w14:textId="77777777" w:rsidR="001F1262" w:rsidRPr="00FD274F" w:rsidRDefault="001F1262" w:rsidP="001F1262">
      <w:pPr>
        <w:pStyle w:val="BodyPara"/>
      </w:pPr>
      <w:r w:rsidRPr="00FD274F">
        <w:t>may identify delegates by job title, by management level, by position number or by name (noting that doing so by name may necessitate regular updates); and</w:t>
      </w:r>
    </w:p>
    <w:p w14:paraId="6E26B60A" w14:textId="35121C53" w:rsidR="001F1262" w:rsidRPr="00FD274F" w:rsidRDefault="001F1262" w:rsidP="001F1262">
      <w:pPr>
        <w:pStyle w:val="BodyPara"/>
      </w:pPr>
      <w:r w:rsidRPr="00FD274F">
        <w:t>may wish to issue directions to delegates that apply in addition to the general obligations imposed by legislation including t</w:t>
      </w:r>
      <w:r w:rsidRPr="004B337C">
        <w:t xml:space="preserve">he </w:t>
      </w:r>
      <w:hyperlink r:id="rId195" w:history="1">
        <w:r w:rsidRPr="004B337C">
          <w:rPr>
            <w:rStyle w:val="Hyperlink"/>
          </w:rPr>
          <w:t>LA</w:t>
        </w:r>
      </w:hyperlink>
      <w:r w:rsidRPr="004B337C">
        <w:t>; an</w:t>
      </w:r>
      <w:r w:rsidRPr="00FD274F">
        <w:t>d</w:t>
      </w:r>
    </w:p>
    <w:p w14:paraId="5E229BE3" w14:textId="77777777" w:rsidR="001F1262" w:rsidRPr="00FD274F" w:rsidRDefault="001F1262" w:rsidP="001F1262">
      <w:pPr>
        <w:pStyle w:val="BodyPara"/>
      </w:pPr>
      <w:r w:rsidRPr="00FD274F">
        <w:t>should review the instrument of delegation and any directions to delegates on a regular basis, to ensure that they remain appropriate and up</w:t>
      </w:r>
      <w:r w:rsidRPr="00FD274F">
        <w:noBreakHyphen/>
        <w:t>to</w:t>
      </w:r>
      <w:r w:rsidRPr="00FD274F">
        <w:noBreakHyphen/>
        <w:t>date.</w:t>
      </w:r>
    </w:p>
    <w:p w14:paraId="70C32FD9" w14:textId="1DE97514" w:rsidR="001F1262" w:rsidRPr="00FD274F" w:rsidRDefault="001F1262" w:rsidP="001F1262">
      <w:pPr>
        <w:pStyle w:val="BodyNum"/>
        <w:keepNext/>
        <w:keepLines/>
      </w:pPr>
      <w:r w:rsidRPr="00FD274F">
        <w:t>Instruments of delegation and any instructions issued to delegates are not normally required to be registered (</w:t>
      </w:r>
      <w:hyperlink r:id="rId196" w:history="1">
        <w:hyperlink r:id="rId197" w:history="1">
          <w:hyperlink r:id="rId198" w:history="1">
            <w:r w:rsidRPr="00CB5883">
              <w:rPr>
                <w:rStyle w:val="Hyperlink"/>
              </w:rPr>
              <w:t>LEOMR</w:t>
            </w:r>
          </w:hyperlink>
        </w:hyperlink>
      </w:hyperlink>
      <w:r w:rsidRPr="00CB5883">
        <w:t xml:space="preserve"> s 6</w:t>
      </w:r>
      <w:r w:rsidR="00CB5883" w:rsidRPr="00CB5883">
        <w:t>(1)</w:t>
      </w:r>
      <w:r w:rsidRPr="00CB5883">
        <w:t xml:space="preserve"> item 1) bu</w:t>
      </w:r>
      <w:r w:rsidRPr="00FD274F">
        <w:t>t are crucial to the legitimacy of any action taken in reliance on them. Consequently:</w:t>
      </w:r>
    </w:p>
    <w:p w14:paraId="0B0F969D" w14:textId="77777777" w:rsidR="001F1262" w:rsidRPr="00FD274F" w:rsidRDefault="001F1262" w:rsidP="001F1262">
      <w:pPr>
        <w:pStyle w:val="BodyPara"/>
      </w:pPr>
      <w:r w:rsidRPr="00FD274F">
        <w:t xml:space="preserve">agencies should maintain detailed records of their documents, including those that have been superseded; and </w:t>
      </w:r>
    </w:p>
    <w:p w14:paraId="7011C565" w14:textId="77777777" w:rsidR="001F1262" w:rsidRDefault="001F1262" w:rsidP="001F1262">
      <w:pPr>
        <w:pStyle w:val="BodyPara"/>
      </w:pPr>
      <w:r w:rsidRPr="00FD274F">
        <w:lastRenderedPageBreak/>
        <w:t>delegates should review their documents on a regular basis to ensure that they are acting lawfully.</w:t>
      </w:r>
    </w:p>
    <w:p w14:paraId="74CEB504" w14:textId="77777777" w:rsidR="001F1262" w:rsidRPr="001F1262" w:rsidRDefault="001F1262" w:rsidP="001F1262">
      <w:pPr>
        <w:pStyle w:val="Head4"/>
      </w:pPr>
      <w:bookmarkStart w:id="76" w:name="_Toc112918771"/>
      <w:r>
        <w:t>Legislative instruments that delegate power</w:t>
      </w:r>
      <w:bookmarkEnd w:id="76"/>
    </w:p>
    <w:p w14:paraId="39034813" w14:textId="77777777" w:rsidR="001F1262" w:rsidRPr="00FD274F" w:rsidRDefault="001F1262" w:rsidP="001F1262">
      <w:pPr>
        <w:pStyle w:val="BodyNum"/>
      </w:pPr>
      <w:bookmarkStart w:id="77" w:name="_Ref369708785"/>
      <w:r w:rsidRPr="00FD274F">
        <w:rPr>
          <w:color w:val="000000"/>
        </w:rPr>
        <w:t xml:space="preserve">Special care is needed when a legislative instrument contains a delegation of power. The delegation must be </w:t>
      </w:r>
      <w:r w:rsidRPr="00FD274F">
        <w:t>within the scope permitted by the legislative framework and related case law. Specialist drafting assistance is recommended if the proposed delegation involves:</w:t>
      </w:r>
    </w:p>
    <w:p w14:paraId="4DF0D0DA" w14:textId="77777777" w:rsidR="001F1262" w:rsidRPr="00FD274F" w:rsidRDefault="001F1262" w:rsidP="001F1262">
      <w:pPr>
        <w:pStyle w:val="BodyPara"/>
      </w:pPr>
      <w:r w:rsidRPr="00FD274F">
        <w:t>a delegate who is outside the agency; or</w:t>
      </w:r>
    </w:p>
    <w:p w14:paraId="2A890DC5" w14:textId="5B4B8A8C" w:rsidR="001F1262" w:rsidRPr="00FD274F" w:rsidRDefault="001F1262" w:rsidP="001F1262">
      <w:pPr>
        <w:pStyle w:val="BodyPara"/>
      </w:pPr>
      <w:r w:rsidRPr="00FD274F">
        <w:t>sub</w:t>
      </w:r>
      <w:r w:rsidRPr="00FD274F">
        <w:noBreakHyphen/>
        <w:t>delegation of the power to make an instrument that is, or is likely to be, a legislative instrument (</w:t>
      </w:r>
      <w:r w:rsidRPr="00E40EAB">
        <w:t xml:space="preserve">see paragraph </w:t>
      </w:r>
      <w:r w:rsidRPr="004B337C">
        <w:fldChar w:fldCharType="begin"/>
      </w:r>
      <w:r w:rsidRPr="00E40EAB">
        <w:instrText xml:space="preserve"> REF _Ref444606268 \r \h  \* MERGEFORMAT </w:instrText>
      </w:r>
      <w:r w:rsidRPr="004B337C">
        <w:fldChar w:fldCharType="separate"/>
      </w:r>
      <w:r w:rsidR="003E1B43" w:rsidRPr="00E40EAB">
        <w:t>38</w:t>
      </w:r>
      <w:r w:rsidRPr="004B337C">
        <w:fldChar w:fldCharType="end"/>
      </w:r>
      <w:r w:rsidRPr="00E40EAB">
        <w:t>).</w:t>
      </w:r>
      <w:r w:rsidRPr="00FD274F">
        <w:t xml:space="preserve"> </w:t>
      </w:r>
    </w:p>
    <w:p w14:paraId="66E1F87C" w14:textId="1462C523" w:rsidR="001F1262" w:rsidRPr="00FD274F" w:rsidRDefault="001F1262" w:rsidP="001F1262">
      <w:pPr>
        <w:pStyle w:val="BodyNum"/>
      </w:pPr>
      <w:bookmarkStart w:id="78" w:name="_Ref449608075"/>
      <w:r w:rsidRPr="00FD274F">
        <w:rPr>
          <w:color w:val="000000"/>
        </w:rPr>
        <w:t>Sub</w:t>
      </w:r>
      <w:r w:rsidRPr="00FD274F">
        <w:rPr>
          <w:color w:val="000000"/>
        </w:rPr>
        <w:noBreakHyphen/>
        <w:t>delegation of power has also been identified as an i</w:t>
      </w:r>
      <w:r w:rsidRPr="00FD274F">
        <w:t>ssue of concern to the Parliament (se</w:t>
      </w:r>
      <w:r w:rsidRPr="00E40EAB">
        <w:t xml:space="preserve">e </w:t>
      </w:r>
      <w:hyperlink w:anchor="Chapter9" w:history="1">
        <w:r w:rsidRPr="00E40EAB">
          <w:rPr>
            <w:rStyle w:val="Hyperlink"/>
          </w:rPr>
          <w:t>Chapter 9</w:t>
        </w:r>
      </w:hyperlink>
      <w:r w:rsidRPr="00E40EAB">
        <w:t>) a</w:t>
      </w:r>
      <w:r w:rsidRPr="00FD274F">
        <w:t>nd is only acceptable if an instrument’s enabling legislation provides for this. Accordingly, if a legislative instrument provides for sub</w:t>
      </w:r>
      <w:r w:rsidRPr="00FD274F">
        <w:noBreakHyphen/>
        <w:t>delegation of power:</w:t>
      </w:r>
      <w:bookmarkEnd w:id="78"/>
    </w:p>
    <w:p w14:paraId="0606968D" w14:textId="77777777" w:rsidR="001F1262" w:rsidRPr="00FD274F" w:rsidRDefault="001F1262" w:rsidP="001F1262">
      <w:pPr>
        <w:pStyle w:val="BodyPara"/>
      </w:pPr>
      <w:r w:rsidRPr="00FD274F">
        <w:t>the instrument’s explanatory statement should provide the authority for the sub</w:t>
      </w:r>
      <w:r w:rsidRPr="00FD274F">
        <w:noBreakHyphen/>
        <w:t>delegation, and describe the training, monitoring or other strategies being put in place to ensure that the sub</w:t>
      </w:r>
      <w:r w:rsidRPr="00FD274F">
        <w:noBreakHyphen/>
        <w:t>delegation is exercised with appropriate skill and care</w:t>
      </w:r>
      <w:bookmarkEnd w:id="77"/>
      <w:r w:rsidRPr="00FD274F">
        <w:t xml:space="preserve">; and </w:t>
      </w:r>
    </w:p>
    <w:p w14:paraId="45CA491C" w14:textId="77777777" w:rsidR="001F1262" w:rsidRPr="00FD274F" w:rsidRDefault="001F1262" w:rsidP="001F1262">
      <w:pPr>
        <w:pStyle w:val="BodyPara"/>
      </w:pPr>
      <w:bookmarkStart w:id="79" w:name="_Ref369883280"/>
      <w:r w:rsidRPr="00FD274F">
        <w:t>if a legislative instrument is made by a delegate, the instrument’s explanatory statement should describe how and when the power to make it was delegated to the rule</w:t>
      </w:r>
      <w:r w:rsidRPr="00FD274F">
        <w:noBreakHyphen/>
        <w:t>maker, and include an assurance and details of compliance with any directions to delegates that may apply.</w:t>
      </w:r>
      <w:bookmarkEnd w:id="79"/>
    </w:p>
    <w:p w14:paraId="7C637F40" w14:textId="77777777" w:rsidR="0037654B" w:rsidRPr="00FD274F" w:rsidRDefault="0037654B" w:rsidP="0037654B">
      <w:pPr>
        <w:pStyle w:val="Head3"/>
      </w:pPr>
      <w:bookmarkStart w:id="80" w:name="_Toc112918772"/>
      <w:r w:rsidRPr="00FD274F">
        <w:t>Offences, infringement notices and enforcement powers</w:t>
      </w:r>
      <w:bookmarkEnd w:id="80"/>
    </w:p>
    <w:p w14:paraId="1015B06A" w14:textId="77777777" w:rsidR="0037654B" w:rsidRPr="00FD274F" w:rsidRDefault="0037654B" w:rsidP="0037654B">
      <w:pPr>
        <w:pStyle w:val="BodyNum"/>
      </w:pPr>
      <w:r w:rsidRPr="00FD274F">
        <w:t>If the Parliament has delegated the power to make an instrument prescribing criminal offences or infringement and enforcement provisions, care needs to be taken to ensure that the provisions are legally enforceable and consistent with Australian Government policy.</w:t>
      </w:r>
    </w:p>
    <w:p w14:paraId="2B1D9738" w14:textId="2D7F7D6E" w:rsidR="0037654B" w:rsidRPr="00FD274F" w:rsidRDefault="0037654B" w:rsidP="0037654B">
      <w:pPr>
        <w:pStyle w:val="BodyNum"/>
      </w:pPr>
      <w:r w:rsidRPr="00FD274F">
        <w:t xml:space="preserve">Before seeking policy approval for such a provision, agencies should assess whether the proposal is consistent with the </w:t>
      </w:r>
      <w:r w:rsidRPr="000A7964">
        <w:t xml:space="preserve">AGD </w:t>
      </w:r>
      <w:r w:rsidRPr="000A7964">
        <w:rPr>
          <w:i/>
        </w:rPr>
        <w:t>Guide to Framing Commonwealth Offences, Infringement Notices and Enforcement Powers</w:t>
      </w:r>
      <w:r w:rsidRPr="000A7964">
        <w:rPr>
          <w:rStyle w:val="FootnoteReference"/>
        </w:rPr>
        <w:footnoteReference w:id="11"/>
      </w:r>
      <w:r w:rsidRPr="000A7964">
        <w:t xml:space="preserve">. </w:t>
      </w:r>
      <w:r w:rsidR="006306BD" w:rsidRPr="006306BD">
        <w:t xml:space="preserve">Agencies should contact </w:t>
      </w:r>
      <w:proofErr w:type="spellStart"/>
      <w:r w:rsidR="006306BD" w:rsidRPr="006306BD">
        <w:t>AGD’s</w:t>
      </w:r>
      <w:proofErr w:type="spellEnd"/>
      <w:r w:rsidR="006306BD" w:rsidRPr="006306BD">
        <w:t xml:space="preserve"> Criminal Law Section via email at </w:t>
      </w:r>
      <w:hyperlink r:id="rId199" w:history="1">
        <w:r w:rsidR="006306BD" w:rsidRPr="006306BD">
          <w:rPr>
            <w:rStyle w:val="Hyperlink"/>
          </w:rPr>
          <w:t>CriminalLaw@ag.gov.au</w:t>
        </w:r>
      </w:hyperlink>
      <w:r w:rsidR="006306BD" w:rsidRPr="006306BD">
        <w:t xml:space="preserve"> if the proposal</w:t>
      </w:r>
      <w:r w:rsidRPr="00FD274F">
        <w:t>:</w:t>
      </w:r>
    </w:p>
    <w:p w14:paraId="293F087A" w14:textId="77777777" w:rsidR="0037654B" w:rsidRPr="00FD274F" w:rsidRDefault="0037654B" w:rsidP="0037654B">
      <w:pPr>
        <w:pStyle w:val="BodyPara"/>
      </w:pPr>
      <w:r w:rsidRPr="00FD274F">
        <w:t>contains novel or complex issues that the Guide does not address; or</w:t>
      </w:r>
    </w:p>
    <w:p w14:paraId="7234EE95" w14:textId="77777777" w:rsidR="0037654B" w:rsidRPr="00FD274F" w:rsidRDefault="0037654B" w:rsidP="0037654B">
      <w:pPr>
        <w:pStyle w:val="BodyPara"/>
      </w:pPr>
      <w:r w:rsidRPr="00FD274F">
        <w:t>departs significantly from the principles in the Guide.</w:t>
      </w:r>
    </w:p>
    <w:p w14:paraId="73B1C828" w14:textId="7C0EFCFD" w:rsidR="0037654B" w:rsidRPr="00FD274F" w:rsidRDefault="0037654B" w:rsidP="0037654B">
      <w:pPr>
        <w:pStyle w:val="BodyNum"/>
      </w:pPr>
      <w:r w:rsidRPr="00FD274F">
        <w:t xml:space="preserve">Further guidance on related matters can be found in </w:t>
      </w:r>
      <w:hyperlink r:id="rId200" w:history="1">
        <w:proofErr w:type="spellStart"/>
        <w:r w:rsidRPr="00BC7C81">
          <w:rPr>
            <w:rStyle w:val="Hyperlink"/>
          </w:rPr>
          <w:t>OPC</w:t>
        </w:r>
        <w:proofErr w:type="spellEnd"/>
        <w:r w:rsidRPr="00BC7C81">
          <w:rPr>
            <w:rStyle w:val="Hyperlink"/>
          </w:rPr>
          <w:t xml:space="preserve"> Drafting Direction 3.5</w:t>
        </w:r>
      </w:hyperlink>
      <w:r w:rsidRPr="00BC7C81">
        <w:t>.</w:t>
      </w:r>
    </w:p>
    <w:p w14:paraId="06589474" w14:textId="77777777" w:rsidR="0037654B" w:rsidRPr="00FD274F" w:rsidRDefault="0037654B" w:rsidP="0037654B">
      <w:pPr>
        <w:pStyle w:val="Head3"/>
      </w:pPr>
      <w:bookmarkStart w:id="81" w:name="_Toc112918773"/>
      <w:r w:rsidRPr="00FD274F">
        <w:lastRenderedPageBreak/>
        <w:t>Gender</w:t>
      </w:r>
      <w:r w:rsidR="009C4251">
        <w:noBreakHyphen/>
      </w:r>
      <w:r w:rsidRPr="00FD274F">
        <w:t>specific and gender</w:t>
      </w:r>
      <w:r w:rsidR="009C4251">
        <w:noBreakHyphen/>
      </w:r>
      <w:r w:rsidRPr="00FD274F">
        <w:t>neutral language</w:t>
      </w:r>
      <w:bookmarkEnd w:id="81"/>
    </w:p>
    <w:p w14:paraId="0F43EB9A" w14:textId="77777777" w:rsidR="0037654B" w:rsidRPr="00FD274F" w:rsidRDefault="0037654B" w:rsidP="0037654B">
      <w:pPr>
        <w:pStyle w:val="BodyNum"/>
      </w:pPr>
      <w:r w:rsidRPr="00FD274F">
        <w:t>In exercising the power to make a legislative instrument in relation to a matter, it is generally important to use gender</w:t>
      </w:r>
      <w:r w:rsidR="009C4251">
        <w:noBreakHyphen/>
      </w:r>
      <w:r w:rsidRPr="00FD274F">
        <w:t>neutral language. Language that might be reasonably seen to imply a single gender should be avoided, unless:</w:t>
      </w:r>
    </w:p>
    <w:p w14:paraId="3BB23508" w14:textId="77777777" w:rsidR="0037654B" w:rsidRPr="00FD274F" w:rsidRDefault="0037654B" w:rsidP="0037654B">
      <w:pPr>
        <w:pStyle w:val="BodyPara"/>
      </w:pPr>
      <w:r w:rsidRPr="00FD274F">
        <w:t>the instrument is intended to apply only to people of one sex; or</w:t>
      </w:r>
    </w:p>
    <w:p w14:paraId="3EA955B0" w14:textId="77777777" w:rsidR="0037654B" w:rsidRPr="00FD274F" w:rsidRDefault="0037654B" w:rsidP="0037654B">
      <w:pPr>
        <w:pStyle w:val="BodyPara"/>
      </w:pPr>
      <w:r w:rsidRPr="00FD274F">
        <w:t>it is important to use a particular term for consistency</w:t>
      </w:r>
      <w:r w:rsidR="00942F8D">
        <w:t xml:space="preserve"> with the enabling legislation.</w:t>
      </w:r>
    </w:p>
    <w:p w14:paraId="01491C5B" w14:textId="075E2563" w:rsidR="0037654B" w:rsidRPr="00FD274F" w:rsidRDefault="0037654B" w:rsidP="0037654B">
      <w:pPr>
        <w:pStyle w:val="BodyNum"/>
      </w:pPr>
      <w:r w:rsidRPr="00FD274F">
        <w:t>Inappropriate use of gender</w:t>
      </w:r>
      <w:r w:rsidR="009C4251">
        <w:noBreakHyphen/>
      </w:r>
      <w:r w:rsidRPr="00FD274F">
        <w:t>specific language is clearly identified in th</w:t>
      </w:r>
      <w:r w:rsidRPr="004B337C">
        <w:t xml:space="preserve">e </w:t>
      </w:r>
      <w:hyperlink r:id="rId201" w:history="1">
        <w:r w:rsidRPr="004B337C">
          <w:rPr>
            <w:rStyle w:val="Hyperlink"/>
          </w:rPr>
          <w:t>LA</w:t>
        </w:r>
      </w:hyperlink>
      <w:r w:rsidRPr="004B337C">
        <w:rPr>
          <w:rStyle w:val="Hyperlink"/>
        </w:rPr>
        <w:t xml:space="preserve"> </w:t>
      </w:r>
      <w:r w:rsidRPr="004B337C">
        <w:t>as</w:t>
      </w:r>
      <w:r w:rsidRPr="00FD274F">
        <w:t xml:space="preserve"> undesirable. Under </w:t>
      </w:r>
      <w:r w:rsidRPr="004B337C">
        <w:t xml:space="preserve">section 16 of the </w:t>
      </w:r>
      <w:hyperlink r:id="rId202" w:history="1">
        <w:r w:rsidRPr="004B337C">
          <w:rPr>
            <w:rStyle w:val="Hyperlink"/>
          </w:rPr>
          <w:t>LA</w:t>
        </w:r>
      </w:hyperlink>
      <w:r w:rsidRPr="004B337C">
        <w:t>,</w:t>
      </w:r>
      <w:r w:rsidRPr="00FD274F">
        <w:t xml:space="preserve"> the First Parliamentary Counsel is required to take steps to prevent the inappropriate use of gender</w:t>
      </w:r>
      <w:r w:rsidR="009C4251">
        <w:noBreakHyphen/>
      </w:r>
      <w:r w:rsidRPr="00FD274F">
        <w:t>specific language in legislative instruments, and to notify both the rule</w:t>
      </w:r>
      <w:r w:rsidR="009C4251">
        <w:noBreakHyphen/>
      </w:r>
      <w:r w:rsidRPr="00FD274F">
        <w:t>maker and the Parliament of any instances that may be identified.</w:t>
      </w:r>
    </w:p>
    <w:p w14:paraId="6CD1733F" w14:textId="41CCF5DF" w:rsidR="0037654B" w:rsidRPr="00FD274F" w:rsidRDefault="0037654B" w:rsidP="0037654B">
      <w:pPr>
        <w:pStyle w:val="BodyNum"/>
      </w:pPr>
      <w:r w:rsidRPr="00FD274F">
        <w:t>Further guidance on what constitutes gender</w:t>
      </w:r>
      <w:r w:rsidR="009C4251">
        <w:noBreakHyphen/>
      </w:r>
      <w:r w:rsidRPr="00FD274F">
        <w:t>specific and gender</w:t>
      </w:r>
      <w:r w:rsidR="009C4251">
        <w:noBreakHyphen/>
      </w:r>
      <w:r w:rsidRPr="00FD274F">
        <w:t>neutral language can be fou</w:t>
      </w:r>
      <w:r w:rsidRPr="00961F7C">
        <w:t xml:space="preserve">nd in </w:t>
      </w:r>
      <w:hyperlink r:id="rId203" w:history="1">
        <w:proofErr w:type="spellStart"/>
        <w:r w:rsidRPr="00961F7C">
          <w:rPr>
            <w:rStyle w:val="Hyperlink"/>
          </w:rPr>
          <w:t>OPC</w:t>
        </w:r>
        <w:proofErr w:type="spellEnd"/>
        <w:r w:rsidRPr="00961F7C">
          <w:rPr>
            <w:rStyle w:val="Hyperlink"/>
          </w:rPr>
          <w:t xml:space="preserve"> Drafting Direction 2.1</w:t>
        </w:r>
      </w:hyperlink>
      <w:r w:rsidRPr="00FD274F">
        <w:t>.</w:t>
      </w:r>
    </w:p>
    <w:p w14:paraId="3A3F2DD3" w14:textId="77777777" w:rsidR="0037654B" w:rsidRPr="00FD274F" w:rsidRDefault="0063067D" w:rsidP="0037654B">
      <w:pPr>
        <w:pStyle w:val="Head3"/>
      </w:pPr>
      <w:bookmarkStart w:id="82" w:name="_Toc112918774"/>
      <w:r w:rsidRPr="00FD274F">
        <w:t xml:space="preserve">Other </w:t>
      </w:r>
      <w:r w:rsidR="00B03608" w:rsidRPr="00FD274F">
        <w:t>content issues</w:t>
      </w:r>
      <w:bookmarkEnd w:id="82"/>
    </w:p>
    <w:p w14:paraId="24CDD949" w14:textId="77777777" w:rsidR="0063067D" w:rsidRPr="00FD274F" w:rsidRDefault="0063067D" w:rsidP="0063067D">
      <w:pPr>
        <w:pStyle w:val="BodyNum"/>
      </w:pPr>
      <w:bookmarkStart w:id="83" w:name="_Ref422930454"/>
      <w:r w:rsidRPr="00FD274F">
        <w:t>When it comes to the content of an instrument and related documents, rule</w:t>
      </w:r>
      <w:r w:rsidR="009C4251">
        <w:noBreakHyphen/>
      </w:r>
      <w:r w:rsidRPr="00FD274F">
        <w:t>makers need to exercise care and judgement in deciding what level of detail to include. For example, it may not be necessary or appropriate to disclose:</w:t>
      </w:r>
    </w:p>
    <w:p w14:paraId="08159300" w14:textId="77777777" w:rsidR="0063067D" w:rsidRPr="00FD274F" w:rsidRDefault="00F11E8B" w:rsidP="00E72291">
      <w:pPr>
        <w:pStyle w:val="BodyPara"/>
        <w:numPr>
          <w:ilvl w:val="1"/>
          <w:numId w:val="4"/>
        </w:numPr>
      </w:pPr>
      <w:r w:rsidRPr="00F11E8B">
        <w:t>information that would be assessed as requiring protection and assigned a security classification or an Official: Sensitive dissemination limiting mark</w:t>
      </w:r>
      <w:r w:rsidRPr="004B337C">
        <w:t>er</w:t>
      </w:r>
      <w:r w:rsidR="0063067D" w:rsidRPr="004B337C">
        <w:rPr>
          <w:rStyle w:val="FootnoteReference"/>
          <w:rFonts w:eastAsia="Calibri"/>
        </w:rPr>
        <w:footnoteReference w:id="12"/>
      </w:r>
      <w:r w:rsidR="00942F8D" w:rsidRPr="004B337C">
        <w:t>; o</w:t>
      </w:r>
      <w:r w:rsidR="00942F8D">
        <w:t>r</w:t>
      </w:r>
    </w:p>
    <w:p w14:paraId="3EB5136F" w14:textId="6F013A9C" w:rsidR="0063067D" w:rsidRPr="00FD274F" w:rsidRDefault="0063067D" w:rsidP="00E72291">
      <w:pPr>
        <w:pStyle w:val="BodyPara"/>
        <w:numPr>
          <w:ilvl w:val="1"/>
          <w:numId w:val="4"/>
        </w:numPr>
      </w:pPr>
      <w:r w:rsidRPr="00FD274F">
        <w:t xml:space="preserve">information such as a person’s home address—this may breach the </w:t>
      </w:r>
      <w:hyperlink r:id="rId204" w:history="1">
        <w:r w:rsidRPr="00961F7C">
          <w:rPr>
            <w:rStyle w:val="Hyperlink"/>
            <w:i/>
          </w:rPr>
          <w:t>Privacy Act 1988</w:t>
        </w:r>
      </w:hyperlink>
      <w:r w:rsidRPr="00961F7C">
        <w:rPr>
          <w:i/>
        </w:rPr>
        <w:t xml:space="preserve"> </w:t>
      </w:r>
      <w:r w:rsidRPr="00961F7C">
        <w:t>and raise safe</w:t>
      </w:r>
      <w:r w:rsidRPr="00FD274F">
        <w:t>ty issues, although it may still be desirable to find some other way to identify a person unambiguously so as to minimise unintended consequences for other people with the same name.</w:t>
      </w:r>
    </w:p>
    <w:p w14:paraId="43B75826" w14:textId="797ADA52" w:rsidR="0063067D" w:rsidRPr="00FD274F" w:rsidRDefault="00B03608" w:rsidP="00E72291">
      <w:pPr>
        <w:pStyle w:val="BodyNum"/>
        <w:numPr>
          <w:ilvl w:val="0"/>
          <w:numId w:val="4"/>
        </w:numPr>
      </w:pPr>
      <w:r w:rsidRPr="00FD274F">
        <w:t xml:space="preserve">A copyright notice should only be included in an instrument or </w:t>
      </w:r>
      <w:r w:rsidR="0063067D" w:rsidRPr="00FD274F">
        <w:t>related document</w:t>
      </w:r>
      <w:r w:rsidRPr="00FD274F">
        <w:t xml:space="preserve"> if this is essential to </w:t>
      </w:r>
      <w:r w:rsidR="0063067D" w:rsidRPr="00FD274F">
        <w:t xml:space="preserve">acknowledge the intellectual property </w:t>
      </w:r>
      <w:r w:rsidRPr="00FD274F">
        <w:t xml:space="preserve">(IP) </w:t>
      </w:r>
      <w:r w:rsidR="0063067D" w:rsidRPr="00FD274F">
        <w:t>rights of a third party</w:t>
      </w:r>
      <w:r w:rsidRPr="00FD274F">
        <w:t xml:space="preserve">, and if the legal and other implications of reusing this IP has been carefully considered. </w:t>
      </w:r>
      <w:r w:rsidR="0063067D" w:rsidRPr="00FD274F">
        <w:t xml:space="preserve">For more information on </w:t>
      </w:r>
      <w:r w:rsidRPr="00FD274F">
        <w:t xml:space="preserve">copyright of </w:t>
      </w:r>
      <w:r w:rsidR="0063067D" w:rsidRPr="00FD274F">
        <w:t>registered content, se</w:t>
      </w:r>
      <w:r w:rsidR="0063067D" w:rsidRPr="00655352">
        <w:t xml:space="preserve">e paragraph </w:t>
      </w:r>
      <w:r w:rsidR="00583239" w:rsidRPr="004B337C">
        <w:fldChar w:fldCharType="begin"/>
      </w:r>
      <w:r w:rsidR="00583239" w:rsidRPr="00655352">
        <w:instrText xml:space="preserve"> REF _Ref474413213 \r \h </w:instrText>
      </w:r>
      <w:r w:rsidR="00FD274F" w:rsidRPr="00655352">
        <w:instrText xml:space="preserve"> \* MERGEFORMAT </w:instrText>
      </w:r>
      <w:r w:rsidR="00583239" w:rsidRPr="004B337C">
        <w:fldChar w:fldCharType="separate"/>
      </w:r>
      <w:r w:rsidR="003E1B43" w:rsidRPr="00655352">
        <w:t>216</w:t>
      </w:r>
      <w:r w:rsidR="00583239" w:rsidRPr="004B337C">
        <w:fldChar w:fldCharType="end"/>
      </w:r>
      <w:r w:rsidR="0063067D" w:rsidRPr="00655352">
        <w:t>.</w:t>
      </w:r>
    </w:p>
    <w:p w14:paraId="6BBD86F0" w14:textId="77777777" w:rsidR="0037654B" w:rsidRPr="00FD274F" w:rsidRDefault="0037654B" w:rsidP="0037654B">
      <w:pPr>
        <w:pStyle w:val="Head3"/>
      </w:pPr>
      <w:bookmarkStart w:id="84" w:name="_Toc112918775"/>
      <w:bookmarkEnd w:id="83"/>
      <w:r w:rsidRPr="00FD274F">
        <w:t>Technical considerations</w:t>
      </w:r>
      <w:bookmarkEnd w:id="84"/>
    </w:p>
    <w:p w14:paraId="60EE9CEC" w14:textId="4F928FCF" w:rsidR="0037654B" w:rsidRPr="00961F7C" w:rsidRDefault="0037654B" w:rsidP="0037654B">
      <w:pPr>
        <w:pStyle w:val="BodyNum"/>
      </w:pPr>
      <w:bookmarkStart w:id="85" w:name="_Ref367446139"/>
      <w:r w:rsidRPr="00FD274F">
        <w:t xml:space="preserve">Given their legal nature, it is essential that all registered documents are accessible to the widest range of users, including people who may rely on assistive technology such as </w:t>
      </w:r>
      <w:r w:rsidRPr="00961F7C">
        <w:t xml:space="preserve">screen readers. This is a requirement of the </w:t>
      </w:r>
      <w:hyperlink r:id="rId205" w:history="1">
        <w:r w:rsidRPr="00961F7C">
          <w:rPr>
            <w:rStyle w:val="Hyperlink"/>
            <w:i/>
          </w:rPr>
          <w:t>Disability Discrimination Act 1992</w:t>
        </w:r>
      </w:hyperlink>
      <w:r w:rsidRPr="00961F7C">
        <w:t>—see section 29 of that Act in particular on the administration of Commonwealth laws and programs.</w:t>
      </w:r>
      <w:bookmarkEnd w:id="85"/>
    </w:p>
    <w:p w14:paraId="3D06EDC4" w14:textId="77777777" w:rsidR="0037654B" w:rsidRPr="00277385" w:rsidRDefault="0037654B" w:rsidP="0037654B">
      <w:pPr>
        <w:pStyle w:val="BodyNum"/>
      </w:pPr>
      <w:r w:rsidRPr="00277385">
        <w:t>The Register website is generally compliant with the international standard for accessibility, namely th</w:t>
      </w:r>
      <w:r w:rsidRPr="00961F7C">
        <w:t>e Web Content Accessibility Guidelines (</w:t>
      </w:r>
      <w:proofErr w:type="spellStart"/>
      <w:r w:rsidRPr="00961F7C">
        <w:t>WCAG</w:t>
      </w:r>
      <w:proofErr w:type="spellEnd"/>
      <w:r w:rsidRPr="00961F7C">
        <w:t>) 2.0</w:t>
      </w:r>
      <w:r w:rsidRPr="00961F7C">
        <w:rPr>
          <w:rStyle w:val="FootnoteReference"/>
        </w:rPr>
        <w:footnoteReference w:id="13"/>
      </w:r>
      <w:r w:rsidRPr="00961F7C">
        <w:t>. H</w:t>
      </w:r>
      <w:r w:rsidRPr="00277385">
        <w:t xml:space="preserve">owever, </w:t>
      </w:r>
      <w:r w:rsidRPr="00277385">
        <w:lastRenderedPageBreak/>
        <w:t>agency software and other choices can have a major impact on the accessi</w:t>
      </w:r>
      <w:r w:rsidR="00942F8D" w:rsidRPr="00277385">
        <w:t>bility of individual documents.</w:t>
      </w:r>
    </w:p>
    <w:p w14:paraId="4DDC3E7C" w14:textId="6FCD635D" w:rsidR="0037654B" w:rsidRPr="00961F7C" w:rsidRDefault="0037654B" w:rsidP="00537F58">
      <w:pPr>
        <w:pStyle w:val="BodyNum"/>
      </w:pPr>
      <w:r w:rsidRPr="00277385">
        <w:t xml:space="preserve">To ensure that documents are searchable and can be read by a wide range of devices, all documents must be supplied to </w:t>
      </w:r>
      <w:proofErr w:type="spellStart"/>
      <w:r w:rsidRPr="00277385">
        <w:t>OPC</w:t>
      </w:r>
      <w:proofErr w:type="spellEnd"/>
      <w:r w:rsidRPr="00277385">
        <w:t xml:space="preserve"> in Microsoft Word or rich text format, unless the First Parliamentary Counsel has agreed otherwi</w:t>
      </w:r>
      <w:r w:rsidRPr="00961F7C">
        <w:t>se (</w:t>
      </w:r>
      <w:hyperlink r:id="rId206" w:history="1">
        <w:r w:rsidRPr="00961F7C">
          <w:rPr>
            <w:rStyle w:val="Hyperlink"/>
          </w:rPr>
          <w:t>Rule</w:t>
        </w:r>
      </w:hyperlink>
      <w:r w:rsidRPr="00961F7C">
        <w:t xml:space="preserve"> s 5(3)).</w:t>
      </w:r>
      <w:r w:rsidRPr="00277385">
        <w:t xml:space="preserve"> This ensures documents can be indexed and offered to users in a choice of file formats. For more information on current formats, s</w:t>
      </w:r>
      <w:r w:rsidRPr="00961F7C">
        <w:t xml:space="preserve">ee </w:t>
      </w:r>
      <w:hyperlink r:id="rId207" w:history="1">
        <w:r w:rsidR="00C15392" w:rsidRPr="00961F7C">
          <w:rPr>
            <w:rStyle w:val="Hyperlink"/>
          </w:rPr>
          <w:t>https://www.legislation.gov.au/Content/Disclaimer</w:t>
        </w:r>
      </w:hyperlink>
      <w:r w:rsidR="00537F58" w:rsidRPr="00961F7C">
        <w:t>.</w:t>
      </w:r>
    </w:p>
    <w:p w14:paraId="1556036D" w14:textId="77777777" w:rsidR="00C60544" w:rsidRPr="00277385" w:rsidRDefault="00C60544" w:rsidP="00277385">
      <w:pPr>
        <w:pStyle w:val="BodyNum"/>
      </w:pPr>
      <w:r w:rsidRPr="00277385">
        <w:t>To meet accessibility requirements, alt text (short for “alternative text”) should be applied to any images contained in the document, including formulas. Alt text is a short textual description of the image that is not visible on the face of the relevant document but, instead, sits in the properties of the image.</w:t>
      </w:r>
    </w:p>
    <w:p w14:paraId="1FCE210D" w14:textId="00882910" w:rsidR="00C60544" w:rsidRPr="00277385" w:rsidRDefault="00C60544" w:rsidP="00277385">
      <w:pPr>
        <w:pStyle w:val="BodyNum"/>
      </w:pPr>
      <w:r w:rsidRPr="00277385">
        <w:t>It is important to include alt text because screen readers (mentioned in pa</w:t>
      </w:r>
      <w:r w:rsidRPr="00655352">
        <w:t xml:space="preserve">ragraph </w:t>
      </w:r>
      <w:r w:rsidR="00277385" w:rsidRPr="00961F7C">
        <w:fldChar w:fldCharType="begin"/>
      </w:r>
      <w:r w:rsidR="00277385" w:rsidRPr="00655352">
        <w:instrText xml:space="preserve"> REF _Ref367446139 \r \h </w:instrText>
      </w:r>
      <w:r w:rsidR="00537794">
        <w:rPr>
          <w:highlight w:val="yellow"/>
        </w:rPr>
        <w:instrText xml:space="preserve"> \* MERGEFORMAT </w:instrText>
      </w:r>
      <w:r w:rsidR="00277385" w:rsidRPr="00961F7C">
        <w:fldChar w:fldCharType="separate"/>
      </w:r>
      <w:r w:rsidR="003E1B43" w:rsidRPr="00655352">
        <w:t>112</w:t>
      </w:r>
      <w:r w:rsidR="00277385" w:rsidRPr="00961F7C">
        <w:fldChar w:fldCharType="end"/>
      </w:r>
      <w:r w:rsidRPr="00655352">
        <w:t xml:space="preserve"> above)</w:t>
      </w:r>
      <w:r w:rsidRPr="00277385">
        <w:t xml:space="preserve"> rely on the alt text description. More information on alt text, including examples and guidance on what alt text to include, can be </w:t>
      </w:r>
      <w:r w:rsidRPr="00961F7C">
        <w:t xml:space="preserve">found in </w:t>
      </w:r>
      <w:hyperlink r:id="rId208" w:history="1">
        <w:proofErr w:type="spellStart"/>
        <w:r w:rsidRPr="00961F7C">
          <w:rPr>
            <w:rStyle w:val="Hyperlink"/>
          </w:rPr>
          <w:t>OPC</w:t>
        </w:r>
        <w:proofErr w:type="spellEnd"/>
        <w:r w:rsidRPr="00961F7C">
          <w:rPr>
            <w:rStyle w:val="Hyperlink"/>
          </w:rPr>
          <w:t xml:space="preserve"> Drafting Direction 1.9</w:t>
        </w:r>
      </w:hyperlink>
      <w:r w:rsidR="00BB7FD3">
        <w:t>.</w:t>
      </w:r>
    </w:p>
    <w:p w14:paraId="41D6A8E5" w14:textId="24AD8654" w:rsidR="00BE52DD" w:rsidRPr="005144FF" w:rsidRDefault="00BE52DD" w:rsidP="00BE52DD">
      <w:pPr>
        <w:pStyle w:val="BodyNum"/>
        <w:rPr>
          <w:szCs w:val="24"/>
        </w:rPr>
      </w:pPr>
      <w:r>
        <w:t xml:space="preserve"> An additional service fee will apply if </w:t>
      </w:r>
      <w:proofErr w:type="spellStart"/>
      <w:r>
        <w:t>OPC</w:t>
      </w:r>
      <w:proofErr w:type="spellEnd"/>
      <w:r>
        <w:t xml:space="preserve"> is required to add alt</w:t>
      </w:r>
      <w:r w:rsidR="003E52B0">
        <w:t xml:space="preserve"> </w:t>
      </w:r>
      <w:r>
        <w:t xml:space="preserve">text to any images or objects. See </w:t>
      </w:r>
      <w:r w:rsidR="00FF0E93" w:rsidRPr="00FD274F">
        <w:t xml:space="preserve">paragraph </w:t>
      </w:r>
      <w:r w:rsidR="00FF0E93" w:rsidRPr="00FD274F">
        <w:fldChar w:fldCharType="begin"/>
      </w:r>
      <w:r w:rsidR="00FF0E93" w:rsidRPr="00FD274F">
        <w:instrText xml:space="preserve"> REF _Ref434314290 \r \h  \* MERGEFORMAT </w:instrText>
      </w:r>
      <w:r w:rsidR="00FF0E93" w:rsidRPr="00FD274F">
        <w:fldChar w:fldCharType="separate"/>
      </w:r>
      <w:r w:rsidR="00FF0E93">
        <w:t>149</w:t>
      </w:r>
      <w:r w:rsidR="00FF0E93" w:rsidRPr="00FD274F">
        <w:fldChar w:fldCharType="end"/>
      </w:r>
      <w:r w:rsidRPr="00FE5134">
        <w:t xml:space="preserve"> for furt</w:t>
      </w:r>
      <w:r>
        <w:t xml:space="preserve">her information on </w:t>
      </w:r>
      <w:proofErr w:type="spellStart"/>
      <w:r>
        <w:t>OPC’s</w:t>
      </w:r>
      <w:proofErr w:type="spellEnd"/>
      <w:r>
        <w:t xml:space="preserve"> special requirement and additional services fees.</w:t>
      </w:r>
    </w:p>
    <w:p w14:paraId="631A235E" w14:textId="77777777" w:rsidR="0037654B" w:rsidRPr="00FD274F" w:rsidRDefault="0037654B" w:rsidP="0037654B">
      <w:pPr>
        <w:pStyle w:val="BodyNum"/>
      </w:pPr>
      <w:r w:rsidRPr="00FD274F">
        <w:t>Meeting these requirements is important but may not, on its own, ensure that text and other content is fully machine and people</w:t>
      </w:r>
      <w:r w:rsidR="009C4251">
        <w:noBreakHyphen/>
      </w:r>
      <w:r w:rsidRPr="00FD274F">
        <w:t>readable. Agencies should, therefore:</w:t>
      </w:r>
    </w:p>
    <w:p w14:paraId="7CCBC69B" w14:textId="77777777" w:rsidR="0037654B" w:rsidRPr="00FD274F" w:rsidRDefault="0037654B" w:rsidP="0037654B">
      <w:pPr>
        <w:pStyle w:val="BodyPara"/>
      </w:pPr>
      <w:r w:rsidRPr="00FD274F">
        <w:t>format the text of documents using styles or equivalent; and</w:t>
      </w:r>
    </w:p>
    <w:p w14:paraId="308F1302" w14:textId="77777777" w:rsidR="0037654B" w:rsidRPr="00FD274F" w:rsidRDefault="0037654B" w:rsidP="0037654B">
      <w:pPr>
        <w:pStyle w:val="BodyPara"/>
      </w:pPr>
      <w:r w:rsidRPr="00FD274F">
        <w:t>choose an easily readable font and font size for normal text—</w:t>
      </w:r>
      <w:proofErr w:type="spellStart"/>
      <w:r w:rsidRPr="00FD274F">
        <w:t>OPC’s</w:t>
      </w:r>
      <w:proofErr w:type="spellEnd"/>
      <w:r w:rsidRPr="00FD274F">
        <w:t xml:space="preserve"> current practice is to use 11 point Times New Roman for most text; and</w:t>
      </w:r>
    </w:p>
    <w:p w14:paraId="7BD90060" w14:textId="77777777" w:rsidR="0037654B" w:rsidRPr="00FD274F" w:rsidRDefault="0037654B" w:rsidP="0037654B">
      <w:pPr>
        <w:pStyle w:val="BodyPara"/>
      </w:pPr>
      <w:r w:rsidRPr="00FD274F">
        <w:t>present mathematical formulas as images; and</w:t>
      </w:r>
    </w:p>
    <w:p w14:paraId="4EF05C1C" w14:textId="77777777" w:rsidR="0037654B" w:rsidRPr="00FD274F" w:rsidRDefault="0037654B" w:rsidP="0037654B">
      <w:pPr>
        <w:pStyle w:val="BodyPara"/>
      </w:pPr>
      <w:r w:rsidRPr="00FD274F">
        <w:t>ensure all images are legible, and are tagged with an “alt text” description for people who use screen</w:t>
      </w:r>
      <w:r w:rsidR="009C4251">
        <w:noBreakHyphen/>
      </w:r>
      <w:r w:rsidRPr="00FD274F">
        <w:t>readers; and</w:t>
      </w:r>
    </w:p>
    <w:p w14:paraId="760A741D" w14:textId="77777777" w:rsidR="0037654B" w:rsidRPr="00FD274F" w:rsidRDefault="0037654B" w:rsidP="0037654B">
      <w:pPr>
        <w:pStyle w:val="BodyPara"/>
      </w:pPr>
      <w:r w:rsidRPr="00FD274F">
        <w:t>preview what the document is likely to look like when converted into PDF or HTML format (for example, by using the “Save As” feature in Word); and</w:t>
      </w:r>
    </w:p>
    <w:p w14:paraId="0A15637E" w14:textId="77777777" w:rsidR="0037654B" w:rsidRPr="00FD274F" w:rsidRDefault="0037654B" w:rsidP="0037654B">
      <w:pPr>
        <w:pStyle w:val="BodyPara"/>
      </w:pPr>
      <w:r w:rsidRPr="00FD274F">
        <w:t>consider splitting very large files that exceed 10MB or 600 pages into multiple volumes to avoid excessive download times; and</w:t>
      </w:r>
    </w:p>
    <w:p w14:paraId="71967C10" w14:textId="77777777" w:rsidR="0037654B" w:rsidRPr="00FD274F" w:rsidRDefault="0037654B" w:rsidP="0037654B">
      <w:pPr>
        <w:pStyle w:val="BodyPara"/>
      </w:pPr>
      <w:r w:rsidRPr="00FD274F">
        <w:t>finalise the document only after checking for hidden issues—in Word 2010, for example, this can be done using the File | Info | Check for Issues toolset.</w:t>
      </w:r>
    </w:p>
    <w:p w14:paraId="352260DB" w14:textId="77777777" w:rsidR="0037654B" w:rsidRPr="00FD274F" w:rsidRDefault="0037654B" w:rsidP="0037654B">
      <w:pPr>
        <w:pStyle w:val="BodyNum"/>
      </w:pPr>
      <w:r w:rsidRPr="00FD274F">
        <w:t>Things that are likely to cause problems, and that should be avoided if practicable, include the following:</w:t>
      </w:r>
    </w:p>
    <w:p w14:paraId="02EA92E5" w14:textId="77777777" w:rsidR="0037654B" w:rsidRPr="00FD274F" w:rsidRDefault="0037654B" w:rsidP="0037654B">
      <w:pPr>
        <w:pStyle w:val="BodyPara"/>
      </w:pPr>
      <w:r w:rsidRPr="00FD274F">
        <w:t>hidden content such as revisions and comments that may not be intend</w:t>
      </w:r>
      <w:r w:rsidR="00942F8D">
        <w:t>ed or suitable for publication;</w:t>
      </w:r>
    </w:p>
    <w:p w14:paraId="7C120CCA" w14:textId="77777777" w:rsidR="0037654B" w:rsidRPr="00FD274F" w:rsidRDefault="0037654B" w:rsidP="0037654B">
      <w:pPr>
        <w:pStyle w:val="BodyPara"/>
      </w:pPr>
      <w:r w:rsidRPr="00FD274F">
        <w:lastRenderedPageBreak/>
        <w:t xml:space="preserve">field codes and macros—these may no longer work, or may not work in the way intended, when the document is published by </w:t>
      </w:r>
      <w:proofErr w:type="spellStart"/>
      <w:r w:rsidRPr="00FD274F">
        <w:t>OPC</w:t>
      </w:r>
      <w:proofErr w:type="spellEnd"/>
      <w:r w:rsidRPr="00FD274F">
        <w:t>;</w:t>
      </w:r>
    </w:p>
    <w:p w14:paraId="5B81AB07" w14:textId="77777777" w:rsidR="0037654B" w:rsidRPr="00FD274F" w:rsidRDefault="0037654B" w:rsidP="0037654B">
      <w:pPr>
        <w:pStyle w:val="BodyPara"/>
      </w:pPr>
      <w:r w:rsidRPr="00FD274F">
        <w:t xml:space="preserve">special symbols—the Greek letter “Mu” (μ) in particular is at risk of being misread by some devices/software so </w:t>
      </w:r>
      <w:proofErr w:type="spellStart"/>
      <w:r w:rsidRPr="00FD274F">
        <w:t>μg</w:t>
      </w:r>
      <w:proofErr w:type="spellEnd"/>
      <w:r w:rsidRPr="00FD274F">
        <w:t xml:space="preserve"> may be misread as mg;</w:t>
      </w:r>
    </w:p>
    <w:p w14:paraId="188B0FE0" w14:textId="77777777" w:rsidR="0037654B" w:rsidRPr="00FD274F" w:rsidRDefault="0037654B" w:rsidP="0037654B">
      <w:pPr>
        <w:pStyle w:val="BodyPara"/>
      </w:pPr>
      <w:r w:rsidRPr="00FD274F">
        <w:t>highlighting, watermarks or background images that may obscure the text.</w:t>
      </w:r>
    </w:p>
    <w:p w14:paraId="28B75ED4" w14:textId="6263726C" w:rsidR="000878CB" w:rsidRPr="00961F7C" w:rsidRDefault="0037654B" w:rsidP="009343B0">
      <w:pPr>
        <w:pStyle w:val="BodyNum"/>
        <w:keepLines/>
      </w:pPr>
      <w:r w:rsidRPr="00FD274F">
        <w:t xml:space="preserve">Finally, agencies should also ensure that at least 1cm is left blank at the bottom of each page. This is so that no content is obscured when the document is stamped with its unique identifier and, if applicable, the words that indicate that it is an authorised version </w:t>
      </w:r>
      <w:r w:rsidRPr="00961F7C">
        <w:t xml:space="preserve">(see </w:t>
      </w:r>
      <w:hyperlink r:id="rId209" w:history="1">
        <w:r w:rsidRPr="00961F7C">
          <w:rPr>
            <w:rStyle w:val="Hyperlink"/>
          </w:rPr>
          <w:t>Rule</w:t>
        </w:r>
      </w:hyperlink>
      <w:r w:rsidR="00942F8D" w:rsidRPr="00961F7C">
        <w:t xml:space="preserve"> s 11 and 14(2)).</w:t>
      </w:r>
    </w:p>
    <w:p w14:paraId="7A950982" w14:textId="77777777" w:rsidR="0037654B" w:rsidRPr="00FD274F" w:rsidRDefault="0037654B" w:rsidP="0037654B">
      <w:pPr>
        <w:pStyle w:val="BodyNum"/>
      </w:pPr>
      <w:bookmarkStart w:id="86" w:name="_Ref384353433"/>
      <w:r w:rsidRPr="00FD274F">
        <w:t xml:space="preserve">If significant technical issues are identified during or after the registration process, </w:t>
      </w:r>
      <w:proofErr w:type="spellStart"/>
      <w:r w:rsidRPr="00FD274F">
        <w:t>OPC</w:t>
      </w:r>
      <w:proofErr w:type="spellEnd"/>
      <w:r w:rsidRPr="00FD274F">
        <w:t xml:space="preserve"> will generally contact the lodging agency to discuss the situation and suggest what can be done to resolve it.</w:t>
      </w:r>
      <w:bookmarkEnd w:id="86"/>
    </w:p>
    <w:p w14:paraId="429AC2E7" w14:textId="77777777" w:rsidR="0037654B" w:rsidRPr="00FD274F" w:rsidRDefault="0037654B" w:rsidP="0037654B">
      <w:pPr>
        <w:pStyle w:val="Head3"/>
      </w:pPr>
      <w:bookmarkStart w:id="87" w:name="_Toc112918776"/>
      <w:r w:rsidRPr="00FD274F">
        <w:t>Improving drafting standards</w:t>
      </w:r>
      <w:bookmarkEnd w:id="87"/>
    </w:p>
    <w:p w14:paraId="4633E95D" w14:textId="1C297BEB" w:rsidR="0037654B" w:rsidRPr="00FD274F" w:rsidRDefault="0037654B" w:rsidP="00CD6FA3">
      <w:pPr>
        <w:pStyle w:val="BodyNum"/>
        <w:keepNext/>
      </w:pPr>
      <w:r w:rsidRPr="004B337C">
        <w:t xml:space="preserve">Section 16 of the </w:t>
      </w:r>
      <w:hyperlink r:id="rId210" w:history="1">
        <w:r w:rsidRPr="004B337C">
          <w:rPr>
            <w:rStyle w:val="Hyperlink"/>
          </w:rPr>
          <w:t>LA</w:t>
        </w:r>
      </w:hyperlink>
      <w:r w:rsidRPr="004B337C">
        <w:rPr>
          <w:rStyle w:val="Hyperlink"/>
        </w:rPr>
        <w:t xml:space="preserve"> </w:t>
      </w:r>
      <w:r w:rsidRPr="004B337C">
        <w:t>r</w:t>
      </w:r>
      <w:r w:rsidRPr="00FD274F">
        <w:t>equires the First Parliamentary Counsel to cause steps to be taken to promote the legal effectiveness, clarity, and intelligibility to anticipated users, of legislative instruments</w:t>
      </w:r>
      <w:r w:rsidR="00534346">
        <w:t xml:space="preserve"> and notifiable instruments</w:t>
      </w:r>
      <w:r w:rsidRPr="00FD274F">
        <w:t>. The steps may include, but are not limited to, the following:</w:t>
      </w:r>
    </w:p>
    <w:p w14:paraId="508C7FA2" w14:textId="77777777" w:rsidR="0037654B" w:rsidRPr="00FD274F" w:rsidRDefault="0037654B" w:rsidP="0037654B">
      <w:pPr>
        <w:pStyle w:val="BodyPara"/>
      </w:pPr>
      <w:r w:rsidRPr="00FD274F">
        <w:t>undertaking or supervising the drafting of instruments;</w:t>
      </w:r>
    </w:p>
    <w:p w14:paraId="39094471" w14:textId="77777777" w:rsidR="0037654B" w:rsidRPr="00FD274F" w:rsidRDefault="0037654B" w:rsidP="0037654B">
      <w:pPr>
        <w:pStyle w:val="BodyPara"/>
      </w:pPr>
      <w:r w:rsidRPr="00FD274F">
        <w:t>scrutinising preliminary drafts of instruments;</w:t>
      </w:r>
    </w:p>
    <w:p w14:paraId="33936DAE" w14:textId="77777777" w:rsidR="0037654B" w:rsidRPr="00FD274F" w:rsidRDefault="0037654B" w:rsidP="0037654B">
      <w:pPr>
        <w:pStyle w:val="BodyPara"/>
      </w:pPr>
      <w:r w:rsidRPr="00FD274F">
        <w:t>providing advice about the drafting of instruments;</w:t>
      </w:r>
    </w:p>
    <w:p w14:paraId="39E382C1" w14:textId="77777777" w:rsidR="0037654B" w:rsidRPr="00FD274F" w:rsidRDefault="0037654B" w:rsidP="0037654B">
      <w:pPr>
        <w:pStyle w:val="BodyPara"/>
      </w:pPr>
      <w:r w:rsidRPr="00FD274F">
        <w:t>providing training in drafting and drafting</w:t>
      </w:r>
      <w:r w:rsidR="009C4251">
        <w:noBreakHyphen/>
      </w:r>
      <w:r w:rsidRPr="00FD274F">
        <w:t>related matters to agencies;</w:t>
      </w:r>
    </w:p>
    <w:p w14:paraId="681BF815" w14:textId="77777777" w:rsidR="0037654B" w:rsidRPr="00FD274F" w:rsidRDefault="0037654B" w:rsidP="0037654B">
      <w:pPr>
        <w:pStyle w:val="BodyPara"/>
      </w:pPr>
      <w:r w:rsidRPr="00FD274F">
        <w:t xml:space="preserve">arranging the temporary secondment of </w:t>
      </w:r>
      <w:proofErr w:type="spellStart"/>
      <w:r w:rsidRPr="00FD274F">
        <w:t>OPC</w:t>
      </w:r>
      <w:proofErr w:type="spellEnd"/>
      <w:r w:rsidRPr="00FD274F">
        <w:t xml:space="preserve"> staff to agencies;</w:t>
      </w:r>
    </w:p>
    <w:p w14:paraId="140932E5" w14:textId="77777777" w:rsidR="0037654B" w:rsidRPr="00FD274F" w:rsidRDefault="0037654B" w:rsidP="0037654B">
      <w:pPr>
        <w:pStyle w:val="BodyPara"/>
      </w:pPr>
      <w:r w:rsidRPr="00FD274F">
        <w:t>providing drafting precedents to agencies.</w:t>
      </w:r>
    </w:p>
    <w:p w14:paraId="3FF238EF" w14:textId="18CF261F" w:rsidR="004734E3" w:rsidRPr="00FD274F" w:rsidRDefault="0037654B" w:rsidP="004734E3">
      <w:pPr>
        <w:pStyle w:val="BodyNum"/>
      </w:pPr>
      <w:bookmarkStart w:id="88" w:name="_Ref367446214"/>
      <w:r w:rsidRPr="00FD274F">
        <w:t xml:space="preserve">This Handbook, issued by the First Parliamentary Counsel, includes important information to assist agencies to improve drafting standards. </w:t>
      </w:r>
      <w:proofErr w:type="spellStart"/>
      <w:r w:rsidRPr="00FD274F">
        <w:t>OP</w:t>
      </w:r>
      <w:r w:rsidRPr="00961F7C">
        <w:t>C</w:t>
      </w:r>
      <w:r w:rsidR="00172600" w:rsidRPr="00961F7C">
        <w:t>’s</w:t>
      </w:r>
      <w:proofErr w:type="spellEnd"/>
      <w:r w:rsidRPr="00961F7C">
        <w:t xml:space="preserve"> </w:t>
      </w:r>
      <w:hyperlink r:id="rId211" w:history="1">
        <w:r w:rsidR="00172600" w:rsidRPr="00961F7C">
          <w:rPr>
            <w:rStyle w:val="Hyperlink"/>
          </w:rPr>
          <w:t>Drafting Directions</w:t>
        </w:r>
      </w:hyperlink>
      <w:r w:rsidR="00172600" w:rsidRPr="00FD274F">
        <w:t xml:space="preserve"> </w:t>
      </w:r>
      <w:r w:rsidRPr="00FD274F">
        <w:t xml:space="preserve">deal comprehensively with the drafting of instruments as well as Bills. </w:t>
      </w:r>
      <w:proofErr w:type="spellStart"/>
      <w:r w:rsidRPr="00FD274F">
        <w:t>OPC</w:t>
      </w:r>
      <w:proofErr w:type="spellEnd"/>
      <w:r w:rsidRPr="00FD274F">
        <w:t xml:space="preserve"> is also available on a fee</w:t>
      </w:r>
      <w:r w:rsidR="009C4251">
        <w:noBreakHyphen/>
      </w:r>
      <w:r w:rsidRPr="00FD274F">
        <w:t>for</w:t>
      </w:r>
      <w:r w:rsidR="009C4251">
        <w:noBreakHyphen/>
      </w:r>
      <w:r w:rsidRPr="00FD274F">
        <w:t>service basis to provide training to agency staff who prepare legislative instruments.</w:t>
      </w:r>
      <w:bookmarkEnd w:id="88"/>
      <w:r w:rsidRPr="00FD274F">
        <w:t xml:space="preserve"> For further information, please contact </w:t>
      </w:r>
      <w:proofErr w:type="spellStart"/>
      <w:r w:rsidR="00172600">
        <w:t>O</w:t>
      </w:r>
      <w:r w:rsidR="00172600" w:rsidRPr="00961F7C">
        <w:t>PC’s</w:t>
      </w:r>
      <w:proofErr w:type="spellEnd"/>
      <w:r w:rsidR="00797F00">
        <w:t xml:space="preserve"> </w:t>
      </w:r>
      <w:hyperlink r:id="rId212" w:history="1">
        <w:r w:rsidR="00797F00" w:rsidRPr="00FD274F">
          <w:rPr>
            <w:rStyle w:val="Hyperlink"/>
          </w:rPr>
          <w:t>instrument client adviser</w:t>
        </w:r>
      </w:hyperlink>
      <w:r w:rsidR="00797F00">
        <w:rPr>
          <w:rStyle w:val="Hyperlink"/>
        </w:rPr>
        <w:t>s</w:t>
      </w:r>
      <w:r w:rsidR="00942F8D">
        <w:t>.</w:t>
      </w:r>
    </w:p>
    <w:p w14:paraId="4A7EF613" w14:textId="77777777" w:rsidR="0084047D" w:rsidRPr="00FD274F" w:rsidRDefault="00727ED5" w:rsidP="00BC14EC">
      <w:pPr>
        <w:pStyle w:val="Head2"/>
      </w:pPr>
      <w:r w:rsidRPr="00FD274F">
        <w:br w:type="page"/>
      </w:r>
      <w:bookmarkStart w:id="89" w:name="_Toc112918777"/>
      <w:bookmarkStart w:id="90" w:name="Chapter4"/>
      <w:r w:rsidR="0084047D" w:rsidRPr="00FD274F">
        <w:lastRenderedPageBreak/>
        <w:t>Chapter 4—</w:t>
      </w:r>
      <w:r w:rsidR="00E94C94" w:rsidRPr="00FD274F">
        <w:t>Lodgement and registration of instruments</w:t>
      </w:r>
      <w:bookmarkEnd w:id="89"/>
    </w:p>
    <w:p w14:paraId="03B31B29" w14:textId="77777777" w:rsidR="0084047D" w:rsidRPr="00FD274F" w:rsidRDefault="00942F8D" w:rsidP="0084047D">
      <w:pPr>
        <w:pStyle w:val="SundryBoxHeadBold"/>
      </w:pPr>
      <w:r>
        <w:t>Main points</w:t>
      </w:r>
    </w:p>
    <w:p w14:paraId="0925A8B9" w14:textId="77777777" w:rsidR="0084047D" w:rsidRPr="00FD274F" w:rsidRDefault="0084047D" w:rsidP="00E94C94">
      <w:pPr>
        <w:pStyle w:val="SundryBoxBullet"/>
      </w:pPr>
      <w:r w:rsidRPr="00FD274F">
        <w:t>•</w:t>
      </w:r>
      <w:r w:rsidRPr="00FD274F">
        <w:tab/>
      </w:r>
      <w:r w:rsidR="00E94C94" w:rsidRPr="00FD274F">
        <w:t xml:space="preserve">An </w:t>
      </w:r>
      <w:r w:rsidRPr="00FD274F">
        <w:t xml:space="preserve">instrument must be lodged for registration as soon as practicable after making, preferably </w:t>
      </w:r>
      <w:r w:rsidR="00E94C94" w:rsidRPr="00FD274F">
        <w:t>with its explanatory statement if required.</w:t>
      </w:r>
    </w:p>
    <w:p w14:paraId="04C676DC" w14:textId="77777777" w:rsidR="0084047D" w:rsidRPr="00FD274F" w:rsidRDefault="0084047D" w:rsidP="0084047D">
      <w:pPr>
        <w:pStyle w:val="SundryBoxBullet"/>
      </w:pPr>
      <w:r w:rsidRPr="00FD274F">
        <w:t>•</w:t>
      </w:r>
      <w:r w:rsidRPr="00FD274F">
        <w:tab/>
        <w:t>Registration is not the end of the process—</w:t>
      </w:r>
      <w:r w:rsidR="006734B9" w:rsidRPr="00FD274F">
        <w:t xml:space="preserve">both agencies and </w:t>
      </w:r>
      <w:proofErr w:type="spellStart"/>
      <w:r w:rsidR="006734B9" w:rsidRPr="00FD274F">
        <w:t>OPC</w:t>
      </w:r>
      <w:proofErr w:type="spellEnd"/>
      <w:r w:rsidR="006734B9" w:rsidRPr="00FD274F">
        <w:t xml:space="preserve"> are required to take action to ensure that </w:t>
      </w:r>
      <w:r w:rsidR="00A34456" w:rsidRPr="00FD274F">
        <w:t>the Register</w:t>
      </w:r>
      <w:r w:rsidRPr="00FD274F">
        <w:t xml:space="preserve"> remains complete and accurate.</w:t>
      </w:r>
    </w:p>
    <w:p w14:paraId="4CCA8B7F" w14:textId="77777777" w:rsidR="0084047D" w:rsidRPr="00FD274F" w:rsidRDefault="0084047D" w:rsidP="0084047D">
      <w:pPr>
        <w:pStyle w:val="Head3"/>
      </w:pPr>
      <w:bookmarkStart w:id="91" w:name="_Toc112918778"/>
      <w:r w:rsidRPr="00FD274F">
        <w:t xml:space="preserve">Requirement to lodge instruments with </w:t>
      </w:r>
      <w:proofErr w:type="spellStart"/>
      <w:r w:rsidRPr="00FD274F">
        <w:t>OPC</w:t>
      </w:r>
      <w:bookmarkEnd w:id="91"/>
      <w:proofErr w:type="spellEnd"/>
    </w:p>
    <w:p w14:paraId="11565C1C" w14:textId="06B94AFA" w:rsidR="00F757D4" w:rsidRPr="00FD274F" w:rsidRDefault="00F757D4" w:rsidP="000F41A7">
      <w:pPr>
        <w:pStyle w:val="BodyNum"/>
      </w:pPr>
      <w:r w:rsidRPr="00FD274F">
        <w:t xml:space="preserve">All instruments must be lodged for registration as soon as practicable after making </w:t>
      </w:r>
      <w:r w:rsidRPr="004B337C">
        <w:t>(</w:t>
      </w:r>
      <w:hyperlink r:id="rId213" w:history="1">
        <w:r w:rsidRPr="004B337C">
          <w:rPr>
            <w:rStyle w:val="Hyperlink"/>
          </w:rPr>
          <w:t>LA</w:t>
        </w:r>
      </w:hyperlink>
      <w:r w:rsidRPr="004B337C">
        <w:t xml:space="preserve"> s 15G)</w:t>
      </w:r>
      <w:r w:rsidR="00E62A3C" w:rsidRPr="004B337C">
        <w:t xml:space="preserve">. </w:t>
      </w:r>
      <w:r w:rsidR="000F41A7" w:rsidRPr="004B337C">
        <w:t>However, it is possible to create a</w:t>
      </w:r>
      <w:r w:rsidR="002A7D4B" w:rsidRPr="004B337C">
        <w:t xml:space="preserve"> draft</w:t>
      </w:r>
      <w:r w:rsidR="000F41A7" w:rsidRPr="004B337C">
        <w:t xml:space="preserve"> lodgement before an instrument is made.</w:t>
      </w:r>
      <w:r w:rsidR="000F41A7" w:rsidRPr="000F41A7">
        <w:t xml:space="preserve"> This is particularly </w:t>
      </w:r>
      <w:r w:rsidR="00620ACF">
        <w:t>useful if you require urgent registration</w:t>
      </w:r>
      <w:r w:rsidR="000F41A7" w:rsidRPr="000F41A7">
        <w:t>.</w:t>
      </w:r>
    </w:p>
    <w:p w14:paraId="391850E6" w14:textId="77777777" w:rsidR="0084047D" w:rsidRPr="00FD274F" w:rsidRDefault="0084047D" w:rsidP="0084047D">
      <w:pPr>
        <w:pStyle w:val="BodyNum"/>
      </w:pPr>
      <w:r w:rsidRPr="00FD274F">
        <w:t>The steps involved in lodging an instrument f</w:t>
      </w:r>
      <w:r w:rsidR="00942F8D">
        <w:t>or registration are as follows:</w:t>
      </w:r>
    </w:p>
    <w:p w14:paraId="74E46044" w14:textId="77777777" w:rsidR="00B30E8A" w:rsidRPr="00FD274F" w:rsidRDefault="0084047D" w:rsidP="0084047D">
      <w:pPr>
        <w:pStyle w:val="BodyPara"/>
      </w:pPr>
      <w:r w:rsidRPr="00FD274F">
        <w:t xml:space="preserve">create </w:t>
      </w:r>
      <w:r w:rsidR="00A34456" w:rsidRPr="00FD274F">
        <w:t xml:space="preserve">an online </w:t>
      </w:r>
      <w:r w:rsidRPr="00FD274F">
        <w:t>lodgement</w:t>
      </w:r>
      <w:r w:rsidR="00B30E8A" w:rsidRPr="00FD274F">
        <w:t>;</w:t>
      </w:r>
    </w:p>
    <w:p w14:paraId="784E134D" w14:textId="2D932520" w:rsidR="0084047D" w:rsidRPr="00FD274F" w:rsidRDefault="0084047D" w:rsidP="0084047D">
      <w:pPr>
        <w:pStyle w:val="BodyPara"/>
      </w:pPr>
      <w:r w:rsidRPr="00FD274F">
        <w:t>attach the electronic version of the instrument</w:t>
      </w:r>
      <w:r w:rsidR="00942F8D">
        <w:t>;</w:t>
      </w:r>
    </w:p>
    <w:p w14:paraId="664761E3" w14:textId="77777777" w:rsidR="00A8402A" w:rsidRDefault="00A8402A" w:rsidP="0084047D">
      <w:pPr>
        <w:pStyle w:val="BodyPara"/>
      </w:pPr>
      <w:r>
        <w:t>for legislative instruments—attach the explanatory statement;</w:t>
      </w:r>
    </w:p>
    <w:p w14:paraId="5B83377A" w14:textId="77777777" w:rsidR="00B30E8A" w:rsidRPr="00FD274F" w:rsidRDefault="00B30E8A" w:rsidP="0084047D">
      <w:pPr>
        <w:pStyle w:val="BodyPara"/>
      </w:pPr>
      <w:r w:rsidRPr="00FD274F">
        <w:t xml:space="preserve">if required—attach </w:t>
      </w:r>
      <w:r w:rsidR="00942F8D">
        <w:t>other documents;</w:t>
      </w:r>
    </w:p>
    <w:p w14:paraId="53F42061" w14:textId="77777777" w:rsidR="00F757D4" w:rsidRPr="00FD274F" w:rsidRDefault="0084047D" w:rsidP="00B30E8A">
      <w:pPr>
        <w:pStyle w:val="BodyPara"/>
      </w:pPr>
      <w:r w:rsidRPr="00FD274F">
        <w:t>certify the online lodgement</w:t>
      </w:r>
      <w:r w:rsidR="00F757D4" w:rsidRPr="00FD274F">
        <w:t xml:space="preserve">—this is the final step </w:t>
      </w:r>
      <w:r w:rsidR="00BC14EC" w:rsidRPr="00FD274F">
        <w:t xml:space="preserve">before </w:t>
      </w:r>
      <w:proofErr w:type="spellStart"/>
      <w:r w:rsidR="00BC14EC" w:rsidRPr="00FD274F">
        <w:t>OPC</w:t>
      </w:r>
      <w:proofErr w:type="spellEnd"/>
      <w:r w:rsidR="00BC14EC" w:rsidRPr="00FD274F">
        <w:t xml:space="preserve"> can register an instrument, </w:t>
      </w:r>
      <w:r w:rsidR="00F757D4" w:rsidRPr="00FD274F">
        <w:t>and should only be taken once an instrument has been made.</w:t>
      </w:r>
    </w:p>
    <w:p w14:paraId="578B1A01" w14:textId="451A9788" w:rsidR="0002463A" w:rsidRPr="00FD274F" w:rsidRDefault="007648A2" w:rsidP="00534346">
      <w:pPr>
        <w:pStyle w:val="BodyNum"/>
      </w:pPr>
      <w:r>
        <w:t xml:space="preserve">Agencies </w:t>
      </w:r>
      <w:r w:rsidR="007240A2">
        <w:t xml:space="preserve">do not </w:t>
      </w:r>
      <w:r w:rsidR="00C47CF7" w:rsidRPr="00FD274F">
        <w:t xml:space="preserve">need to lodge original instruments in hard copy, </w:t>
      </w:r>
      <w:r w:rsidR="00216B07" w:rsidRPr="00FD274F">
        <w:t xml:space="preserve">as </w:t>
      </w:r>
      <w:r w:rsidR="00F02110" w:rsidRPr="00FD274F">
        <w:t>electronic copies of registered laws and explanatory statements are authorised and taken to be</w:t>
      </w:r>
      <w:r w:rsidR="00583239" w:rsidRPr="00FD274F">
        <w:t xml:space="preserve"> a</w:t>
      </w:r>
      <w:r w:rsidR="00F02110" w:rsidRPr="00FD274F">
        <w:t xml:space="preserve"> reliable source of information for the purpose of legal proceedings </w:t>
      </w:r>
      <w:r w:rsidR="00F02110" w:rsidRPr="004B337C">
        <w:t>(</w:t>
      </w:r>
      <w:hyperlink r:id="rId214" w:history="1">
        <w:r w:rsidR="00F66686" w:rsidRPr="004B337C">
          <w:rPr>
            <w:rStyle w:val="Hyperlink"/>
          </w:rPr>
          <w:t>LA</w:t>
        </w:r>
      </w:hyperlink>
      <w:r w:rsidR="00F02110" w:rsidRPr="004B337C">
        <w:t xml:space="preserve"> s</w:t>
      </w:r>
      <w:r w:rsidR="00583239" w:rsidRPr="004B337C">
        <w:t xml:space="preserve"> </w:t>
      </w:r>
      <w:r w:rsidR="00F02110" w:rsidRPr="004B337C">
        <w:t>15ZB)</w:t>
      </w:r>
      <w:r w:rsidR="00216B07" w:rsidRPr="00FD274F">
        <w:t xml:space="preserve">. </w:t>
      </w:r>
      <w:r w:rsidR="0002463A" w:rsidRPr="00FD274F">
        <w:t xml:space="preserve">Agencies </w:t>
      </w:r>
      <w:r w:rsidR="00C71D87" w:rsidRPr="00FD274F">
        <w:t xml:space="preserve">are, however, expected to manage hard copies in accordance with the </w:t>
      </w:r>
      <w:hyperlink r:id="rId215" w:history="1">
        <w:r w:rsidR="00654111" w:rsidRPr="00A82ED8">
          <w:rPr>
            <w:rStyle w:val="Hyperlink"/>
            <w:i/>
          </w:rPr>
          <w:t>Archives Act 1983</w:t>
        </w:r>
      </w:hyperlink>
      <w:r w:rsidR="00C71D87" w:rsidRPr="00A82ED8">
        <w:t xml:space="preserve"> an</w:t>
      </w:r>
      <w:r w:rsidR="00C71D87" w:rsidRPr="00FD274F">
        <w:t xml:space="preserve">d related guidance on the destruction of original records after digitisation </w:t>
      </w:r>
      <w:r w:rsidR="00C71D87" w:rsidRPr="00A82ED8">
        <w:t>(</w:t>
      </w:r>
      <w:r w:rsidR="00534346" w:rsidRPr="00A82ED8">
        <w:t>see the National Archives of Australia General Records Authority 31(</w:t>
      </w:r>
      <w:hyperlink r:id="rId216" w:history="1">
        <w:r w:rsidR="00C71D87" w:rsidRPr="00A82ED8">
          <w:rPr>
            <w:rStyle w:val="Hyperlink"/>
          </w:rPr>
          <w:t>GRA31</w:t>
        </w:r>
      </w:hyperlink>
      <w:r w:rsidR="00C71D87" w:rsidRPr="00A82ED8">
        <w:t>)</w:t>
      </w:r>
      <w:r w:rsidR="00534346" w:rsidRPr="00A82ED8">
        <w:t>)</w:t>
      </w:r>
      <w:r w:rsidR="00C71D87" w:rsidRPr="00A82ED8">
        <w:t>.</w:t>
      </w:r>
    </w:p>
    <w:p w14:paraId="0E71805E" w14:textId="58249624" w:rsidR="000C6BC2" w:rsidRPr="00FD274F" w:rsidRDefault="002440CB" w:rsidP="000C6BC2">
      <w:pPr>
        <w:pStyle w:val="BodyNum"/>
      </w:pPr>
      <w:r w:rsidRPr="00FD274F">
        <w:t>Failure to lodge instruments promptly can have significant legal and other consequences</w:t>
      </w:r>
      <w:r w:rsidR="00915975" w:rsidRPr="00FD274F">
        <w:t xml:space="preserve">, particularly if this results in the instrument commencing retrospectively </w:t>
      </w:r>
      <w:r w:rsidR="00915975" w:rsidRPr="001E349A">
        <w:t>(see paragraph</w:t>
      </w:r>
      <w:r w:rsidR="00EA3D29" w:rsidRPr="001E349A">
        <w:t>s</w:t>
      </w:r>
      <w:r w:rsidR="00915975" w:rsidRPr="001E349A">
        <w:t xml:space="preserve"> </w:t>
      </w:r>
      <w:r w:rsidR="00915975" w:rsidRPr="00A82ED8">
        <w:fldChar w:fldCharType="begin"/>
      </w:r>
      <w:r w:rsidR="00915975" w:rsidRPr="001E349A">
        <w:instrText xml:space="preserve"> REF _Ref444869799 \r \h </w:instrText>
      </w:r>
      <w:r w:rsidR="00F308D0" w:rsidRPr="001E349A">
        <w:instrText xml:space="preserve"> \* MERGEFORMAT </w:instrText>
      </w:r>
      <w:r w:rsidR="00915975" w:rsidRPr="00A82ED8">
        <w:fldChar w:fldCharType="separate"/>
      </w:r>
      <w:r w:rsidR="003E1B43" w:rsidRPr="001E349A">
        <w:t>71</w:t>
      </w:r>
      <w:r w:rsidR="00915975" w:rsidRPr="00A82ED8">
        <w:fldChar w:fldCharType="end"/>
      </w:r>
      <w:r w:rsidR="00EA3D29" w:rsidRPr="001E349A">
        <w:t xml:space="preserve"> </w:t>
      </w:r>
      <w:r w:rsidR="009735CD">
        <w:t>to</w:t>
      </w:r>
      <w:r w:rsidR="00EA3D29" w:rsidRPr="001E349A">
        <w:t xml:space="preserve"> </w:t>
      </w:r>
      <w:r w:rsidR="00A85BA9">
        <w:fldChar w:fldCharType="begin"/>
      </w:r>
      <w:r w:rsidR="00A85BA9">
        <w:instrText xml:space="preserve"> REF _Ref112918881 \r \h </w:instrText>
      </w:r>
      <w:r w:rsidR="00A85BA9">
        <w:fldChar w:fldCharType="separate"/>
      </w:r>
      <w:r w:rsidR="00A85BA9">
        <w:t>76</w:t>
      </w:r>
      <w:r w:rsidR="00A85BA9">
        <w:fldChar w:fldCharType="end"/>
      </w:r>
      <w:r w:rsidR="00942F8D" w:rsidRPr="001E349A">
        <w:t>).</w:t>
      </w:r>
    </w:p>
    <w:p w14:paraId="33564E1F" w14:textId="77777777" w:rsidR="0084047D" w:rsidRPr="00FD274F" w:rsidRDefault="0084047D" w:rsidP="0084047D">
      <w:pPr>
        <w:pStyle w:val="Head4"/>
      </w:pPr>
      <w:bookmarkStart w:id="92" w:name="_Toc112918779"/>
      <w:r w:rsidRPr="00FD274F">
        <w:t>Step 1: Create online lodgement</w:t>
      </w:r>
      <w:bookmarkEnd w:id="92"/>
    </w:p>
    <w:p w14:paraId="10FFC90A" w14:textId="521EF5EE" w:rsidR="0084047D" w:rsidRPr="00FD274F" w:rsidRDefault="0084047D" w:rsidP="0084047D">
      <w:pPr>
        <w:pStyle w:val="BodyNum"/>
      </w:pPr>
      <w:r w:rsidRPr="00FD274F">
        <w:t>A separate online lo</w:t>
      </w:r>
      <w:r w:rsidRPr="00FD274F">
        <w:rPr>
          <w:szCs w:val="24"/>
        </w:rPr>
        <w:t xml:space="preserve">dgement must be created for </w:t>
      </w:r>
      <w:r w:rsidR="00BE52DD" w:rsidRPr="00FD274F">
        <w:rPr>
          <w:szCs w:val="24"/>
        </w:rPr>
        <w:t>e</w:t>
      </w:r>
      <w:r w:rsidR="00BE52DD">
        <w:rPr>
          <w:szCs w:val="24"/>
        </w:rPr>
        <w:t>ach</w:t>
      </w:r>
      <w:r w:rsidR="00BE52DD" w:rsidRPr="00FD274F">
        <w:rPr>
          <w:szCs w:val="24"/>
        </w:rPr>
        <w:t xml:space="preserve"> </w:t>
      </w:r>
      <w:r w:rsidRPr="00FD274F">
        <w:rPr>
          <w:szCs w:val="24"/>
        </w:rPr>
        <w:t xml:space="preserve">instrument. This can only be done through the secure lodgement facility at </w:t>
      </w:r>
      <w:hyperlink r:id="rId217" w:history="1">
        <w:r w:rsidR="00A34456" w:rsidRPr="00FD274F">
          <w:rPr>
            <w:rStyle w:val="Hyperlink"/>
            <w:szCs w:val="24"/>
          </w:rPr>
          <w:t>https://lodge.legislation.gov.au</w:t>
        </w:r>
      </w:hyperlink>
      <w:r w:rsidR="00A34456" w:rsidRPr="00FD274F">
        <w:rPr>
          <w:color w:val="1F497D"/>
          <w:szCs w:val="24"/>
        </w:rPr>
        <w:t xml:space="preserve"> </w:t>
      </w:r>
      <w:r w:rsidRPr="00FD274F">
        <w:rPr>
          <w:szCs w:val="24"/>
        </w:rPr>
        <w:t>unless the First Parliamentary Counsel has agreed otherwise</w:t>
      </w:r>
      <w:r w:rsidRPr="00FD274F">
        <w:t xml:space="preserve"> </w:t>
      </w:r>
      <w:r w:rsidRPr="00A82ED8">
        <w:t>(</w:t>
      </w:r>
      <w:hyperlink r:id="rId218" w:history="1">
        <w:r w:rsidR="00A34456" w:rsidRPr="00A82ED8">
          <w:rPr>
            <w:rStyle w:val="Hyperlink"/>
          </w:rPr>
          <w:t>Rule</w:t>
        </w:r>
      </w:hyperlink>
      <w:r w:rsidRPr="00A82ED8">
        <w:t xml:space="preserve"> </w:t>
      </w:r>
      <w:r w:rsidR="00A34456" w:rsidRPr="00A82ED8">
        <w:t>s</w:t>
      </w:r>
      <w:r w:rsidRPr="00A82ED8">
        <w:t xml:space="preserve"> </w:t>
      </w:r>
      <w:r w:rsidR="00180A24" w:rsidRPr="00A82ED8">
        <w:t>5(2)</w:t>
      </w:r>
      <w:r w:rsidR="00942F8D" w:rsidRPr="00A82ED8">
        <w:t>).</w:t>
      </w:r>
    </w:p>
    <w:p w14:paraId="3FD04CF0" w14:textId="51F53052" w:rsidR="0084047D" w:rsidRPr="00FD274F" w:rsidRDefault="0084047D" w:rsidP="00CD6FA3">
      <w:pPr>
        <w:pStyle w:val="BodyNum"/>
        <w:keepLines/>
      </w:pPr>
      <w:r w:rsidRPr="00FD274F">
        <w:lastRenderedPageBreak/>
        <w:t xml:space="preserve">Many agencies have a central lodging area for </w:t>
      </w:r>
      <w:r w:rsidR="003B4BB6" w:rsidRPr="00FD274F">
        <w:t xml:space="preserve">lodgement purposes. </w:t>
      </w:r>
      <w:r w:rsidRPr="00FD274F">
        <w:t xml:space="preserve">If </w:t>
      </w:r>
      <w:r w:rsidR="003B4BB6" w:rsidRPr="00FD274F">
        <w:t>not, p</w:t>
      </w:r>
      <w:r w:rsidRPr="00FD274F">
        <w:t xml:space="preserve">lease contact </w:t>
      </w:r>
      <w:proofErr w:type="spellStart"/>
      <w:r w:rsidRPr="00FD274F">
        <w:t>OPC</w:t>
      </w:r>
      <w:proofErr w:type="spellEnd"/>
      <w:r w:rsidRPr="00FD274F">
        <w:t xml:space="preserve"> (</w:t>
      </w:r>
      <w:hyperlink r:id="rId219" w:history="1">
        <w:hyperlink r:id="rId220" w:history="1">
          <w:r w:rsidR="00CE2723" w:rsidRPr="00FD274F">
            <w:rPr>
              <w:rStyle w:val="Hyperlink"/>
              <w:rFonts w:eastAsiaTheme="minorHAnsi"/>
              <w:szCs w:val="24"/>
              <w:lang w:eastAsia="en-US"/>
            </w:rPr>
            <w:t>lodge@legislation.gov.au</w:t>
          </w:r>
        </w:hyperlink>
      </w:hyperlink>
      <w:r w:rsidRPr="00FD274F">
        <w:t xml:space="preserve"> or (02) 6120 1350) to arrange a log</w:t>
      </w:r>
      <w:r w:rsidR="009C4251">
        <w:noBreakHyphen/>
      </w:r>
      <w:r w:rsidRPr="00FD274F">
        <w:t xml:space="preserve">on and </w:t>
      </w:r>
      <w:r w:rsidR="000878CB">
        <w:t xml:space="preserve">for </w:t>
      </w:r>
      <w:r w:rsidR="006734B9" w:rsidRPr="00FD274F">
        <w:t>assistance</w:t>
      </w:r>
      <w:r w:rsidRPr="00FD274F">
        <w:t xml:space="preserve">. The lodgement facility also </w:t>
      </w:r>
      <w:r w:rsidR="00BE52DD">
        <w:t>provides additional guidance</w:t>
      </w:r>
      <w:r w:rsidRPr="00FD274F">
        <w:t xml:space="preserve"> within lodgement forms to make t</w:t>
      </w:r>
      <w:r w:rsidR="00942F8D">
        <w:t>he process as easy as possible.</w:t>
      </w:r>
    </w:p>
    <w:p w14:paraId="352477E4" w14:textId="464BA563" w:rsidR="003B4BB6" w:rsidRPr="00FD274F" w:rsidRDefault="00BF5238" w:rsidP="0084047D">
      <w:pPr>
        <w:pStyle w:val="BodyNum"/>
      </w:pPr>
      <w:r w:rsidRPr="00FD274F">
        <w:t>A</w:t>
      </w:r>
      <w:r w:rsidR="0084047D" w:rsidRPr="00FD274F">
        <w:t>s</w:t>
      </w:r>
      <w:r w:rsidRPr="00FD274F">
        <w:t xml:space="preserve"> part of the lodgement process, the lodging agency will need to choose the appropriate lodgement type (that is, </w:t>
      </w:r>
      <w:r w:rsidR="003B4BB6" w:rsidRPr="00FD274F">
        <w:t>legislative instrument or notifiable instrument as discusse</w:t>
      </w:r>
      <w:r w:rsidR="003B4BB6" w:rsidRPr="001E349A">
        <w:t xml:space="preserve">d in </w:t>
      </w:r>
      <w:hyperlink w:anchor="Chapter2" w:history="1">
        <w:r w:rsidR="003B4BB6" w:rsidRPr="001E349A">
          <w:rPr>
            <w:rStyle w:val="Hyperlink"/>
          </w:rPr>
          <w:t>Chapter 2</w:t>
        </w:r>
      </w:hyperlink>
      <w:r w:rsidRPr="001E349A">
        <w:t>) a</w:t>
      </w:r>
      <w:r w:rsidRPr="00FD274F">
        <w:t>nd supply information including:</w:t>
      </w:r>
    </w:p>
    <w:p w14:paraId="53184476" w14:textId="77777777" w:rsidR="0084047D" w:rsidRPr="00FD274F" w:rsidRDefault="0084047D" w:rsidP="0084047D">
      <w:pPr>
        <w:pStyle w:val="BodyPara"/>
      </w:pPr>
      <w:r w:rsidRPr="00FD274F">
        <w:t xml:space="preserve">the name and relevant provision of the </w:t>
      </w:r>
      <w:r w:rsidR="00BF5238" w:rsidRPr="00FD274F">
        <w:t xml:space="preserve">instrument’s </w:t>
      </w:r>
      <w:r w:rsidRPr="00FD274F">
        <w:t>enabling legislation;</w:t>
      </w:r>
      <w:r w:rsidR="0049700A" w:rsidRPr="00FD274F">
        <w:t xml:space="preserve"> and</w:t>
      </w:r>
    </w:p>
    <w:p w14:paraId="65074C84" w14:textId="77777777" w:rsidR="0084047D" w:rsidRPr="00FD274F" w:rsidRDefault="0084047D" w:rsidP="0084047D">
      <w:pPr>
        <w:pStyle w:val="BodyPara"/>
      </w:pPr>
      <w:r w:rsidRPr="00FD274F">
        <w:t>a brief description of the subject matter of the instrument;</w:t>
      </w:r>
      <w:r w:rsidR="0049700A" w:rsidRPr="00FD274F">
        <w:t xml:space="preserve"> and</w:t>
      </w:r>
    </w:p>
    <w:p w14:paraId="640F4223" w14:textId="77777777" w:rsidR="0084047D" w:rsidRPr="00FD274F" w:rsidRDefault="0084047D" w:rsidP="0084047D">
      <w:pPr>
        <w:pStyle w:val="BodyPara"/>
      </w:pPr>
      <w:r w:rsidRPr="00FD274F">
        <w:t>a reference identifying any document incorporated by reference in the instrument;</w:t>
      </w:r>
      <w:r w:rsidR="0049700A" w:rsidRPr="00FD274F">
        <w:t xml:space="preserve"> and</w:t>
      </w:r>
    </w:p>
    <w:p w14:paraId="38691EEB" w14:textId="77777777" w:rsidR="0084047D" w:rsidRPr="00FD274F" w:rsidRDefault="0084047D" w:rsidP="0084047D">
      <w:pPr>
        <w:pStyle w:val="BodyPara"/>
      </w:pPr>
      <w:r w:rsidRPr="00FD274F">
        <w:t>the name of the instrument and of any instrument that it affects;</w:t>
      </w:r>
      <w:r w:rsidR="0049700A" w:rsidRPr="00FD274F">
        <w:t xml:space="preserve"> and</w:t>
      </w:r>
    </w:p>
    <w:p w14:paraId="33D3EDEC" w14:textId="77777777" w:rsidR="0084047D" w:rsidRPr="00FD274F" w:rsidRDefault="0084047D" w:rsidP="0084047D">
      <w:pPr>
        <w:pStyle w:val="BodyPara"/>
      </w:pPr>
      <w:r w:rsidRPr="00FD274F">
        <w:t>the number of pages in the instrument;</w:t>
      </w:r>
      <w:r w:rsidR="0049700A" w:rsidRPr="00FD274F">
        <w:t xml:space="preserve"> and</w:t>
      </w:r>
    </w:p>
    <w:p w14:paraId="645B3453" w14:textId="77777777" w:rsidR="003B4BB6" w:rsidRPr="00FD274F" w:rsidRDefault="0084047D" w:rsidP="003B4BB6">
      <w:pPr>
        <w:pStyle w:val="BodyPara"/>
      </w:pPr>
      <w:r w:rsidRPr="00FD274F">
        <w:t>the name and contact details of a person who can answer</w:t>
      </w:r>
      <w:r w:rsidR="00BF5238" w:rsidRPr="00FD274F">
        <w:t xml:space="preserve"> questions about th</w:t>
      </w:r>
      <w:r w:rsidR="00942F8D">
        <w:t>e instrument; and</w:t>
      </w:r>
    </w:p>
    <w:p w14:paraId="19F339D5" w14:textId="34785B5F" w:rsidR="00BF5238" w:rsidRPr="00FD274F" w:rsidRDefault="00BF5238" w:rsidP="003B4BB6">
      <w:pPr>
        <w:pStyle w:val="BodyPara"/>
      </w:pPr>
      <w:r w:rsidRPr="00FD274F">
        <w:t>details of any special requirement</w:t>
      </w:r>
      <w:r w:rsidR="00AD5556" w:rsidRPr="00FD274F">
        <w:t xml:space="preserve"> e.g. for </w:t>
      </w:r>
      <w:r w:rsidRPr="00FD274F">
        <w:t>registration on or before a specified date, or for express or peak period service as discussed i</w:t>
      </w:r>
      <w:r w:rsidRPr="001E349A">
        <w:t xml:space="preserve">n paragraph </w:t>
      </w:r>
      <w:r w:rsidRPr="004849C6">
        <w:fldChar w:fldCharType="begin"/>
      </w:r>
      <w:r w:rsidRPr="001E349A">
        <w:instrText xml:space="preserve"> REF _Ref434314290 \r \h  \* MERGEFORMAT </w:instrText>
      </w:r>
      <w:r w:rsidRPr="004849C6">
        <w:fldChar w:fldCharType="separate"/>
      </w:r>
      <w:r w:rsidR="003E1B43" w:rsidRPr="001E349A">
        <w:t>149</w:t>
      </w:r>
      <w:r w:rsidRPr="004849C6">
        <w:fldChar w:fldCharType="end"/>
      </w:r>
      <w:r w:rsidRPr="001E349A">
        <w:t>.</w:t>
      </w:r>
    </w:p>
    <w:p w14:paraId="22FE6684" w14:textId="77777777" w:rsidR="0084047D" w:rsidRPr="00FD274F" w:rsidRDefault="003B4BB6" w:rsidP="0084047D">
      <w:pPr>
        <w:pStyle w:val="BodyNum"/>
      </w:pPr>
      <w:r w:rsidRPr="00FD274F">
        <w:t xml:space="preserve">Please ensure </w:t>
      </w:r>
      <w:r w:rsidR="0084047D" w:rsidRPr="00FD274F">
        <w:t>that the person nominated to answer questions about the instrument is familiar with the instrument in question, and provide</w:t>
      </w:r>
      <w:r w:rsidR="00BE52DD">
        <w:t>s</w:t>
      </w:r>
      <w:r w:rsidR="0084047D" w:rsidRPr="00FD274F">
        <w:t xml:space="preserve"> their mobile or after</w:t>
      </w:r>
      <w:r w:rsidR="009C4251">
        <w:noBreakHyphen/>
      </w:r>
      <w:r w:rsidR="0084047D" w:rsidRPr="00FD274F">
        <w:t xml:space="preserve">hours phone number if express registration is required. Otherwise, if statutory requirements have not been met, it may not be possible for </w:t>
      </w:r>
      <w:proofErr w:type="spellStart"/>
      <w:r w:rsidR="0084047D" w:rsidRPr="00FD274F">
        <w:t>OPC</w:t>
      </w:r>
      <w:proofErr w:type="spellEnd"/>
      <w:r w:rsidR="0084047D" w:rsidRPr="00FD274F">
        <w:t xml:space="preserve"> to meet the requir</w:t>
      </w:r>
      <w:r w:rsidR="00942F8D">
        <w:t>ement for express registration.</w:t>
      </w:r>
    </w:p>
    <w:p w14:paraId="14AF8A08" w14:textId="77777777" w:rsidR="0084047D" w:rsidRPr="00FD274F" w:rsidRDefault="003B4BB6" w:rsidP="0084047D">
      <w:pPr>
        <w:pStyle w:val="BodyNum"/>
      </w:pPr>
      <w:r w:rsidRPr="00FD274F">
        <w:t xml:space="preserve">In addition, to </w:t>
      </w:r>
      <w:r w:rsidR="0084047D" w:rsidRPr="00FD274F">
        <w:t>ensure that the instrument is processed appropriately after registration, informati</w:t>
      </w:r>
      <w:r w:rsidRPr="00FD274F">
        <w:t>on must also be provided about:</w:t>
      </w:r>
    </w:p>
    <w:p w14:paraId="2D4F119A" w14:textId="71AB96CC" w:rsidR="0084047D" w:rsidRPr="00FD274F" w:rsidRDefault="003B4BB6" w:rsidP="0084047D">
      <w:pPr>
        <w:pStyle w:val="BodyPara"/>
      </w:pPr>
      <w:r w:rsidRPr="00FD274F">
        <w:t xml:space="preserve">whether the instrument is </w:t>
      </w:r>
      <w:r w:rsidR="00A34456" w:rsidRPr="00FD274F">
        <w:t xml:space="preserve">subject to </w:t>
      </w:r>
      <w:r w:rsidR="0084047D" w:rsidRPr="00FD274F">
        <w:t xml:space="preserve">automatic repeal as discussed in </w:t>
      </w:r>
      <w:r w:rsidR="0084047D" w:rsidRPr="004849C6">
        <w:t xml:space="preserve">paragraphs </w:t>
      </w:r>
      <w:r w:rsidR="0084047D" w:rsidRPr="004849C6">
        <w:fldChar w:fldCharType="begin"/>
      </w:r>
      <w:r w:rsidR="0084047D" w:rsidRPr="004849C6">
        <w:instrText xml:space="preserve"> REF _Ref384703176 \r \h  \* MERGEFORMAT </w:instrText>
      </w:r>
      <w:r w:rsidR="0084047D" w:rsidRPr="004849C6">
        <w:fldChar w:fldCharType="separate"/>
      </w:r>
      <w:r w:rsidR="003E1B43" w:rsidRPr="004849C6">
        <w:t>89</w:t>
      </w:r>
      <w:r w:rsidR="0084047D" w:rsidRPr="004849C6">
        <w:fldChar w:fldCharType="end"/>
      </w:r>
      <w:r w:rsidR="0049700A" w:rsidRPr="004849C6">
        <w:t xml:space="preserve"> to</w:t>
      </w:r>
      <w:r w:rsidR="00DE3D92" w:rsidRPr="004849C6">
        <w:t xml:space="preserve"> </w:t>
      </w:r>
      <w:r w:rsidR="00DE3D92" w:rsidRPr="004849C6">
        <w:fldChar w:fldCharType="begin"/>
      </w:r>
      <w:r w:rsidR="00DE3D92" w:rsidRPr="004849C6">
        <w:instrText xml:space="preserve"> REF _Ref384706703 \r \h </w:instrText>
      </w:r>
      <w:r w:rsidR="00BF3019">
        <w:rPr>
          <w:highlight w:val="yellow"/>
        </w:rPr>
        <w:instrText xml:space="preserve"> \* MERGEFORMAT </w:instrText>
      </w:r>
      <w:r w:rsidR="00DE3D92" w:rsidRPr="004849C6">
        <w:fldChar w:fldCharType="separate"/>
      </w:r>
      <w:r w:rsidR="003E1B43" w:rsidRPr="004849C6">
        <w:t>93</w:t>
      </w:r>
      <w:r w:rsidR="00DE3D92" w:rsidRPr="004849C6">
        <w:fldChar w:fldCharType="end"/>
      </w:r>
      <w:r w:rsidR="00942F8D" w:rsidRPr="004849C6">
        <w:t>;</w:t>
      </w:r>
      <w:r w:rsidR="00942F8D">
        <w:t xml:space="preserve"> and</w:t>
      </w:r>
    </w:p>
    <w:p w14:paraId="4D62F95E" w14:textId="77777777" w:rsidR="003B4BB6" w:rsidRPr="00FD274F" w:rsidRDefault="003B4BB6" w:rsidP="0084047D">
      <w:pPr>
        <w:pStyle w:val="BodyPara"/>
      </w:pPr>
      <w:r w:rsidRPr="00FD274F">
        <w:t>if it is a legislative instrument—whether it is subject to:</w:t>
      </w:r>
    </w:p>
    <w:p w14:paraId="69055C5E" w14:textId="07B7EF43" w:rsidR="0084047D" w:rsidRPr="00FD274F" w:rsidRDefault="0084047D" w:rsidP="00A34456">
      <w:pPr>
        <w:pStyle w:val="BodySubPara"/>
      </w:pPr>
      <w:r w:rsidRPr="00FD274F">
        <w:t>disallowance as discussed i</w:t>
      </w:r>
      <w:r w:rsidRPr="004849C6">
        <w:t xml:space="preserve">n </w:t>
      </w:r>
      <w:hyperlink w:anchor="Chapter9" w:history="1">
        <w:r w:rsidR="007D63BE" w:rsidRPr="004849C6">
          <w:rPr>
            <w:rStyle w:val="Hyperlink"/>
          </w:rPr>
          <w:t>Chapter 9</w:t>
        </w:r>
      </w:hyperlink>
      <w:r w:rsidRPr="004849C6">
        <w:t>;</w:t>
      </w:r>
      <w:r w:rsidRPr="00FD274F">
        <w:t xml:space="preserve"> and</w:t>
      </w:r>
    </w:p>
    <w:p w14:paraId="0DB57E75" w14:textId="36629CA8" w:rsidR="003B4BB6" w:rsidRPr="00FD274F" w:rsidRDefault="0084047D" w:rsidP="003B4BB6">
      <w:pPr>
        <w:pStyle w:val="BodySubPara"/>
      </w:pPr>
      <w:r w:rsidRPr="00FD274F">
        <w:t xml:space="preserve">sunsetting as discussed in </w:t>
      </w:r>
      <w:hyperlink w:anchor="Chapter10" w:history="1">
        <w:r w:rsidR="007D63BE" w:rsidRPr="004849C6">
          <w:rPr>
            <w:rStyle w:val="Hyperlink"/>
          </w:rPr>
          <w:t>Chapter 10</w:t>
        </w:r>
      </w:hyperlink>
      <w:r w:rsidRPr="004849C6">
        <w:t>.</w:t>
      </w:r>
    </w:p>
    <w:p w14:paraId="06C10F19" w14:textId="176F1C6C" w:rsidR="0084047D" w:rsidRPr="00FD274F" w:rsidRDefault="0084047D" w:rsidP="0084047D">
      <w:pPr>
        <w:pStyle w:val="Head4"/>
      </w:pPr>
      <w:bookmarkStart w:id="93" w:name="_Toc112918780"/>
      <w:r w:rsidRPr="00FD274F">
        <w:t>Step 2: Attach electronic version of instrument</w:t>
      </w:r>
      <w:bookmarkEnd w:id="93"/>
    </w:p>
    <w:p w14:paraId="376CD539" w14:textId="2E8208BA" w:rsidR="00AD5556" w:rsidRDefault="00AD5556" w:rsidP="00BE52DD">
      <w:pPr>
        <w:pStyle w:val="BodyNum"/>
      </w:pPr>
      <w:r w:rsidRPr="00FD274F">
        <w:t xml:space="preserve">If the instrument has been drafted by </w:t>
      </w:r>
      <w:proofErr w:type="spellStart"/>
      <w:r w:rsidRPr="00FD274F">
        <w:t>OPC</w:t>
      </w:r>
      <w:proofErr w:type="spellEnd"/>
      <w:r w:rsidRPr="00FD274F">
        <w:t xml:space="preserve">, please </w:t>
      </w:r>
      <w:r w:rsidR="00BE52DD">
        <w:t>attach the instrument</w:t>
      </w:r>
      <w:r w:rsidR="006B43C9">
        <w:t xml:space="preserve"> and</w:t>
      </w:r>
      <w:r w:rsidR="00620ACF">
        <w:t xml:space="preserve"> ensure you include the making date, and any other changes made by the rule-maker before the instrument was made.</w:t>
      </w:r>
    </w:p>
    <w:p w14:paraId="653CCCD0" w14:textId="501B5F5A" w:rsidR="00180A24" w:rsidRPr="00FD274F" w:rsidRDefault="00AD5556" w:rsidP="00BE52DD">
      <w:pPr>
        <w:pStyle w:val="BodyNum"/>
      </w:pPr>
      <w:r w:rsidRPr="00FD274F">
        <w:t xml:space="preserve">For all instruments, </w:t>
      </w:r>
      <w:r w:rsidR="0084047D" w:rsidRPr="00FD274F">
        <w:t>attach (upload) an electronic copy of the instrument as made to the online lodgement form.</w:t>
      </w:r>
      <w:r w:rsidR="00180A24" w:rsidRPr="00FD274F">
        <w:t xml:space="preserve"> The </w:t>
      </w:r>
      <w:r w:rsidRPr="00FD274F">
        <w:t xml:space="preserve">electronic </w:t>
      </w:r>
      <w:r w:rsidR="00180A24" w:rsidRPr="00FD274F">
        <w:t>file:</w:t>
      </w:r>
    </w:p>
    <w:p w14:paraId="688A30FC" w14:textId="00209F2B" w:rsidR="0084047D" w:rsidRDefault="00180A24" w:rsidP="00DC5A4F">
      <w:pPr>
        <w:pStyle w:val="BodyPara"/>
        <w:tabs>
          <w:tab w:val="left" w:pos="7655"/>
        </w:tabs>
      </w:pPr>
      <w:r w:rsidRPr="00FD274F">
        <w:lastRenderedPageBreak/>
        <w:t>must be in .rtf, .doc or .docx format</w:t>
      </w:r>
      <w:r w:rsidR="008F008B">
        <w:t xml:space="preserve">, </w:t>
      </w:r>
      <w:r w:rsidRPr="00FD274F">
        <w:t>unless the First Parliamentary Counsel has agreed to some other format (</w:t>
      </w:r>
      <w:r w:rsidRPr="004532FE">
        <w:t xml:space="preserve">see </w:t>
      </w:r>
      <w:hyperlink r:id="rId221" w:history="1">
        <w:r w:rsidRPr="004532FE">
          <w:rPr>
            <w:rStyle w:val="Hyperlink"/>
          </w:rPr>
          <w:t>Rule</w:t>
        </w:r>
      </w:hyperlink>
      <w:r w:rsidR="00942F8D" w:rsidRPr="004532FE">
        <w:t xml:space="preserve"> s 5(3)); a</w:t>
      </w:r>
      <w:r w:rsidR="00942F8D">
        <w:t>nd</w:t>
      </w:r>
    </w:p>
    <w:p w14:paraId="461DDCF5" w14:textId="331BF365" w:rsidR="008F008B" w:rsidRPr="00FD274F" w:rsidRDefault="008F008B" w:rsidP="008F008B">
      <w:pPr>
        <w:pStyle w:val="noteToPara"/>
        <w:ind w:left="1429"/>
      </w:pPr>
      <w:r w:rsidRPr="00FD274F">
        <w:t>Note:</w:t>
      </w:r>
      <w:r w:rsidRPr="00FD274F">
        <w:tab/>
      </w:r>
      <w:r>
        <w:t>Our preferred format is .docx.</w:t>
      </w:r>
    </w:p>
    <w:p w14:paraId="18862331" w14:textId="7E86E8B1" w:rsidR="00180A24" w:rsidRPr="00FD274F" w:rsidRDefault="00180A24" w:rsidP="00180A24">
      <w:pPr>
        <w:pStyle w:val="BodyPara"/>
      </w:pPr>
      <w:r w:rsidRPr="00FD274F">
        <w:t>must not contain macros, fields or other dynamic content that may interfere with the content of the document (se</w:t>
      </w:r>
      <w:r w:rsidRPr="004532FE">
        <w:t xml:space="preserve">e </w:t>
      </w:r>
      <w:hyperlink r:id="rId222" w:history="1">
        <w:r w:rsidRPr="004532FE">
          <w:rPr>
            <w:rStyle w:val="Hyperlink"/>
          </w:rPr>
          <w:t>Rule</w:t>
        </w:r>
      </w:hyperlink>
      <w:r w:rsidRPr="004532FE">
        <w:t xml:space="preserve"> s 5(4)).</w:t>
      </w:r>
    </w:p>
    <w:p w14:paraId="6D00DB00" w14:textId="77777777" w:rsidR="00B30E8A" w:rsidRPr="00FD274F" w:rsidRDefault="00B30E8A" w:rsidP="00B30E8A">
      <w:pPr>
        <w:pStyle w:val="Head4"/>
      </w:pPr>
      <w:bookmarkStart w:id="94" w:name="_Toc112918781"/>
      <w:r w:rsidRPr="00FD274F">
        <w:t>Step 3: If required—attach explanatory statement or other documents</w:t>
      </w:r>
      <w:bookmarkEnd w:id="94"/>
    </w:p>
    <w:p w14:paraId="54DE84C9" w14:textId="77777777" w:rsidR="00180A24" w:rsidRPr="00FD274F" w:rsidRDefault="00E527DB" w:rsidP="00B30E8A">
      <w:pPr>
        <w:pStyle w:val="BodyNum"/>
      </w:pPr>
      <w:r>
        <w:t xml:space="preserve">The explanatory statement </w:t>
      </w:r>
      <w:r w:rsidR="001524E7">
        <w:t xml:space="preserve">and any supporting material </w:t>
      </w:r>
      <w:r w:rsidR="00B30E8A" w:rsidRPr="00FD274F">
        <w:t xml:space="preserve">for the instrument </w:t>
      </w:r>
      <w:r w:rsidR="00A34456" w:rsidRPr="00FD274F">
        <w:t>should</w:t>
      </w:r>
      <w:r w:rsidR="00B30E8A" w:rsidRPr="00FD274F">
        <w:t xml:space="preserve"> also be attached (uploaded) to the online lodgement form. As with instruments, t</w:t>
      </w:r>
      <w:r w:rsidR="00180A24" w:rsidRPr="00FD274F">
        <w:t>hese documents:</w:t>
      </w:r>
    </w:p>
    <w:p w14:paraId="77990189" w14:textId="1899D7B9" w:rsidR="00180A24" w:rsidRPr="00FD274F" w:rsidRDefault="00180A24" w:rsidP="00180A24">
      <w:pPr>
        <w:pStyle w:val="BodyPara"/>
      </w:pPr>
      <w:r w:rsidRPr="00FD274F">
        <w:t>must be in .rtf, .doc or .docx format</w:t>
      </w:r>
      <w:r w:rsidR="008F008B">
        <w:t>,</w:t>
      </w:r>
      <w:r w:rsidRPr="00FD274F">
        <w:t xml:space="preserve"> unless the First Parliamentary Counsel has agreed to some other forma</w:t>
      </w:r>
      <w:r w:rsidRPr="004532FE">
        <w:t xml:space="preserve">t (see </w:t>
      </w:r>
      <w:hyperlink r:id="rId223" w:history="1">
        <w:r w:rsidRPr="004532FE">
          <w:rPr>
            <w:rStyle w:val="Hyperlink"/>
          </w:rPr>
          <w:t>Rule</w:t>
        </w:r>
      </w:hyperlink>
      <w:r w:rsidR="00942F8D" w:rsidRPr="004532FE">
        <w:t xml:space="preserve"> s 5(3)); and</w:t>
      </w:r>
    </w:p>
    <w:p w14:paraId="0074D63D" w14:textId="77777777" w:rsidR="008F008B" w:rsidRPr="00FD274F" w:rsidRDefault="008F008B" w:rsidP="008F008B">
      <w:pPr>
        <w:pStyle w:val="noteToPara"/>
        <w:ind w:left="1429"/>
      </w:pPr>
      <w:r w:rsidRPr="00FD274F">
        <w:t>Note:</w:t>
      </w:r>
      <w:r w:rsidRPr="00FD274F">
        <w:tab/>
      </w:r>
      <w:r>
        <w:t>Our preferred format is .docx.</w:t>
      </w:r>
    </w:p>
    <w:p w14:paraId="43DCE1E6" w14:textId="60F59B03" w:rsidR="00180A24" w:rsidRPr="00FD274F" w:rsidRDefault="00180A24" w:rsidP="00180A24">
      <w:pPr>
        <w:pStyle w:val="BodyPara"/>
      </w:pPr>
      <w:r w:rsidRPr="00FD274F">
        <w:t>must not contain macros, fields or other dynamic content that may interfere with the content of the document (</w:t>
      </w:r>
      <w:r w:rsidRPr="004532FE">
        <w:t xml:space="preserve">see </w:t>
      </w:r>
      <w:hyperlink r:id="rId224" w:history="1">
        <w:r w:rsidRPr="004532FE">
          <w:rPr>
            <w:rStyle w:val="Hyperlink"/>
          </w:rPr>
          <w:t>Rule</w:t>
        </w:r>
      </w:hyperlink>
      <w:r w:rsidRPr="004532FE">
        <w:t xml:space="preserve"> s 5(4))</w:t>
      </w:r>
      <w:r w:rsidRPr="00FD274F">
        <w:t>.</w:t>
      </w:r>
    </w:p>
    <w:p w14:paraId="0BD31B96" w14:textId="4948B4E1" w:rsidR="00413939" w:rsidRDefault="00413939" w:rsidP="00A34456">
      <w:pPr>
        <w:pStyle w:val="BodyNum"/>
      </w:pPr>
      <w:r>
        <w:t xml:space="preserve">The Register may contain additional documents if First Parliamentary Counsel considers that the documents are likely to be useful to users of the Register </w:t>
      </w:r>
      <w:r w:rsidRPr="00F74531">
        <w:t xml:space="preserve">(see </w:t>
      </w:r>
      <w:hyperlink r:id="rId225" w:history="1">
        <w:r w:rsidRPr="00F74531">
          <w:rPr>
            <w:rStyle w:val="Hyperlink"/>
          </w:rPr>
          <w:t>LA</w:t>
        </w:r>
      </w:hyperlink>
      <w:r w:rsidRPr="00F74531">
        <w:t xml:space="preserve"> s 15A (3)). An</w:t>
      </w:r>
      <w:r>
        <w:t>y supporting material should be appropriate to publish and likely to be useful to users of the Register. Administrative documents such as briefs to Ministers are not appropriate to be included as supporting material.</w:t>
      </w:r>
    </w:p>
    <w:p w14:paraId="3CD5F39A" w14:textId="77777777" w:rsidR="00A34456" w:rsidRPr="00FD274F" w:rsidRDefault="00A34456" w:rsidP="00A34456">
      <w:pPr>
        <w:pStyle w:val="BodyNum"/>
      </w:pPr>
      <w:r w:rsidRPr="00FD274F">
        <w:t>If the explanatory statement is not yet available, details of when the explanatory statement is likely to be available should be noted in the special requirements field.</w:t>
      </w:r>
    </w:p>
    <w:p w14:paraId="76EF37EE" w14:textId="77777777" w:rsidR="0084047D" w:rsidRPr="00FD274F" w:rsidRDefault="0084047D" w:rsidP="0084047D">
      <w:pPr>
        <w:pStyle w:val="Head4"/>
      </w:pPr>
      <w:bookmarkStart w:id="95" w:name="_Toc112918782"/>
      <w:r w:rsidRPr="00FD274F">
        <w:t xml:space="preserve">Step </w:t>
      </w:r>
      <w:r w:rsidR="00B30E8A" w:rsidRPr="00FD274F">
        <w:t>4</w:t>
      </w:r>
      <w:r w:rsidRPr="00FD274F">
        <w:t>: Certify the online lodgement</w:t>
      </w:r>
      <w:bookmarkEnd w:id="95"/>
    </w:p>
    <w:p w14:paraId="52418F42" w14:textId="77777777" w:rsidR="0081626B" w:rsidRPr="00FD274F" w:rsidRDefault="0084047D" w:rsidP="0084047D">
      <w:pPr>
        <w:pStyle w:val="BodyNum"/>
      </w:pPr>
      <w:r w:rsidRPr="00FD274F">
        <w:t xml:space="preserve">All lodgements must be certified as complete and accurate </w:t>
      </w:r>
      <w:r w:rsidR="0081626B" w:rsidRPr="00FD274F">
        <w:t xml:space="preserve">by the lodging agency (not </w:t>
      </w:r>
      <w:proofErr w:type="spellStart"/>
      <w:r w:rsidR="0081626B" w:rsidRPr="00FD274F">
        <w:t>OPC</w:t>
      </w:r>
      <w:proofErr w:type="spellEnd"/>
      <w:r w:rsidR="0081626B" w:rsidRPr="00FD274F">
        <w:t xml:space="preserve">) in order </w:t>
      </w:r>
      <w:r w:rsidR="001524E7">
        <w:t xml:space="preserve">for </w:t>
      </w:r>
      <w:r w:rsidR="00C96B5E">
        <w:t>any processing of the lodgement to start</w:t>
      </w:r>
      <w:r w:rsidR="00942F8D">
        <w:t>.</w:t>
      </w:r>
    </w:p>
    <w:p w14:paraId="3821C319" w14:textId="77777777" w:rsidR="0084047D" w:rsidRPr="00FD274F" w:rsidRDefault="0081626B" w:rsidP="0084047D">
      <w:pPr>
        <w:pStyle w:val="BodyNum"/>
      </w:pPr>
      <w:r w:rsidRPr="00FD274F">
        <w:t xml:space="preserve">As part of </w:t>
      </w:r>
      <w:r w:rsidR="0084047D" w:rsidRPr="00FD274F">
        <w:t>certifying a lodgement, the agency should check the lodgement</w:t>
      </w:r>
      <w:r w:rsidR="00B30E8A" w:rsidRPr="00FD274F">
        <w:t xml:space="preserve"> and all attachments carefully against the original documents.</w:t>
      </w:r>
      <w:r w:rsidRPr="00FD274F">
        <w:t xml:space="preserve"> It is </w:t>
      </w:r>
      <w:r w:rsidR="0084047D" w:rsidRPr="00FD274F">
        <w:t>particularly important to check the electronic form of the instrument against the instrument as made</w:t>
      </w:r>
      <w:r w:rsidRPr="00FD274F">
        <w:t>—they must be i</w:t>
      </w:r>
      <w:r w:rsidR="0084047D" w:rsidRPr="00FD274F">
        <w:t>dentical in all respects</w:t>
      </w:r>
      <w:r w:rsidRPr="00FD274F">
        <w:t xml:space="preserve">. As part of </w:t>
      </w:r>
      <w:r w:rsidR="00180A24" w:rsidRPr="00FD274F">
        <w:t>this:</w:t>
      </w:r>
    </w:p>
    <w:p w14:paraId="0246740C" w14:textId="77777777" w:rsidR="0084047D" w:rsidRPr="00FD274F" w:rsidRDefault="0084047D" w:rsidP="0084047D">
      <w:pPr>
        <w:pStyle w:val="BodyPara"/>
      </w:pPr>
      <w:r w:rsidRPr="00FD274F">
        <w:t>any editing notations including change tracking and “DRAFT” or “COPY” marks must have been removed unless they appear in the signed original; and</w:t>
      </w:r>
    </w:p>
    <w:p w14:paraId="63DE9B4B" w14:textId="77777777" w:rsidR="0084047D" w:rsidRPr="00FD274F" w:rsidRDefault="0084047D" w:rsidP="0084047D">
      <w:pPr>
        <w:pStyle w:val="BodyPara"/>
      </w:pPr>
      <w:r w:rsidRPr="00FD274F">
        <w:t>the following must be included in the electronic copy:</w:t>
      </w:r>
    </w:p>
    <w:p w14:paraId="6DF86928" w14:textId="77777777" w:rsidR="0084047D" w:rsidRPr="00FD274F" w:rsidRDefault="0084047D" w:rsidP="0084047D">
      <w:pPr>
        <w:pStyle w:val="BodySubPara"/>
      </w:pPr>
      <w:r w:rsidRPr="00FD274F">
        <w:t>anything written by the rule</w:t>
      </w:r>
      <w:r w:rsidR="009C4251">
        <w:noBreakHyphen/>
      </w:r>
      <w:r w:rsidRPr="00FD274F">
        <w:t>maker on the original instrument;</w:t>
      </w:r>
    </w:p>
    <w:p w14:paraId="6DE71D5D" w14:textId="77777777" w:rsidR="0084047D" w:rsidRPr="00FD274F" w:rsidRDefault="0084047D" w:rsidP="0084047D">
      <w:pPr>
        <w:pStyle w:val="BodySubPara"/>
      </w:pPr>
      <w:r w:rsidRPr="00FD274F">
        <w:t>anything written on the original instrument by someone else before the rule</w:t>
      </w:r>
      <w:r w:rsidR="009C4251">
        <w:noBreakHyphen/>
      </w:r>
      <w:r w:rsidRPr="00FD274F">
        <w:t>maker signed the instrument;</w:t>
      </w:r>
    </w:p>
    <w:p w14:paraId="565E601C" w14:textId="77777777" w:rsidR="0084047D" w:rsidRPr="00FD274F" w:rsidRDefault="0084047D" w:rsidP="0084047D">
      <w:pPr>
        <w:pStyle w:val="BodySubPara"/>
      </w:pPr>
      <w:r w:rsidRPr="00FD274F">
        <w:t>any date given in the signed instrument as the date of making;</w:t>
      </w:r>
    </w:p>
    <w:p w14:paraId="7D99FE97" w14:textId="77777777" w:rsidR="0084047D" w:rsidRPr="00FD274F" w:rsidRDefault="0084047D" w:rsidP="0084047D">
      <w:pPr>
        <w:pStyle w:val="BodySubPara"/>
      </w:pPr>
      <w:r w:rsidRPr="00FD274F">
        <w:lastRenderedPageBreak/>
        <w:t>the name as signed of each maker of the instrument and each other person who signed the instrument as made (e.g. a person who witnessed the rule</w:t>
      </w:r>
      <w:r w:rsidR="009C4251">
        <w:noBreakHyphen/>
      </w:r>
      <w:r w:rsidRPr="00FD274F">
        <w:t>maker’s signature).</w:t>
      </w:r>
    </w:p>
    <w:p w14:paraId="17C8E0B1" w14:textId="77777777" w:rsidR="0084047D" w:rsidRDefault="0084047D" w:rsidP="00B30E8A">
      <w:pPr>
        <w:pStyle w:val="BodyNum"/>
      </w:pPr>
      <w:r w:rsidRPr="00FD274F">
        <w:t>It is generally not necessary for the electronic form of the instrument to include a scan of the rule</w:t>
      </w:r>
      <w:r w:rsidR="009C4251">
        <w:noBreakHyphen/>
      </w:r>
      <w:r w:rsidRPr="00FD274F">
        <w:t>maker’s signature or the notation “signed”. However, it should be clear from the text that the instrument has in fact been signed, so the presumption of regularity can apply.</w:t>
      </w:r>
    </w:p>
    <w:p w14:paraId="1060A744" w14:textId="77777777" w:rsidR="001C63D8" w:rsidRPr="001C63D8" w:rsidRDefault="001C63D8" w:rsidP="001C63D8">
      <w:pPr>
        <w:pStyle w:val="BodyNum"/>
      </w:pPr>
      <w:bookmarkStart w:id="96" w:name="_Ref81732483"/>
      <w:r w:rsidRPr="001C63D8">
        <w:t>To deal with instruments that have been made by applying an electronic signature, the person lodging the instrument for registration must certify that the rule-maker applied their signature personally. At a minimum, there should be evidence that the signature was applied personally by the rule-maker, such as:</w:t>
      </w:r>
      <w:bookmarkEnd w:id="96"/>
    </w:p>
    <w:p w14:paraId="66FDA1AF" w14:textId="77777777" w:rsidR="001C63D8" w:rsidRPr="001C63D8" w:rsidRDefault="001C63D8" w:rsidP="001C63D8">
      <w:pPr>
        <w:pStyle w:val="BodyPara"/>
      </w:pPr>
      <w:r>
        <w:t>d</w:t>
      </w:r>
      <w:r w:rsidRPr="001C63D8">
        <w:t>ocumentary evidence from a person who witnessed (or virtually witnessed) the signature being personally applied to the instrument by the rule-maker; or</w:t>
      </w:r>
    </w:p>
    <w:p w14:paraId="2B30A971" w14:textId="77777777" w:rsidR="001C63D8" w:rsidRPr="001C63D8" w:rsidRDefault="001C63D8" w:rsidP="001C63D8">
      <w:pPr>
        <w:pStyle w:val="BodyPara"/>
      </w:pPr>
      <w:r>
        <w:t>e</w:t>
      </w:r>
      <w:r w:rsidRPr="001C63D8">
        <w:t>vidence that the rule-maker’s electronic signature is locked in such a way that only the rule-maker can access and apply it.</w:t>
      </w:r>
    </w:p>
    <w:p w14:paraId="4A885995" w14:textId="00DA8FC9" w:rsidR="0084047D" w:rsidRPr="00FD274F" w:rsidRDefault="0084047D" w:rsidP="0084047D">
      <w:pPr>
        <w:pStyle w:val="BodyNum"/>
      </w:pPr>
      <w:r w:rsidRPr="00FD274F">
        <w:t>It is important to take the certification requirement seriously, and to check each document attached to a submission. Submitting incorrect information may be a breach of the A</w:t>
      </w:r>
      <w:r w:rsidRPr="004532FE">
        <w:t>PS Code of Conduct</w:t>
      </w:r>
      <w:r w:rsidRPr="004532FE">
        <w:rPr>
          <w:rStyle w:val="FootnoteReference"/>
        </w:rPr>
        <w:footnoteReference w:id="14"/>
      </w:r>
      <w:r w:rsidRPr="004532FE">
        <w:t>, a</w:t>
      </w:r>
      <w:r w:rsidRPr="00FD274F">
        <w:t xml:space="preserve">nd can have serious consequences for an agency and for government policy (see </w:t>
      </w:r>
      <w:r w:rsidRPr="001414D9">
        <w:t xml:space="preserve">paragraphs </w:t>
      </w:r>
      <w:r w:rsidR="00D90E09" w:rsidRPr="00F74531">
        <w:fldChar w:fldCharType="begin"/>
      </w:r>
      <w:r w:rsidR="00D90E09" w:rsidRPr="001414D9">
        <w:instrText xml:space="preserve"> REF _Ref442361469 \r \h </w:instrText>
      </w:r>
      <w:r w:rsidR="00F308D0" w:rsidRPr="001414D9">
        <w:instrText xml:space="preserve"> \* MERGEFORMAT </w:instrText>
      </w:r>
      <w:r w:rsidR="00D90E09" w:rsidRPr="00F74531">
        <w:fldChar w:fldCharType="separate"/>
      </w:r>
      <w:r w:rsidR="003E1B43" w:rsidRPr="001414D9">
        <w:t>207</w:t>
      </w:r>
      <w:r w:rsidR="00D90E09" w:rsidRPr="00F74531">
        <w:fldChar w:fldCharType="end"/>
      </w:r>
      <w:r w:rsidR="0049700A" w:rsidRPr="001414D9">
        <w:t xml:space="preserve"> to </w:t>
      </w:r>
      <w:r w:rsidRPr="00F74531">
        <w:fldChar w:fldCharType="begin"/>
      </w:r>
      <w:r w:rsidRPr="001414D9">
        <w:instrText xml:space="preserve"> REF _Ref435529190 \r \h </w:instrText>
      </w:r>
      <w:r w:rsidR="00F308D0" w:rsidRPr="001414D9">
        <w:instrText xml:space="preserve"> \* MERGEFORMAT </w:instrText>
      </w:r>
      <w:r w:rsidRPr="00F74531">
        <w:fldChar w:fldCharType="separate"/>
      </w:r>
      <w:r w:rsidR="003E1B43" w:rsidRPr="001414D9">
        <w:t>213</w:t>
      </w:r>
      <w:r w:rsidRPr="00F74531">
        <w:fldChar w:fldCharType="end"/>
      </w:r>
      <w:r w:rsidR="00942F8D" w:rsidRPr="001414D9">
        <w:t>).</w:t>
      </w:r>
    </w:p>
    <w:p w14:paraId="6BE18164" w14:textId="2E33F72E" w:rsidR="00BE52DD" w:rsidRDefault="00E36C18" w:rsidP="00BE52DD">
      <w:pPr>
        <w:pStyle w:val="BodyNum"/>
      </w:pPr>
      <w:r w:rsidRPr="00FD274F">
        <w:t xml:space="preserve">If it emerges that a lodgement is incomplete or inaccurate, it must be withdrawn as soon as practicable </w:t>
      </w:r>
      <w:r w:rsidRPr="004532FE">
        <w:t>(</w:t>
      </w:r>
      <w:hyperlink r:id="rId226" w:history="1">
        <w:r w:rsidRPr="004532FE">
          <w:rPr>
            <w:rStyle w:val="Hyperlink"/>
          </w:rPr>
          <w:t>Rule</w:t>
        </w:r>
      </w:hyperlink>
      <w:r w:rsidRPr="004532FE">
        <w:t xml:space="preserve"> s 6(3))</w:t>
      </w:r>
      <w:r w:rsidRPr="00FD274F">
        <w:t xml:space="preserve">. If that is no longer possible, then the error must be notified to </w:t>
      </w:r>
      <w:proofErr w:type="spellStart"/>
      <w:r w:rsidRPr="00FD274F">
        <w:t>OPC</w:t>
      </w:r>
      <w:proofErr w:type="spellEnd"/>
      <w:r w:rsidRPr="00FD274F">
        <w:t xml:space="preserve"> without delay (</w:t>
      </w:r>
      <w:hyperlink r:id="rId227" w:history="1">
        <w:r w:rsidRPr="005547CD">
          <w:rPr>
            <w:rStyle w:val="Hyperlink"/>
          </w:rPr>
          <w:t>LA</w:t>
        </w:r>
      </w:hyperlink>
      <w:r w:rsidRPr="005547CD">
        <w:t xml:space="preserve"> s 15L</w:t>
      </w:r>
      <w:r w:rsidR="00E00E1A" w:rsidRPr="005547CD">
        <w:t>(1)</w:t>
      </w:r>
      <w:r w:rsidRPr="005547CD">
        <w:t>(e)). Fo</w:t>
      </w:r>
      <w:r w:rsidRPr="00FD274F">
        <w:t>r further guidance on how to report events affecting the accuracy and completeness of the Register, s</w:t>
      </w:r>
      <w:r w:rsidRPr="005B0CC1">
        <w:t xml:space="preserve">ee </w:t>
      </w:r>
      <w:hyperlink w:anchor="Chapter6" w:history="1">
        <w:r w:rsidRPr="005B0CC1">
          <w:rPr>
            <w:rStyle w:val="Hyperlink"/>
          </w:rPr>
          <w:t>Chapter 6</w:t>
        </w:r>
      </w:hyperlink>
      <w:r w:rsidR="007D63BE" w:rsidRPr="00FD274F">
        <w:t>.</w:t>
      </w:r>
    </w:p>
    <w:p w14:paraId="452DD87B" w14:textId="73A628B3" w:rsidR="00BE52DD" w:rsidRPr="00942031" w:rsidRDefault="008103ED" w:rsidP="00BE52DD">
      <w:pPr>
        <w:pStyle w:val="BodyNum"/>
      </w:pPr>
      <w:r>
        <w:rPr>
          <w:spacing w:val="-2"/>
        </w:rPr>
        <w:t xml:space="preserve">A lodgement is complete once an accurate lodgement form is certified and submitted to </w:t>
      </w:r>
      <w:proofErr w:type="spellStart"/>
      <w:r>
        <w:rPr>
          <w:spacing w:val="-2"/>
        </w:rPr>
        <w:t>OPC</w:t>
      </w:r>
      <w:proofErr w:type="spellEnd"/>
      <w:r>
        <w:rPr>
          <w:spacing w:val="-2"/>
        </w:rPr>
        <w:t xml:space="preserve">. </w:t>
      </w:r>
      <w:r w:rsidR="00BE52DD">
        <w:rPr>
          <w:spacing w:val="-2"/>
        </w:rPr>
        <w:t>If the lodgement form including any attached documents is required to be resubmitted and recertified, the lodgement date and time for the purpose of any relevant additional fees is the date and time of the last lodgement form certified before registration.</w:t>
      </w:r>
    </w:p>
    <w:p w14:paraId="6D0ED60E" w14:textId="77777777" w:rsidR="0084047D" w:rsidRPr="00FD274F" w:rsidRDefault="0084047D" w:rsidP="0084047D">
      <w:pPr>
        <w:pStyle w:val="Head4"/>
      </w:pPr>
      <w:bookmarkStart w:id="97" w:name="_Toc112918783"/>
      <w:r w:rsidRPr="00FD274F">
        <w:t>Standard timeframes for registration</w:t>
      </w:r>
      <w:bookmarkEnd w:id="97"/>
    </w:p>
    <w:p w14:paraId="6D36C24E" w14:textId="77777777" w:rsidR="0084047D" w:rsidRPr="00FD274F" w:rsidRDefault="0084047D" w:rsidP="0084047D">
      <w:pPr>
        <w:pStyle w:val="BodyNum"/>
      </w:pPr>
      <w:r w:rsidRPr="00FD274F">
        <w:t xml:space="preserve">Two full working days </w:t>
      </w:r>
      <w:r w:rsidR="00BC14EC" w:rsidRPr="00FD274F">
        <w:t xml:space="preserve">after certification </w:t>
      </w:r>
      <w:r w:rsidRPr="00FD274F">
        <w:t>should generally be allowed for standard pre</w:t>
      </w:r>
      <w:r w:rsidR="009C4251">
        <w:noBreakHyphen/>
      </w:r>
      <w:r w:rsidRPr="00FD274F">
        <w:t>registration processes and</w:t>
      </w:r>
      <w:r w:rsidR="00B30E8A" w:rsidRPr="00FD274F">
        <w:t xml:space="preserve"> another t</w:t>
      </w:r>
      <w:r w:rsidR="0081626B" w:rsidRPr="00FD274F">
        <w:t xml:space="preserve">hree </w:t>
      </w:r>
      <w:r w:rsidR="00B30E8A" w:rsidRPr="00FD274F">
        <w:t xml:space="preserve">working days </w:t>
      </w:r>
      <w:r w:rsidRPr="00FD274F">
        <w:t xml:space="preserve">for </w:t>
      </w:r>
      <w:proofErr w:type="spellStart"/>
      <w:r w:rsidR="0081626B" w:rsidRPr="00FD274F">
        <w:t>OPC</w:t>
      </w:r>
      <w:proofErr w:type="spellEnd"/>
      <w:r w:rsidR="0081626B" w:rsidRPr="00FD274F">
        <w:t xml:space="preserve"> to lodge documents for tabling </w:t>
      </w:r>
      <w:r w:rsidRPr="00FD274F">
        <w:t>during sitting periods</w:t>
      </w:r>
      <w:r w:rsidR="0081626B" w:rsidRPr="00FD274F">
        <w:t>.</w:t>
      </w:r>
      <w:r w:rsidRPr="00FD274F">
        <w:t xml:space="preserve"> A longer lead time is recommended if documents:</w:t>
      </w:r>
    </w:p>
    <w:p w14:paraId="68C927D7" w14:textId="37B5525F" w:rsidR="0084047D" w:rsidRDefault="0084047D" w:rsidP="0084047D">
      <w:pPr>
        <w:pStyle w:val="BodyPara"/>
      </w:pPr>
      <w:r w:rsidRPr="00FD274F">
        <w:t xml:space="preserve">are lodged </w:t>
      </w:r>
      <w:r w:rsidR="0081626B" w:rsidRPr="00FD274F">
        <w:t>in a non</w:t>
      </w:r>
      <w:r w:rsidR="009C4251">
        <w:noBreakHyphen/>
      </w:r>
      <w:r w:rsidR="0081626B" w:rsidRPr="00FD274F">
        <w:t xml:space="preserve">standard format—please note </w:t>
      </w:r>
      <w:r w:rsidRPr="00FD274F">
        <w:t>this requires the prior approval of the Fir</w:t>
      </w:r>
      <w:r w:rsidRPr="004532FE">
        <w:t>st Parliamentary Counsel</w:t>
      </w:r>
      <w:r w:rsidR="0081626B" w:rsidRPr="004532FE">
        <w:t xml:space="preserve"> (</w:t>
      </w:r>
      <w:hyperlink r:id="rId228" w:history="1">
        <w:r w:rsidR="006C416A" w:rsidRPr="004532FE">
          <w:rPr>
            <w:rStyle w:val="Hyperlink"/>
          </w:rPr>
          <w:t>Rule</w:t>
        </w:r>
      </w:hyperlink>
      <w:r w:rsidR="006C416A" w:rsidRPr="004532FE">
        <w:t xml:space="preserve"> s </w:t>
      </w:r>
      <w:r w:rsidR="009A0DA3" w:rsidRPr="004532FE">
        <w:t>5</w:t>
      </w:r>
      <w:r w:rsidR="00D20742" w:rsidRPr="004532FE">
        <w:t>(3)</w:t>
      </w:r>
      <w:r w:rsidR="0081626B" w:rsidRPr="004532FE">
        <w:t>)</w:t>
      </w:r>
      <w:r w:rsidRPr="004532FE">
        <w:t>; or</w:t>
      </w:r>
    </w:p>
    <w:p w14:paraId="080A468A" w14:textId="437B5E97" w:rsidR="00A06DD4" w:rsidRPr="00FD274F" w:rsidRDefault="00A06DD4" w:rsidP="0084047D">
      <w:pPr>
        <w:pStyle w:val="BodyPara"/>
      </w:pPr>
      <w:r>
        <w:t>do not have a name or a unique name—</w:t>
      </w:r>
      <w:r w:rsidR="00371CFF">
        <w:t>First Parliamentary Counsel</w:t>
      </w:r>
      <w:r w:rsidR="00371CFF" w:rsidRPr="00FD274F">
        <w:t xml:space="preserve"> may name or rename </w:t>
      </w:r>
      <w:r w:rsidR="00371CFF">
        <w:t>instruments</w:t>
      </w:r>
      <w:r w:rsidR="00371CFF" w:rsidRPr="00FD274F">
        <w:t xml:space="preserve"> if they do not have a name that is unique (</w:t>
      </w:r>
      <w:r w:rsidR="00371CFF" w:rsidRPr="005547CD">
        <w:t xml:space="preserve">see </w:t>
      </w:r>
      <w:hyperlink r:id="rId229" w:history="1">
        <w:r w:rsidR="00371CFF" w:rsidRPr="005547CD">
          <w:rPr>
            <w:rStyle w:val="Hyperlink"/>
          </w:rPr>
          <w:t>LA</w:t>
        </w:r>
      </w:hyperlink>
      <w:r w:rsidR="00371CFF" w:rsidRPr="005547CD">
        <w:t xml:space="preserve"> s 15M(b)</w:t>
      </w:r>
      <w:r w:rsidR="00371CFF" w:rsidRPr="00FD274F">
        <w:t xml:space="preserve"> and </w:t>
      </w:r>
      <w:hyperlink r:id="rId230" w:history="1">
        <w:r w:rsidR="00371CFF" w:rsidRPr="004532FE">
          <w:rPr>
            <w:rStyle w:val="Hyperlink"/>
          </w:rPr>
          <w:t>Rule</w:t>
        </w:r>
      </w:hyperlink>
      <w:r w:rsidR="00371CFF" w:rsidRPr="004532FE">
        <w:t xml:space="preserve"> s 10); or</w:t>
      </w:r>
    </w:p>
    <w:p w14:paraId="0D40D109" w14:textId="77777777" w:rsidR="0084047D" w:rsidRPr="00FD274F" w:rsidRDefault="0084047D" w:rsidP="0084047D">
      <w:pPr>
        <w:pStyle w:val="BodyPara"/>
      </w:pPr>
      <w:r w:rsidRPr="00FD274F">
        <w:t xml:space="preserve">are large, or contain a mathematical formula, a long table </w:t>
      </w:r>
      <w:r w:rsidR="00942F8D">
        <w:t>or other complex formatting; or</w:t>
      </w:r>
    </w:p>
    <w:p w14:paraId="0AA002E4" w14:textId="77777777" w:rsidR="0084047D" w:rsidRPr="00FD274F" w:rsidRDefault="0084047D" w:rsidP="0084047D">
      <w:pPr>
        <w:pStyle w:val="BodyPara"/>
      </w:pPr>
      <w:r w:rsidRPr="00FD274F">
        <w:lastRenderedPageBreak/>
        <w:t>need special handling—requirements such as colour printing should be clearly flagged no later than the time of lodgement; or</w:t>
      </w:r>
    </w:p>
    <w:p w14:paraId="379B9648" w14:textId="6CBD2618" w:rsidR="0084047D" w:rsidRPr="00FD274F" w:rsidRDefault="0084047D" w:rsidP="0084047D">
      <w:pPr>
        <w:pStyle w:val="BodyPara"/>
      </w:pPr>
      <w:r w:rsidRPr="00FD274F">
        <w:t xml:space="preserve">need to be registered during peak periods notified in advance—additional fees may also apply </w:t>
      </w:r>
      <w:r w:rsidRPr="00590BCB">
        <w:t xml:space="preserve">(see paragraph </w:t>
      </w:r>
      <w:r w:rsidR="00BE52DD" w:rsidRPr="005547CD">
        <w:fldChar w:fldCharType="begin"/>
      </w:r>
      <w:r w:rsidR="00BE52DD" w:rsidRPr="00590BCB">
        <w:instrText xml:space="preserve"> REF _Ref434314290 \r \h  \* MERGEFORMAT </w:instrText>
      </w:r>
      <w:r w:rsidR="00BE52DD" w:rsidRPr="005547CD">
        <w:fldChar w:fldCharType="separate"/>
      </w:r>
      <w:r w:rsidR="003E1B43" w:rsidRPr="00590BCB">
        <w:t>149</w:t>
      </w:r>
      <w:r w:rsidR="00BE52DD" w:rsidRPr="005547CD">
        <w:fldChar w:fldCharType="end"/>
      </w:r>
      <w:r w:rsidRPr="00590BCB">
        <w:t>).</w:t>
      </w:r>
    </w:p>
    <w:p w14:paraId="66E11D7F" w14:textId="77777777" w:rsidR="0084047D" w:rsidRPr="00FD274F" w:rsidRDefault="00BC14EC" w:rsidP="0084047D">
      <w:pPr>
        <w:pStyle w:val="BodyNum"/>
      </w:pPr>
      <w:r w:rsidRPr="00FD274F">
        <w:t>A</w:t>
      </w:r>
      <w:r w:rsidR="0084047D" w:rsidRPr="00FD274F">
        <w:t>s soon as an instrument is registered and available on the</w:t>
      </w:r>
      <w:r w:rsidR="006C416A" w:rsidRPr="00FD274F">
        <w:t xml:space="preserve"> </w:t>
      </w:r>
      <w:r w:rsidR="0081626B" w:rsidRPr="00FD274F">
        <w:t>Register website</w:t>
      </w:r>
      <w:r w:rsidRPr="00FD274F">
        <w:t>, an email notification will be sent to the address nominated in the lodgement</w:t>
      </w:r>
      <w:r w:rsidR="006C416A" w:rsidRPr="00FD274F">
        <w:t xml:space="preserve">. </w:t>
      </w:r>
      <w:r w:rsidR="0084047D" w:rsidRPr="00FD274F">
        <w:t xml:space="preserve">If registration is likely to be delayed significantly, </w:t>
      </w:r>
      <w:proofErr w:type="spellStart"/>
      <w:r w:rsidR="0084047D" w:rsidRPr="00FD274F">
        <w:t>OPC</w:t>
      </w:r>
      <w:proofErr w:type="spellEnd"/>
      <w:r w:rsidR="0084047D" w:rsidRPr="00FD274F">
        <w:t xml:space="preserve"> will ring the lodging agency to discuss the matter. </w:t>
      </w:r>
      <w:r w:rsidR="00371CFF">
        <w:t>Please note,</w:t>
      </w:r>
      <w:r w:rsidR="0084047D" w:rsidRPr="00FD274F">
        <w:t xml:space="preserve"> it </w:t>
      </w:r>
      <w:r w:rsidR="00371CFF">
        <w:t>may</w:t>
      </w:r>
      <w:r w:rsidR="0084047D" w:rsidRPr="00FD274F">
        <w:t xml:space="preserve"> not </w:t>
      </w:r>
      <w:r w:rsidR="00371CFF">
        <w:t xml:space="preserve">be </w:t>
      </w:r>
      <w:r w:rsidR="0084047D" w:rsidRPr="00FD274F">
        <w:t>possible to register an instrument:</w:t>
      </w:r>
    </w:p>
    <w:p w14:paraId="65358D11" w14:textId="77777777" w:rsidR="0084047D" w:rsidRPr="00FD274F" w:rsidRDefault="0084047D" w:rsidP="0084047D">
      <w:pPr>
        <w:pStyle w:val="BodyPara"/>
      </w:pPr>
      <w:r w:rsidRPr="00FD274F">
        <w:t>because statutory req</w:t>
      </w:r>
      <w:r w:rsidR="00942F8D">
        <w:t>uirements have not been met; or</w:t>
      </w:r>
    </w:p>
    <w:p w14:paraId="5271AFA6" w14:textId="77777777" w:rsidR="0084047D" w:rsidRPr="00FD274F" w:rsidRDefault="0084047D" w:rsidP="0084047D">
      <w:pPr>
        <w:pStyle w:val="BodyPara"/>
      </w:pPr>
      <w:r w:rsidRPr="00FD274F">
        <w:t>bec</w:t>
      </w:r>
      <w:r w:rsidR="00942F8D">
        <w:t>ause of technical difficulties.</w:t>
      </w:r>
    </w:p>
    <w:p w14:paraId="6E6C516A" w14:textId="431C62BA" w:rsidR="00180A24" w:rsidRPr="00FD274F" w:rsidRDefault="00DC5A4F" w:rsidP="0084047D">
      <w:pPr>
        <w:pStyle w:val="BodyNum"/>
      </w:pPr>
      <w:r w:rsidRPr="00FD274F">
        <w:t>If technical dif</w:t>
      </w:r>
      <w:r w:rsidR="0084047D" w:rsidRPr="00FD274F">
        <w:t xml:space="preserve">ficulties prevent </w:t>
      </w:r>
      <w:proofErr w:type="spellStart"/>
      <w:r w:rsidR="006C416A" w:rsidRPr="00FD274F">
        <w:t>OPC</w:t>
      </w:r>
      <w:proofErr w:type="spellEnd"/>
      <w:r w:rsidR="006C416A" w:rsidRPr="00FD274F">
        <w:t xml:space="preserve"> from registering a document on </w:t>
      </w:r>
      <w:r w:rsidR="00180A24" w:rsidRPr="00FD274F">
        <w:t xml:space="preserve">the approved </w:t>
      </w:r>
      <w:r w:rsidR="009E0D9E" w:rsidRPr="00FD274F">
        <w:t xml:space="preserve">website </w:t>
      </w:r>
      <w:hyperlink r:id="rId231" w:history="1">
        <w:r w:rsidR="0049700A" w:rsidRPr="00FD274F">
          <w:rPr>
            <w:rStyle w:val="Hyperlink"/>
          </w:rPr>
          <w:t>https://</w:t>
        </w:r>
        <w:r w:rsidR="009E0D9E" w:rsidRPr="00FD274F">
          <w:rPr>
            <w:rStyle w:val="Hyperlink"/>
          </w:rPr>
          <w:t>ww</w:t>
        </w:r>
        <w:r w:rsidRPr="00FD274F">
          <w:rPr>
            <w:rStyle w:val="Hyperlink"/>
          </w:rPr>
          <w:t>w.legislation.gov.au</w:t>
        </w:r>
      </w:hyperlink>
      <w:r w:rsidRPr="00FD274F">
        <w:t xml:space="preserve">, </w:t>
      </w:r>
      <w:r w:rsidR="00180A24" w:rsidRPr="00FD274F">
        <w:t xml:space="preserve">and as permitted by section </w:t>
      </w:r>
      <w:r w:rsidR="00180A24" w:rsidRPr="004532FE">
        <w:t xml:space="preserve">12 of the </w:t>
      </w:r>
      <w:hyperlink r:id="rId232" w:history="1">
        <w:r w:rsidR="00180A24" w:rsidRPr="004532FE">
          <w:rPr>
            <w:rStyle w:val="Hyperlink"/>
          </w:rPr>
          <w:t>Rule</w:t>
        </w:r>
      </w:hyperlink>
      <w:r w:rsidR="00180A24" w:rsidRPr="00FD274F">
        <w:t xml:space="preserve">, </w:t>
      </w:r>
      <w:proofErr w:type="spellStart"/>
      <w:r w:rsidR="00180A24" w:rsidRPr="00FD274F">
        <w:t>OPC</w:t>
      </w:r>
      <w:proofErr w:type="spellEnd"/>
      <w:r w:rsidR="00180A24" w:rsidRPr="00FD274F">
        <w:t>:</w:t>
      </w:r>
    </w:p>
    <w:p w14:paraId="4C7C2EBE" w14:textId="33045788" w:rsidR="00180A24" w:rsidRPr="00FD274F" w:rsidRDefault="006C416A" w:rsidP="00180A24">
      <w:pPr>
        <w:pStyle w:val="BodyPara"/>
      </w:pPr>
      <w:r w:rsidRPr="00FD274F">
        <w:t>may register the document by publishing it</w:t>
      </w:r>
      <w:r w:rsidR="00180A24" w:rsidRPr="00FD274F">
        <w:t xml:space="preserve"> on the </w:t>
      </w:r>
      <w:proofErr w:type="spellStart"/>
      <w:r w:rsidR="00180A24" w:rsidRPr="00FD274F">
        <w:t>OPC</w:t>
      </w:r>
      <w:proofErr w:type="spellEnd"/>
      <w:r w:rsidR="00180A24" w:rsidRPr="00FD274F">
        <w:t xml:space="preserve"> website </w:t>
      </w:r>
      <w:hyperlink r:id="rId233" w:history="1">
        <w:r w:rsidR="00667D98">
          <w:rPr>
            <w:rStyle w:val="Hyperlink"/>
          </w:rPr>
          <w:t>https://www.opc.gov.au/</w:t>
        </w:r>
      </w:hyperlink>
      <w:r w:rsidR="00180A24" w:rsidRPr="00FD274F">
        <w:t xml:space="preserve"> or (if that website is not publicly available) by publicly displaying the document at 28 Sydney Avenue, Forrest ACT; and</w:t>
      </w:r>
    </w:p>
    <w:p w14:paraId="531A03C4" w14:textId="77777777" w:rsidR="00180A24" w:rsidRPr="00FD274F" w:rsidRDefault="00180A24" w:rsidP="00180A24">
      <w:pPr>
        <w:pStyle w:val="BodyPara"/>
      </w:pPr>
      <w:r w:rsidRPr="00FD274F">
        <w:t>will make the document available on the approved w</w:t>
      </w:r>
      <w:r w:rsidR="00D90E09" w:rsidRPr="00FD274F">
        <w:t xml:space="preserve">ebsite once the technical </w:t>
      </w:r>
      <w:r w:rsidRPr="00FD274F">
        <w:t xml:space="preserve">difficulties have </w:t>
      </w:r>
      <w:r w:rsidR="00371CFF">
        <w:t>been resolved</w:t>
      </w:r>
      <w:r w:rsidRPr="00FD274F">
        <w:t>.</w:t>
      </w:r>
    </w:p>
    <w:p w14:paraId="280F60C1" w14:textId="77777777" w:rsidR="0084047D" w:rsidRPr="00FD274F" w:rsidRDefault="0084047D" w:rsidP="0084047D">
      <w:pPr>
        <w:pStyle w:val="Head4"/>
      </w:pPr>
      <w:bookmarkStart w:id="98" w:name="_Toc112918784"/>
      <w:r w:rsidRPr="00FD274F">
        <w:t>Fees for standard and additional services</w:t>
      </w:r>
      <w:bookmarkEnd w:id="98"/>
    </w:p>
    <w:p w14:paraId="70FF8AD3" w14:textId="015A29CE" w:rsidR="0084047D" w:rsidRPr="00FD274F" w:rsidRDefault="00BE6ED1" w:rsidP="0084047D">
      <w:pPr>
        <w:pStyle w:val="BodyNum"/>
      </w:pPr>
      <w:r>
        <w:t>C</w:t>
      </w:r>
      <w:r w:rsidR="0084047D" w:rsidRPr="00FD274F">
        <w:t xml:space="preserve">lients receive a single annual </w:t>
      </w:r>
      <w:r w:rsidR="00C901B0">
        <w:t>F</w:t>
      </w:r>
      <w:r w:rsidR="00496C20">
        <w:t>e</w:t>
      </w:r>
      <w:r w:rsidR="00C901B0">
        <w:t xml:space="preserve">deral Register of Legislation Fee </w:t>
      </w:r>
      <w:r w:rsidR="0084047D" w:rsidRPr="00FD274F">
        <w:t>invoice for each financial year</w:t>
      </w:r>
      <w:r w:rsidR="00C901B0">
        <w:t>, which covers all routine registration services</w:t>
      </w:r>
      <w:r w:rsidR="0084047D" w:rsidRPr="00FD274F">
        <w:t xml:space="preserve">. This fee model enables </w:t>
      </w:r>
      <w:proofErr w:type="spellStart"/>
      <w:r w:rsidR="0084047D" w:rsidRPr="00FD274F">
        <w:t>OPC</w:t>
      </w:r>
      <w:proofErr w:type="spellEnd"/>
      <w:r w:rsidR="0084047D" w:rsidRPr="00FD274F">
        <w:t xml:space="preserve"> to provide certainty to clients and, because it is simple to administer, to keep </w:t>
      </w:r>
      <w:r w:rsidR="006C416A" w:rsidRPr="00FD274F">
        <w:t>Register</w:t>
      </w:r>
      <w:r w:rsidR="00942F8D">
        <w:t xml:space="preserve"> costs down.</w:t>
      </w:r>
    </w:p>
    <w:p w14:paraId="167DC222" w14:textId="0FE45462" w:rsidR="0084047D" w:rsidRPr="005F4137" w:rsidRDefault="0084047D" w:rsidP="0084047D">
      <w:pPr>
        <w:pStyle w:val="BodyNum"/>
      </w:pPr>
      <w:bookmarkStart w:id="99" w:name="_Ref434314290"/>
      <w:proofErr w:type="spellStart"/>
      <w:r w:rsidRPr="005F4137">
        <w:t>OPC</w:t>
      </w:r>
      <w:proofErr w:type="spellEnd"/>
      <w:r w:rsidRPr="005F4137">
        <w:t xml:space="preserve"> only charges additional fees if the client </w:t>
      </w:r>
      <w:r w:rsidR="00C901B0" w:rsidRPr="005F4137">
        <w:t>requires a special requirement and additional service, such as registration at a specific time, express, after-hours or peak period service, when lodging instruments or gazettes.</w:t>
      </w:r>
      <w:r w:rsidRPr="005F4137">
        <w:t xml:space="preserve"> If your agency is likely to require such service, please let </w:t>
      </w:r>
      <w:proofErr w:type="spellStart"/>
      <w:r w:rsidRPr="005F4137">
        <w:t>OPC</w:t>
      </w:r>
      <w:proofErr w:type="spellEnd"/>
      <w:r w:rsidRPr="005F4137">
        <w:t xml:space="preserve"> know by calling (02) 6120 1350 during business hours. This is particularly important if you think your agency may require</w:t>
      </w:r>
      <w:r w:rsidR="0081626B" w:rsidRPr="005F4137">
        <w:t xml:space="preserve"> something to be registered</w:t>
      </w:r>
      <w:r w:rsidRPr="005F4137">
        <w:t>:</w:t>
      </w:r>
      <w:bookmarkEnd w:id="99"/>
    </w:p>
    <w:p w14:paraId="718D4107" w14:textId="77777777" w:rsidR="0081626B" w:rsidRPr="005F4137" w:rsidRDefault="0081626B" w:rsidP="0084047D">
      <w:pPr>
        <w:pStyle w:val="BodyPara"/>
      </w:pPr>
      <w:r w:rsidRPr="005F4137">
        <w:t>on the day of or day after lodgement; or</w:t>
      </w:r>
    </w:p>
    <w:p w14:paraId="5304AFF7" w14:textId="39C24715" w:rsidR="00C901B0" w:rsidRPr="005F4137" w:rsidRDefault="005F4137" w:rsidP="00C901B0">
      <w:pPr>
        <w:pStyle w:val="BodyPara"/>
      </w:pPr>
      <w:r w:rsidRPr="005F4137">
        <w:t xml:space="preserve">on the </w:t>
      </w:r>
      <w:r w:rsidR="00C901B0" w:rsidRPr="005F4137">
        <w:t>same-day between 5.00 pm and 11.59 pm without prior notice; or</w:t>
      </w:r>
    </w:p>
    <w:p w14:paraId="75DF6B79" w14:textId="60FE603E" w:rsidR="00C901B0" w:rsidRPr="005F4137" w:rsidRDefault="00C901B0" w:rsidP="00C901B0">
      <w:pPr>
        <w:pStyle w:val="BodyPara"/>
      </w:pPr>
      <w:r w:rsidRPr="005F4137">
        <w:t>at a specified time during business hours; or</w:t>
      </w:r>
    </w:p>
    <w:p w14:paraId="172AEB82" w14:textId="77777777" w:rsidR="00C901B0" w:rsidRPr="005F4137" w:rsidRDefault="0081626B" w:rsidP="0084047D">
      <w:pPr>
        <w:pStyle w:val="BodyPara"/>
      </w:pPr>
      <w:r w:rsidRPr="005F4137">
        <w:t xml:space="preserve">outside of normal business hours, including </w:t>
      </w:r>
      <w:r w:rsidR="00942F8D" w:rsidRPr="005F4137">
        <w:t>on a weekend or public holiday</w:t>
      </w:r>
      <w:r w:rsidR="00C901B0" w:rsidRPr="005F4137">
        <w:t>; or</w:t>
      </w:r>
    </w:p>
    <w:p w14:paraId="64999917" w14:textId="77777777" w:rsidR="00C901B0" w:rsidRPr="005F4137" w:rsidRDefault="00C901B0" w:rsidP="00C901B0">
      <w:pPr>
        <w:pStyle w:val="BodyPara"/>
      </w:pPr>
      <w:r w:rsidRPr="005F4137">
        <w:t>during the notified peak periods at the end of the calendar and financial year; or</w:t>
      </w:r>
    </w:p>
    <w:p w14:paraId="671D9295" w14:textId="048C0D2B" w:rsidR="00C901B0" w:rsidRPr="005F4137" w:rsidRDefault="005F4137" w:rsidP="00C901B0">
      <w:pPr>
        <w:pStyle w:val="BodyPara"/>
      </w:pPr>
      <w:r>
        <w:t>with the</w:t>
      </w:r>
      <w:r w:rsidR="00C901B0" w:rsidRPr="005F4137">
        <w:t xml:space="preserve"> addition of a unique name; or</w:t>
      </w:r>
    </w:p>
    <w:p w14:paraId="748D3F02" w14:textId="49247C38" w:rsidR="00C901B0" w:rsidRPr="005F4137" w:rsidRDefault="005F4137" w:rsidP="00C901B0">
      <w:pPr>
        <w:pStyle w:val="BodyPara"/>
      </w:pPr>
      <w:r>
        <w:lastRenderedPageBreak/>
        <w:t>with the</w:t>
      </w:r>
      <w:r w:rsidR="00C901B0" w:rsidRPr="005F4137">
        <w:t xml:space="preserve"> addition of alt</w:t>
      </w:r>
      <w:r w:rsidR="003E52B0">
        <w:t xml:space="preserve"> </w:t>
      </w:r>
      <w:r w:rsidR="00C901B0" w:rsidRPr="005F4137">
        <w:t>text to an image or object before registration</w:t>
      </w:r>
      <w:r w:rsidR="00797F00">
        <w:t>.</w:t>
      </w:r>
    </w:p>
    <w:p w14:paraId="73BABD93" w14:textId="77777777" w:rsidR="00A23285" w:rsidRDefault="00A23285" w:rsidP="0084047D">
      <w:pPr>
        <w:pStyle w:val="BodyNum"/>
      </w:pPr>
      <w:r>
        <w:t xml:space="preserve">It also important for an agency to contact </w:t>
      </w:r>
      <w:proofErr w:type="spellStart"/>
      <w:r>
        <w:t>OPC</w:t>
      </w:r>
      <w:proofErr w:type="spellEnd"/>
      <w:r>
        <w:t xml:space="preserve"> if:</w:t>
      </w:r>
    </w:p>
    <w:p w14:paraId="452E6794" w14:textId="438C6F68" w:rsidR="00A23285" w:rsidRDefault="00A23285" w:rsidP="00A23285">
      <w:pPr>
        <w:pStyle w:val="BodyPara"/>
      </w:pPr>
      <w:r>
        <w:t>a registration requires express delivery for tabling; or</w:t>
      </w:r>
    </w:p>
    <w:p w14:paraId="3B69C98B" w14:textId="19EEB5D2" w:rsidR="00A23285" w:rsidRDefault="00A23285" w:rsidP="0013097A">
      <w:pPr>
        <w:pStyle w:val="BodyPara"/>
      </w:pPr>
      <w:r>
        <w:t>a rectification of an instrument or compilation needs to be issued due to an agency error.</w:t>
      </w:r>
    </w:p>
    <w:p w14:paraId="4332DCDA" w14:textId="38A5603D" w:rsidR="0084047D" w:rsidRPr="00FD274F" w:rsidRDefault="0084047D" w:rsidP="0084047D">
      <w:pPr>
        <w:pStyle w:val="BodyNum"/>
      </w:pPr>
      <w:r w:rsidRPr="00FD274F">
        <w:t xml:space="preserve">The services </w:t>
      </w:r>
      <w:proofErr w:type="spellStart"/>
      <w:r w:rsidRPr="00FD274F">
        <w:t>OPC</w:t>
      </w:r>
      <w:proofErr w:type="spellEnd"/>
      <w:r w:rsidRPr="00FD274F">
        <w:t xml:space="preserve"> provides in connection with </w:t>
      </w:r>
      <w:r w:rsidR="00743D59" w:rsidRPr="00FD274F">
        <w:t xml:space="preserve">documents do not end with their </w:t>
      </w:r>
      <w:r w:rsidRPr="00FD274F">
        <w:t xml:space="preserve">registration. For example, </w:t>
      </w:r>
      <w:proofErr w:type="spellStart"/>
      <w:r w:rsidRPr="00FD274F">
        <w:t>OPC</w:t>
      </w:r>
      <w:proofErr w:type="spellEnd"/>
      <w:r w:rsidRPr="00FD274F">
        <w:t xml:space="preserve"> routinely tracks and alerts agencies to disallowance, sunsetting and other legislative processes that may affect the lifecycle of an instrument and, even if an instrument is repealed, it remains available on </w:t>
      </w:r>
      <w:r w:rsidR="00743D59" w:rsidRPr="00FD274F">
        <w:t>the Register</w:t>
      </w:r>
      <w:r w:rsidRPr="00FD274F">
        <w:t>.</w:t>
      </w:r>
    </w:p>
    <w:p w14:paraId="114F76CF" w14:textId="489ECDB4" w:rsidR="00234CB2" w:rsidRPr="00FD274F" w:rsidRDefault="00C55FC9" w:rsidP="002C2A36">
      <w:pPr>
        <w:pStyle w:val="BodyNum"/>
      </w:pPr>
      <w:r>
        <w:t>Detailed</w:t>
      </w:r>
      <w:r w:rsidRPr="00FD274F">
        <w:t xml:space="preserve"> </w:t>
      </w:r>
      <w:r w:rsidR="0084047D" w:rsidRPr="00FD274F">
        <w:t>information on</w:t>
      </w:r>
      <w:r>
        <w:t xml:space="preserve"> special requirement and additional service</w:t>
      </w:r>
      <w:r w:rsidR="0084047D" w:rsidRPr="00FD274F">
        <w:t xml:space="preserve"> fees can be obtained from the</w:t>
      </w:r>
      <w:r w:rsidR="000920EC">
        <w:t xml:space="preserve"> home page of the</w:t>
      </w:r>
      <w:r w:rsidR="0084047D" w:rsidRPr="00FD274F">
        <w:t xml:space="preserve"> </w:t>
      </w:r>
      <w:hyperlink r:id="rId234" w:history="1">
        <w:r w:rsidR="00743D59" w:rsidRPr="00FD274F">
          <w:rPr>
            <w:rStyle w:val="Hyperlink"/>
          </w:rPr>
          <w:t>lodgement facility</w:t>
        </w:r>
      </w:hyperlink>
      <w:r w:rsidR="0084047D" w:rsidRPr="00FD274F">
        <w:t xml:space="preserve"> or the </w:t>
      </w:r>
      <w:r w:rsidR="00743D59" w:rsidRPr="00FD274F">
        <w:t xml:space="preserve">Register </w:t>
      </w:r>
      <w:r w:rsidR="0084047D" w:rsidRPr="00FD274F">
        <w:t>Help Desk on (02) 6120 1350.</w:t>
      </w:r>
    </w:p>
    <w:p w14:paraId="308D8DFC" w14:textId="77777777" w:rsidR="00DD5A0A" w:rsidRPr="00FD274F" w:rsidRDefault="00DD5A0A" w:rsidP="00DD5A0A">
      <w:pPr>
        <w:pStyle w:val="Head3"/>
      </w:pPr>
      <w:bookmarkStart w:id="100" w:name="_Toc112918785"/>
      <w:r w:rsidRPr="00FD274F">
        <w:t xml:space="preserve">Requirement for gazettal </w:t>
      </w:r>
      <w:r w:rsidR="00561078" w:rsidRPr="00FD274F">
        <w:t xml:space="preserve">or notification in addition to </w:t>
      </w:r>
      <w:r w:rsidRPr="00FD274F">
        <w:t>registration</w:t>
      </w:r>
      <w:bookmarkEnd w:id="100"/>
    </w:p>
    <w:p w14:paraId="418CCB86" w14:textId="175D1FCE" w:rsidR="002B0E90" w:rsidRPr="00FD274F" w:rsidRDefault="002B0E90" w:rsidP="002B0E90">
      <w:pPr>
        <w:pStyle w:val="BodyNum"/>
      </w:pPr>
      <w:r w:rsidRPr="00FD274F">
        <w:t>A legislative instrument’s enabling legislation may require the instrument to be published or notified in the Gazette. Under subsection 5</w:t>
      </w:r>
      <w:r w:rsidRPr="00D965EA">
        <w:t xml:space="preserve">6(1) of the </w:t>
      </w:r>
      <w:hyperlink r:id="rId235" w:history="1">
        <w:r w:rsidRPr="00D965EA">
          <w:rPr>
            <w:rStyle w:val="Hyperlink"/>
          </w:rPr>
          <w:t>LA</w:t>
        </w:r>
      </w:hyperlink>
      <w:r w:rsidRPr="00D965EA">
        <w:t>,</w:t>
      </w:r>
      <w:r w:rsidRPr="00FD274F">
        <w:t xml:space="preserve"> registering an instrument on the Federal Register of Legislation as a legislative instrument on or after 5 March 2016 meets the legislation’s requirement for gazettal.</w:t>
      </w:r>
      <w:r w:rsidR="00F068FE" w:rsidRPr="00FD274F">
        <w:t xml:space="preserve"> </w:t>
      </w:r>
      <w:r w:rsidRPr="00FD274F">
        <w:t>Generally, any requirements for publication of the instrument other than in the Gazette or generally on a website (such as in a newspaper or elsewhere) are additional to the requirement for registration on the Register (</w:t>
      </w:r>
      <w:r w:rsidRPr="00D965EA">
        <w:t xml:space="preserve">see </w:t>
      </w:r>
      <w:hyperlink r:id="rId236" w:history="1">
        <w:r w:rsidR="00583239" w:rsidRPr="00D965EA">
          <w:rPr>
            <w:rStyle w:val="Hyperlink"/>
          </w:rPr>
          <w:t>LA</w:t>
        </w:r>
      </w:hyperlink>
      <w:r w:rsidR="00583239" w:rsidRPr="00D965EA">
        <w:t xml:space="preserve"> </w:t>
      </w:r>
      <w:r w:rsidRPr="00D965EA">
        <w:t>subsections 56(2) and (3)).</w:t>
      </w:r>
      <w:r w:rsidRPr="00FD274F">
        <w:t xml:space="preserve"> (A requirement for an instrument to be published on a website would be met by registering an instrument as a legislative instrument on the Federal Register of Legislation as the Register is a website.)</w:t>
      </w:r>
    </w:p>
    <w:p w14:paraId="51689863" w14:textId="2DF4A911" w:rsidR="002B0E90" w:rsidRPr="00FD274F" w:rsidRDefault="002B0E90" w:rsidP="003350F6">
      <w:pPr>
        <w:pStyle w:val="BodyNum"/>
      </w:pPr>
      <w:r w:rsidRPr="00FD274F">
        <w:t xml:space="preserve">Similarly, a requirement may exist in the enabling legislation for an instrument other than a legislative instrument to be notified or published in the Gazette. Generally, under </w:t>
      </w:r>
      <w:r w:rsidRPr="00D965EA">
        <w:t xml:space="preserve">subsection 11(4) of the </w:t>
      </w:r>
      <w:hyperlink r:id="rId237" w:history="1">
        <w:r w:rsidRPr="00D965EA">
          <w:rPr>
            <w:rStyle w:val="Hyperlink"/>
          </w:rPr>
          <w:t>LA</w:t>
        </w:r>
      </w:hyperlink>
      <w:r w:rsidRPr="00D965EA">
        <w:t>,</w:t>
      </w:r>
      <w:r w:rsidRPr="00FD274F">
        <w:t xml:space="preserve"> registering an instrument on the Federal Register of Legislation as a notifiable instrument on or after 5 March 2016 meets the legislation’s requirement for gazettal (whether or not the enabling legislation refers to the instrument as a notifiable instrument).</w:t>
      </w:r>
      <w:r w:rsidR="00F068FE" w:rsidRPr="00FD274F">
        <w:t xml:space="preserve"> </w:t>
      </w:r>
      <w:r w:rsidRPr="00FD274F">
        <w:t>In addition, any other requirements for publication of the instrument are also met by the requirement for registration on the Register (se</w:t>
      </w:r>
      <w:r w:rsidRPr="00D965EA">
        <w:t xml:space="preserve">e </w:t>
      </w:r>
      <w:hyperlink r:id="rId238" w:history="1">
        <w:r w:rsidR="00583239" w:rsidRPr="00D965EA">
          <w:rPr>
            <w:rStyle w:val="Hyperlink"/>
          </w:rPr>
          <w:t>LA</w:t>
        </w:r>
      </w:hyperlink>
      <w:r w:rsidR="00583239" w:rsidRPr="00D965EA">
        <w:t xml:space="preserve"> </w:t>
      </w:r>
      <w:r w:rsidRPr="00D965EA">
        <w:t>subsection 11(4)) unl</w:t>
      </w:r>
      <w:r w:rsidRPr="00FD274F">
        <w:t>ess the legislation provides a contrary intention.</w:t>
      </w:r>
    </w:p>
    <w:p w14:paraId="34AAFD76" w14:textId="04E692CB" w:rsidR="00210297" w:rsidRPr="00FD274F" w:rsidRDefault="00AF7D7A" w:rsidP="00AF7D7A">
      <w:pPr>
        <w:pStyle w:val="BodyNum"/>
      </w:pPr>
      <w:r w:rsidRPr="00FD274F">
        <w:t>Agencies should</w:t>
      </w:r>
      <w:r w:rsidR="004B5959" w:rsidRPr="00FD274F">
        <w:t xml:space="preserve"> </w:t>
      </w:r>
      <w:r w:rsidR="007F6809" w:rsidRPr="00FD274F">
        <w:t xml:space="preserve">update their </w:t>
      </w:r>
      <w:r w:rsidR="004B5959" w:rsidRPr="00FD274F">
        <w:t xml:space="preserve">legislation to </w:t>
      </w:r>
      <w:r w:rsidR="007F6809" w:rsidRPr="00FD274F">
        <w:t xml:space="preserve">align with </w:t>
      </w:r>
      <w:r w:rsidR="007F6809" w:rsidRPr="00D965EA">
        <w:t xml:space="preserve">the </w:t>
      </w:r>
      <w:hyperlink r:id="rId239" w:history="1">
        <w:r w:rsidR="00622CC0" w:rsidRPr="00D965EA">
          <w:rPr>
            <w:rStyle w:val="Hyperlink"/>
          </w:rPr>
          <w:t>LA</w:t>
        </w:r>
      </w:hyperlink>
      <w:r w:rsidR="007F6809" w:rsidRPr="00D965EA">
        <w:rPr>
          <w:rStyle w:val="FootnoteReference"/>
        </w:rPr>
        <w:footnoteReference w:id="15"/>
      </w:r>
      <w:r w:rsidR="007F6809" w:rsidRPr="00D965EA">
        <w:t>, and s</w:t>
      </w:r>
      <w:r w:rsidR="007F6809" w:rsidRPr="00FD274F">
        <w:t xml:space="preserve">hould avoid putting in place additional requirements for publication as well as registration, </w:t>
      </w:r>
      <w:r w:rsidR="004B5959" w:rsidRPr="00FD274F">
        <w:t xml:space="preserve">unless there are compelling reasons for these. </w:t>
      </w:r>
      <w:r w:rsidR="00210297" w:rsidRPr="00FD274F">
        <w:t>Adopting t</w:t>
      </w:r>
      <w:r w:rsidR="00210297" w:rsidRPr="00D965EA">
        <w:t xml:space="preserve">he </w:t>
      </w:r>
      <w:hyperlink r:id="rId240" w:history="1">
        <w:r w:rsidR="00622CC0" w:rsidRPr="00D965EA">
          <w:rPr>
            <w:rStyle w:val="Hyperlink"/>
          </w:rPr>
          <w:t>LA</w:t>
        </w:r>
      </w:hyperlink>
      <w:r w:rsidR="00210297" w:rsidRPr="00D965EA">
        <w:t xml:space="preserve"> sta</w:t>
      </w:r>
      <w:r w:rsidR="00210297" w:rsidRPr="00FD274F">
        <w:t xml:space="preserve">ndard does not prevent an instrument being notified or published elsewhere if </w:t>
      </w:r>
      <w:r w:rsidR="007F6809" w:rsidRPr="00FD274F">
        <w:t>desired</w:t>
      </w:r>
      <w:r w:rsidR="00210297" w:rsidRPr="00FD274F">
        <w:t>.</w:t>
      </w:r>
    </w:p>
    <w:p w14:paraId="1ECA5623" w14:textId="77777777" w:rsidR="00AD3ABF" w:rsidRPr="00FD274F" w:rsidRDefault="00EE446E" w:rsidP="00AD3ABF">
      <w:pPr>
        <w:pStyle w:val="Head4"/>
      </w:pPr>
      <w:bookmarkStart w:id="101" w:name="_Toc112918786"/>
      <w:r w:rsidRPr="00FD274F">
        <w:lastRenderedPageBreak/>
        <w:t xml:space="preserve">If </w:t>
      </w:r>
      <w:r w:rsidR="00AD3ABF" w:rsidRPr="00FD274F">
        <w:t>an instrument is to be notified/published</w:t>
      </w:r>
      <w:r w:rsidR="009A09F2" w:rsidRPr="00FD274F">
        <w:t xml:space="preserve"> in addition to registration</w:t>
      </w:r>
      <w:bookmarkEnd w:id="101"/>
    </w:p>
    <w:p w14:paraId="53572E04" w14:textId="77777777" w:rsidR="002D786D" w:rsidRPr="00FD274F" w:rsidRDefault="00AD3ABF" w:rsidP="002D786D">
      <w:pPr>
        <w:pStyle w:val="BodyNum"/>
      </w:pPr>
      <w:r w:rsidRPr="00FD274F">
        <w:t>If an instrument that has been or will be registere</w:t>
      </w:r>
      <w:r w:rsidR="00556D72" w:rsidRPr="00FD274F">
        <w:t xml:space="preserve">d is to be notified or published elsewhere, </w:t>
      </w:r>
      <w:r w:rsidRPr="00FD274F">
        <w:t>care needs to be taken to ensure that</w:t>
      </w:r>
      <w:r w:rsidR="002D786D" w:rsidRPr="00FD274F">
        <w:t>:</w:t>
      </w:r>
    </w:p>
    <w:p w14:paraId="528D3D39" w14:textId="31E555CD" w:rsidR="002D786D" w:rsidRPr="00FD274F" w:rsidRDefault="00AD3ABF" w:rsidP="002D786D">
      <w:pPr>
        <w:pStyle w:val="BodyPara"/>
      </w:pPr>
      <w:r w:rsidRPr="00FD274F">
        <w:t>what is published elsewhere is identical to what is lodged for registration (see a</w:t>
      </w:r>
      <w:r w:rsidRPr="00EA4AE6">
        <w:t>lso paragraph</w:t>
      </w:r>
      <w:r w:rsidR="00C33B0F" w:rsidRPr="00EA4AE6">
        <w:t>s</w:t>
      </w:r>
      <w:r w:rsidRPr="00EA4AE6">
        <w:t xml:space="preserve"> </w:t>
      </w:r>
      <w:r w:rsidR="00C33B0F" w:rsidRPr="005547CD">
        <w:fldChar w:fldCharType="begin"/>
      </w:r>
      <w:r w:rsidR="00C33B0F" w:rsidRPr="00EA4AE6">
        <w:instrText xml:space="preserve"> REF _Ref444779699 \r \h </w:instrText>
      </w:r>
      <w:r w:rsidR="00F308D0" w:rsidRPr="00EA4AE6">
        <w:instrText xml:space="preserve"> \* MERGEFORMAT </w:instrText>
      </w:r>
      <w:r w:rsidR="00C33B0F" w:rsidRPr="005547CD">
        <w:fldChar w:fldCharType="separate"/>
      </w:r>
      <w:r w:rsidR="003E1B43" w:rsidRPr="00EA4AE6">
        <w:t>217</w:t>
      </w:r>
      <w:r w:rsidR="00C33B0F" w:rsidRPr="005547CD">
        <w:fldChar w:fldCharType="end"/>
      </w:r>
      <w:r w:rsidR="0049700A" w:rsidRPr="00EA4AE6">
        <w:t xml:space="preserve"> and </w:t>
      </w:r>
      <w:r w:rsidR="00C33B0F" w:rsidRPr="005547CD">
        <w:fldChar w:fldCharType="begin"/>
      </w:r>
      <w:r w:rsidR="00C33B0F" w:rsidRPr="00EA4AE6">
        <w:instrText xml:space="preserve"> REF _Ref444792746 \r \h </w:instrText>
      </w:r>
      <w:r w:rsidR="00F308D0" w:rsidRPr="00EA4AE6">
        <w:instrText xml:space="preserve"> \* MERGEFORMAT </w:instrText>
      </w:r>
      <w:r w:rsidR="00C33B0F" w:rsidRPr="005547CD">
        <w:fldChar w:fldCharType="separate"/>
      </w:r>
      <w:r w:rsidR="003E1B43" w:rsidRPr="00EA4AE6">
        <w:t>218</w:t>
      </w:r>
      <w:r w:rsidR="00C33B0F" w:rsidRPr="005547CD">
        <w:fldChar w:fldCharType="end"/>
      </w:r>
      <w:r w:rsidRPr="00EA4AE6">
        <w:t>)</w:t>
      </w:r>
      <w:r w:rsidR="00942F8D" w:rsidRPr="00EA4AE6">
        <w:t>; a</w:t>
      </w:r>
      <w:r w:rsidR="00942F8D">
        <w:t>nd</w:t>
      </w:r>
    </w:p>
    <w:p w14:paraId="0F729185" w14:textId="77777777" w:rsidR="002D786D" w:rsidRPr="00FD274F" w:rsidRDefault="002D786D" w:rsidP="002D786D">
      <w:pPr>
        <w:pStyle w:val="BodyPara"/>
      </w:pPr>
      <w:r w:rsidRPr="00FD274F">
        <w:t>unless an instrument is made by the act of gazettal—the instrument is registered before it is published elsewhere, consistent with Parliamentary expectations about the prompt lodgement and registration of instruments.</w:t>
      </w:r>
    </w:p>
    <w:p w14:paraId="39455EAD" w14:textId="77777777" w:rsidR="00BF5238" w:rsidRPr="00FD274F" w:rsidRDefault="00AD3ABF" w:rsidP="00DD5A0A">
      <w:pPr>
        <w:pStyle w:val="BodyNum"/>
      </w:pPr>
      <w:r w:rsidRPr="00FD274F">
        <w:t xml:space="preserve">If an instrument is to be </w:t>
      </w:r>
      <w:r w:rsidR="00556D72" w:rsidRPr="00FD274F">
        <w:t xml:space="preserve">notified or published in the Gazette, it may be appropriate to </w:t>
      </w:r>
      <w:r w:rsidR="00CD3890" w:rsidRPr="00FD274F">
        <w:t xml:space="preserve">do so in one </w:t>
      </w:r>
      <w:r w:rsidRPr="00FD274F">
        <w:t xml:space="preserve">of the </w:t>
      </w:r>
      <w:r w:rsidR="00AA4606" w:rsidRPr="00FD274F">
        <w:t>specialist gazettes published by individual Australian Government</w:t>
      </w:r>
      <w:r w:rsidR="00556D72" w:rsidRPr="00FD274F">
        <w:t xml:space="preserve"> agencies. Otherwise, </w:t>
      </w:r>
      <w:r w:rsidR="00CD3890" w:rsidRPr="00FD274F">
        <w:t xml:space="preserve">details should </w:t>
      </w:r>
      <w:r w:rsidR="001514C6" w:rsidRPr="00FD274F">
        <w:t xml:space="preserve">be lodged with </w:t>
      </w:r>
      <w:proofErr w:type="spellStart"/>
      <w:r w:rsidR="001514C6" w:rsidRPr="00FD274F">
        <w:t>OPC</w:t>
      </w:r>
      <w:proofErr w:type="spellEnd"/>
      <w:r w:rsidR="001514C6" w:rsidRPr="00FD274F">
        <w:t xml:space="preserve"> for gazettal in the general Government Notices Gazette. </w:t>
      </w:r>
      <w:r w:rsidRPr="00FD274F">
        <w:t xml:space="preserve">As part of </w:t>
      </w:r>
      <w:r w:rsidR="00AA4606" w:rsidRPr="00FD274F">
        <w:t xml:space="preserve">lodging a notice with </w:t>
      </w:r>
      <w:proofErr w:type="spellStart"/>
      <w:r w:rsidR="00AA4606" w:rsidRPr="00FD274F">
        <w:t>OPC</w:t>
      </w:r>
      <w:proofErr w:type="spellEnd"/>
      <w:r w:rsidR="00AA4606" w:rsidRPr="00FD274F">
        <w:t>, a</w:t>
      </w:r>
      <w:r w:rsidR="001514C6" w:rsidRPr="00FD274F">
        <w:t xml:space="preserve">gencies </w:t>
      </w:r>
      <w:r w:rsidR="00AA4606" w:rsidRPr="00FD274F">
        <w:t xml:space="preserve">will </w:t>
      </w:r>
      <w:r w:rsidR="00BF5238" w:rsidRPr="00FD274F">
        <w:t>need to:</w:t>
      </w:r>
    </w:p>
    <w:p w14:paraId="354DF800" w14:textId="77777777" w:rsidR="00BF5238" w:rsidRPr="00FD274F" w:rsidRDefault="00BF5238" w:rsidP="00BF5238">
      <w:pPr>
        <w:pStyle w:val="BodyPara"/>
      </w:pPr>
      <w:r w:rsidRPr="00FD274F">
        <w:t>submit two different lodgements (an instrument and a gazette notice</w:t>
      </w:r>
      <w:r w:rsidR="00CD3890" w:rsidRPr="00FD274F">
        <w:t>)</w:t>
      </w:r>
      <w:r w:rsidR="00942F8D">
        <w:t>; and</w:t>
      </w:r>
    </w:p>
    <w:p w14:paraId="0B2FFA16" w14:textId="77777777" w:rsidR="00BF5238" w:rsidRPr="00FD274F" w:rsidRDefault="00BF5238" w:rsidP="00BF5238">
      <w:pPr>
        <w:pStyle w:val="BodyPara"/>
      </w:pPr>
      <w:r w:rsidRPr="00FD274F">
        <w:t xml:space="preserve">ensure that the requirement for </w:t>
      </w:r>
      <w:r w:rsidR="001514C6" w:rsidRPr="00FD274F">
        <w:t xml:space="preserve">gazettal </w:t>
      </w:r>
      <w:r w:rsidRPr="00FD274F">
        <w:t xml:space="preserve">in addition to registration is </w:t>
      </w:r>
      <w:r w:rsidR="008D210C" w:rsidRPr="00FD274F">
        <w:t>explicitly</w:t>
      </w:r>
      <w:r w:rsidRPr="00FD274F">
        <w:t xml:space="preserve"> flagg</w:t>
      </w:r>
      <w:r w:rsidR="00942F8D">
        <w:t>ed on both lodgement forms; and</w:t>
      </w:r>
    </w:p>
    <w:p w14:paraId="4A99C88D" w14:textId="77777777" w:rsidR="00BF5238" w:rsidRPr="00FD274F" w:rsidRDefault="00BF5238" w:rsidP="00BF5238">
      <w:pPr>
        <w:pStyle w:val="BodyPara"/>
      </w:pPr>
      <w:r w:rsidRPr="00FD274F">
        <w:t>if applicable, flag any special requirement for gazettal and registration to take place on the same day (and again, this should be noted on both forms).</w:t>
      </w:r>
    </w:p>
    <w:p w14:paraId="08AFA9A9" w14:textId="77777777" w:rsidR="0084047D" w:rsidRPr="00FD274F" w:rsidRDefault="00DD5A0A" w:rsidP="00BF5238">
      <w:pPr>
        <w:pStyle w:val="Head2"/>
        <w:rPr>
          <w:lang w:eastAsia="en-US"/>
        </w:rPr>
      </w:pPr>
      <w:r w:rsidRPr="00FD274F">
        <w:br w:type="page"/>
      </w:r>
      <w:bookmarkStart w:id="102" w:name="_Toc112918787"/>
      <w:bookmarkStart w:id="103" w:name="Chapter5"/>
      <w:r w:rsidR="00E94C94" w:rsidRPr="00FD274F">
        <w:rPr>
          <w:lang w:eastAsia="en-US"/>
        </w:rPr>
        <w:lastRenderedPageBreak/>
        <w:t>Chapter 5</w:t>
      </w:r>
      <w:r w:rsidR="0084047D" w:rsidRPr="00FD274F">
        <w:rPr>
          <w:lang w:eastAsia="en-US"/>
        </w:rPr>
        <w:t>—Compilations</w:t>
      </w:r>
      <w:bookmarkEnd w:id="102"/>
    </w:p>
    <w:bookmarkEnd w:id="103"/>
    <w:p w14:paraId="560C631A" w14:textId="77777777" w:rsidR="0084047D" w:rsidRPr="00FD274F" w:rsidRDefault="0084047D" w:rsidP="0084047D">
      <w:pPr>
        <w:pStyle w:val="SundryBoxHeadBold"/>
      </w:pPr>
      <w:r w:rsidRPr="00FD274F">
        <w:t>Main points</w:t>
      </w:r>
    </w:p>
    <w:p w14:paraId="3442CAD1" w14:textId="77777777" w:rsidR="007A03DA" w:rsidRDefault="007A03DA" w:rsidP="0084047D">
      <w:pPr>
        <w:pStyle w:val="SundryBoxBullet"/>
      </w:pPr>
      <w:r w:rsidRPr="00FD274F">
        <w:t>•</w:t>
      </w:r>
      <w:r w:rsidRPr="00FD274F">
        <w:tab/>
      </w:r>
      <w:r w:rsidRPr="007A03DA">
        <w:t>A compilation shows the text of an Act, legislative instrument or notifiable instrument as amended (if at all) and in force on the compilation date stated in the Act or instrument.</w:t>
      </w:r>
    </w:p>
    <w:p w14:paraId="016B7CC3" w14:textId="77777777" w:rsidR="0084047D" w:rsidRPr="00FD274F" w:rsidRDefault="0084047D" w:rsidP="0084047D">
      <w:pPr>
        <w:pStyle w:val="SundryBoxBullet"/>
      </w:pPr>
      <w:r w:rsidRPr="00FD274F">
        <w:t>•</w:t>
      </w:r>
      <w:r w:rsidRPr="00FD274F">
        <w:tab/>
        <w:t>Compilations are an important resource for agency staff and other users of legislation.</w:t>
      </w:r>
    </w:p>
    <w:p w14:paraId="139DE73C" w14:textId="77777777" w:rsidR="0037400B" w:rsidRPr="00FD274F" w:rsidRDefault="0084047D" w:rsidP="0084047D">
      <w:pPr>
        <w:pStyle w:val="SundryBoxBullet"/>
      </w:pPr>
      <w:r w:rsidRPr="00FD274F">
        <w:t>•</w:t>
      </w:r>
      <w:r w:rsidRPr="00FD274F">
        <w:tab/>
        <w:t xml:space="preserve">As a general rule, a new compilation must be registered </w:t>
      </w:r>
      <w:r w:rsidR="0037400B" w:rsidRPr="00FD274F">
        <w:t xml:space="preserve">within 28 days of amendments to the text commencing or </w:t>
      </w:r>
      <w:r w:rsidR="00644DF1" w:rsidRPr="00FD274F">
        <w:t xml:space="preserve">of other </w:t>
      </w:r>
      <w:r w:rsidR="0037400B" w:rsidRPr="00FD274F">
        <w:t>required compilation events</w:t>
      </w:r>
      <w:r w:rsidR="00644DF1" w:rsidRPr="00FD274F">
        <w:t>.</w:t>
      </w:r>
    </w:p>
    <w:p w14:paraId="2BBCAA96" w14:textId="77777777" w:rsidR="0037400B" w:rsidRPr="00FD274F" w:rsidRDefault="0084047D" w:rsidP="0084047D">
      <w:pPr>
        <w:pStyle w:val="SundryBoxBullet"/>
      </w:pPr>
      <w:r w:rsidRPr="00FD274F">
        <w:t>•</w:t>
      </w:r>
      <w:r w:rsidRPr="00FD274F">
        <w:tab/>
      </w:r>
      <w:r w:rsidR="007D6093" w:rsidRPr="00FD274F">
        <w:t>A compilation may also need to be prepared and lodged for other</w:t>
      </w:r>
      <w:r w:rsidR="00644DF1" w:rsidRPr="00FD274F">
        <w:t xml:space="preserve"> </w:t>
      </w:r>
      <w:r w:rsidR="0037400B" w:rsidRPr="00FD274F">
        <w:t>discretionary compilation events</w:t>
      </w:r>
      <w:r w:rsidR="00942F8D">
        <w:t xml:space="preserve"> as notified by </w:t>
      </w:r>
      <w:proofErr w:type="spellStart"/>
      <w:r w:rsidR="00942F8D">
        <w:t>OPC</w:t>
      </w:r>
      <w:proofErr w:type="spellEnd"/>
      <w:r w:rsidR="00942F8D">
        <w:t>.</w:t>
      </w:r>
    </w:p>
    <w:p w14:paraId="7FE90DE6" w14:textId="77777777" w:rsidR="0084047D" w:rsidRPr="00FD274F" w:rsidRDefault="0037400B" w:rsidP="0084047D">
      <w:pPr>
        <w:pStyle w:val="SundryBoxBullet"/>
      </w:pPr>
      <w:r w:rsidRPr="00FD274F">
        <w:t>•</w:t>
      </w:r>
      <w:r w:rsidRPr="00FD274F">
        <w:tab/>
      </w:r>
      <w:r w:rsidR="0084047D" w:rsidRPr="00FD274F">
        <w:t xml:space="preserve">Agencies are responsible for preparing compilations of some instruments, but can make arrangements for </w:t>
      </w:r>
      <w:proofErr w:type="spellStart"/>
      <w:r w:rsidR="0084047D" w:rsidRPr="00FD274F">
        <w:t>OPC</w:t>
      </w:r>
      <w:proofErr w:type="spellEnd"/>
      <w:r w:rsidR="0084047D" w:rsidRPr="00FD274F">
        <w:t xml:space="preserve"> to prepare them on a </w:t>
      </w:r>
      <w:r w:rsidR="00516F1A">
        <w:t>fee</w:t>
      </w:r>
      <w:r w:rsidR="009C4251">
        <w:noBreakHyphen/>
      </w:r>
      <w:r w:rsidR="00516F1A">
        <w:t>for</w:t>
      </w:r>
      <w:r w:rsidR="009C4251">
        <w:noBreakHyphen/>
      </w:r>
      <w:r w:rsidR="00516F1A">
        <w:t>service</w:t>
      </w:r>
      <w:r w:rsidR="0084047D" w:rsidRPr="00FD274F">
        <w:t xml:space="preserve"> basis.</w:t>
      </w:r>
    </w:p>
    <w:p w14:paraId="2AC72B1A" w14:textId="461960BB" w:rsidR="0084047D" w:rsidRPr="00FD274F" w:rsidRDefault="0084047D" w:rsidP="0084047D">
      <w:pPr>
        <w:pStyle w:val="SundryBoxBullet"/>
      </w:pPr>
      <w:r w:rsidRPr="00FD274F">
        <w:t>•</w:t>
      </w:r>
      <w:r w:rsidRPr="00FD274F">
        <w:tab/>
        <w:t>Care and skill is required to ensure that compilations are complete, accurate, and meet the requiremen</w:t>
      </w:r>
      <w:r w:rsidRPr="00D965EA">
        <w:t xml:space="preserve">ts of the </w:t>
      </w:r>
      <w:hyperlink r:id="rId241" w:history="1">
        <w:r w:rsidR="00F66686" w:rsidRPr="00D965EA">
          <w:rPr>
            <w:rStyle w:val="Hyperlink"/>
          </w:rPr>
          <w:t>LA</w:t>
        </w:r>
      </w:hyperlink>
      <w:r w:rsidRPr="00D965EA">
        <w:t>.</w:t>
      </w:r>
    </w:p>
    <w:p w14:paraId="35CD4DF3" w14:textId="77777777" w:rsidR="0084047D" w:rsidRPr="00FD274F" w:rsidRDefault="0084047D" w:rsidP="0084047D">
      <w:pPr>
        <w:pStyle w:val="SundryBoxBullet"/>
      </w:pPr>
      <w:r w:rsidRPr="00FD274F">
        <w:t>•</w:t>
      </w:r>
      <w:r w:rsidRPr="00FD274F">
        <w:tab/>
        <w:t xml:space="preserve">Future law compilations can be published on </w:t>
      </w:r>
      <w:r w:rsidR="00506646" w:rsidRPr="00FD274F">
        <w:t>the Register</w:t>
      </w:r>
      <w:r w:rsidRPr="00FD274F">
        <w:t xml:space="preserve"> if required</w:t>
      </w:r>
      <w:r w:rsidRPr="00FD274F">
        <w:rPr>
          <w:i/>
        </w:rPr>
        <w:t>.</w:t>
      </w:r>
    </w:p>
    <w:p w14:paraId="20344463" w14:textId="77777777" w:rsidR="0084047D" w:rsidRPr="00FD274F" w:rsidRDefault="00371CFF" w:rsidP="0084047D">
      <w:pPr>
        <w:pStyle w:val="Head3"/>
      </w:pPr>
      <w:bookmarkStart w:id="104" w:name="_Toc112918788"/>
      <w:r>
        <w:t>General</w:t>
      </w:r>
      <w:bookmarkEnd w:id="104"/>
    </w:p>
    <w:p w14:paraId="10304D07" w14:textId="77777777" w:rsidR="0084047D" w:rsidRPr="00FD274F" w:rsidRDefault="0084047D" w:rsidP="0084047D">
      <w:pPr>
        <w:pStyle w:val="BodyNum"/>
      </w:pPr>
      <w:r w:rsidRPr="00FD274F">
        <w:t>Compilations showing the full text of a law as in force from time to time are an important resource for agency staff and everyone else w</w:t>
      </w:r>
      <w:r w:rsidR="00A50BF2" w:rsidRPr="00FD274F">
        <w:t xml:space="preserve">anting </w:t>
      </w:r>
      <w:r w:rsidRPr="00FD274F">
        <w:t xml:space="preserve">to understand and comply with the law. </w:t>
      </w:r>
      <w:r w:rsidRPr="00FD274F">
        <w:rPr>
          <w:color w:val="000000"/>
        </w:rPr>
        <w:t>If a compilation is not available, people needing to know what the law says and how it has changed have to work this out for themselves—a time</w:t>
      </w:r>
      <w:r w:rsidR="009C4251">
        <w:rPr>
          <w:color w:val="000000"/>
        </w:rPr>
        <w:noBreakHyphen/>
      </w:r>
      <w:r w:rsidRPr="00FD274F">
        <w:rPr>
          <w:color w:val="000000"/>
        </w:rPr>
        <w:t>consuming and complex process, particularly if the law has been amended many times.</w:t>
      </w:r>
    </w:p>
    <w:p w14:paraId="2807CED3" w14:textId="77777777" w:rsidR="0084047D" w:rsidRPr="00FD274F" w:rsidRDefault="0084047D" w:rsidP="0084047D">
      <w:pPr>
        <w:pStyle w:val="Head3"/>
      </w:pPr>
      <w:bookmarkStart w:id="105" w:name="_Toc112918789"/>
      <w:r w:rsidRPr="00FD274F">
        <w:t>When to prepare compilations</w:t>
      </w:r>
      <w:bookmarkEnd w:id="105"/>
    </w:p>
    <w:p w14:paraId="4E9640DB" w14:textId="77777777" w:rsidR="004F5048" w:rsidRPr="00FD274F" w:rsidRDefault="004F5048" w:rsidP="0037400B">
      <w:pPr>
        <w:pStyle w:val="BodyNum"/>
      </w:pPr>
      <w:bookmarkStart w:id="106" w:name="_Ref441240710"/>
      <w:r w:rsidRPr="00FD274F">
        <w:t xml:space="preserve">A </w:t>
      </w:r>
      <w:r w:rsidR="00CE2573" w:rsidRPr="00FD274F">
        <w:t>compilation</w:t>
      </w:r>
      <w:r w:rsidRPr="00FD274F">
        <w:t xml:space="preserve"> is required to be prepared and lodged whenever a required compilation event occurs</w:t>
      </w:r>
      <w:r w:rsidR="00A46113" w:rsidRPr="00FD274F">
        <w:t xml:space="preserve">. </w:t>
      </w:r>
      <w:r w:rsidRPr="00FD274F">
        <w:t xml:space="preserve">A </w:t>
      </w:r>
      <w:r w:rsidRPr="00FD274F">
        <w:rPr>
          <w:b/>
          <w:i/>
        </w:rPr>
        <w:t>required compilation event</w:t>
      </w:r>
      <w:r w:rsidRPr="00FD274F">
        <w:t xml:space="preserve"> </w:t>
      </w:r>
      <w:r w:rsidR="00D253D6" w:rsidRPr="00FD274F">
        <w:t xml:space="preserve">(that is, an event that requires a new compilation) </w:t>
      </w:r>
      <w:r w:rsidRPr="00FD274F">
        <w:t>occurs whenever:</w:t>
      </w:r>
      <w:bookmarkEnd w:id="106"/>
    </w:p>
    <w:p w14:paraId="7542E0FB" w14:textId="6E6B91CD" w:rsidR="004F5048" w:rsidRPr="00FD274F" w:rsidRDefault="004F5048" w:rsidP="004F5048">
      <w:pPr>
        <w:pStyle w:val="BodyPara"/>
      </w:pPr>
      <w:r w:rsidRPr="00FD274F">
        <w:t xml:space="preserve">an instrument is expressly amended, unless this is by the automatic repeal provisions of </w:t>
      </w:r>
      <w:r w:rsidRPr="00D965EA">
        <w:t xml:space="preserve">section 48C or 48D of the </w:t>
      </w:r>
      <w:hyperlink r:id="rId242" w:history="1">
        <w:r w:rsidR="00F66686" w:rsidRPr="00D965EA">
          <w:rPr>
            <w:rStyle w:val="Hyperlink"/>
          </w:rPr>
          <w:t>LA</w:t>
        </w:r>
      </w:hyperlink>
      <w:r w:rsidRPr="00D965EA">
        <w:t xml:space="preserve"> (</w:t>
      </w:r>
      <w:hyperlink r:id="rId243" w:history="1">
        <w:r w:rsidRPr="00D965EA">
          <w:rPr>
            <w:rStyle w:val="Hyperlink"/>
          </w:rPr>
          <w:t>LA</w:t>
        </w:r>
      </w:hyperlink>
      <w:r w:rsidRPr="00D965EA">
        <w:t xml:space="preserve"> s 15Q(1)(a));</w:t>
      </w:r>
      <w:r w:rsidRPr="00FD274F">
        <w:t xml:space="preserve"> or</w:t>
      </w:r>
    </w:p>
    <w:p w14:paraId="21BDEBB4" w14:textId="2FC549E1" w:rsidR="004F5048" w:rsidRPr="00D965EA" w:rsidRDefault="004F5048" w:rsidP="004F5048">
      <w:pPr>
        <w:pStyle w:val="BodyPara"/>
      </w:pPr>
      <w:r w:rsidRPr="00FD274F">
        <w:t>disallowance results in the repeal of a provision of the principal legislative instrument, of an amending instrument or amending provisio</w:t>
      </w:r>
      <w:r w:rsidRPr="00D965EA">
        <w:t>n (</w:t>
      </w:r>
      <w:hyperlink r:id="rId244" w:history="1">
        <w:r w:rsidRPr="00D965EA">
          <w:rPr>
            <w:rStyle w:val="Hyperlink"/>
          </w:rPr>
          <w:t>LA</w:t>
        </w:r>
      </w:hyperlink>
      <w:r w:rsidRPr="00D965EA">
        <w:t xml:space="preserve"> s 15Q(1)(b)); or</w:t>
      </w:r>
    </w:p>
    <w:p w14:paraId="0E082F3C" w14:textId="3EAFFF80" w:rsidR="004F5048" w:rsidRPr="00D965EA" w:rsidRDefault="004F5048" w:rsidP="004F5048">
      <w:pPr>
        <w:pStyle w:val="BodyPara"/>
      </w:pPr>
      <w:r w:rsidRPr="00FD274F">
        <w:t>a provisio</w:t>
      </w:r>
      <w:r w:rsidR="0033291B">
        <w:t>n of the instrument is repealed under another Act or instru</w:t>
      </w:r>
      <w:r w:rsidR="0033291B" w:rsidRPr="00D965EA">
        <w:t xml:space="preserve">ment </w:t>
      </w:r>
      <w:r w:rsidRPr="00D965EA">
        <w:t>(</w:t>
      </w:r>
      <w:hyperlink r:id="rId245" w:history="1">
        <w:r w:rsidRPr="00D965EA">
          <w:rPr>
            <w:rStyle w:val="Hyperlink"/>
          </w:rPr>
          <w:t>LA</w:t>
        </w:r>
      </w:hyperlink>
      <w:r w:rsidR="00942F8D" w:rsidRPr="00D965EA">
        <w:t xml:space="preserve"> s 15Q(1)(c)); or</w:t>
      </w:r>
    </w:p>
    <w:p w14:paraId="6B08D847" w14:textId="00E9A546" w:rsidR="004F5048" w:rsidRPr="00FD274F" w:rsidRDefault="004F5048" w:rsidP="004F5048">
      <w:pPr>
        <w:pStyle w:val="BodyPara"/>
      </w:pPr>
      <w:r w:rsidRPr="00FD274F">
        <w:t>something else happens that is prescribed by the rul</w:t>
      </w:r>
      <w:r w:rsidRPr="00D965EA">
        <w:t>es</w:t>
      </w:r>
      <w:r w:rsidR="00895072" w:rsidRPr="00D965EA">
        <w:t xml:space="preserve"> (</w:t>
      </w:r>
      <w:hyperlink r:id="rId246" w:history="1">
        <w:r w:rsidR="00895072" w:rsidRPr="00D965EA">
          <w:rPr>
            <w:rStyle w:val="Hyperlink"/>
          </w:rPr>
          <w:t>LA</w:t>
        </w:r>
      </w:hyperlink>
      <w:r w:rsidR="00895072" w:rsidRPr="00D965EA">
        <w:t xml:space="preserve"> s 15Q(1)(d)).</w:t>
      </w:r>
    </w:p>
    <w:p w14:paraId="4D5E0092" w14:textId="356CCE0A" w:rsidR="0037400B" w:rsidRPr="00FD274F" w:rsidRDefault="0037400B" w:rsidP="00CD6FA3">
      <w:pPr>
        <w:pStyle w:val="BodyNum"/>
        <w:keepLines/>
      </w:pPr>
      <w:r w:rsidRPr="00FD274F">
        <w:lastRenderedPageBreak/>
        <w:t>If a required compilation event occurs, the rule</w:t>
      </w:r>
      <w:r w:rsidR="009C4251">
        <w:noBreakHyphen/>
      </w:r>
      <w:r w:rsidRPr="00FD274F">
        <w:t xml:space="preserve">maker must prepare and lodge a compilation within 28 days of the event, unless the First </w:t>
      </w:r>
      <w:r w:rsidR="00895072" w:rsidRPr="00FD274F">
        <w:t xml:space="preserve">Parliamentary Counsel </w:t>
      </w:r>
      <w:r w:rsidRPr="00FD274F">
        <w:t>has agreed to a longer pe</w:t>
      </w:r>
      <w:r w:rsidRPr="00D965EA">
        <w:t>riod (</w:t>
      </w:r>
      <w:hyperlink r:id="rId247" w:history="1">
        <w:r w:rsidRPr="00D965EA">
          <w:rPr>
            <w:rStyle w:val="Hyperlink"/>
          </w:rPr>
          <w:t>LA</w:t>
        </w:r>
      </w:hyperlink>
      <w:r w:rsidRPr="00D965EA">
        <w:t xml:space="preserve"> s </w:t>
      </w:r>
      <w:r w:rsidR="00895072" w:rsidRPr="00D965EA">
        <w:t>15R(3))</w:t>
      </w:r>
      <w:r w:rsidRPr="00D965EA">
        <w:t xml:space="preserve"> or</w:t>
      </w:r>
      <w:r w:rsidRPr="00FD274F">
        <w:t xml:space="preserve"> has made a rule waiving this requirement </w:t>
      </w:r>
      <w:r w:rsidR="00017258" w:rsidRPr="00FD274F">
        <w:t>(</w:t>
      </w:r>
      <w:r w:rsidRPr="00FD274F">
        <w:t xml:space="preserve">e.g. because the compilation will be prepared by </w:t>
      </w:r>
      <w:proofErr w:type="spellStart"/>
      <w:r w:rsidRPr="00FD274F">
        <w:t>OPC</w:t>
      </w:r>
      <w:proofErr w:type="spellEnd"/>
      <w:r w:rsidRPr="00FD274F">
        <w:t xml:space="preserve"> rather than </w:t>
      </w:r>
      <w:r w:rsidR="00017258" w:rsidRPr="00FD274F">
        <w:t>the rule</w:t>
      </w:r>
      <w:r w:rsidR="009C4251">
        <w:noBreakHyphen/>
      </w:r>
      <w:r w:rsidR="00017258" w:rsidRPr="00FD274F">
        <w:t xml:space="preserve">maker, </w:t>
      </w:r>
      <w:r w:rsidRPr="004532FE">
        <w:t xml:space="preserve">see </w:t>
      </w:r>
      <w:hyperlink r:id="rId248" w:history="1">
        <w:r w:rsidRPr="004532FE">
          <w:rPr>
            <w:rStyle w:val="Hyperlink"/>
          </w:rPr>
          <w:t>Rule</w:t>
        </w:r>
      </w:hyperlink>
      <w:r w:rsidRPr="004532FE">
        <w:t xml:space="preserve"> s 8).</w:t>
      </w:r>
    </w:p>
    <w:p w14:paraId="2A48C6B8" w14:textId="77777777" w:rsidR="00895072" w:rsidRPr="00FD274F" w:rsidRDefault="00895072" w:rsidP="0084047D">
      <w:pPr>
        <w:pStyle w:val="BodyNum"/>
      </w:pPr>
      <w:bookmarkStart w:id="107" w:name="_Ref444859371"/>
      <w:r w:rsidRPr="00FD274F">
        <w:t>The First Parliamentary Counsel may also prepare, or issue a notice requiring a rule</w:t>
      </w:r>
      <w:r w:rsidR="009C4251">
        <w:noBreakHyphen/>
      </w:r>
      <w:r w:rsidRPr="00FD274F">
        <w:t xml:space="preserve">maker to prepare, compilations to reflect the impact of other events known as discretionary compilation events. A </w:t>
      </w:r>
      <w:r w:rsidRPr="00FD274F">
        <w:rPr>
          <w:b/>
          <w:i/>
        </w:rPr>
        <w:t>discretionary compilation event</w:t>
      </w:r>
      <w:r w:rsidRPr="00FD274F">
        <w:t xml:space="preserve"> occurs when:</w:t>
      </w:r>
      <w:bookmarkEnd w:id="107"/>
    </w:p>
    <w:p w14:paraId="44FC46FA" w14:textId="2A293761" w:rsidR="00895072" w:rsidRPr="00FD274F" w:rsidRDefault="00895072" w:rsidP="00895072">
      <w:pPr>
        <w:pStyle w:val="BodyPara"/>
      </w:pPr>
      <w:r w:rsidRPr="00FD274F">
        <w:t>a provision of an instrument commence</w:t>
      </w:r>
      <w:r w:rsidRPr="00D965EA">
        <w:t>s (</w:t>
      </w:r>
      <w:hyperlink r:id="rId249" w:history="1">
        <w:r w:rsidRPr="00D965EA">
          <w:rPr>
            <w:rStyle w:val="Hyperlink"/>
          </w:rPr>
          <w:t>LA</w:t>
        </w:r>
      </w:hyperlink>
      <w:r w:rsidR="00942F8D" w:rsidRPr="00D965EA">
        <w:t xml:space="preserve"> s 15Q(2)(a)); o</w:t>
      </w:r>
      <w:r w:rsidR="00942F8D">
        <w:t>r</w:t>
      </w:r>
    </w:p>
    <w:p w14:paraId="1D3BBF43" w14:textId="0A3E4907" w:rsidR="00895072" w:rsidRPr="00FD274F" w:rsidRDefault="007D6093" w:rsidP="00895072">
      <w:pPr>
        <w:pStyle w:val="BodyPara"/>
      </w:pPr>
      <w:r w:rsidRPr="00FD274F">
        <w:t xml:space="preserve">solely commencing, amending or repealing provisions are repealed under </w:t>
      </w:r>
      <w:r w:rsidR="00895072" w:rsidRPr="00FD274F">
        <w:t>secti</w:t>
      </w:r>
      <w:r w:rsidR="00895072" w:rsidRPr="00D965EA">
        <w:t>on 48C or 48D of the LA (</w:t>
      </w:r>
      <w:hyperlink r:id="rId250" w:history="1">
        <w:r w:rsidR="00895072" w:rsidRPr="00D965EA">
          <w:rPr>
            <w:rStyle w:val="Hyperlink"/>
          </w:rPr>
          <w:t>LA</w:t>
        </w:r>
      </w:hyperlink>
      <w:r w:rsidR="00942F8D" w:rsidRPr="00D965EA">
        <w:t xml:space="preserve"> s 15Q(2)(b)); o</w:t>
      </w:r>
      <w:r w:rsidR="00942F8D">
        <w:t>r</w:t>
      </w:r>
    </w:p>
    <w:p w14:paraId="18252A09" w14:textId="12843B48" w:rsidR="00895072" w:rsidRPr="00FD274F" w:rsidRDefault="00895072" w:rsidP="00895072">
      <w:pPr>
        <w:pStyle w:val="BodyPara"/>
      </w:pPr>
      <w:r w:rsidRPr="00FD274F">
        <w:t xml:space="preserve">an instrument is modified </w:t>
      </w:r>
      <w:r w:rsidRPr="00D965EA">
        <w:t>(</w:t>
      </w:r>
      <w:hyperlink r:id="rId251" w:history="1">
        <w:r w:rsidRPr="00D965EA">
          <w:rPr>
            <w:rStyle w:val="Hyperlink"/>
          </w:rPr>
          <w:t>LA</w:t>
        </w:r>
      </w:hyperlink>
      <w:r w:rsidRPr="00D965EA">
        <w:t xml:space="preserve"> s 15Q(2)(c));</w:t>
      </w:r>
      <w:r w:rsidRPr="00FD274F">
        <w:t xml:space="preserve"> or</w:t>
      </w:r>
    </w:p>
    <w:p w14:paraId="64CA53B0" w14:textId="75E2F34C" w:rsidR="00895072" w:rsidRPr="00D965EA" w:rsidRDefault="00895072" w:rsidP="00895072">
      <w:pPr>
        <w:pStyle w:val="BodyPara"/>
      </w:pPr>
      <w:r w:rsidRPr="00FD274F">
        <w:t xml:space="preserve">an instrument is impliedly amended </w:t>
      </w:r>
      <w:r w:rsidR="00D90E09" w:rsidRPr="00FD274F">
        <w:t>(for example, by a provision stating that a</w:t>
      </w:r>
      <w:r w:rsidR="00F068FE" w:rsidRPr="00FD274F">
        <w:t xml:space="preserve"> </w:t>
      </w:r>
      <w:r w:rsidR="00D90E09" w:rsidRPr="00FD274F">
        <w:t xml:space="preserve">reference to a law by its old name should be construed as a reference to its new name without details of where the reference is to be found) </w:t>
      </w:r>
      <w:r w:rsidRPr="00FD274F">
        <w:t>(</w:t>
      </w:r>
      <w:hyperlink r:id="rId252" w:history="1">
        <w:r w:rsidRPr="00D965EA">
          <w:rPr>
            <w:rStyle w:val="Hyperlink"/>
          </w:rPr>
          <w:t>LA</w:t>
        </w:r>
      </w:hyperlink>
      <w:r w:rsidRPr="00D965EA">
        <w:t xml:space="preserve"> s</w:t>
      </w:r>
      <w:r w:rsidR="00D90E09" w:rsidRPr="00D965EA">
        <w:t> </w:t>
      </w:r>
      <w:r w:rsidR="00942F8D" w:rsidRPr="00D965EA">
        <w:t>15Q(2)(d)); or</w:t>
      </w:r>
    </w:p>
    <w:p w14:paraId="40F97E86" w14:textId="1E9CA904" w:rsidR="001D2822" w:rsidRPr="00FD274F" w:rsidRDefault="001D2822" w:rsidP="000E24E5">
      <w:pPr>
        <w:pStyle w:val="BodyPara"/>
      </w:pPr>
      <w:r w:rsidRPr="00FD274F">
        <w:t>a provision of an instrument</w:t>
      </w:r>
      <w:r w:rsidR="000E24E5" w:rsidRPr="000E24E5">
        <w:t xml:space="preserve"> is repealed</w:t>
      </w:r>
      <w:r w:rsidR="000E24E5">
        <w:t xml:space="preserve"> </w:t>
      </w:r>
      <w:r w:rsidRPr="00FD274F">
        <w:t>under another provision of that instrument (</w:t>
      </w:r>
      <w:hyperlink r:id="rId253" w:history="1">
        <w:r w:rsidRPr="00D965EA">
          <w:rPr>
            <w:rStyle w:val="Hyperlink"/>
          </w:rPr>
          <w:t>LA</w:t>
        </w:r>
      </w:hyperlink>
      <w:r w:rsidR="00942F8D" w:rsidRPr="00D965EA">
        <w:t xml:space="preserve"> s 15Q(2)(e)); or</w:t>
      </w:r>
    </w:p>
    <w:p w14:paraId="3E77B09F" w14:textId="7B0CC269" w:rsidR="00895072" w:rsidRPr="00FD274F" w:rsidRDefault="00895072" w:rsidP="00895072">
      <w:pPr>
        <w:pStyle w:val="BodyPara"/>
        <w:rPr>
          <w:spacing w:val="-2"/>
        </w:rPr>
      </w:pPr>
      <w:r w:rsidRPr="00FD274F">
        <w:rPr>
          <w:spacing w:val="-2"/>
        </w:rPr>
        <w:t>the text of the instrument as made or of the latest registered compilation ceases to show the text of the instrument as in for</w:t>
      </w:r>
      <w:r w:rsidRPr="00D965EA">
        <w:rPr>
          <w:spacing w:val="-2"/>
        </w:rPr>
        <w:t>ce (</w:t>
      </w:r>
      <w:hyperlink r:id="rId254" w:history="1">
        <w:r w:rsidRPr="00D965EA">
          <w:rPr>
            <w:rStyle w:val="Hyperlink"/>
            <w:spacing w:val="-2"/>
          </w:rPr>
          <w:t>LA</w:t>
        </w:r>
      </w:hyperlink>
      <w:r w:rsidRPr="00D965EA">
        <w:rPr>
          <w:spacing w:val="-2"/>
        </w:rPr>
        <w:t xml:space="preserve"> s 15Q(2)(</w:t>
      </w:r>
      <w:r w:rsidR="001D2822" w:rsidRPr="00D965EA">
        <w:rPr>
          <w:spacing w:val="-2"/>
        </w:rPr>
        <w:t>f</w:t>
      </w:r>
      <w:r w:rsidRPr="00D965EA">
        <w:rPr>
          <w:spacing w:val="-2"/>
        </w:rPr>
        <w:t>) and (</w:t>
      </w:r>
      <w:r w:rsidR="001D2822" w:rsidRPr="00D965EA">
        <w:rPr>
          <w:spacing w:val="-2"/>
        </w:rPr>
        <w:t>g</w:t>
      </w:r>
      <w:r w:rsidR="00942F8D" w:rsidRPr="00D965EA">
        <w:rPr>
          <w:spacing w:val="-2"/>
        </w:rPr>
        <w:t>)); o</w:t>
      </w:r>
      <w:r w:rsidR="00942F8D">
        <w:rPr>
          <w:spacing w:val="-2"/>
        </w:rPr>
        <w:t>r</w:t>
      </w:r>
    </w:p>
    <w:p w14:paraId="10BFAAB7" w14:textId="338B2CAF" w:rsidR="00895072" w:rsidRPr="00FD274F" w:rsidRDefault="00895072" w:rsidP="00895072">
      <w:pPr>
        <w:pStyle w:val="BodyPara"/>
      </w:pPr>
      <w:r w:rsidRPr="00FD274F">
        <w:t xml:space="preserve">something else happens that is prescribed by the rules </w:t>
      </w:r>
      <w:r w:rsidRPr="00D965EA">
        <w:t>(</w:t>
      </w:r>
      <w:hyperlink r:id="rId255" w:history="1">
        <w:r w:rsidR="001D2822" w:rsidRPr="00D965EA">
          <w:rPr>
            <w:rStyle w:val="Hyperlink"/>
          </w:rPr>
          <w:t>LA</w:t>
        </w:r>
      </w:hyperlink>
      <w:r w:rsidR="001D2822" w:rsidRPr="00D965EA">
        <w:t xml:space="preserve"> s 15Q(2)(h)</w:t>
      </w:r>
      <w:r w:rsidRPr="00D965EA">
        <w:t>).</w:t>
      </w:r>
    </w:p>
    <w:p w14:paraId="2404F7FD" w14:textId="77777777" w:rsidR="0084047D" w:rsidRPr="00FD274F" w:rsidRDefault="0084047D" w:rsidP="0084047D">
      <w:pPr>
        <w:pStyle w:val="BodyNum"/>
      </w:pPr>
      <w:r w:rsidRPr="00FD274F">
        <w:t>Compilations are required to be prepared on a “point</w:t>
      </w:r>
      <w:r w:rsidR="009C4251">
        <w:noBreakHyphen/>
      </w:r>
      <w:r w:rsidRPr="00FD274F">
        <w:t>in</w:t>
      </w:r>
      <w:r w:rsidR="009C4251">
        <w:noBreakHyphen/>
      </w:r>
      <w:r w:rsidRPr="00FD274F">
        <w:t xml:space="preserve">time” basis. A compilation of an instrument should be available for each </w:t>
      </w:r>
      <w:r w:rsidR="007D6093" w:rsidRPr="00FD274F">
        <w:t xml:space="preserve">date </w:t>
      </w:r>
      <w:r w:rsidRPr="00FD274F">
        <w:t>at which the text of the instrument is different. This enables a reader to readily work out the state of the law represented by the instrument at every point</w:t>
      </w:r>
      <w:r w:rsidR="009C4251">
        <w:noBreakHyphen/>
      </w:r>
      <w:r w:rsidRPr="00FD274F">
        <w:t>in</w:t>
      </w:r>
      <w:r w:rsidR="009C4251">
        <w:noBreakHyphen/>
      </w:r>
      <w:r w:rsidRPr="00FD274F">
        <w:t>time that the instrument is in force.</w:t>
      </w:r>
    </w:p>
    <w:p w14:paraId="6DAA5FA7" w14:textId="77777777" w:rsidR="0084047D" w:rsidRPr="00FD274F" w:rsidRDefault="0084047D" w:rsidP="0084047D">
      <w:pPr>
        <w:pStyle w:val="BodyNum"/>
      </w:pPr>
      <w:r w:rsidRPr="00FD274F">
        <w:t xml:space="preserve">Thus, multiple compilations will normally be required if amendments commence on different dates. To illustrate, if amendments of an instrument commence on </w:t>
      </w:r>
      <w:r w:rsidR="0049700A" w:rsidRPr="00FD274F">
        <w:t>two</w:t>
      </w:r>
      <w:r w:rsidRPr="00FD274F">
        <w:t xml:space="preserve"> different dates, </w:t>
      </w:r>
      <w:r w:rsidR="0049700A" w:rsidRPr="00FD274F">
        <w:t>two</w:t>
      </w:r>
      <w:r w:rsidRPr="00FD274F">
        <w:t xml:space="preserve"> compilations will be required and it does not matter whether the amendments were made by one amending instrument or 20 amending instruments. Similarly, if an amendment of an instrument has co</w:t>
      </w:r>
      <w:r w:rsidR="00942F8D">
        <w:t>mmenced but is then disallowed:</w:t>
      </w:r>
    </w:p>
    <w:p w14:paraId="3C247318" w14:textId="77777777" w:rsidR="0084047D" w:rsidRPr="00FD274F" w:rsidRDefault="0084047D" w:rsidP="0084047D">
      <w:pPr>
        <w:pStyle w:val="BodyPara"/>
      </w:pPr>
      <w:r w:rsidRPr="00FD274F">
        <w:t>a compilation showing the effect of the amendment before disallowance will be required; and</w:t>
      </w:r>
    </w:p>
    <w:p w14:paraId="5D602912" w14:textId="77777777" w:rsidR="00C33B0F" w:rsidRPr="00FD274F" w:rsidRDefault="0084047D" w:rsidP="00C33B0F">
      <w:pPr>
        <w:pStyle w:val="BodyPara"/>
      </w:pPr>
      <w:r w:rsidRPr="00FD274F">
        <w:t>another compilation will be required to show the effect of disallowance</w:t>
      </w:r>
      <w:r w:rsidR="00C33B0F" w:rsidRPr="00FD274F">
        <w:t xml:space="preserve"> on the text of the instrument.</w:t>
      </w:r>
    </w:p>
    <w:p w14:paraId="4D149113" w14:textId="77777777" w:rsidR="0084047D" w:rsidRPr="00FD274F" w:rsidRDefault="0084047D" w:rsidP="0084047D">
      <w:pPr>
        <w:pStyle w:val="Head3"/>
      </w:pPr>
      <w:bookmarkStart w:id="108" w:name="_Toc112918790"/>
      <w:r w:rsidRPr="00FD274F">
        <w:lastRenderedPageBreak/>
        <w:t>If amendments to an instrument have not taken effect</w:t>
      </w:r>
      <w:bookmarkEnd w:id="108"/>
    </w:p>
    <w:p w14:paraId="290E5135" w14:textId="77777777" w:rsidR="0084047D" w:rsidRPr="00FD274F" w:rsidRDefault="0084047D" w:rsidP="00CD6FA3">
      <w:pPr>
        <w:pStyle w:val="BodyNum"/>
        <w:keepLines/>
      </w:pPr>
      <w:r w:rsidRPr="00FD274F">
        <w:t xml:space="preserve">A </w:t>
      </w:r>
      <w:r w:rsidRPr="00FD274F">
        <w:rPr>
          <w:b/>
          <w:i/>
        </w:rPr>
        <w:t>future law compilation</w:t>
      </w:r>
      <w:r w:rsidRPr="00FD274F">
        <w:t xml:space="preserve"> is a compilation that incorporates expected amendments to the text of the </w:t>
      </w:r>
      <w:r w:rsidR="00573B38" w:rsidRPr="00FD274F">
        <w:t>law in force.</w:t>
      </w:r>
      <w:r w:rsidRPr="00FD274F">
        <w:t xml:space="preserve"> Future law compilations can be a useful tool for agency staff and external stakeholders, particularly if major amendments have been made but have not yet commenced.</w:t>
      </w:r>
    </w:p>
    <w:p w14:paraId="254E26C9" w14:textId="77777777" w:rsidR="0084047D" w:rsidRPr="00FD274F" w:rsidRDefault="0084047D" w:rsidP="0084047D">
      <w:pPr>
        <w:pStyle w:val="BodyNum"/>
      </w:pPr>
      <w:r w:rsidRPr="00FD274F">
        <w:t>As the law may change before the expected amendments commence, and to avoid any confusion in the future, these compilations should always be clearly identified as future law compilat</w:t>
      </w:r>
      <w:r w:rsidR="00942F8D">
        <w:t>ions.</w:t>
      </w:r>
    </w:p>
    <w:p w14:paraId="4232C044" w14:textId="7D3DF6D5" w:rsidR="0084047D" w:rsidRPr="00FD274F" w:rsidRDefault="0084047D" w:rsidP="0084047D">
      <w:pPr>
        <w:pStyle w:val="BodyNum"/>
        <w:rPr>
          <w:spacing w:val="-2"/>
          <w:szCs w:val="24"/>
        </w:rPr>
      </w:pPr>
      <w:r w:rsidRPr="00FD274F">
        <w:rPr>
          <w:spacing w:val="-2"/>
        </w:rPr>
        <w:t xml:space="preserve">Although a future law compilation </w:t>
      </w:r>
      <w:r w:rsidR="00017258" w:rsidRPr="00FD274F">
        <w:rPr>
          <w:spacing w:val="-2"/>
        </w:rPr>
        <w:t>will not be authorised</w:t>
      </w:r>
      <w:r w:rsidRPr="00FD274F">
        <w:rPr>
          <w:spacing w:val="-2"/>
        </w:rPr>
        <w:t xml:space="preserve">, </w:t>
      </w:r>
      <w:proofErr w:type="spellStart"/>
      <w:r w:rsidRPr="00FD274F">
        <w:rPr>
          <w:spacing w:val="-2"/>
        </w:rPr>
        <w:t>OPC</w:t>
      </w:r>
      <w:proofErr w:type="spellEnd"/>
      <w:r w:rsidRPr="00FD274F">
        <w:rPr>
          <w:spacing w:val="-2"/>
        </w:rPr>
        <w:t xml:space="preserve"> can prepare a future law compilation for the relevant agency and can make it available </w:t>
      </w:r>
      <w:r w:rsidR="00017258" w:rsidRPr="00FD274F">
        <w:rPr>
          <w:spacing w:val="-2"/>
        </w:rPr>
        <w:t xml:space="preserve">on the Register website </w:t>
      </w:r>
      <w:r w:rsidRPr="00FD274F">
        <w:rPr>
          <w:spacing w:val="-2"/>
        </w:rPr>
        <w:t>until relevant amendments commence. For more information on the options and associated fees, please co</w:t>
      </w:r>
      <w:r w:rsidRPr="00FD274F">
        <w:rPr>
          <w:spacing w:val="-2"/>
          <w:szCs w:val="24"/>
        </w:rPr>
        <w:t xml:space="preserve">ntact </w:t>
      </w:r>
      <w:proofErr w:type="spellStart"/>
      <w:r w:rsidRPr="00FD274F">
        <w:rPr>
          <w:spacing w:val="-2"/>
          <w:szCs w:val="24"/>
        </w:rPr>
        <w:t>OPC</w:t>
      </w:r>
      <w:proofErr w:type="spellEnd"/>
      <w:r w:rsidRPr="00FD274F">
        <w:rPr>
          <w:spacing w:val="-2"/>
          <w:szCs w:val="24"/>
        </w:rPr>
        <w:t xml:space="preserve"> </w:t>
      </w:r>
      <w:r w:rsidRPr="00FD274F">
        <w:rPr>
          <w:color w:val="000000"/>
          <w:spacing w:val="-2"/>
          <w:szCs w:val="24"/>
        </w:rPr>
        <w:t>(</w:t>
      </w:r>
      <w:hyperlink r:id="rId256" w:history="1">
        <w:r w:rsidR="00D53143" w:rsidRPr="00FD274F">
          <w:rPr>
            <w:rStyle w:val="Hyperlink"/>
            <w:rFonts w:eastAsiaTheme="minorHAnsi"/>
            <w:szCs w:val="24"/>
            <w:lang w:eastAsia="en-US"/>
          </w:rPr>
          <w:t>lodge@legislation.gov.au</w:t>
        </w:r>
      </w:hyperlink>
      <w:r w:rsidR="00D53143" w:rsidRPr="00FD274F">
        <w:rPr>
          <w:rFonts w:eastAsiaTheme="minorHAnsi"/>
          <w:color w:val="1F497D"/>
          <w:szCs w:val="24"/>
          <w:lang w:eastAsia="en-US"/>
        </w:rPr>
        <w:t xml:space="preserve"> </w:t>
      </w:r>
      <w:r w:rsidRPr="00FD274F">
        <w:rPr>
          <w:color w:val="000000"/>
          <w:spacing w:val="-2"/>
          <w:szCs w:val="24"/>
        </w:rPr>
        <w:t xml:space="preserve">or (02) </w:t>
      </w:r>
      <w:r w:rsidRPr="00FD274F">
        <w:rPr>
          <w:spacing w:val="-2"/>
          <w:szCs w:val="24"/>
        </w:rPr>
        <w:t xml:space="preserve">6120 </w:t>
      </w:r>
      <w:r w:rsidR="008C77DE" w:rsidRPr="00FD274F">
        <w:rPr>
          <w:spacing w:val="-2"/>
          <w:szCs w:val="24"/>
        </w:rPr>
        <w:t>1350</w:t>
      </w:r>
      <w:r w:rsidRPr="00FD274F">
        <w:rPr>
          <w:color w:val="000000"/>
          <w:spacing w:val="-2"/>
          <w:szCs w:val="24"/>
        </w:rPr>
        <w:t>)</w:t>
      </w:r>
      <w:r w:rsidR="00942F8D">
        <w:rPr>
          <w:spacing w:val="-2"/>
          <w:szCs w:val="24"/>
        </w:rPr>
        <w:t>.</w:t>
      </w:r>
    </w:p>
    <w:p w14:paraId="3006C2FA" w14:textId="77777777" w:rsidR="0084047D" w:rsidRPr="00FD274F" w:rsidRDefault="0084047D" w:rsidP="0084047D">
      <w:pPr>
        <w:pStyle w:val="Head3"/>
      </w:pPr>
      <w:bookmarkStart w:id="109" w:name="_Toc112918791"/>
      <w:r w:rsidRPr="00FD274F">
        <w:t>Who can prepare compilations</w:t>
      </w:r>
      <w:bookmarkEnd w:id="109"/>
    </w:p>
    <w:p w14:paraId="0E72B53C" w14:textId="1A9E6CAA" w:rsidR="0084047D" w:rsidRPr="00FD274F" w:rsidRDefault="0084047D" w:rsidP="0084047D">
      <w:pPr>
        <w:pStyle w:val="BodyNum"/>
        <w:rPr>
          <w:szCs w:val="24"/>
        </w:rPr>
      </w:pPr>
      <w:proofErr w:type="spellStart"/>
      <w:r w:rsidRPr="00FD274F">
        <w:t>OPC</w:t>
      </w:r>
      <w:proofErr w:type="spellEnd"/>
      <w:r w:rsidRPr="00FD274F">
        <w:t xml:space="preserve"> prepares compilations for all </w:t>
      </w:r>
      <w:r w:rsidRPr="00FD274F">
        <w:rPr>
          <w:color w:val="000000"/>
        </w:rPr>
        <w:t xml:space="preserve">Acts and for instruments that must be drafted by </w:t>
      </w:r>
      <w:proofErr w:type="spellStart"/>
      <w:r w:rsidRPr="00FD274F">
        <w:rPr>
          <w:color w:val="000000"/>
        </w:rPr>
        <w:t>OPC</w:t>
      </w:r>
      <w:proofErr w:type="spellEnd"/>
      <w:r w:rsidRPr="00FD274F">
        <w:rPr>
          <w:color w:val="000000"/>
        </w:rPr>
        <w:t xml:space="preserve">. For more information on </w:t>
      </w:r>
      <w:proofErr w:type="spellStart"/>
      <w:r w:rsidRPr="00FD274F">
        <w:rPr>
          <w:color w:val="000000"/>
        </w:rPr>
        <w:t>OPC’s</w:t>
      </w:r>
      <w:proofErr w:type="spellEnd"/>
      <w:r w:rsidRPr="00FD274F">
        <w:rPr>
          <w:color w:val="000000"/>
        </w:rPr>
        <w:t xml:space="preserve"> tied work, see pa</w:t>
      </w:r>
      <w:r w:rsidRPr="003A701E">
        <w:rPr>
          <w:color w:val="000000"/>
        </w:rPr>
        <w:t xml:space="preserve">ragraph </w:t>
      </w:r>
      <w:r w:rsidRPr="00D965EA">
        <w:rPr>
          <w:color w:val="000000"/>
        </w:rPr>
        <w:fldChar w:fldCharType="begin"/>
      </w:r>
      <w:r w:rsidRPr="003A701E">
        <w:rPr>
          <w:color w:val="000000"/>
        </w:rPr>
        <w:instrText xml:space="preserve"> REF _Ref386114686 \r \h  \* MERGEFORMAT </w:instrText>
      </w:r>
      <w:r w:rsidRPr="00D965EA">
        <w:rPr>
          <w:color w:val="000000"/>
        </w:rPr>
      </w:r>
      <w:r w:rsidRPr="00D965EA">
        <w:rPr>
          <w:color w:val="000000"/>
        </w:rPr>
        <w:fldChar w:fldCharType="separate"/>
      </w:r>
      <w:r w:rsidR="003E1B43" w:rsidRPr="003A701E">
        <w:rPr>
          <w:color w:val="000000"/>
        </w:rPr>
        <w:t>51</w:t>
      </w:r>
      <w:r w:rsidRPr="00D965EA">
        <w:rPr>
          <w:color w:val="000000"/>
        </w:rPr>
        <w:fldChar w:fldCharType="end"/>
      </w:r>
      <w:r w:rsidRPr="00FD274F">
        <w:rPr>
          <w:color w:val="000000"/>
        </w:rPr>
        <w:t xml:space="preserve">. </w:t>
      </w:r>
      <w:proofErr w:type="spellStart"/>
      <w:r w:rsidRPr="00FD274F">
        <w:rPr>
          <w:color w:val="000000"/>
        </w:rPr>
        <w:t>OPC</w:t>
      </w:r>
      <w:proofErr w:type="spellEnd"/>
      <w:r w:rsidRPr="00FD274F">
        <w:rPr>
          <w:color w:val="000000"/>
        </w:rPr>
        <w:t xml:space="preserve"> is also availabl</w:t>
      </w:r>
      <w:r w:rsidRPr="00FD274F">
        <w:rPr>
          <w:color w:val="000000"/>
          <w:szCs w:val="24"/>
        </w:rPr>
        <w:t>e to prepare compilations of other instruments for agencies on a fee</w:t>
      </w:r>
      <w:r w:rsidR="009C4251">
        <w:rPr>
          <w:color w:val="000000"/>
          <w:szCs w:val="24"/>
        </w:rPr>
        <w:noBreakHyphen/>
      </w:r>
      <w:r w:rsidRPr="00FD274F">
        <w:rPr>
          <w:color w:val="000000"/>
          <w:szCs w:val="24"/>
        </w:rPr>
        <w:t>for</w:t>
      </w:r>
      <w:r w:rsidR="009C4251">
        <w:rPr>
          <w:color w:val="000000"/>
          <w:szCs w:val="24"/>
        </w:rPr>
        <w:noBreakHyphen/>
      </w:r>
      <w:r w:rsidRPr="00FD274F">
        <w:rPr>
          <w:color w:val="000000"/>
          <w:szCs w:val="24"/>
        </w:rPr>
        <w:t xml:space="preserve">service basis. For more information about </w:t>
      </w:r>
      <w:proofErr w:type="spellStart"/>
      <w:r w:rsidRPr="00FD274F">
        <w:rPr>
          <w:color w:val="000000"/>
          <w:szCs w:val="24"/>
        </w:rPr>
        <w:t>OPC</w:t>
      </w:r>
      <w:r w:rsidR="0049700A" w:rsidRPr="00FD274F">
        <w:rPr>
          <w:color w:val="000000"/>
          <w:szCs w:val="24"/>
        </w:rPr>
        <w:t>’s</w:t>
      </w:r>
      <w:proofErr w:type="spellEnd"/>
      <w:r w:rsidRPr="00FD274F">
        <w:rPr>
          <w:color w:val="000000"/>
          <w:szCs w:val="24"/>
        </w:rPr>
        <w:t xml:space="preserve"> compilation services and fees, please contact </w:t>
      </w:r>
      <w:proofErr w:type="spellStart"/>
      <w:r w:rsidRPr="00FD274F">
        <w:rPr>
          <w:color w:val="000000"/>
          <w:szCs w:val="24"/>
        </w:rPr>
        <w:t>OPC</w:t>
      </w:r>
      <w:proofErr w:type="spellEnd"/>
      <w:r w:rsidRPr="00FD274F">
        <w:rPr>
          <w:color w:val="000000"/>
          <w:szCs w:val="24"/>
        </w:rPr>
        <w:t xml:space="preserve"> (</w:t>
      </w:r>
      <w:hyperlink r:id="rId257" w:history="1">
        <w:hyperlink r:id="rId258" w:history="1">
          <w:r w:rsidR="00D53143" w:rsidRPr="00FD274F">
            <w:rPr>
              <w:rStyle w:val="Hyperlink"/>
              <w:rFonts w:eastAsiaTheme="minorHAnsi"/>
              <w:szCs w:val="24"/>
              <w:lang w:eastAsia="en-US"/>
            </w:rPr>
            <w:t>lodge@legislation.gov.au</w:t>
          </w:r>
        </w:hyperlink>
      </w:hyperlink>
      <w:r w:rsidRPr="00FD274F">
        <w:rPr>
          <w:color w:val="000000"/>
          <w:szCs w:val="24"/>
        </w:rPr>
        <w:t xml:space="preserve"> or (02) </w:t>
      </w:r>
      <w:r w:rsidRPr="00FD274F">
        <w:rPr>
          <w:szCs w:val="24"/>
        </w:rPr>
        <w:t xml:space="preserve">6120 </w:t>
      </w:r>
      <w:r w:rsidR="008C77DE" w:rsidRPr="00FD274F">
        <w:rPr>
          <w:szCs w:val="24"/>
        </w:rPr>
        <w:t>1350</w:t>
      </w:r>
      <w:r w:rsidRPr="00FD274F">
        <w:rPr>
          <w:color w:val="000000"/>
          <w:szCs w:val="24"/>
        </w:rPr>
        <w:t>).</w:t>
      </w:r>
    </w:p>
    <w:p w14:paraId="619F6C0D" w14:textId="77777777" w:rsidR="0084047D" w:rsidRPr="00FD274F" w:rsidRDefault="0084047D" w:rsidP="0084047D">
      <w:pPr>
        <w:pStyle w:val="BodyNum"/>
      </w:pPr>
      <w:r w:rsidRPr="00FD274F">
        <w:t xml:space="preserve">Agencies that choose to prepare their own compilations of instruments that are not required to be drafted by </w:t>
      </w:r>
      <w:proofErr w:type="spellStart"/>
      <w:r w:rsidRPr="00FD274F">
        <w:t>OPC</w:t>
      </w:r>
      <w:proofErr w:type="spellEnd"/>
      <w:r w:rsidRPr="00FD274F">
        <w:t xml:space="preserve"> should note that they, and not </w:t>
      </w:r>
      <w:proofErr w:type="spellStart"/>
      <w:r w:rsidRPr="00FD274F">
        <w:t>OPC</w:t>
      </w:r>
      <w:proofErr w:type="spellEnd"/>
      <w:r w:rsidRPr="00FD274F">
        <w:t>, are responsible for ensuring that their compilations are complete and accurate. This requires attention to the following things:</w:t>
      </w:r>
    </w:p>
    <w:p w14:paraId="3C0123D6" w14:textId="282625AD" w:rsidR="0084047D" w:rsidRPr="00FD274F" w:rsidRDefault="0084047D" w:rsidP="0084047D">
      <w:pPr>
        <w:pStyle w:val="BodyPara"/>
      </w:pPr>
      <w:r w:rsidRPr="00FD274F">
        <w:t>the minimu</w:t>
      </w:r>
      <w:r w:rsidR="00506646" w:rsidRPr="00FD274F">
        <w:t>m content requirements of th</w:t>
      </w:r>
      <w:r w:rsidR="00506646" w:rsidRPr="00D965EA">
        <w:t xml:space="preserve">e </w:t>
      </w:r>
      <w:hyperlink r:id="rId259" w:history="1">
        <w:r w:rsidR="00622CC0" w:rsidRPr="00D965EA">
          <w:rPr>
            <w:rStyle w:val="Hyperlink"/>
          </w:rPr>
          <w:t>LA</w:t>
        </w:r>
      </w:hyperlink>
      <w:r w:rsidRPr="00FD274F">
        <w:t>—</w:t>
      </w:r>
      <w:proofErr w:type="spellStart"/>
      <w:r w:rsidRPr="00FD274F">
        <w:t>OPC</w:t>
      </w:r>
      <w:proofErr w:type="spellEnd"/>
      <w:r w:rsidRPr="00FD274F">
        <w:t xml:space="preserve"> does basic checks and will reject compilations that clearly </w:t>
      </w:r>
      <w:r w:rsidR="00506646" w:rsidRPr="00FD274F">
        <w:t xml:space="preserve">do not meet the </w:t>
      </w:r>
      <w:hyperlink r:id="rId260" w:history="1">
        <w:r w:rsidR="00F66686" w:rsidRPr="00D965EA">
          <w:rPr>
            <w:rStyle w:val="Hyperlink"/>
          </w:rPr>
          <w:t>LA</w:t>
        </w:r>
      </w:hyperlink>
      <w:r w:rsidR="00942F8D" w:rsidRPr="00D965EA">
        <w:t xml:space="preserve"> requir</w:t>
      </w:r>
      <w:r w:rsidR="00942F8D">
        <w:t>ements; and</w:t>
      </w:r>
    </w:p>
    <w:p w14:paraId="12C89EEA" w14:textId="77777777" w:rsidR="0084047D" w:rsidRPr="00FD274F" w:rsidRDefault="0084047D" w:rsidP="0084047D">
      <w:pPr>
        <w:pStyle w:val="BodyPara"/>
      </w:pPr>
      <w:r w:rsidRPr="00FD274F">
        <w:t xml:space="preserve">the text of the instrument as amended and in force from time to time—this is not routinely checked by </w:t>
      </w:r>
      <w:proofErr w:type="spellStart"/>
      <w:r w:rsidRPr="00FD274F">
        <w:t>OPC</w:t>
      </w:r>
      <w:proofErr w:type="spellEnd"/>
      <w:r w:rsidRPr="00FD274F">
        <w:t>.</w:t>
      </w:r>
    </w:p>
    <w:p w14:paraId="35852624" w14:textId="0010F8B7" w:rsidR="00C07FFB" w:rsidRPr="00FD274F" w:rsidRDefault="0084047D" w:rsidP="008A4461">
      <w:pPr>
        <w:pStyle w:val="BodyNum"/>
      </w:pPr>
      <w:r w:rsidRPr="00FD274F">
        <w:t>An agency shou</w:t>
      </w:r>
      <w:r w:rsidRPr="00FD274F">
        <w:rPr>
          <w:szCs w:val="24"/>
        </w:rPr>
        <w:t>ld act promptly if it is notified that a</w:t>
      </w:r>
      <w:r w:rsidR="00EA1165" w:rsidRPr="00FD274F">
        <w:rPr>
          <w:szCs w:val="24"/>
        </w:rPr>
        <w:t xml:space="preserve"> compilation is required for a discretionary compilation event, or has become overdue for a required compilation event.</w:t>
      </w:r>
      <w:r w:rsidR="00F068FE" w:rsidRPr="00FD274F">
        <w:rPr>
          <w:szCs w:val="24"/>
        </w:rPr>
        <w:t xml:space="preserve"> </w:t>
      </w:r>
      <w:r w:rsidR="00EA1165" w:rsidRPr="00FD274F">
        <w:rPr>
          <w:szCs w:val="24"/>
        </w:rPr>
        <w:t xml:space="preserve">Please contact </w:t>
      </w:r>
      <w:proofErr w:type="spellStart"/>
      <w:r w:rsidR="00EA1165" w:rsidRPr="00FD274F">
        <w:rPr>
          <w:szCs w:val="24"/>
        </w:rPr>
        <w:t>OPC</w:t>
      </w:r>
      <w:proofErr w:type="spellEnd"/>
      <w:r w:rsidR="00EA1165" w:rsidRPr="00FD274F">
        <w:rPr>
          <w:szCs w:val="24"/>
        </w:rPr>
        <w:t xml:space="preserve"> </w:t>
      </w:r>
      <w:r w:rsidR="00EA1165" w:rsidRPr="00FD274F">
        <w:rPr>
          <w:color w:val="000000"/>
          <w:szCs w:val="24"/>
        </w:rPr>
        <w:t>(</w:t>
      </w:r>
      <w:hyperlink r:id="rId261" w:history="1">
        <w:hyperlink r:id="rId262" w:history="1">
          <w:r w:rsidR="00D53143" w:rsidRPr="00FD274F">
            <w:rPr>
              <w:rStyle w:val="Hyperlink"/>
              <w:rFonts w:eastAsiaTheme="minorHAnsi"/>
              <w:szCs w:val="24"/>
              <w:lang w:eastAsia="en-US"/>
            </w:rPr>
            <w:t>lodge@legislation.gov.au</w:t>
          </w:r>
        </w:hyperlink>
      </w:hyperlink>
      <w:r w:rsidR="00EA1165" w:rsidRPr="00FD274F">
        <w:rPr>
          <w:color w:val="000000"/>
          <w:szCs w:val="24"/>
        </w:rPr>
        <w:t xml:space="preserve"> or (02) </w:t>
      </w:r>
      <w:r w:rsidR="00EA1165" w:rsidRPr="00FD274F">
        <w:rPr>
          <w:szCs w:val="24"/>
        </w:rPr>
        <w:t xml:space="preserve">6120 </w:t>
      </w:r>
      <w:r w:rsidR="008C77DE" w:rsidRPr="00FD274F">
        <w:rPr>
          <w:szCs w:val="24"/>
        </w:rPr>
        <w:t>1350</w:t>
      </w:r>
      <w:r w:rsidR="00EA1165" w:rsidRPr="00FD274F">
        <w:rPr>
          <w:color w:val="000000"/>
          <w:szCs w:val="24"/>
        </w:rPr>
        <w:t xml:space="preserve">) if </w:t>
      </w:r>
      <w:r w:rsidR="00EA1165" w:rsidRPr="00FD274F">
        <w:rPr>
          <w:szCs w:val="24"/>
        </w:rPr>
        <w:t>your agency is experiencing difficulties meeting associated deadlines.</w:t>
      </w:r>
      <w:r w:rsidRPr="00FD274F">
        <w:rPr>
          <w:szCs w:val="24"/>
        </w:rPr>
        <w:t xml:space="preserve"> </w:t>
      </w:r>
      <w:r w:rsidR="00EA1165" w:rsidRPr="00FD274F">
        <w:rPr>
          <w:szCs w:val="24"/>
        </w:rPr>
        <w:t xml:space="preserve">Otherwise, </w:t>
      </w:r>
      <w:proofErr w:type="spellStart"/>
      <w:r w:rsidRPr="00FD274F">
        <w:rPr>
          <w:szCs w:val="24"/>
        </w:rPr>
        <w:t>OPC</w:t>
      </w:r>
      <w:proofErr w:type="spellEnd"/>
      <w:r w:rsidRPr="00FD274F">
        <w:rPr>
          <w:szCs w:val="24"/>
        </w:rPr>
        <w:t xml:space="preserve"> may prepa</w:t>
      </w:r>
      <w:r w:rsidRPr="00FD274F">
        <w:t>re the compilation on the agency’s behalf and char</w:t>
      </w:r>
      <w:r w:rsidR="008A4461" w:rsidRPr="00FD274F">
        <w:t>ge the agency for this service.</w:t>
      </w:r>
    </w:p>
    <w:p w14:paraId="5014F038" w14:textId="77777777" w:rsidR="0084047D" w:rsidRPr="00FD274F" w:rsidRDefault="0084047D" w:rsidP="0084047D">
      <w:pPr>
        <w:pStyle w:val="Head3"/>
      </w:pPr>
      <w:bookmarkStart w:id="110" w:name="_Toc112918792"/>
      <w:r w:rsidRPr="00FD274F">
        <w:t>What must be included in compilations</w:t>
      </w:r>
      <w:bookmarkEnd w:id="110"/>
    </w:p>
    <w:p w14:paraId="4E507693" w14:textId="77777777" w:rsidR="0037400B" w:rsidRPr="00FD274F" w:rsidRDefault="0037400B" w:rsidP="0084047D">
      <w:pPr>
        <w:pStyle w:val="BodyNum"/>
      </w:pPr>
      <w:r w:rsidRPr="00FD274F">
        <w:t>Preparing a compilation requires attention to detail, technical skill with word processing tools and a good understanding of legislative practices. Compilations:</w:t>
      </w:r>
    </w:p>
    <w:p w14:paraId="7FE1C442" w14:textId="26222959" w:rsidR="00C11612" w:rsidRPr="00FD274F" w:rsidRDefault="00180A24" w:rsidP="00C11612">
      <w:pPr>
        <w:pStyle w:val="BodyPara"/>
      </w:pPr>
      <w:r w:rsidRPr="00FD274F">
        <w:t>must be in .rtf, .doc or .docx fo</w:t>
      </w:r>
      <w:r w:rsidRPr="004532FE">
        <w:t>rmat</w:t>
      </w:r>
      <w:r w:rsidR="008F008B" w:rsidRPr="004532FE">
        <w:t>,</w:t>
      </w:r>
      <w:r w:rsidRPr="004532FE">
        <w:t xml:space="preserve"> unless the First Parliamentary Counsel has agreed to </w:t>
      </w:r>
      <w:r w:rsidR="00017258" w:rsidRPr="004532FE">
        <w:t xml:space="preserve">another </w:t>
      </w:r>
      <w:r w:rsidRPr="004532FE">
        <w:t xml:space="preserve">format (see </w:t>
      </w:r>
      <w:hyperlink r:id="rId263" w:history="1">
        <w:r w:rsidRPr="004532FE">
          <w:rPr>
            <w:rStyle w:val="Hyperlink"/>
          </w:rPr>
          <w:t>Rule</w:t>
        </w:r>
      </w:hyperlink>
      <w:r w:rsidR="00942F8D" w:rsidRPr="004532FE">
        <w:t xml:space="preserve"> s 5(3));</w:t>
      </w:r>
      <w:r w:rsidR="00942F8D">
        <w:t xml:space="preserve"> and</w:t>
      </w:r>
    </w:p>
    <w:p w14:paraId="2476D94C" w14:textId="77777777" w:rsidR="008F008B" w:rsidRPr="00FD274F" w:rsidRDefault="008F008B" w:rsidP="008F008B">
      <w:pPr>
        <w:pStyle w:val="noteToPara"/>
        <w:ind w:left="1429"/>
      </w:pPr>
      <w:r w:rsidRPr="00FD274F">
        <w:t>Note:</w:t>
      </w:r>
      <w:r w:rsidRPr="00FD274F">
        <w:tab/>
      </w:r>
      <w:r>
        <w:t>Our preferred format is .docx.</w:t>
      </w:r>
    </w:p>
    <w:p w14:paraId="13331689" w14:textId="0798FCE6" w:rsidR="00C11612" w:rsidRPr="00FD274F" w:rsidRDefault="00180A24" w:rsidP="00CD6FA3">
      <w:pPr>
        <w:pStyle w:val="BodyPara"/>
        <w:keepNext/>
      </w:pPr>
      <w:r w:rsidRPr="00FD274F">
        <w:lastRenderedPageBreak/>
        <w:t>must not contain dynamic content that may interfere with the content of the document</w:t>
      </w:r>
      <w:r w:rsidR="00C11612" w:rsidRPr="00FD274F">
        <w:t>, such as macros and many fields</w:t>
      </w:r>
      <w:r w:rsidRPr="00FD274F">
        <w:t xml:space="preserve"> (se</w:t>
      </w:r>
      <w:r w:rsidRPr="004532FE">
        <w:t xml:space="preserve">e </w:t>
      </w:r>
      <w:hyperlink r:id="rId264" w:history="1">
        <w:r w:rsidRPr="004532FE">
          <w:rPr>
            <w:rStyle w:val="Hyperlink"/>
          </w:rPr>
          <w:t>Rule</w:t>
        </w:r>
      </w:hyperlink>
      <w:r w:rsidRPr="004532FE">
        <w:t xml:space="preserve"> s 5(4)</w:t>
      </w:r>
      <w:r w:rsidR="00D253D6" w:rsidRPr="004532FE">
        <w:t>)</w:t>
      </w:r>
      <w:r w:rsidR="00D253D6" w:rsidRPr="00FD274F">
        <w:t>.</w:t>
      </w:r>
    </w:p>
    <w:p w14:paraId="29F4314E" w14:textId="77777777" w:rsidR="00180A24" w:rsidRPr="00FD274F" w:rsidRDefault="00C11612" w:rsidP="00C11612">
      <w:pPr>
        <w:pStyle w:val="noteToPara"/>
        <w:ind w:left="1429"/>
      </w:pPr>
      <w:r w:rsidRPr="00FD274F">
        <w:t>Note:</w:t>
      </w:r>
      <w:r w:rsidRPr="00FD274F">
        <w:tab/>
      </w:r>
      <w:r w:rsidR="009B5657" w:rsidRPr="00FD274F">
        <w:t>A</w:t>
      </w:r>
      <w:r w:rsidRPr="00FD274F">
        <w:t>n automatically generated table of contents is acceptable and desirable u</w:t>
      </w:r>
      <w:r w:rsidR="00942F8D">
        <w:t>nless a document is very short.</w:t>
      </w:r>
    </w:p>
    <w:p w14:paraId="24018031" w14:textId="6B74C1D7" w:rsidR="008D2439" w:rsidRPr="00277385" w:rsidRDefault="008D2439" w:rsidP="008D2439">
      <w:pPr>
        <w:pStyle w:val="BodyNum"/>
      </w:pPr>
      <w:r w:rsidRPr="00277385">
        <w:t>To meet accessibility requirements, alt text (short for “alternative text”) should be applied to any images contained in the document, including formulas. Alt text is a short textual description of the image that is not visible on the face of the relevant document but, instead, sits in the properties of the image.</w:t>
      </w:r>
    </w:p>
    <w:p w14:paraId="689F8E7F" w14:textId="4B9246B5" w:rsidR="008D2439" w:rsidRPr="00277385" w:rsidRDefault="008D2439" w:rsidP="008D2439">
      <w:pPr>
        <w:pStyle w:val="BodyNum"/>
      </w:pPr>
      <w:r w:rsidRPr="00277385">
        <w:t xml:space="preserve">It is important to include alt text because screen readers (mentioned </w:t>
      </w:r>
      <w:r w:rsidRPr="003A701E">
        <w:t xml:space="preserve">in paragraph </w:t>
      </w:r>
      <w:r w:rsidRPr="00D965EA">
        <w:fldChar w:fldCharType="begin"/>
      </w:r>
      <w:r w:rsidRPr="003A701E">
        <w:instrText xml:space="preserve"> REF _Ref367446139 \r \h </w:instrText>
      </w:r>
      <w:r w:rsidR="00BF3019">
        <w:rPr>
          <w:highlight w:val="yellow"/>
        </w:rPr>
        <w:instrText xml:space="preserve"> \* MERGEFORMAT </w:instrText>
      </w:r>
      <w:r w:rsidRPr="00D965EA">
        <w:fldChar w:fldCharType="separate"/>
      </w:r>
      <w:r w:rsidR="003E1B43" w:rsidRPr="003A701E">
        <w:t>112</w:t>
      </w:r>
      <w:r w:rsidRPr="00D965EA">
        <w:fldChar w:fldCharType="end"/>
      </w:r>
      <w:r w:rsidRPr="003A701E">
        <w:t>) rely</w:t>
      </w:r>
      <w:r w:rsidRPr="00277385">
        <w:t xml:space="preserve"> on the alt text description. More information on alt text, including examples and guidance on what alt text to include, can be found in </w:t>
      </w:r>
      <w:hyperlink r:id="rId265" w:history="1">
        <w:proofErr w:type="spellStart"/>
        <w:r w:rsidR="00BB7FD3" w:rsidRPr="004532FE">
          <w:rPr>
            <w:rStyle w:val="Hyperlink"/>
          </w:rPr>
          <w:t>OPC</w:t>
        </w:r>
        <w:proofErr w:type="spellEnd"/>
        <w:r w:rsidR="00BB7FD3" w:rsidRPr="004532FE">
          <w:rPr>
            <w:rStyle w:val="Hyperlink"/>
          </w:rPr>
          <w:t xml:space="preserve"> Drafting Direction 1.9</w:t>
        </w:r>
      </w:hyperlink>
      <w:r w:rsidRPr="004532FE">
        <w:t>.</w:t>
      </w:r>
    </w:p>
    <w:p w14:paraId="4C2A8EE7" w14:textId="4292A133" w:rsidR="008D2439" w:rsidRPr="005144FF" w:rsidRDefault="008D2439" w:rsidP="008D2439">
      <w:pPr>
        <w:pStyle w:val="BodyNum"/>
        <w:rPr>
          <w:szCs w:val="24"/>
        </w:rPr>
      </w:pPr>
      <w:r>
        <w:t xml:space="preserve"> An additional service fee will apply if </w:t>
      </w:r>
      <w:proofErr w:type="spellStart"/>
      <w:r>
        <w:t>OPC</w:t>
      </w:r>
      <w:proofErr w:type="spellEnd"/>
      <w:r>
        <w:t xml:space="preserve"> is required to add alt</w:t>
      </w:r>
      <w:r w:rsidR="003E52B0">
        <w:t xml:space="preserve"> </w:t>
      </w:r>
      <w:r>
        <w:t>text to any images or objects. Se</w:t>
      </w:r>
      <w:r w:rsidRPr="00FF0E93">
        <w:t xml:space="preserve">e </w:t>
      </w:r>
      <w:r w:rsidR="00FF0E93" w:rsidRPr="00FD274F">
        <w:t xml:space="preserve">paragraph </w:t>
      </w:r>
      <w:r w:rsidR="00FF0E93" w:rsidRPr="00FD274F">
        <w:fldChar w:fldCharType="begin"/>
      </w:r>
      <w:r w:rsidR="00FF0E93" w:rsidRPr="00FD274F">
        <w:instrText xml:space="preserve"> REF _Ref434314290 \r \h  \* MERGEFORMAT </w:instrText>
      </w:r>
      <w:r w:rsidR="00FF0E93" w:rsidRPr="00FD274F">
        <w:fldChar w:fldCharType="separate"/>
      </w:r>
      <w:r w:rsidR="00FF0E93">
        <w:t>149</w:t>
      </w:r>
      <w:r w:rsidR="00FF0E93" w:rsidRPr="00FD274F">
        <w:fldChar w:fldCharType="end"/>
      </w:r>
      <w:r w:rsidRPr="00FF0E93">
        <w:t xml:space="preserve"> for</w:t>
      </w:r>
      <w:r>
        <w:t xml:space="preserve"> further information on </w:t>
      </w:r>
      <w:proofErr w:type="spellStart"/>
      <w:r>
        <w:t>OPC’s</w:t>
      </w:r>
      <w:proofErr w:type="spellEnd"/>
      <w:r>
        <w:t xml:space="preserve"> special requirement and additional services fees.</w:t>
      </w:r>
    </w:p>
    <w:p w14:paraId="18144545" w14:textId="76754E35" w:rsidR="00C07FFB" w:rsidRPr="00FD274F" w:rsidRDefault="00C07FFB" w:rsidP="00C07FFB">
      <w:pPr>
        <w:pStyle w:val="BodyNum"/>
      </w:pPr>
      <w:r w:rsidRPr="00FD274F">
        <w:t xml:space="preserve">A compilation must also contain certain minimum information as prescribed in </w:t>
      </w:r>
      <w:r w:rsidRPr="004709B9">
        <w:t xml:space="preserve">section 15P of the </w:t>
      </w:r>
      <w:hyperlink r:id="rId266" w:history="1">
        <w:r w:rsidRPr="004709B9">
          <w:rPr>
            <w:rStyle w:val="Hyperlink"/>
          </w:rPr>
          <w:t>LA</w:t>
        </w:r>
      </w:hyperlink>
      <w:r w:rsidRPr="004709B9">
        <w:t xml:space="preserve"> a</w:t>
      </w:r>
      <w:r w:rsidRPr="00FD274F">
        <w:t>nd s</w:t>
      </w:r>
      <w:r w:rsidRPr="004532FE">
        <w:t xml:space="preserve">ection 7 of the </w:t>
      </w:r>
      <w:hyperlink r:id="rId267" w:history="1">
        <w:r w:rsidRPr="004532FE">
          <w:rPr>
            <w:rStyle w:val="Hyperlink"/>
          </w:rPr>
          <w:t>Rule</w:t>
        </w:r>
      </w:hyperlink>
      <w:r w:rsidRPr="004532FE">
        <w:t>.</w:t>
      </w:r>
      <w:r w:rsidRPr="00FD274F">
        <w:t xml:space="preserve"> This information includes:</w:t>
      </w:r>
    </w:p>
    <w:p w14:paraId="5CB229ED" w14:textId="0D463879" w:rsidR="00C07FFB" w:rsidRPr="00FD274F" w:rsidRDefault="00C07FFB" w:rsidP="000A2841">
      <w:pPr>
        <w:pStyle w:val="BodyPara"/>
        <w:spacing w:before="220"/>
      </w:pPr>
      <w:r w:rsidRPr="00FD274F">
        <w:t xml:space="preserve">the </w:t>
      </w:r>
      <w:r w:rsidRPr="00FD274F">
        <w:rPr>
          <w:b/>
          <w:i/>
        </w:rPr>
        <w:t>compilation date</w:t>
      </w:r>
      <w:r w:rsidRPr="00FD274F">
        <w:t>, that is, the date from which the text of the instrument shown in the compilation applies (</w:t>
      </w:r>
      <w:hyperlink r:id="rId268" w:history="1">
        <w:r w:rsidRPr="004709B9">
          <w:rPr>
            <w:rStyle w:val="Hyperlink"/>
          </w:rPr>
          <w:t>LA</w:t>
        </w:r>
      </w:hyperlink>
      <w:r w:rsidRPr="004709B9">
        <w:t xml:space="preserve"> s 15P(1)(a));</w:t>
      </w:r>
    </w:p>
    <w:p w14:paraId="39FF5C57" w14:textId="59F13F1D" w:rsidR="00C07FFB" w:rsidRPr="004709B9" w:rsidRDefault="00C07FFB" w:rsidP="000A2841">
      <w:pPr>
        <w:pStyle w:val="BodyPara"/>
        <w:spacing w:before="220"/>
      </w:pPr>
      <w:r w:rsidRPr="00FD274F">
        <w:t xml:space="preserve">if the compilation was prepared by </w:t>
      </w:r>
      <w:proofErr w:type="spellStart"/>
      <w:r w:rsidRPr="00FD274F">
        <w:t>OPC</w:t>
      </w:r>
      <w:proofErr w:type="spellEnd"/>
      <w:r w:rsidRPr="00FD274F">
        <w:t xml:space="preserve"> and incorporates editorial changes—a statement and brief outline of the editorial changes that have been made </w:t>
      </w:r>
      <w:r w:rsidRPr="004709B9">
        <w:t>(</w:t>
      </w:r>
      <w:hyperlink r:id="rId269" w:history="1">
        <w:r w:rsidRPr="004709B9">
          <w:rPr>
            <w:rStyle w:val="Hyperlink"/>
          </w:rPr>
          <w:t>LA</w:t>
        </w:r>
      </w:hyperlink>
      <w:r w:rsidRPr="004709B9">
        <w:t xml:space="preserve"> s</w:t>
      </w:r>
      <w:r w:rsidR="008A4461" w:rsidRPr="004709B9">
        <w:t> </w:t>
      </w:r>
      <w:r w:rsidRPr="004709B9">
        <w:t>15P(1)(b)</w:t>
      </w:r>
      <w:r w:rsidR="009B5657" w:rsidRPr="004709B9">
        <w:t>)</w:t>
      </w:r>
      <w:r w:rsidR="00942F8D" w:rsidRPr="004709B9">
        <w:t>;</w:t>
      </w:r>
    </w:p>
    <w:p w14:paraId="14863705" w14:textId="170F2E7A" w:rsidR="00C07FFB" w:rsidRPr="00FD274F" w:rsidRDefault="00C07FFB" w:rsidP="000A2841">
      <w:pPr>
        <w:pStyle w:val="BodyPara"/>
        <w:spacing w:before="220"/>
      </w:pPr>
      <w:r w:rsidRPr="00FD274F">
        <w:t xml:space="preserve">commencement and other details of any Act or instrument that amends the principal instrument </w:t>
      </w:r>
      <w:r w:rsidRPr="004709B9">
        <w:t>(</w:t>
      </w:r>
      <w:hyperlink r:id="rId270" w:history="1">
        <w:r w:rsidR="008A4461" w:rsidRPr="004709B9">
          <w:rPr>
            <w:rStyle w:val="Hyperlink"/>
          </w:rPr>
          <w:t>LA</w:t>
        </w:r>
      </w:hyperlink>
      <w:r w:rsidR="008A4461" w:rsidRPr="004709B9">
        <w:t xml:space="preserve"> </w:t>
      </w:r>
      <w:r w:rsidRPr="004709B9">
        <w:t>s 15P(1)(c));</w:t>
      </w:r>
    </w:p>
    <w:p w14:paraId="7BF9843E" w14:textId="3C76CA39" w:rsidR="00C07FFB" w:rsidRPr="00FD274F" w:rsidRDefault="00C07FFB" w:rsidP="000A2841">
      <w:pPr>
        <w:pStyle w:val="BodyPara"/>
        <w:spacing w:before="220"/>
      </w:pPr>
      <w:r w:rsidRPr="00FD274F">
        <w:t xml:space="preserve">the amendment history of each provision of the principal instrument as amended </w:t>
      </w:r>
      <w:r w:rsidRPr="004709B9">
        <w:t>(</w:t>
      </w:r>
      <w:hyperlink r:id="rId271" w:history="1">
        <w:r w:rsidR="008A4461" w:rsidRPr="004709B9">
          <w:rPr>
            <w:rStyle w:val="Hyperlink"/>
          </w:rPr>
          <w:t>LA</w:t>
        </w:r>
      </w:hyperlink>
      <w:r w:rsidR="008A4461" w:rsidRPr="004709B9">
        <w:t xml:space="preserve"> </w:t>
      </w:r>
      <w:r w:rsidRPr="004709B9">
        <w:t>s 15P(1)(d));</w:t>
      </w:r>
    </w:p>
    <w:p w14:paraId="2E533F07" w14:textId="3438C69F" w:rsidR="00C07FFB" w:rsidRPr="00FD274F" w:rsidRDefault="00C07FFB" w:rsidP="000A2841">
      <w:pPr>
        <w:pStyle w:val="BodyPara"/>
        <w:spacing w:before="220"/>
      </w:pPr>
      <w:r w:rsidRPr="00FD274F">
        <w:t>the name of the principal instrum</w:t>
      </w:r>
      <w:r w:rsidRPr="004532FE">
        <w:t>ent (</w:t>
      </w:r>
      <w:hyperlink r:id="rId272" w:history="1">
        <w:r w:rsidRPr="004532FE">
          <w:rPr>
            <w:rStyle w:val="Hyperlink"/>
          </w:rPr>
          <w:t>Rule</w:t>
        </w:r>
      </w:hyperlink>
      <w:r w:rsidRPr="004532FE">
        <w:t xml:space="preserve"> s 7(a))</w:t>
      </w:r>
      <w:r w:rsidR="008A4461" w:rsidRPr="004532FE">
        <w:t>;</w:t>
      </w:r>
    </w:p>
    <w:p w14:paraId="4AA5B6CD" w14:textId="01289A68" w:rsidR="00C07FFB" w:rsidRPr="00FD274F" w:rsidRDefault="00C07FFB" w:rsidP="000A2841">
      <w:pPr>
        <w:pStyle w:val="BodyPara"/>
        <w:spacing w:before="220"/>
      </w:pPr>
      <w:r w:rsidRPr="00FD274F">
        <w:t xml:space="preserve">the </w:t>
      </w:r>
      <w:r w:rsidRPr="00FD274F">
        <w:rPr>
          <w:b/>
          <w:i/>
        </w:rPr>
        <w:t>compilation number</w:t>
      </w:r>
      <w:r w:rsidRPr="00FD274F">
        <w:t xml:space="preserve">—this is essentially a version number and is </w:t>
      </w:r>
      <w:r w:rsidR="00017258" w:rsidRPr="00FD274F">
        <w:t xml:space="preserve">generally </w:t>
      </w:r>
      <w:r w:rsidRPr="00FD274F">
        <w:t xml:space="preserve">based on how many compilations have already been registered </w:t>
      </w:r>
      <w:r w:rsidRPr="004532FE">
        <w:t>(</w:t>
      </w:r>
      <w:hyperlink r:id="rId273" w:history="1">
        <w:r w:rsidRPr="004532FE">
          <w:rPr>
            <w:rStyle w:val="Hyperlink"/>
          </w:rPr>
          <w:t>Rule</w:t>
        </w:r>
      </w:hyperlink>
      <w:r w:rsidRPr="004532FE">
        <w:t xml:space="preserve"> s 7(b)</w:t>
      </w:r>
      <w:r w:rsidRPr="00FD274F">
        <w:t>);</w:t>
      </w:r>
    </w:p>
    <w:p w14:paraId="5262A658" w14:textId="0DB836B1" w:rsidR="00C07FFB" w:rsidRPr="00FD274F" w:rsidRDefault="00C07FFB" w:rsidP="000A2841">
      <w:pPr>
        <w:pStyle w:val="BodyPara"/>
        <w:spacing w:before="220"/>
        <w:rPr>
          <w:spacing w:val="-6"/>
        </w:rPr>
      </w:pPr>
      <w:r w:rsidRPr="00FD274F">
        <w:rPr>
          <w:spacing w:val="-6"/>
        </w:rPr>
        <w:t>the name of the department or agency that prepared the compilati</w:t>
      </w:r>
      <w:r w:rsidRPr="004532FE">
        <w:rPr>
          <w:spacing w:val="-6"/>
        </w:rPr>
        <w:t>on (</w:t>
      </w:r>
      <w:hyperlink r:id="rId274" w:history="1">
        <w:r w:rsidRPr="004532FE">
          <w:rPr>
            <w:rStyle w:val="Hyperlink"/>
            <w:spacing w:val="-6"/>
          </w:rPr>
          <w:t>Rule</w:t>
        </w:r>
      </w:hyperlink>
      <w:r w:rsidRPr="004532FE">
        <w:rPr>
          <w:spacing w:val="-6"/>
        </w:rPr>
        <w:t xml:space="preserve"> s 7(c</w:t>
      </w:r>
      <w:r w:rsidRPr="00FD274F">
        <w:rPr>
          <w:spacing w:val="-6"/>
        </w:rPr>
        <w:t>));</w:t>
      </w:r>
    </w:p>
    <w:p w14:paraId="2D946FF0" w14:textId="6F16CC89" w:rsidR="00C07FFB" w:rsidRPr="00FD274F" w:rsidRDefault="00C07FFB" w:rsidP="000A2841">
      <w:pPr>
        <w:pStyle w:val="BodyPara"/>
        <w:spacing w:before="220"/>
        <w:rPr>
          <w:spacing w:val="-6"/>
        </w:rPr>
      </w:pPr>
      <w:r w:rsidRPr="00FD274F">
        <w:rPr>
          <w:spacing w:val="-6"/>
        </w:rPr>
        <w:t xml:space="preserve">a key setting out any abbreviations used in notes to the compilation </w:t>
      </w:r>
      <w:r w:rsidRPr="004532FE">
        <w:rPr>
          <w:spacing w:val="-6"/>
        </w:rPr>
        <w:t>(</w:t>
      </w:r>
      <w:hyperlink r:id="rId275" w:history="1">
        <w:r w:rsidR="00197826" w:rsidRPr="004532FE">
          <w:rPr>
            <w:rStyle w:val="Hyperlink"/>
            <w:spacing w:val="-6"/>
          </w:rPr>
          <w:t>Rule</w:t>
        </w:r>
      </w:hyperlink>
      <w:r w:rsidRPr="004532FE">
        <w:rPr>
          <w:spacing w:val="-6"/>
        </w:rPr>
        <w:t xml:space="preserve"> s 7(</w:t>
      </w:r>
      <w:r w:rsidR="008A4461" w:rsidRPr="004532FE">
        <w:rPr>
          <w:spacing w:val="-6"/>
        </w:rPr>
        <w:t>d</w:t>
      </w:r>
      <w:r w:rsidR="008A4461" w:rsidRPr="00FD274F">
        <w:rPr>
          <w:spacing w:val="-6"/>
        </w:rPr>
        <w:t>));</w:t>
      </w:r>
    </w:p>
    <w:p w14:paraId="3297083B" w14:textId="58B19DDD" w:rsidR="008A4461" w:rsidRPr="00FD274F" w:rsidRDefault="008A4461" w:rsidP="000A2841">
      <w:pPr>
        <w:pStyle w:val="BodyPara"/>
        <w:spacing w:before="220"/>
      </w:pPr>
      <w:r w:rsidRPr="00FD274F">
        <w:t xml:space="preserve">the </w:t>
      </w:r>
      <w:r w:rsidRPr="00FD274F">
        <w:rPr>
          <w:b/>
          <w:i/>
        </w:rPr>
        <w:t>enabling legislation</w:t>
      </w:r>
      <w:r w:rsidRPr="00FD274F">
        <w:t xml:space="preserve"> for an instrument, that is, the Act or </w:t>
      </w:r>
      <w:r w:rsidR="00CE2573" w:rsidRPr="00FD274F">
        <w:t>instrument</w:t>
      </w:r>
      <w:r w:rsidRPr="00FD274F">
        <w:t xml:space="preserve"> under which it was made (</w:t>
      </w:r>
      <w:hyperlink r:id="rId276" w:history="1">
        <w:r w:rsidR="00197826" w:rsidRPr="004532FE">
          <w:rPr>
            <w:rStyle w:val="Hyperlink"/>
            <w:spacing w:val="-6"/>
          </w:rPr>
          <w:t>Rule</w:t>
        </w:r>
      </w:hyperlink>
      <w:r w:rsidRPr="004532FE">
        <w:t xml:space="preserve"> s 7(e));</w:t>
      </w:r>
    </w:p>
    <w:p w14:paraId="67238231" w14:textId="310213B5" w:rsidR="00C07FFB" w:rsidRDefault="00C07FFB" w:rsidP="000A2841">
      <w:pPr>
        <w:pStyle w:val="BodyPara"/>
        <w:spacing w:before="220"/>
      </w:pPr>
      <w:r w:rsidRPr="00FD274F">
        <w:t>any further information prescribed by the rules</w:t>
      </w:r>
      <w:r w:rsidR="008A4461" w:rsidRPr="00FD274F">
        <w:t xml:space="preserve"> (</w:t>
      </w:r>
      <w:hyperlink r:id="rId277" w:history="1">
        <w:r w:rsidR="008A4461" w:rsidRPr="004709B9">
          <w:rPr>
            <w:rStyle w:val="Hyperlink"/>
          </w:rPr>
          <w:t>LA</w:t>
        </w:r>
      </w:hyperlink>
      <w:r w:rsidR="008A4461" w:rsidRPr="004709B9">
        <w:t xml:space="preserve"> s 15P(1)(e)).</w:t>
      </w:r>
    </w:p>
    <w:p w14:paraId="411FFD6E" w14:textId="452ED5B3" w:rsidR="00D63723" w:rsidRPr="005144FF" w:rsidRDefault="00D63723" w:rsidP="00D63723">
      <w:pPr>
        <w:pStyle w:val="BodyNum"/>
        <w:rPr>
          <w:szCs w:val="24"/>
        </w:rPr>
      </w:pPr>
      <w:r>
        <w:t xml:space="preserve"> </w:t>
      </w:r>
      <w:r w:rsidR="00852D8B">
        <w:t xml:space="preserve">Agencies should not include a </w:t>
      </w:r>
      <w:r w:rsidR="00852D8B">
        <w:rPr>
          <w:b/>
          <w:i/>
        </w:rPr>
        <w:t>registered date</w:t>
      </w:r>
      <w:r w:rsidR="00852D8B">
        <w:t xml:space="preserve">, that is the date on which the compilation is registered, as this information will be displayed as part of the metadata </w:t>
      </w:r>
      <w:r w:rsidR="00473AFE">
        <w:t xml:space="preserve">on the Register </w:t>
      </w:r>
      <w:r w:rsidR="00852D8B">
        <w:t>and cannot be known at the time of preparation</w:t>
      </w:r>
      <w:r>
        <w:t>.</w:t>
      </w:r>
    </w:p>
    <w:p w14:paraId="58468BEF" w14:textId="1652A3E3" w:rsidR="00EC28EA" w:rsidRPr="00FD274F" w:rsidRDefault="0084047D" w:rsidP="00EC28EA">
      <w:pPr>
        <w:pStyle w:val="BodyNum"/>
      </w:pPr>
      <w:r w:rsidRPr="00FD274F">
        <w:lastRenderedPageBreak/>
        <w:t>Agencies wishing to prepare their own compilations may find the following guidance useful. It takes into account not only the minimum r</w:t>
      </w:r>
      <w:r w:rsidR="00EC28EA" w:rsidRPr="00FD274F">
        <w:t>equirements of t</w:t>
      </w:r>
      <w:r w:rsidR="00EC28EA" w:rsidRPr="004709B9">
        <w:t xml:space="preserve">he </w:t>
      </w:r>
      <w:hyperlink r:id="rId278" w:history="1">
        <w:r w:rsidR="00EC28EA" w:rsidRPr="004709B9">
          <w:rPr>
            <w:rStyle w:val="Hyperlink"/>
          </w:rPr>
          <w:t>L</w:t>
        </w:r>
        <w:r w:rsidRPr="004709B9">
          <w:rPr>
            <w:rStyle w:val="Hyperlink"/>
          </w:rPr>
          <w:t>A</w:t>
        </w:r>
      </w:hyperlink>
      <w:r w:rsidRPr="004709B9">
        <w:t xml:space="preserve"> bu</w:t>
      </w:r>
      <w:r w:rsidRPr="00FD274F">
        <w:t xml:space="preserve">t also current best practice and the needs of users (including the courts). A template for preparing compilations is also available for download from the secure </w:t>
      </w:r>
      <w:hyperlink r:id="rId279" w:history="1">
        <w:r w:rsidRPr="00FD274F">
          <w:rPr>
            <w:rStyle w:val="Hyperlink"/>
          </w:rPr>
          <w:t>lodgement facility</w:t>
        </w:r>
      </w:hyperlink>
      <w:r w:rsidR="00EC28EA" w:rsidRPr="00FD274F">
        <w:t>.</w:t>
      </w:r>
    </w:p>
    <w:p w14:paraId="25732C83" w14:textId="31103BA7" w:rsidR="0084047D" w:rsidRPr="00FD274F" w:rsidRDefault="0084047D" w:rsidP="0084047D">
      <w:pPr>
        <w:pStyle w:val="BodyNum"/>
      </w:pPr>
      <w:r w:rsidRPr="00FD274F">
        <w:t xml:space="preserve">Starting with the front matter, the compilation </w:t>
      </w:r>
      <w:r w:rsidR="007136C5">
        <w:t xml:space="preserve">cover page </w:t>
      </w:r>
      <w:r w:rsidRPr="00FD274F">
        <w:t>o</w:t>
      </w:r>
      <w:r w:rsidR="00D63723">
        <w:t xml:space="preserve">r </w:t>
      </w:r>
      <w:r w:rsidRPr="00FD274F">
        <w:rPr>
          <w:b/>
          <w:i/>
        </w:rPr>
        <w:t xml:space="preserve">title page </w:t>
      </w:r>
      <w:r w:rsidRPr="00FD274F">
        <w:t xml:space="preserve">should clearly identify the principal instrument by its name and series number (if applicable). </w:t>
      </w:r>
      <w:proofErr w:type="spellStart"/>
      <w:r w:rsidRPr="00FD274F">
        <w:t>OPC’s</w:t>
      </w:r>
      <w:proofErr w:type="spellEnd"/>
      <w:r w:rsidRPr="00FD274F">
        <w:t xml:space="preserve"> current practice is to provide the following information on the </w:t>
      </w:r>
      <w:r w:rsidR="002D6F11">
        <w:t>title page</w:t>
      </w:r>
      <w:r w:rsidRPr="00FD274F">
        <w:t xml:space="preserve"> </w:t>
      </w:r>
      <w:r w:rsidR="009B5657" w:rsidRPr="00FD274F">
        <w:t xml:space="preserve">as shown in </w:t>
      </w:r>
      <w:r w:rsidR="004B6FF6">
        <w:t>I</w:t>
      </w:r>
      <w:r w:rsidR="009B5657" w:rsidRPr="00633C14">
        <w:t>llustration 5</w:t>
      </w:r>
      <w:r w:rsidRPr="00633C14">
        <w:t>A:</w:t>
      </w:r>
    </w:p>
    <w:p w14:paraId="4E7F6B84" w14:textId="77777777" w:rsidR="0084047D" w:rsidRPr="00FD274F" w:rsidRDefault="0084047D" w:rsidP="0084047D">
      <w:pPr>
        <w:pStyle w:val="BodyPara"/>
      </w:pPr>
      <w:r w:rsidRPr="00FD274F">
        <w:t>Australian Government branding to ensure that the compilation is easily identifiable as an official document;</w:t>
      </w:r>
    </w:p>
    <w:p w14:paraId="094C7D33" w14:textId="113BBD56" w:rsidR="0084047D" w:rsidRPr="00FD274F" w:rsidRDefault="0084047D" w:rsidP="0084047D">
      <w:pPr>
        <w:pStyle w:val="BodyPara"/>
      </w:pPr>
      <w:r w:rsidRPr="00FD274F">
        <w:t>the name (or title) that the instrument gives to its</w:t>
      </w:r>
      <w:r w:rsidRPr="004532FE">
        <w:t>elf</w:t>
      </w:r>
      <w:r w:rsidR="00C07FFB" w:rsidRPr="004532FE">
        <w:t xml:space="preserve"> (</w:t>
      </w:r>
      <w:hyperlink r:id="rId280" w:history="1">
        <w:hyperlink r:id="rId281" w:history="1">
          <w:r w:rsidR="00197826" w:rsidRPr="004532FE">
            <w:rPr>
              <w:rStyle w:val="Hyperlink"/>
              <w:spacing w:val="-6"/>
            </w:rPr>
            <w:t>Rule</w:t>
          </w:r>
        </w:hyperlink>
      </w:hyperlink>
      <w:r w:rsidR="00C07FFB" w:rsidRPr="004532FE">
        <w:t xml:space="preserve"> s 7(a))</w:t>
      </w:r>
      <w:r w:rsidRPr="004532FE">
        <w:t>, f</w:t>
      </w:r>
      <w:r w:rsidRPr="00FD274F">
        <w:t>ollowed by any series number that may apply;</w:t>
      </w:r>
    </w:p>
    <w:p w14:paraId="566BC3A0" w14:textId="67AC2A8B" w:rsidR="00C33B0F" w:rsidRPr="00FD274F" w:rsidRDefault="00C33B0F" w:rsidP="00C33B0F">
      <w:pPr>
        <w:pStyle w:val="BodyPara"/>
      </w:pPr>
      <w:r w:rsidRPr="00FD274F">
        <w:t>the enabling legislation (and if appropriate, provision) for the principal instrumen</w:t>
      </w:r>
      <w:r w:rsidRPr="004532FE">
        <w:t>t (</w:t>
      </w:r>
      <w:hyperlink r:id="rId282" w:history="1">
        <w:hyperlink r:id="rId283" w:history="1">
          <w:r w:rsidR="00197826" w:rsidRPr="004532FE">
            <w:rPr>
              <w:rStyle w:val="Hyperlink"/>
              <w:spacing w:val="-6"/>
            </w:rPr>
            <w:t>Rule</w:t>
          </w:r>
        </w:hyperlink>
      </w:hyperlink>
      <w:r w:rsidRPr="004532FE">
        <w:t xml:space="preserve"> s 7(e));</w:t>
      </w:r>
    </w:p>
    <w:p w14:paraId="7F3CB081" w14:textId="52AB679D" w:rsidR="00C33B0F" w:rsidRPr="00FD274F" w:rsidRDefault="00C33B0F" w:rsidP="00C33B0F">
      <w:pPr>
        <w:pStyle w:val="BodyPara"/>
      </w:pPr>
      <w:r w:rsidRPr="00FD274F">
        <w:t>the compilation number (</w:t>
      </w:r>
      <w:hyperlink r:id="rId284" w:history="1">
        <w:hyperlink r:id="rId285" w:history="1">
          <w:r w:rsidR="00197826" w:rsidRPr="004532FE">
            <w:rPr>
              <w:rStyle w:val="Hyperlink"/>
              <w:spacing w:val="-6"/>
            </w:rPr>
            <w:t>Rule</w:t>
          </w:r>
        </w:hyperlink>
      </w:hyperlink>
      <w:r w:rsidRPr="004532FE">
        <w:t xml:space="preserve"> s 7(b));</w:t>
      </w:r>
    </w:p>
    <w:p w14:paraId="564C4DD5" w14:textId="14B2CE93" w:rsidR="00C33B0F" w:rsidRPr="00FD274F" w:rsidRDefault="00C33B0F" w:rsidP="00C33B0F">
      <w:pPr>
        <w:pStyle w:val="BodyPara"/>
      </w:pPr>
      <w:r w:rsidRPr="00FD274F">
        <w:t xml:space="preserve">the compilation date </w:t>
      </w:r>
      <w:r w:rsidRPr="004709B9">
        <w:t>(</w:t>
      </w:r>
      <w:hyperlink r:id="rId286" w:history="1">
        <w:r w:rsidRPr="004709B9">
          <w:rPr>
            <w:rStyle w:val="Hyperlink"/>
          </w:rPr>
          <w:t>LA</w:t>
        </w:r>
      </w:hyperlink>
      <w:r w:rsidRPr="004709B9">
        <w:t xml:space="preserve"> s 15</w:t>
      </w:r>
      <w:r w:rsidR="00BE6ED1" w:rsidRPr="004709B9">
        <w:t>P</w:t>
      </w:r>
      <w:r w:rsidRPr="004709B9">
        <w:t>(1)(a));</w:t>
      </w:r>
    </w:p>
    <w:p w14:paraId="4852BFB7" w14:textId="77777777" w:rsidR="00C07FFB" w:rsidRPr="00FD274F" w:rsidRDefault="00C07FFB" w:rsidP="00C07FFB">
      <w:pPr>
        <w:pStyle w:val="BodyPara"/>
      </w:pPr>
      <w:r w:rsidRPr="00FD274F">
        <w:t>summary of any other significant event that may have triggered the compilation e.g. the disallowan</w:t>
      </w:r>
      <w:r w:rsidR="00942F8D">
        <w:t>ce of a provision or amendment;</w:t>
      </w:r>
    </w:p>
    <w:p w14:paraId="2991B96E" w14:textId="14C1E3D1" w:rsidR="00077A94" w:rsidRPr="00590636" w:rsidRDefault="00C07FFB" w:rsidP="00077A94">
      <w:pPr>
        <w:pStyle w:val="BodyPara"/>
        <w:rPr>
          <w:spacing w:val="-2"/>
        </w:rPr>
      </w:pPr>
      <w:r w:rsidRPr="00590636">
        <w:rPr>
          <w:spacing w:val="-2"/>
        </w:rPr>
        <w:t>the name and location of the agency that prepared the compilation e.g. “Prepared by the Office of Parliamentary Counsel, Canber</w:t>
      </w:r>
      <w:r w:rsidRPr="004532FE">
        <w:rPr>
          <w:spacing w:val="-2"/>
        </w:rPr>
        <w:t>ra” (</w:t>
      </w:r>
      <w:hyperlink r:id="rId287" w:history="1">
        <w:hyperlink r:id="rId288" w:history="1">
          <w:r w:rsidR="00197826" w:rsidRPr="004532FE">
            <w:rPr>
              <w:rStyle w:val="Hyperlink"/>
              <w:spacing w:val="-2"/>
            </w:rPr>
            <w:t>Rule</w:t>
          </w:r>
        </w:hyperlink>
      </w:hyperlink>
      <w:r w:rsidR="008A4461" w:rsidRPr="004532FE">
        <w:rPr>
          <w:spacing w:val="-2"/>
        </w:rPr>
        <w:t> </w:t>
      </w:r>
      <w:r w:rsidRPr="004532FE">
        <w:rPr>
          <w:spacing w:val="-2"/>
        </w:rPr>
        <w:t>s 7(c))</w:t>
      </w:r>
      <w:r w:rsidR="008A4461" w:rsidRPr="004532FE">
        <w:rPr>
          <w:spacing w:val="-2"/>
        </w:rPr>
        <w:t>.</w:t>
      </w:r>
    </w:p>
    <w:p w14:paraId="568384A8" w14:textId="77777777" w:rsidR="00077A94" w:rsidRPr="00FD274F" w:rsidRDefault="00077A94" w:rsidP="00FC7069">
      <w:pPr>
        <w:pStyle w:val="Body"/>
        <w:keepNext/>
        <w:rPr>
          <w:b/>
        </w:rPr>
      </w:pPr>
      <w:r w:rsidRPr="00FD274F">
        <w:rPr>
          <w:b/>
        </w:rPr>
        <w:lastRenderedPageBreak/>
        <w:t>I</w:t>
      </w:r>
      <w:r w:rsidR="009B5657" w:rsidRPr="00FD274F">
        <w:rPr>
          <w:b/>
        </w:rPr>
        <w:t>llustration 5</w:t>
      </w:r>
      <w:r w:rsidRPr="00FD274F">
        <w:rPr>
          <w:b/>
        </w:rPr>
        <w:t>A—sample title page for compilation</w:t>
      </w:r>
    </w:p>
    <w:p w14:paraId="0E84F6C1" w14:textId="77777777" w:rsidR="00077A94" w:rsidRPr="00FD274F" w:rsidRDefault="00077A94" w:rsidP="00077A94">
      <w:pPr>
        <w:pStyle w:val="BodyNum"/>
        <w:numPr>
          <w:ilvl w:val="0"/>
          <w:numId w:val="0"/>
        </w:numPr>
        <w:jc w:val="center"/>
      </w:pPr>
      <w:r w:rsidRPr="00FD274F">
        <w:rPr>
          <w:noProof/>
        </w:rPr>
        <w:drawing>
          <wp:inline distT="0" distB="0" distL="0" distR="0" wp14:anchorId="3D8E39A2" wp14:editId="117ACB70">
            <wp:extent cx="4860000" cy="6616800"/>
            <wp:effectExtent l="19050" t="19050" r="17145" b="12700"/>
            <wp:docPr id="1" name="Picture 1" descr="Template for a compilation title page showing preferred order and format of requir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9"/>
                    <a:stretch>
                      <a:fillRect/>
                    </a:stretch>
                  </pic:blipFill>
                  <pic:spPr>
                    <a:xfrm>
                      <a:off x="0" y="0"/>
                      <a:ext cx="4860000" cy="6616800"/>
                    </a:xfrm>
                    <a:prstGeom prst="rect">
                      <a:avLst/>
                    </a:prstGeom>
                    <a:ln>
                      <a:solidFill>
                        <a:schemeClr val="tx1"/>
                      </a:solidFill>
                    </a:ln>
                  </pic:spPr>
                </pic:pic>
              </a:graphicData>
            </a:graphic>
          </wp:inline>
        </w:drawing>
      </w:r>
    </w:p>
    <w:p w14:paraId="1DFAF5CD" w14:textId="00DC1D13" w:rsidR="00C33B0F" w:rsidRPr="00FD274F" w:rsidRDefault="00C33B0F" w:rsidP="00C33B0F">
      <w:pPr>
        <w:pStyle w:val="BodyNum"/>
      </w:pPr>
      <w:r w:rsidRPr="00FD274F">
        <w:t xml:space="preserve">Other reference information can be included in the front matter, including a table of contents even if there is no such table in the principal instrument. </w:t>
      </w:r>
      <w:proofErr w:type="spellStart"/>
      <w:r w:rsidRPr="00FD274F">
        <w:t>OPC’s</w:t>
      </w:r>
      <w:proofErr w:type="spellEnd"/>
      <w:r w:rsidRPr="00FD274F">
        <w:t xml:space="preserve"> current practice is to reserve the reverse of the title page (the verso title page) for a short user guide to explain wh</w:t>
      </w:r>
      <w:r w:rsidR="00D20742" w:rsidRPr="00FD274F">
        <w:t>at</w:t>
      </w:r>
      <w:r w:rsidRPr="00FD274F">
        <w:t xml:space="preserve"> the compilation incorporates (for details, see </w:t>
      </w:r>
      <w:r w:rsidR="00392147" w:rsidRPr="00633C14">
        <w:t>I</w:t>
      </w:r>
      <w:r w:rsidRPr="00633C14">
        <w:t xml:space="preserve">llustration </w:t>
      </w:r>
      <w:r w:rsidR="009B5657" w:rsidRPr="00633C14">
        <w:t>5</w:t>
      </w:r>
      <w:r w:rsidR="00077A94" w:rsidRPr="00633C14">
        <w:t>B</w:t>
      </w:r>
      <w:r w:rsidRPr="00633C14">
        <w:t>).</w:t>
      </w:r>
    </w:p>
    <w:p w14:paraId="3FB468FA" w14:textId="77777777" w:rsidR="00C33B0F" w:rsidRPr="00FD274F" w:rsidRDefault="00C33B0F" w:rsidP="00FC7069">
      <w:pPr>
        <w:pStyle w:val="BodyNum"/>
        <w:keepNext/>
        <w:numPr>
          <w:ilvl w:val="0"/>
          <w:numId w:val="0"/>
        </w:numPr>
        <w:rPr>
          <w:b/>
        </w:rPr>
      </w:pPr>
      <w:r w:rsidRPr="00FD274F">
        <w:rPr>
          <w:b/>
        </w:rPr>
        <w:lastRenderedPageBreak/>
        <w:t xml:space="preserve">Illustration </w:t>
      </w:r>
      <w:r w:rsidR="009B5657" w:rsidRPr="00FD274F">
        <w:rPr>
          <w:b/>
        </w:rPr>
        <w:t>5</w:t>
      </w:r>
      <w:r w:rsidRPr="00FD274F">
        <w:rPr>
          <w:b/>
        </w:rPr>
        <w:t>B—sample reverse of title page showing user guide</w:t>
      </w:r>
    </w:p>
    <w:p w14:paraId="072C1ECF" w14:textId="77777777" w:rsidR="00077A94" w:rsidRPr="00FD274F" w:rsidRDefault="00077A94" w:rsidP="00077A94">
      <w:pPr>
        <w:pStyle w:val="BodyNum"/>
        <w:numPr>
          <w:ilvl w:val="0"/>
          <w:numId w:val="0"/>
        </w:numPr>
        <w:jc w:val="center"/>
        <w:rPr>
          <w:b/>
        </w:rPr>
      </w:pPr>
      <w:r w:rsidRPr="00FD274F">
        <w:rPr>
          <w:noProof/>
        </w:rPr>
        <w:drawing>
          <wp:inline distT="0" distB="0" distL="0" distR="0" wp14:anchorId="52F07DD4" wp14:editId="0961B224">
            <wp:extent cx="4860000" cy="4514400"/>
            <wp:effectExtent l="19050" t="19050" r="17145" b="19685"/>
            <wp:docPr id="15" name="Picture 15" descr="Template headed About this compilation, showing possible wording for a compilation us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0"/>
                    <a:stretch>
                      <a:fillRect/>
                    </a:stretch>
                  </pic:blipFill>
                  <pic:spPr>
                    <a:xfrm>
                      <a:off x="0" y="0"/>
                      <a:ext cx="4860000" cy="4514400"/>
                    </a:xfrm>
                    <a:prstGeom prst="rect">
                      <a:avLst/>
                    </a:prstGeom>
                    <a:ln>
                      <a:solidFill>
                        <a:schemeClr val="tx1"/>
                      </a:solidFill>
                    </a:ln>
                  </pic:spPr>
                </pic:pic>
              </a:graphicData>
            </a:graphic>
          </wp:inline>
        </w:drawing>
      </w:r>
    </w:p>
    <w:p w14:paraId="42A69276" w14:textId="0B106C6F" w:rsidR="00C33B0F" w:rsidRPr="00FD274F" w:rsidRDefault="00C33B0F" w:rsidP="00C33B0F">
      <w:pPr>
        <w:pStyle w:val="BodyNum"/>
      </w:pPr>
      <w:r w:rsidRPr="00FD274F">
        <w:t xml:space="preserve">The compilation number and compilation date should also be recorded in the footer </w:t>
      </w:r>
      <w:r w:rsidR="009B5657" w:rsidRPr="00FD274F">
        <w:t>of each page (se</w:t>
      </w:r>
      <w:r w:rsidR="009B5657" w:rsidRPr="00633C14">
        <w:t xml:space="preserve">e </w:t>
      </w:r>
      <w:r w:rsidR="00392147" w:rsidRPr="00633C14">
        <w:t>I</w:t>
      </w:r>
      <w:r w:rsidR="009B5657" w:rsidRPr="00633C14">
        <w:t>llustration 5</w:t>
      </w:r>
      <w:r w:rsidRPr="00633C14">
        <w:t>C).</w:t>
      </w:r>
    </w:p>
    <w:p w14:paraId="0B4D999A" w14:textId="77777777" w:rsidR="00077A94" w:rsidRPr="00FD274F" w:rsidRDefault="00C33B0F" w:rsidP="00FC7069">
      <w:pPr>
        <w:pStyle w:val="BodyNum"/>
        <w:keepNext/>
        <w:numPr>
          <w:ilvl w:val="0"/>
          <w:numId w:val="0"/>
        </w:numPr>
        <w:rPr>
          <w:b/>
        </w:rPr>
      </w:pPr>
      <w:r w:rsidRPr="00FD274F">
        <w:rPr>
          <w:b/>
        </w:rPr>
        <w:t xml:space="preserve">Illustration </w:t>
      </w:r>
      <w:r w:rsidR="009B5657" w:rsidRPr="00FD274F">
        <w:rPr>
          <w:b/>
        </w:rPr>
        <w:t>5</w:t>
      </w:r>
      <w:r w:rsidRPr="00FD274F">
        <w:rPr>
          <w:b/>
        </w:rPr>
        <w:t>C—sample page footer</w:t>
      </w:r>
    </w:p>
    <w:p w14:paraId="3B0A6F87" w14:textId="77777777" w:rsidR="00077A94" w:rsidRPr="00FD274F" w:rsidRDefault="00077A94" w:rsidP="00077A94">
      <w:pPr>
        <w:pStyle w:val="BodyNum"/>
        <w:numPr>
          <w:ilvl w:val="0"/>
          <w:numId w:val="0"/>
        </w:numPr>
        <w:jc w:val="center"/>
        <w:rPr>
          <w:b/>
        </w:rPr>
      </w:pPr>
      <w:r w:rsidRPr="00FD274F">
        <w:rPr>
          <w:noProof/>
        </w:rPr>
        <w:drawing>
          <wp:inline distT="0" distB="0" distL="0" distR="0" wp14:anchorId="0B6A6646" wp14:editId="36A3CF5F">
            <wp:extent cx="4860000" cy="640800"/>
            <wp:effectExtent l="19050" t="19050" r="17145" b="26035"/>
            <wp:docPr id="14" name="Picture 14" descr="Template footer displaying Example Instrument 2016, page number 5, compilation number 16 and compilation date 6 March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1"/>
                    <a:stretch>
                      <a:fillRect/>
                    </a:stretch>
                  </pic:blipFill>
                  <pic:spPr>
                    <a:xfrm>
                      <a:off x="0" y="0"/>
                      <a:ext cx="4860000" cy="640800"/>
                    </a:xfrm>
                    <a:prstGeom prst="rect">
                      <a:avLst/>
                    </a:prstGeom>
                    <a:ln>
                      <a:solidFill>
                        <a:schemeClr val="tx1"/>
                      </a:solidFill>
                    </a:ln>
                  </pic:spPr>
                </pic:pic>
              </a:graphicData>
            </a:graphic>
          </wp:inline>
        </w:drawing>
      </w:r>
    </w:p>
    <w:p w14:paraId="1A656BEE" w14:textId="77777777" w:rsidR="0084047D" w:rsidRPr="00FD274F" w:rsidRDefault="0084047D" w:rsidP="00CD6FA3">
      <w:pPr>
        <w:pStyle w:val="BodyNum"/>
        <w:keepNext/>
      </w:pPr>
      <w:r w:rsidRPr="00FD274F">
        <w:t xml:space="preserve">The </w:t>
      </w:r>
      <w:r w:rsidRPr="00FD274F">
        <w:rPr>
          <w:b/>
          <w:i/>
        </w:rPr>
        <w:t>body</w:t>
      </w:r>
      <w:r w:rsidRPr="00FD274F">
        <w:t xml:space="preserve"> of the compilation shows the text of the principal instrument as in force as at the compilation date. Before updating the text, it is important to identify which amendments to incorporate. As the sample user guide above suggests, only those amendments that have commenced at the compilation date </w:t>
      </w:r>
      <w:r w:rsidR="00BF5238" w:rsidRPr="00FD274F">
        <w:t xml:space="preserve">can </w:t>
      </w:r>
      <w:r w:rsidRPr="00FD274F">
        <w:t>be incorporated into the text. The following should be noted in the endnotes, but not incorporated into the text:</w:t>
      </w:r>
    </w:p>
    <w:p w14:paraId="3FEA53CA" w14:textId="50F229DB" w:rsidR="0084047D" w:rsidRPr="00FD274F" w:rsidRDefault="0084047D" w:rsidP="0084047D">
      <w:pPr>
        <w:pStyle w:val="BodyPara"/>
      </w:pPr>
      <w:r w:rsidRPr="00FD274F">
        <w:t>any amendment that has not commenced at the compilation date (s</w:t>
      </w:r>
      <w:r w:rsidRPr="00633C14">
        <w:t xml:space="preserve">ee also paragraph </w:t>
      </w:r>
      <w:r w:rsidR="007873C4" w:rsidRPr="004709B9">
        <w:fldChar w:fldCharType="begin"/>
      </w:r>
      <w:r w:rsidR="007873C4" w:rsidRPr="00633C14">
        <w:instrText xml:space="preserve"> REF _Ref444854800 \r \h </w:instrText>
      </w:r>
      <w:r w:rsidR="00F308D0" w:rsidRPr="00633C14">
        <w:instrText xml:space="preserve"> \* MERGEFORMAT </w:instrText>
      </w:r>
      <w:r w:rsidR="007873C4" w:rsidRPr="004709B9">
        <w:fldChar w:fldCharType="separate"/>
      </w:r>
      <w:r w:rsidR="003E1B43" w:rsidRPr="00633C14">
        <w:t>186(b)</w:t>
      </w:r>
      <w:r w:rsidR="007873C4" w:rsidRPr="004709B9">
        <w:fldChar w:fldCharType="end"/>
      </w:r>
      <w:r w:rsidR="00942F8D" w:rsidRPr="00633C14">
        <w:t>);</w:t>
      </w:r>
    </w:p>
    <w:p w14:paraId="1B9D4D6B" w14:textId="313CD68E" w:rsidR="0084047D" w:rsidRPr="00FD274F" w:rsidRDefault="0084047D" w:rsidP="0084047D">
      <w:pPr>
        <w:pStyle w:val="BodyPara"/>
      </w:pPr>
      <w:r w:rsidRPr="00FD274F">
        <w:t>any application, saving or transitional provision that is not incorporated into the principal instrument by an amendme</w:t>
      </w:r>
      <w:r w:rsidRPr="00633C14">
        <w:t xml:space="preserve">nt (see also paragraph </w:t>
      </w:r>
      <w:r w:rsidRPr="004709B9">
        <w:fldChar w:fldCharType="begin"/>
      </w:r>
      <w:r w:rsidRPr="00633C14">
        <w:instrText xml:space="preserve"> REF _Ref367447079 \r \h </w:instrText>
      </w:r>
      <w:r w:rsidR="00F308D0" w:rsidRPr="00633C14">
        <w:instrText xml:space="preserve"> \* MERGEFORMAT </w:instrText>
      </w:r>
      <w:r w:rsidRPr="004709B9">
        <w:fldChar w:fldCharType="separate"/>
      </w:r>
      <w:r w:rsidR="003E1B43" w:rsidRPr="00633C14">
        <w:t>185(d)</w:t>
      </w:r>
      <w:r w:rsidRPr="004709B9">
        <w:fldChar w:fldCharType="end"/>
      </w:r>
      <w:r w:rsidRPr="00633C14">
        <w:t>);</w:t>
      </w:r>
    </w:p>
    <w:p w14:paraId="7CAFBDF6" w14:textId="6CE3A21F" w:rsidR="0084047D" w:rsidRPr="00FD274F" w:rsidRDefault="0084047D" w:rsidP="0084047D">
      <w:pPr>
        <w:pStyle w:val="BodyPara"/>
      </w:pPr>
      <w:r w:rsidRPr="00FD274F">
        <w:lastRenderedPageBreak/>
        <w:t>any amendment that cannot be incorporated because it is misdescribed and the rule</w:t>
      </w:r>
      <w:r w:rsidR="009C4251">
        <w:noBreakHyphen/>
      </w:r>
      <w:r w:rsidRPr="00FD274F">
        <w:t>maker’s intention is uncle</w:t>
      </w:r>
      <w:r w:rsidRPr="00633C14">
        <w:t xml:space="preserve">ar (see also paragraphs </w:t>
      </w:r>
      <w:r w:rsidR="00445382">
        <w:fldChar w:fldCharType="begin"/>
      </w:r>
      <w:r w:rsidR="00445382">
        <w:instrText xml:space="preserve"> REF _Ref110331473 \r \h </w:instrText>
      </w:r>
      <w:r w:rsidR="00445382">
        <w:fldChar w:fldCharType="separate"/>
      </w:r>
      <w:r w:rsidR="00445382">
        <w:t>188</w:t>
      </w:r>
      <w:r w:rsidR="00445382">
        <w:fldChar w:fldCharType="end"/>
      </w:r>
      <w:r w:rsidR="009B5657" w:rsidRPr="00633C14">
        <w:t xml:space="preserve"> and </w:t>
      </w:r>
      <w:r w:rsidRPr="004709B9">
        <w:fldChar w:fldCharType="begin"/>
      </w:r>
      <w:r w:rsidRPr="00633C14">
        <w:instrText xml:space="preserve"> REF _Ref428882137 \r \h  \* MERGEFORMAT </w:instrText>
      </w:r>
      <w:r w:rsidRPr="004709B9">
        <w:fldChar w:fldCharType="separate"/>
      </w:r>
      <w:r w:rsidR="003E1B43" w:rsidRPr="00633C14">
        <w:t>189</w:t>
      </w:r>
      <w:r w:rsidRPr="004709B9">
        <w:fldChar w:fldCharType="end"/>
      </w:r>
      <w:r w:rsidR="00942F8D" w:rsidRPr="00633C14">
        <w:t>);</w:t>
      </w:r>
    </w:p>
    <w:p w14:paraId="7D177A21" w14:textId="77777777" w:rsidR="0084047D" w:rsidRPr="00FD274F" w:rsidRDefault="0084047D" w:rsidP="0084047D">
      <w:pPr>
        <w:pStyle w:val="BodyPara"/>
      </w:pPr>
      <w:r w:rsidRPr="00FD274F">
        <w:t>the expiry or cessation of a provision—a provision should only be removed from the text if it has been repealed</w:t>
      </w:r>
      <w:r w:rsidR="00BE6ED1">
        <w:t xml:space="preserve"> by using the word “repeal”, “revoke” or “rescind”</w:t>
      </w:r>
      <w:r w:rsidRPr="00FD274F">
        <w:t>.</w:t>
      </w:r>
    </w:p>
    <w:p w14:paraId="08B53642" w14:textId="7EDB746D" w:rsidR="0084047D" w:rsidRPr="00FD274F" w:rsidRDefault="0084047D" w:rsidP="00BC647B">
      <w:pPr>
        <w:pStyle w:val="BodyNum"/>
        <w:rPr>
          <w:szCs w:val="24"/>
        </w:rPr>
      </w:pPr>
      <w:r w:rsidRPr="00FD274F">
        <w:t>It is not necessary to note or incorporate modifications, that is, an alteration to the text of the principal instrument that is not permanent or that only applies to particular locations or cases. Links to and from the modifying legislation will normally be create</w:t>
      </w:r>
      <w:r w:rsidRPr="00FD274F">
        <w:rPr>
          <w:szCs w:val="24"/>
        </w:rPr>
        <w:t xml:space="preserve">d when that legislation is registered but, if this is not the case, please let </w:t>
      </w:r>
      <w:proofErr w:type="spellStart"/>
      <w:r w:rsidRPr="00FD274F">
        <w:rPr>
          <w:szCs w:val="24"/>
        </w:rPr>
        <w:t>OPC</w:t>
      </w:r>
      <w:proofErr w:type="spellEnd"/>
      <w:r w:rsidRPr="00FD274F">
        <w:rPr>
          <w:szCs w:val="24"/>
        </w:rPr>
        <w:t xml:space="preserve"> know by using the </w:t>
      </w:r>
      <w:hyperlink r:id="rId292" w:history="1">
        <w:r w:rsidRPr="00FD274F">
          <w:rPr>
            <w:rStyle w:val="Hyperlink"/>
            <w:szCs w:val="24"/>
          </w:rPr>
          <w:t>feedback form</w:t>
        </w:r>
      </w:hyperlink>
      <w:r w:rsidRPr="00FD274F">
        <w:rPr>
          <w:szCs w:val="24"/>
        </w:rPr>
        <w:t xml:space="preserve"> on the </w:t>
      </w:r>
      <w:r w:rsidR="00506646" w:rsidRPr="00FD274F">
        <w:rPr>
          <w:szCs w:val="24"/>
        </w:rPr>
        <w:t xml:space="preserve">Register (public) website </w:t>
      </w:r>
      <w:r w:rsidRPr="00FD274F">
        <w:rPr>
          <w:szCs w:val="24"/>
        </w:rPr>
        <w:t xml:space="preserve">or email </w:t>
      </w:r>
      <w:hyperlink r:id="rId293" w:history="1">
        <w:hyperlink r:id="rId294" w:history="1">
          <w:r w:rsidR="00D53143" w:rsidRPr="00FD274F">
            <w:rPr>
              <w:rStyle w:val="Hyperlink"/>
              <w:rFonts w:eastAsiaTheme="minorHAnsi"/>
              <w:szCs w:val="24"/>
              <w:lang w:eastAsia="en-US"/>
            </w:rPr>
            <w:t>lodge@legislation.gov.au</w:t>
          </w:r>
        </w:hyperlink>
      </w:hyperlink>
      <w:r w:rsidR="00942F8D">
        <w:rPr>
          <w:szCs w:val="24"/>
        </w:rPr>
        <w:t>.</w:t>
      </w:r>
    </w:p>
    <w:p w14:paraId="2AEF359B" w14:textId="77777777" w:rsidR="0084047D" w:rsidRPr="00FD274F" w:rsidRDefault="0084047D" w:rsidP="0084047D">
      <w:pPr>
        <w:pStyle w:val="BodyNum"/>
      </w:pPr>
      <w:r w:rsidRPr="00FD274F">
        <w:t>It is important to take a systematic approach to incorporating amendments into the text of the principal instrument. In particular:</w:t>
      </w:r>
    </w:p>
    <w:p w14:paraId="35E8348E" w14:textId="77777777" w:rsidR="0084047D" w:rsidRPr="00FD274F" w:rsidRDefault="0084047D" w:rsidP="0084047D">
      <w:pPr>
        <w:pStyle w:val="BodyPara"/>
      </w:pPr>
      <w:r w:rsidRPr="00FD274F">
        <w:t>any automatic numbering that may have been used must be turned off—otherwise any insertions or omissions may not be shown with the correct provision numbers; and</w:t>
      </w:r>
    </w:p>
    <w:p w14:paraId="2834FCBC" w14:textId="77777777" w:rsidR="0084047D" w:rsidRPr="00FD274F" w:rsidRDefault="0084047D" w:rsidP="0084047D">
      <w:pPr>
        <w:pStyle w:val="BodyPara"/>
      </w:pPr>
      <w:r w:rsidRPr="00FD274F">
        <w:t xml:space="preserve">styles or equivalent formatting devices should be used to format text wherever practicable—this will deliver a consistent look and feel, and make it easy </w:t>
      </w:r>
      <w:r w:rsidR="000A2841" w:rsidRPr="00FD274F">
        <w:t>to up</w:t>
      </w:r>
      <w:r w:rsidR="00942F8D">
        <w:t>date any table of contents; and</w:t>
      </w:r>
    </w:p>
    <w:p w14:paraId="13D08746" w14:textId="440E6B57" w:rsidR="000A2841" w:rsidRPr="00FD274F" w:rsidRDefault="000A2841" w:rsidP="0084047D">
      <w:pPr>
        <w:pStyle w:val="BodyPara"/>
      </w:pPr>
      <w:r w:rsidRPr="00FD274F">
        <w:t>any solely commencing, amending or repealing provisions in the instrument should be checked to establish whether they should be removed in accordance with the automatic repeal provisions in Par</w:t>
      </w:r>
      <w:r w:rsidRPr="004709B9">
        <w:t xml:space="preserve">t 3 of Chapter 3 of the </w:t>
      </w:r>
      <w:hyperlink r:id="rId295" w:history="1">
        <w:r w:rsidRPr="004709B9">
          <w:rPr>
            <w:rStyle w:val="Hyperlink"/>
          </w:rPr>
          <w:t>LA</w:t>
        </w:r>
      </w:hyperlink>
      <w:r w:rsidRPr="004709B9">
        <w:t>.</w:t>
      </w:r>
    </w:p>
    <w:p w14:paraId="41E24D24" w14:textId="1C4939A6" w:rsidR="0084047D" w:rsidRPr="00FD274F" w:rsidRDefault="0084047D" w:rsidP="0084047D">
      <w:pPr>
        <w:pStyle w:val="BodyNum"/>
      </w:pPr>
      <w:r w:rsidRPr="00FD274F">
        <w:t xml:space="preserve">After the amendments have been incorporated into the text, it is important to document the changes made to the text, the authority for making the changes and other matters. This information should be set out in </w:t>
      </w:r>
      <w:r w:rsidRPr="00FD274F">
        <w:rPr>
          <w:b/>
          <w:i/>
        </w:rPr>
        <w:t>endnotes</w:t>
      </w:r>
      <w:r w:rsidRPr="00FD274F">
        <w:t xml:space="preserve">, that is, notes after the body of a compilation. </w:t>
      </w:r>
      <w:proofErr w:type="spellStart"/>
      <w:r w:rsidRPr="00FD274F">
        <w:t>OPC’s</w:t>
      </w:r>
      <w:proofErr w:type="spellEnd"/>
      <w:r w:rsidRPr="00FD274F">
        <w:t xml:space="preserve"> current practice is to include </w:t>
      </w:r>
      <w:r w:rsidR="00D528C0" w:rsidRPr="00FD274F">
        <w:t xml:space="preserve">at least </w:t>
      </w:r>
      <w:r w:rsidRPr="00FD274F">
        <w:t>4 endnotes, and to explain the purpose and structure of the endnotes in the first endnote (se</w:t>
      </w:r>
      <w:r w:rsidRPr="00FE07C4">
        <w:t xml:space="preserve">e </w:t>
      </w:r>
      <w:r w:rsidR="00392147" w:rsidRPr="00FE07C4">
        <w:t>I</w:t>
      </w:r>
      <w:r w:rsidRPr="00FE07C4">
        <w:t xml:space="preserve">llustration </w:t>
      </w:r>
      <w:r w:rsidR="009B5657" w:rsidRPr="00FE07C4">
        <w:t>5</w:t>
      </w:r>
      <w:r w:rsidR="00942F8D" w:rsidRPr="00FE07C4">
        <w:t>D).</w:t>
      </w:r>
    </w:p>
    <w:p w14:paraId="21B62736" w14:textId="77777777" w:rsidR="0084047D" w:rsidRPr="00FD274F" w:rsidRDefault="0084047D" w:rsidP="007D6093">
      <w:pPr>
        <w:spacing w:line="240" w:lineRule="auto"/>
        <w:rPr>
          <w:b/>
        </w:rPr>
      </w:pPr>
      <w:r w:rsidRPr="00FD274F">
        <w:rPr>
          <w:b/>
        </w:rPr>
        <w:br w:type="page"/>
      </w:r>
      <w:r w:rsidR="009B5657" w:rsidRPr="00FD274F">
        <w:rPr>
          <w:b/>
        </w:rPr>
        <w:lastRenderedPageBreak/>
        <w:t>Illustration 5</w:t>
      </w:r>
      <w:r w:rsidRPr="00FD274F">
        <w:rPr>
          <w:b/>
        </w:rPr>
        <w:t xml:space="preserve">D—sample </w:t>
      </w:r>
      <w:r w:rsidR="00942F8D">
        <w:rPr>
          <w:b/>
        </w:rPr>
        <w:t>E</w:t>
      </w:r>
      <w:r w:rsidR="00E06893">
        <w:rPr>
          <w:b/>
        </w:rPr>
        <w:t>ndnote 1—About the endnotes</w:t>
      </w:r>
    </w:p>
    <w:p w14:paraId="3AB70719" w14:textId="3382F272" w:rsidR="00205E75" w:rsidRPr="001E456D" w:rsidRDefault="00205E75" w:rsidP="00845FE6">
      <w:pPr>
        <w:pStyle w:val="notedraft"/>
        <w:jc w:val="center"/>
        <w:rPr>
          <w:i w:val="0"/>
          <w:highlight w:val="green"/>
        </w:rPr>
      </w:pPr>
      <w:r>
        <w:rPr>
          <w:noProof/>
        </w:rPr>
        <w:drawing>
          <wp:inline distT="0" distB="0" distL="0" distR="0" wp14:anchorId="419BD25C" wp14:editId="2E0982E7">
            <wp:extent cx="5438775" cy="5323205"/>
            <wp:effectExtent l="19050" t="19050" r="28575" b="10795"/>
            <wp:docPr id="7" name="Picture 7" descr="Template headed Endnotes, showing possible wording for a user guide about endnotes 1 to 4 and misdescribed amend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6"/>
                    <a:srcRect r="1528"/>
                    <a:stretch/>
                  </pic:blipFill>
                  <pic:spPr bwMode="auto">
                    <a:xfrm>
                      <a:off x="0" y="0"/>
                      <a:ext cx="5439392" cy="532380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5A30DFA" w14:textId="4B917AED" w:rsidR="0084047D" w:rsidRDefault="0084047D" w:rsidP="000B3456">
      <w:pPr>
        <w:pStyle w:val="BodyNum"/>
      </w:pPr>
      <w:r w:rsidRPr="000B3456">
        <w:rPr>
          <w:szCs w:val="24"/>
        </w:rPr>
        <w:t xml:space="preserve">Endnote 2, the abbreviation key, </w:t>
      </w:r>
      <w:r w:rsidR="00D528C0" w:rsidRPr="000B3456">
        <w:rPr>
          <w:szCs w:val="24"/>
        </w:rPr>
        <w:t>meets the requirement o</w:t>
      </w:r>
      <w:r w:rsidR="00D528C0" w:rsidRPr="004532FE">
        <w:rPr>
          <w:szCs w:val="24"/>
        </w:rPr>
        <w:t xml:space="preserve">f </w:t>
      </w:r>
      <w:r w:rsidR="009B5657" w:rsidRPr="004532FE">
        <w:rPr>
          <w:szCs w:val="24"/>
        </w:rPr>
        <w:t>paragraph</w:t>
      </w:r>
      <w:r w:rsidR="00D528C0" w:rsidRPr="004532FE">
        <w:rPr>
          <w:szCs w:val="24"/>
        </w:rPr>
        <w:t xml:space="preserve"> 7(d) of the </w:t>
      </w:r>
      <w:hyperlink r:id="rId297" w:history="1">
        <w:hyperlink r:id="rId298" w:history="1">
          <w:r w:rsidR="00197826" w:rsidRPr="004532FE">
            <w:rPr>
              <w:rStyle w:val="Hyperlink"/>
              <w:spacing w:val="-6"/>
            </w:rPr>
            <w:t>Rule</w:t>
          </w:r>
        </w:hyperlink>
      </w:hyperlink>
      <w:r w:rsidR="00D528C0" w:rsidRPr="000B3456">
        <w:rPr>
          <w:szCs w:val="24"/>
        </w:rPr>
        <w:t xml:space="preserve"> and </w:t>
      </w:r>
      <w:r w:rsidRPr="00FD274F">
        <w:t xml:space="preserve">sets out abbreviations that may be used in the endnotes. The most complex compilations prepared by </w:t>
      </w:r>
      <w:proofErr w:type="spellStart"/>
      <w:r w:rsidRPr="00FD274F">
        <w:t>OPC</w:t>
      </w:r>
      <w:proofErr w:type="spellEnd"/>
      <w:r w:rsidRPr="00FD274F">
        <w:t xml:space="preserve"> may use over 30 abbreviations. Agencies should use the same abbreviations as </w:t>
      </w:r>
      <w:proofErr w:type="spellStart"/>
      <w:r w:rsidRPr="00FD274F">
        <w:t>OPC</w:t>
      </w:r>
      <w:proofErr w:type="spellEnd"/>
      <w:r w:rsidRPr="00FD274F">
        <w:t xml:space="preserve"> to avoid confusing readers</w:t>
      </w:r>
      <w:r w:rsidR="006F0E5E">
        <w:t xml:space="preserve"> (</w:t>
      </w:r>
      <w:r w:rsidR="006F0E5E" w:rsidRPr="00FE07C4">
        <w:t>see Illustration 5E)</w:t>
      </w:r>
      <w:r w:rsidRPr="00FE07C4">
        <w:t>,</w:t>
      </w:r>
      <w:r w:rsidRPr="00FD274F">
        <w:t xml:space="preserve"> but may wish to specify additional abbreviations for matters not covered by the standard </w:t>
      </w:r>
      <w:proofErr w:type="spellStart"/>
      <w:r w:rsidRPr="00FD274F">
        <w:t>OPC</w:t>
      </w:r>
      <w:proofErr w:type="spellEnd"/>
      <w:r w:rsidRPr="00FD274F">
        <w:t xml:space="preserve"> abbreviations. </w:t>
      </w:r>
      <w:proofErr w:type="spellStart"/>
      <w:r w:rsidRPr="00FD274F">
        <w:t>OPC</w:t>
      </w:r>
      <w:proofErr w:type="spellEnd"/>
      <w:r w:rsidRPr="00FD274F">
        <w:t xml:space="preserve"> can provide advice on the use of abbreviations on request.</w:t>
      </w:r>
    </w:p>
    <w:p w14:paraId="54BC034E" w14:textId="77777777" w:rsidR="00845FE6" w:rsidRPr="00FD274F" w:rsidRDefault="000116BE" w:rsidP="00845FE6">
      <w:pPr>
        <w:keepNext/>
        <w:spacing w:line="240" w:lineRule="auto"/>
        <w:rPr>
          <w:b/>
        </w:rPr>
      </w:pPr>
      <w:r w:rsidRPr="00FD274F">
        <w:rPr>
          <w:b/>
        </w:rPr>
        <w:lastRenderedPageBreak/>
        <w:t>Illustration 5</w:t>
      </w:r>
      <w:r w:rsidR="00845FE6">
        <w:rPr>
          <w:b/>
        </w:rPr>
        <w:t>E</w:t>
      </w:r>
      <w:r w:rsidRPr="00FD274F">
        <w:rPr>
          <w:b/>
        </w:rPr>
        <w:t xml:space="preserve">—sample </w:t>
      </w:r>
      <w:r>
        <w:rPr>
          <w:b/>
        </w:rPr>
        <w:t>Endnote 2—Abbreviation key</w:t>
      </w:r>
    </w:p>
    <w:p w14:paraId="261ACA2B" w14:textId="75F0123C" w:rsidR="003C40CC" w:rsidRPr="00845FE6" w:rsidRDefault="003C40CC" w:rsidP="00845FE6">
      <w:pPr>
        <w:pStyle w:val="BodyNum"/>
        <w:keepNext/>
        <w:numPr>
          <w:ilvl w:val="0"/>
          <w:numId w:val="0"/>
        </w:numPr>
      </w:pPr>
      <w:r>
        <w:rPr>
          <w:noProof/>
        </w:rPr>
        <w:drawing>
          <wp:inline distT="0" distB="0" distL="0" distR="0" wp14:anchorId="1B12E768" wp14:editId="56A695BF">
            <wp:extent cx="5361905" cy="5314286"/>
            <wp:effectExtent l="19050" t="19050" r="10795" b="20320"/>
            <wp:docPr id="4" name="Picture 4" descr="Template headed Endnote 2, showing an example abbreviation formatting across two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9"/>
                    <a:stretch>
                      <a:fillRect/>
                    </a:stretch>
                  </pic:blipFill>
                  <pic:spPr>
                    <a:xfrm>
                      <a:off x="0" y="0"/>
                      <a:ext cx="5361905" cy="5314286"/>
                    </a:xfrm>
                    <a:prstGeom prst="rect">
                      <a:avLst/>
                    </a:prstGeom>
                    <a:ln>
                      <a:solidFill>
                        <a:schemeClr val="tx1"/>
                      </a:solidFill>
                    </a:ln>
                  </pic:spPr>
                </pic:pic>
              </a:graphicData>
            </a:graphic>
          </wp:inline>
        </w:drawing>
      </w:r>
    </w:p>
    <w:p w14:paraId="2B5BE745" w14:textId="533FBA5B" w:rsidR="0084047D" w:rsidRPr="00FD274F" w:rsidRDefault="0084047D" w:rsidP="00DD6F9D">
      <w:pPr>
        <w:pStyle w:val="BodyNum"/>
        <w:keepNext/>
      </w:pPr>
      <w:r w:rsidRPr="00FD274F">
        <w:t xml:space="preserve">Endnote 3, the legislation history, meets the requirement of </w:t>
      </w:r>
      <w:r w:rsidR="009B5657" w:rsidRPr="00FD274F">
        <w:t>p</w:t>
      </w:r>
      <w:r w:rsidR="009B5657" w:rsidRPr="004709B9">
        <w:t xml:space="preserve">aragraph </w:t>
      </w:r>
      <w:r w:rsidR="00D528C0" w:rsidRPr="004709B9">
        <w:t xml:space="preserve">15P(1)(c) </w:t>
      </w:r>
      <w:r w:rsidRPr="004709B9">
        <w:t xml:space="preserve">of the </w:t>
      </w:r>
      <w:hyperlink r:id="rId300" w:history="1">
        <w:r w:rsidR="00D528C0" w:rsidRPr="004709B9">
          <w:rPr>
            <w:rStyle w:val="Hyperlink"/>
          </w:rPr>
          <w:t>L</w:t>
        </w:r>
        <w:r w:rsidRPr="004709B9">
          <w:rPr>
            <w:rStyle w:val="Hyperlink"/>
          </w:rPr>
          <w:t>A</w:t>
        </w:r>
      </w:hyperlink>
      <w:r w:rsidRPr="004709B9">
        <w:t xml:space="preserve"> for</w:t>
      </w:r>
      <w:r w:rsidRPr="00FD274F">
        <w:t xml:space="preserve"> compilations to include </w:t>
      </w:r>
      <w:r w:rsidR="00D528C0" w:rsidRPr="00FD274F">
        <w:t>commencement and other details for any Act or instrument that amends the principal instrument. I</w:t>
      </w:r>
      <w:r w:rsidRPr="00FD274F">
        <w:t>t is usual to list this material starting with the principal instrument and to</w:t>
      </w:r>
      <w:r w:rsidR="00D20742" w:rsidRPr="00FD274F">
        <w:t xml:space="preserve"> refer to each amending Act or</w:t>
      </w:r>
      <w:r w:rsidRPr="00FD274F">
        <w:t xml:space="preserve"> instrument in chronological order of making. The endnote should contain at least the following information for the principal instrument and each amending Act or instrument (s</w:t>
      </w:r>
      <w:r w:rsidRPr="00FE07C4">
        <w:t xml:space="preserve">ee </w:t>
      </w:r>
      <w:r w:rsidR="00392147" w:rsidRPr="00FE07C4">
        <w:t>I</w:t>
      </w:r>
      <w:r w:rsidRPr="00FE07C4">
        <w:t xml:space="preserve">llustration </w:t>
      </w:r>
      <w:r w:rsidR="009B5657" w:rsidRPr="00FE07C4">
        <w:t>5</w:t>
      </w:r>
      <w:r w:rsidR="00960AAD" w:rsidRPr="00FE07C4">
        <w:t>F</w:t>
      </w:r>
      <w:r w:rsidRPr="00FE07C4">
        <w:t>):</w:t>
      </w:r>
    </w:p>
    <w:p w14:paraId="7FC4056C" w14:textId="77777777" w:rsidR="0084047D" w:rsidRPr="00FD274F" w:rsidRDefault="0084047D" w:rsidP="0084047D">
      <w:pPr>
        <w:pStyle w:val="BodyPara"/>
      </w:pPr>
      <w:r w:rsidRPr="00FD274F">
        <w:t>its full name, and any series number and year that may apply, unless some other method of citation is identified in an earlier endnote;</w:t>
      </w:r>
    </w:p>
    <w:p w14:paraId="1E110BC1" w14:textId="77777777" w:rsidR="0084047D" w:rsidRPr="00FD274F" w:rsidRDefault="0084047D" w:rsidP="0084047D">
      <w:pPr>
        <w:pStyle w:val="BodyPara"/>
      </w:pPr>
      <w:r w:rsidRPr="00FD274F">
        <w:t xml:space="preserve">for an instrument—the instrument’s date of registration and </w:t>
      </w:r>
      <w:r w:rsidR="00506646" w:rsidRPr="00FD274F">
        <w:t xml:space="preserve">registration </w:t>
      </w:r>
      <w:r w:rsidRPr="00FD274F">
        <w:t>ID (or, if it was made before 2005, the date of gazettal and Gazette number);</w:t>
      </w:r>
    </w:p>
    <w:p w14:paraId="0EFCA6FC" w14:textId="138B4878" w:rsidR="0084047D" w:rsidRPr="00FD274F" w:rsidRDefault="0084047D" w:rsidP="0084047D">
      <w:pPr>
        <w:pStyle w:val="BodyPara"/>
      </w:pPr>
      <w:r w:rsidRPr="00FD274F">
        <w:t>details of when it commenced—if, for example, some provisions commenced on one date and the remainder on another date, this should be spelt out</w:t>
      </w:r>
      <w:r w:rsidR="00C743D8">
        <w:t xml:space="preserve">, or if </w:t>
      </w:r>
      <w:r w:rsidR="00C743D8">
        <w:lastRenderedPageBreak/>
        <w:t>the provi</w:t>
      </w:r>
      <w:r w:rsidR="00C743D8" w:rsidRPr="00FE07C4">
        <w:t xml:space="preserve">sions commence in the future, clearly indicating this (see use of underlining in </w:t>
      </w:r>
      <w:r w:rsidR="00392147" w:rsidRPr="00FE07C4">
        <w:t>I</w:t>
      </w:r>
      <w:r w:rsidR="00C743D8" w:rsidRPr="00FE07C4">
        <w:t>llustration 5</w:t>
      </w:r>
      <w:r w:rsidR="00960AAD" w:rsidRPr="00FE07C4">
        <w:t>F</w:t>
      </w:r>
      <w:r w:rsidR="00C743D8" w:rsidRPr="00FE07C4">
        <w:t xml:space="preserve"> b</w:t>
      </w:r>
      <w:r w:rsidR="00C743D8">
        <w:t>elow)</w:t>
      </w:r>
      <w:r w:rsidRPr="00FD274F">
        <w:t>;</w:t>
      </w:r>
    </w:p>
    <w:p w14:paraId="0D9ECA0C" w14:textId="77777777" w:rsidR="0084047D" w:rsidRPr="00FD274F" w:rsidRDefault="0084047D" w:rsidP="0084047D">
      <w:pPr>
        <w:pStyle w:val="BodyPara"/>
      </w:pPr>
      <w:bookmarkStart w:id="111" w:name="_Ref367447079"/>
      <w:r w:rsidRPr="00FD274F">
        <w:t>the location of any application, saving or transitional provisions that are relevant to, but not included in, the principal instrument;</w:t>
      </w:r>
      <w:bookmarkEnd w:id="111"/>
    </w:p>
    <w:p w14:paraId="1FB9E030" w14:textId="77777777" w:rsidR="00083024" w:rsidRPr="00FD274F" w:rsidRDefault="0084047D" w:rsidP="0084047D">
      <w:pPr>
        <w:pStyle w:val="BodyPara"/>
      </w:pPr>
      <w:r w:rsidRPr="00FD274F">
        <w:t>details of any event that has affected the text of the principal instrument</w:t>
      </w:r>
      <w:r w:rsidR="00083024" w:rsidRPr="00FD274F">
        <w:t>—in the case of disallowance of a provision or amendment, the House, date and time of disallowance should be noted.</w:t>
      </w:r>
    </w:p>
    <w:p w14:paraId="38DA6343" w14:textId="59CBCB03" w:rsidR="0084047D" w:rsidRPr="00FD274F" w:rsidRDefault="0084047D" w:rsidP="00CD6FA3">
      <w:pPr>
        <w:pStyle w:val="Body"/>
        <w:keepNext/>
        <w:rPr>
          <w:b/>
        </w:rPr>
      </w:pPr>
      <w:bookmarkStart w:id="112" w:name="_Ref422926992"/>
      <w:r w:rsidRPr="00FD274F">
        <w:rPr>
          <w:b/>
        </w:rPr>
        <w:t xml:space="preserve">Illustration </w:t>
      </w:r>
      <w:r w:rsidR="009B5657" w:rsidRPr="00FD274F">
        <w:rPr>
          <w:b/>
        </w:rPr>
        <w:t>5</w:t>
      </w:r>
      <w:r w:rsidR="00960AAD">
        <w:rPr>
          <w:b/>
        </w:rPr>
        <w:t>F</w:t>
      </w:r>
      <w:r w:rsidRPr="00FD274F">
        <w:rPr>
          <w:b/>
        </w:rPr>
        <w:t>—sampl</w:t>
      </w:r>
      <w:r w:rsidR="00077A94" w:rsidRPr="00FD274F">
        <w:rPr>
          <w:b/>
        </w:rPr>
        <w:t xml:space="preserve">e </w:t>
      </w:r>
      <w:r w:rsidR="00E06893">
        <w:rPr>
          <w:b/>
        </w:rPr>
        <w:t>E</w:t>
      </w:r>
      <w:r w:rsidR="00077A94" w:rsidRPr="00FD274F">
        <w:rPr>
          <w:b/>
        </w:rPr>
        <w:t>ndnote 3—Legislation history</w:t>
      </w:r>
    </w:p>
    <w:p w14:paraId="3BA4F9A0" w14:textId="3FEE2419" w:rsidR="00DD6F9D" w:rsidRPr="00FD274F" w:rsidRDefault="00BE102E" w:rsidP="00077A94">
      <w:pPr>
        <w:pStyle w:val="Body"/>
        <w:jc w:val="center"/>
        <w:rPr>
          <w:b/>
        </w:rPr>
      </w:pPr>
      <w:r>
        <w:rPr>
          <w:noProof/>
        </w:rPr>
        <w:drawing>
          <wp:inline distT="0" distB="0" distL="0" distR="0" wp14:anchorId="2DEBAC53" wp14:editId="42B95B73">
            <wp:extent cx="5732145" cy="5048250"/>
            <wp:effectExtent l="19050" t="19050" r="20955" b="19050"/>
            <wp:docPr id="10" name="Picture 10" descr="Template headed Endnote 3 Legislation history, showing preferred order and format of required information i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1"/>
                    <a:stretch>
                      <a:fillRect/>
                    </a:stretch>
                  </pic:blipFill>
                  <pic:spPr>
                    <a:xfrm>
                      <a:off x="0" y="0"/>
                      <a:ext cx="5732145" cy="5048250"/>
                    </a:xfrm>
                    <a:prstGeom prst="rect">
                      <a:avLst/>
                    </a:prstGeom>
                    <a:ln>
                      <a:solidFill>
                        <a:schemeClr val="tx1"/>
                      </a:solidFill>
                    </a:ln>
                  </pic:spPr>
                </pic:pic>
              </a:graphicData>
            </a:graphic>
          </wp:inline>
        </w:drawing>
      </w:r>
    </w:p>
    <w:p w14:paraId="1010F052" w14:textId="4DDDD655" w:rsidR="0084047D" w:rsidRPr="00FD274F" w:rsidRDefault="0084047D" w:rsidP="0084047D">
      <w:pPr>
        <w:pStyle w:val="BodyNum"/>
        <w:tabs>
          <w:tab w:val="num" w:pos="1146"/>
        </w:tabs>
      </w:pPr>
      <w:bookmarkStart w:id="113" w:name="_Ref444854775"/>
      <w:bookmarkStart w:id="114" w:name="_Ref428882106"/>
      <w:r w:rsidRPr="00FD274F">
        <w:t xml:space="preserve">Endnote 4, the amendment history, meets the requirement of </w:t>
      </w:r>
      <w:r w:rsidR="009B5657" w:rsidRPr="004709B9">
        <w:t>paragraph</w:t>
      </w:r>
      <w:r w:rsidR="00506646" w:rsidRPr="004709B9">
        <w:t xml:space="preserve"> </w:t>
      </w:r>
      <w:r w:rsidR="00D528C0" w:rsidRPr="004709B9">
        <w:t>15P(1)(d)</w:t>
      </w:r>
      <w:r w:rsidRPr="004709B9">
        <w:t xml:space="preserve"> of the </w:t>
      </w:r>
      <w:hyperlink r:id="rId302" w:history="1">
        <w:r w:rsidRPr="004709B9">
          <w:rPr>
            <w:rStyle w:val="Hyperlink"/>
          </w:rPr>
          <w:t>LA</w:t>
        </w:r>
      </w:hyperlink>
      <w:r w:rsidRPr="004709B9">
        <w:t xml:space="preserve"> fo</w:t>
      </w:r>
      <w:r w:rsidRPr="00FD274F">
        <w:t xml:space="preserve">r compilations to include the amendment history of each amended provision. </w:t>
      </w:r>
      <w:proofErr w:type="spellStart"/>
      <w:r w:rsidRPr="00FD274F">
        <w:t>OPC</w:t>
      </w:r>
      <w:proofErr w:type="spellEnd"/>
      <w:r w:rsidRPr="00FD274F">
        <w:t xml:space="preserve"> generally annotates amendments to the section level or higher as appropriate. As illustrated in </w:t>
      </w:r>
      <w:r w:rsidR="00392147" w:rsidRPr="00FE07C4">
        <w:t>I</w:t>
      </w:r>
      <w:r w:rsidRPr="00FE07C4">
        <w:t xml:space="preserve">llustration </w:t>
      </w:r>
      <w:r w:rsidR="009B5657" w:rsidRPr="00FE07C4">
        <w:t>5</w:t>
      </w:r>
      <w:r w:rsidR="007F0A4E" w:rsidRPr="00FE07C4">
        <w:t>G</w:t>
      </w:r>
      <w:r w:rsidRPr="00FE07C4">
        <w:t>, t</w:t>
      </w:r>
      <w:r w:rsidRPr="00FD274F">
        <w:t>he endnote should note the nature of, and authority for, any change and in particular:</w:t>
      </w:r>
      <w:bookmarkEnd w:id="113"/>
    </w:p>
    <w:p w14:paraId="74E0464A" w14:textId="77777777" w:rsidR="0084047D" w:rsidRPr="00FD274F" w:rsidRDefault="0084047D" w:rsidP="0084047D">
      <w:pPr>
        <w:pStyle w:val="BodyPara"/>
      </w:pPr>
      <w:r w:rsidRPr="00FD274F">
        <w:t>identify the authority for a change by its full name unless a suitable acronym or a series number and year is identified in an earlier endnote</w:t>
      </w:r>
      <w:bookmarkEnd w:id="112"/>
      <w:bookmarkEnd w:id="114"/>
      <w:r w:rsidR="00E06893">
        <w:t>; and</w:t>
      </w:r>
    </w:p>
    <w:p w14:paraId="5AF5702E" w14:textId="77777777" w:rsidR="0084047D" w:rsidRPr="00FD274F" w:rsidRDefault="0084047D" w:rsidP="0084047D">
      <w:pPr>
        <w:pStyle w:val="BodyPara"/>
      </w:pPr>
      <w:bookmarkStart w:id="115" w:name="_Ref444854800"/>
      <w:r w:rsidRPr="00FD274F">
        <w:lastRenderedPageBreak/>
        <w:t>use underlining to indicate</w:t>
      </w:r>
      <w:r w:rsidR="00AB5E02">
        <w:t xml:space="preserve"> </w:t>
      </w:r>
      <w:r w:rsidRPr="00FD274F">
        <w:t>changes that have not commenced such as:</w:t>
      </w:r>
      <w:bookmarkEnd w:id="115"/>
    </w:p>
    <w:p w14:paraId="14DD72C0" w14:textId="77777777" w:rsidR="0084047D" w:rsidRPr="00FD274F" w:rsidRDefault="0084047D" w:rsidP="0084047D">
      <w:pPr>
        <w:pStyle w:val="BodySubPara"/>
        <w:spacing w:before="0"/>
        <w:contextualSpacing/>
      </w:pPr>
      <w:proofErr w:type="spellStart"/>
      <w:r w:rsidRPr="00FD274F">
        <w:t>uncommenced</w:t>
      </w:r>
      <w:proofErr w:type="spellEnd"/>
      <w:r w:rsidRPr="00FD274F">
        <w:t xml:space="preserve"> amendments; and</w:t>
      </w:r>
    </w:p>
    <w:p w14:paraId="0E87E1A8" w14:textId="6B09F96F" w:rsidR="0084047D" w:rsidRPr="00FD274F" w:rsidRDefault="0084047D" w:rsidP="0084047D">
      <w:pPr>
        <w:pStyle w:val="BodySubPara"/>
        <w:contextualSpacing/>
      </w:pPr>
      <w:r w:rsidRPr="00FD274F">
        <w:t>self</w:t>
      </w:r>
      <w:r w:rsidR="009C4251">
        <w:noBreakHyphen/>
      </w:r>
      <w:r w:rsidRPr="00FD274F">
        <w:t>repealing provisions that have not yet operated; and</w:t>
      </w:r>
    </w:p>
    <w:p w14:paraId="0DE89C76" w14:textId="77777777" w:rsidR="0084047D" w:rsidRPr="00FD274F" w:rsidRDefault="0084047D" w:rsidP="0047607F">
      <w:pPr>
        <w:pStyle w:val="BodyPara"/>
      </w:pPr>
      <w:r w:rsidRPr="00FD274F">
        <w:t xml:space="preserve">if a provision of the instrument as made </w:t>
      </w:r>
      <w:r w:rsidR="0047607F" w:rsidRPr="00FD274F">
        <w:t xml:space="preserve">or </w:t>
      </w:r>
      <w:r w:rsidRPr="00FD274F">
        <w:t>an amendment</w:t>
      </w:r>
      <w:r w:rsidR="0047607F" w:rsidRPr="00FD274F">
        <w:t xml:space="preserve"> to the instrument</w:t>
      </w:r>
      <w:r w:rsidRPr="00FD274F">
        <w:t xml:space="preserve"> has been disallowed</w:t>
      </w:r>
      <w:r w:rsidR="00083024" w:rsidRPr="00FD274F">
        <w:t xml:space="preserve"> in part or in full, an annotation to this effect</w:t>
      </w:r>
      <w:r w:rsidRPr="00FD274F">
        <w:t>.</w:t>
      </w:r>
    </w:p>
    <w:p w14:paraId="2FC717B6" w14:textId="536D0DD1" w:rsidR="0084047D" w:rsidRPr="00FD274F" w:rsidRDefault="009B5657" w:rsidP="00CD6FA3">
      <w:pPr>
        <w:pStyle w:val="Body"/>
        <w:keepNext/>
        <w:spacing w:after="120"/>
        <w:rPr>
          <w:b/>
        </w:rPr>
      </w:pPr>
      <w:bookmarkStart w:id="116" w:name="_Ref367446781"/>
      <w:r w:rsidRPr="00FD274F">
        <w:rPr>
          <w:b/>
        </w:rPr>
        <w:t>Illustration 5</w:t>
      </w:r>
      <w:r w:rsidR="007F0A4E">
        <w:rPr>
          <w:b/>
        </w:rPr>
        <w:t>G</w:t>
      </w:r>
      <w:r w:rsidR="0084047D" w:rsidRPr="00FD274F">
        <w:rPr>
          <w:b/>
        </w:rPr>
        <w:t xml:space="preserve">—sample </w:t>
      </w:r>
      <w:r w:rsidR="00E06893">
        <w:rPr>
          <w:b/>
        </w:rPr>
        <w:t>Endnote 4—Amendment history</w:t>
      </w:r>
    </w:p>
    <w:p w14:paraId="48F734E8" w14:textId="07FDA49B" w:rsidR="0010571F" w:rsidRPr="00FD274F" w:rsidRDefault="0000182F" w:rsidP="0084047D">
      <w:pPr>
        <w:pStyle w:val="Body"/>
        <w:ind w:left="720"/>
      </w:pPr>
      <w:r>
        <w:rPr>
          <w:noProof/>
        </w:rPr>
        <w:drawing>
          <wp:inline distT="0" distB="0" distL="0" distR="0" wp14:anchorId="28A08DD9" wp14:editId="64060861">
            <wp:extent cx="4942857" cy="5676190"/>
            <wp:effectExtent l="19050" t="19050" r="10160" b="20320"/>
            <wp:docPr id="17" name="Picture 17" descr="Example headed Endnote 4 Amendment History, showing preferred presentation of provisions and their amendments i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3"/>
                    <a:stretch>
                      <a:fillRect/>
                    </a:stretch>
                  </pic:blipFill>
                  <pic:spPr>
                    <a:xfrm>
                      <a:off x="0" y="0"/>
                      <a:ext cx="4942857" cy="5676190"/>
                    </a:xfrm>
                    <a:prstGeom prst="rect">
                      <a:avLst/>
                    </a:prstGeom>
                    <a:ln>
                      <a:solidFill>
                        <a:schemeClr val="tx1"/>
                      </a:solidFill>
                    </a:ln>
                  </pic:spPr>
                </pic:pic>
              </a:graphicData>
            </a:graphic>
          </wp:inline>
        </w:drawing>
      </w:r>
    </w:p>
    <w:p w14:paraId="46B00D15" w14:textId="0F73CF00" w:rsidR="00473AFE" w:rsidRDefault="0000182F" w:rsidP="0084047D">
      <w:pPr>
        <w:pStyle w:val="BodyNum"/>
      </w:pPr>
      <w:bookmarkStart w:id="117" w:name="_Ref428882126"/>
      <w:r>
        <w:t xml:space="preserve">The amendment history captured against section 2.14 in the example endnote 4 above indicates that subsection (3) of that section contains a future </w:t>
      </w:r>
      <w:proofErr w:type="spellStart"/>
      <w:r>
        <w:t>self repeal</w:t>
      </w:r>
      <w:proofErr w:type="spellEnd"/>
      <w:r w:rsidR="00473AFE">
        <w:t xml:space="preserve"> for the section as follows</w:t>
      </w:r>
      <w:r>
        <w:t>:</w:t>
      </w:r>
    </w:p>
    <w:p w14:paraId="06FF85CC" w14:textId="4EA47C05" w:rsidR="0000182F" w:rsidRDefault="005332BA" w:rsidP="005332BA">
      <w:pPr>
        <w:pStyle w:val="subsection"/>
      </w:pPr>
      <w:r>
        <w:tab/>
      </w:r>
      <w:r w:rsidR="0000182F">
        <w:t>(3)</w:t>
      </w:r>
      <w:r w:rsidR="0000182F">
        <w:tab/>
        <w:t>This section is repealed at the end of 1 December 2040</w:t>
      </w:r>
      <w:r w:rsidR="00473AFE">
        <w:t>.</w:t>
      </w:r>
    </w:p>
    <w:p w14:paraId="12BF7C4E" w14:textId="78B30624" w:rsidR="0084047D" w:rsidRPr="00FD274F" w:rsidRDefault="0084047D" w:rsidP="0084047D">
      <w:pPr>
        <w:pStyle w:val="BodyNum"/>
      </w:pPr>
      <w:bookmarkStart w:id="118" w:name="_Ref110331473"/>
      <w:r w:rsidRPr="00FD274F">
        <w:lastRenderedPageBreak/>
        <w:t>Special care is needed if an amendment does not accurately describe the amendments to be made, and it may be necessary or desirable to get legal advice on whether and how to apply the amendment. For example, it may be that an amendment:</w:t>
      </w:r>
      <w:bookmarkEnd w:id="117"/>
      <w:bookmarkEnd w:id="118"/>
    </w:p>
    <w:p w14:paraId="57106CAA" w14:textId="77777777" w:rsidR="0084047D" w:rsidRPr="00FD274F" w:rsidRDefault="0084047D" w:rsidP="0084047D">
      <w:pPr>
        <w:pStyle w:val="BodyPara"/>
      </w:pPr>
      <w:r w:rsidRPr="00FD274F">
        <w:t>cites an incorrect provision (e.g. subsection 296T(1) instead of 269T(1)); or</w:t>
      </w:r>
    </w:p>
    <w:p w14:paraId="2C2595AB" w14:textId="77777777" w:rsidR="0084047D" w:rsidRPr="00FD274F" w:rsidRDefault="0084047D" w:rsidP="0084047D">
      <w:pPr>
        <w:pStyle w:val="BodyPara"/>
      </w:pPr>
      <w:r w:rsidRPr="00FD274F">
        <w:t>cites the text of a provision incorrectly (e.g. it may provide for the omission of text ending in “a child” when the existing provision uses the term “the child”); or</w:t>
      </w:r>
    </w:p>
    <w:p w14:paraId="38EB87C7" w14:textId="77777777" w:rsidR="0084047D" w:rsidRPr="00FD274F" w:rsidRDefault="0084047D" w:rsidP="0084047D">
      <w:pPr>
        <w:pStyle w:val="BodyPara"/>
      </w:pPr>
      <w:r w:rsidRPr="00FD274F">
        <w:t>repeals and substitutes a provision that has already been repealed by some other means (such as automatic repeal).</w:t>
      </w:r>
    </w:p>
    <w:p w14:paraId="53708450" w14:textId="10B5F13F" w:rsidR="00712F89" w:rsidRPr="002D6F11" w:rsidRDefault="0084047D" w:rsidP="00171AD9">
      <w:pPr>
        <w:pStyle w:val="BodyNum"/>
        <w:keepLines/>
      </w:pPr>
      <w:bookmarkStart w:id="119" w:name="_Ref428882137"/>
      <w:r w:rsidRPr="002D6F11">
        <w:t xml:space="preserve">If </w:t>
      </w:r>
      <w:r w:rsidR="00ED6E9D" w:rsidRPr="002D6F11">
        <w:t>the amendment cannot be incorporated as a result of the misdescription</w:t>
      </w:r>
      <w:r w:rsidRPr="002D6F11">
        <w:t xml:space="preserve">, the abbreviation “(md not </w:t>
      </w:r>
      <w:proofErr w:type="spellStart"/>
      <w:r w:rsidRPr="002D6F11">
        <w:t>incorp</w:t>
      </w:r>
      <w:proofErr w:type="spellEnd"/>
      <w:r w:rsidRPr="002D6F11">
        <w:t>)” should be noted in the amendment history.</w:t>
      </w:r>
      <w:r w:rsidR="00666A2F" w:rsidRPr="002D6F11">
        <w:t xml:space="preserve"> Formal amendments </w:t>
      </w:r>
      <w:r w:rsidR="00D07384">
        <w:t>may</w:t>
      </w:r>
      <w:r w:rsidR="00666A2F" w:rsidRPr="002D6F11">
        <w:t xml:space="preserve"> then be required to resolve the misdescription.</w:t>
      </w:r>
      <w:r w:rsidR="005B6707">
        <w:t xml:space="preserve"> P</w:t>
      </w:r>
      <w:r w:rsidR="005B6707" w:rsidRPr="006F383F">
        <w:rPr>
          <w:szCs w:val="24"/>
        </w:rPr>
        <w:t xml:space="preserve">lease contact </w:t>
      </w:r>
      <w:proofErr w:type="spellStart"/>
      <w:r w:rsidR="005B6707" w:rsidRPr="006F383F">
        <w:rPr>
          <w:szCs w:val="24"/>
        </w:rPr>
        <w:t>OPC</w:t>
      </w:r>
      <w:proofErr w:type="spellEnd"/>
      <w:r w:rsidR="005B6707" w:rsidRPr="006F383F">
        <w:rPr>
          <w:szCs w:val="24"/>
        </w:rPr>
        <w:t xml:space="preserve"> (</w:t>
      </w:r>
      <w:hyperlink r:id="rId304" w:history="1">
        <w:hyperlink r:id="rId305" w:history="1">
          <w:r w:rsidR="005B6707" w:rsidRPr="006F383F">
            <w:rPr>
              <w:rStyle w:val="Hyperlink"/>
              <w:rFonts w:eastAsiaTheme="minorHAnsi"/>
              <w:szCs w:val="24"/>
              <w:lang w:eastAsia="en-US"/>
            </w:rPr>
            <w:t>lodge@legislation.gov.au</w:t>
          </w:r>
        </w:hyperlink>
      </w:hyperlink>
      <w:r w:rsidR="005B6707" w:rsidRPr="006F383F">
        <w:rPr>
          <w:szCs w:val="24"/>
        </w:rPr>
        <w:t xml:space="preserve"> or (02) 6120 1350)</w:t>
      </w:r>
      <w:r w:rsidR="005B6707">
        <w:rPr>
          <w:szCs w:val="24"/>
        </w:rPr>
        <w:t xml:space="preserve"> to discuss the options when dealing with misdescribed amendments</w:t>
      </w:r>
      <w:r w:rsidR="005B6707">
        <w:t>.</w:t>
      </w:r>
    </w:p>
    <w:p w14:paraId="6BD489FC" w14:textId="2EF4C90B" w:rsidR="00ED6E9D" w:rsidRPr="002D6F11" w:rsidRDefault="00ED6E9D" w:rsidP="00712F89">
      <w:pPr>
        <w:pStyle w:val="BodyNum"/>
        <w:keepLines/>
      </w:pPr>
      <w:r w:rsidRPr="002D6F11">
        <w:t>Se</w:t>
      </w:r>
      <w:r w:rsidRPr="004709B9">
        <w:t xml:space="preserve">ction 15V of the </w:t>
      </w:r>
      <w:hyperlink r:id="rId306" w:history="1">
        <w:r w:rsidRPr="004709B9">
          <w:rPr>
            <w:rStyle w:val="Hyperlink"/>
          </w:rPr>
          <w:t>LA</w:t>
        </w:r>
      </w:hyperlink>
      <w:r w:rsidRPr="002D6F11">
        <w:t xml:space="preserve"> authorises First Parliamentary Counsel to make editorial and presentational changes to a compiled law in preparing a compilation of the law for registration</w:t>
      </w:r>
      <w:r w:rsidR="00712F89" w:rsidRPr="002D6F11">
        <w:t>, including giving effect to misdescribed amendments as intended</w:t>
      </w:r>
      <w:r w:rsidRPr="002D6F11">
        <w:t>.</w:t>
      </w:r>
      <w:r w:rsidR="00712F89" w:rsidRPr="002D6F11">
        <w:t xml:space="preserve"> The changes must not change the effect of the law. </w:t>
      </w:r>
      <w:r w:rsidRPr="002D6F11">
        <w:t xml:space="preserve">Approval for an editorial change can only be sought when </w:t>
      </w:r>
      <w:proofErr w:type="spellStart"/>
      <w:r w:rsidRPr="002D6F11">
        <w:t>OPC</w:t>
      </w:r>
      <w:proofErr w:type="spellEnd"/>
      <w:r w:rsidRPr="002D6F11">
        <w:t xml:space="preserve"> is preparing the compilation</w:t>
      </w:r>
      <w:r w:rsidR="00C22F5F" w:rsidRPr="002D6F11">
        <w:t xml:space="preserve"> on behalf of an agency</w:t>
      </w:r>
      <w:r w:rsidRPr="002D6F11">
        <w:t>.</w:t>
      </w:r>
    </w:p>
    <w:p w14:paraId="09BFDDEF" w14:textId="47AF3696" w:rsidR="00666A2F" w:rsidRPr="002D6F11" w:rsidRDefault="00ED6E9D" w:rsidP="00666A2F">
      <w:pPr>
        <w:pStyle w:val="BodyNum"/>
        <w:keepLines/>
      </w:pPr>
      <w:r w:rsidRPr="002D6F11">
        <w:t xml:space="preserve">If </w:t>
      </w:r>
      <w:proofErr w:type="spellStart"/>
      <w:r w:rsidRPr="002D6F11">
        <w:t>OPC</w:t>
      </w:r>
      <w:proofErr w:type="spellEnd"/>
      <w:r w:rsidRPr="002D6F11">
        <w:t xml:space="preserve"> is preparing the compilation on behalf of an agency and an editorial change is required, </w:t>
      </w:r>
      <w:proofErr w:type="spellStart"/>
      <w:r w:rsidRPr="002D6F11">
        <w:t>OPC</w:t>
      </w:r>
      <w:proofErr w:type="spellEnd"/>
      <w:r w:rsidRPr="002D6F11">
        <w:t xml:space="preserve"> will contact the agency </w:t>
      </w:r>
      <w:r w:rsidR="00666A2F" w:rsidRPr="002D6F11">
        <w:t xml:space="preserve">regarding the issue and </w:t>
      </w:r>
      <w:r w:rsidRPr="002D6F11">
        <w:t>seek approval for the cost of each editorial change</w:t>
      </w:r>
      <w:r w:rsidR="00366115" w:rsidRPr="002D6F11">
        <w:t>. Depending on the complexity of the editorial change(s) required and any other issues identified in the quality assurance process, additional compilation preparation time may also be required.</w:t>
      </w:r>
    </w:p>
    <w:bookmarkEnd w:id="116"/>
    <w:bookmarkEnd w:id="119"/>
    <w:p w14:paraId="78382AC5" w14:textId="0DCF8FC1" w:rsidR="0084047D" w:rsidRPr="00FD274F" w:rsidRDefault="0084047D" w:rsidP="0084047D">
      <w:pPr>
        <w:pStyle w:val="BodyNum"/>
      </w:pPr>
      <w:r w:rsidRPr="00FD274F">
        <w:t>An additional Endnote 5, miscellaneous, is not mandatory but may be used if there are other matters that may be relevant to the compilation. For example, if the principal instrument applies, adopts or incorporates another document by reference, it may be appropriate to include a note about any changes in:</w:t>
      </w:r>
    </w:p>
    <w:p w14:paraId="1DCDC29A" w14:textId="77777777" w:rsidR="0084047D" w:rsidRPr="00FD274F" w:rsidRDefault="0084047D" w:rsidP="0084047D">
      <w:pPr>
        <w:pStyle w:val="BodyPara"/>
      </w:pPr>
      <w:r w:rsidRPr="00FD274F">
        <w:t>the availability or location of the other document; or</w:t>
      </w:r>
    </w:p>
    <w:p w14:paraId="79AF4B4F" w14:textId="2B41555E" w:rsidR="0084047D" w:rsidRPr="00FD274F" w:rsidRDefault="0084047D" w:rsidP="0084047D">
      <w:pPr>
        <w:pStyle w:val="BodyPara"/>
      </w:pPr>
      <w:r w:rsidRPr="00FD274F">
        <w:t xml:space="preserve">the content or currency of the document—for example, a new version may have been issued but the old version continues to apply to the principal instrument consistent with </w:t>
      </w:r>
      <w:r w:rsidRPr="004709B9">
        <w:t xml:space="preserve">section 14 of the </w:t>
      </w:r>
      <w:hyperlink r:id="rId307" w:history="1">
        <w:r w:rsidRPr="004709B9">
          <w:rPr>
            <w:rStyle w:val="Hyperlink"/>
          </w:rPr>
          <w:t>LA</w:t>
        </w:r>
      </w:hyperlink>
      <w:r w:rsidR="00E06893" w:rsidRPr="004709B9">
        <w:t>.</w:t>
      </w:r>
    </w:p>
    <w:p w14:paraId="54E90CD6" w14:textId="0ED03F1D" w:rsidR="0084047D" w:rsidRPr="00FD274F" w:rsidRDefault="0084047D" w:rsidP="0084047D">
      <w:pPr>
        <w:pStyle w:val="BodyNum"/>
        <w:rPr>
          <w:szCs w:val="24"/>
        </w:rPr>
      </w:pPr>
      <w:r w:rsidRPr="00FD274F">
        <w:rPr>
          <w:szCs w:val="22"/>
        </w:rPr>
        <w:t xml:space="preserve">For information and </w:t>
      </w:r>
      <w:r w:rsidRPr="00FD274F">
        <w:rPr>
          <w:szCs w:val="24"/>
        </w:rPr>
        <w:t xml:space="preserve">assistance on compilations, please contact </w:t>
      </w:r>
      <w:proofErr w:type="spellStart"/>
      <w:r w:rsidRPr="00FD274F">
        <w:rPr>
          <w:szCs w:val="24"/>
        </w:rPr>
        <w:t>OPC</w:t>
      </w:r>
      <w:proofErr w:type="spellEnd"/>
      <w:r w:rsidRPr="00FD274F">
        <w:rPr>
          <w:szCs w:val="24"/>
        </w:rPr>
        <w:t xml:space="preserve"> (</w:t>
      </w:r>
      <w:hyperlink r:id="rId308" w:history="1">
        <w:hyperlink r:id="rId309" w:history="1">
          <w:r w:rsidR="00D53143" w:rsidRPr="00FD274F">
            <w:rPr>
              <w:rStyle w:val="Hyperlink"/>
              <w:rFonts w:eastAsiaTheme="minorHAnsi"/>
              <w:szCs w:val="24"/>
              <w:lang w:eastAsia="en-US"/>
            </w:rPr>
            <w:t>lodge@legislation.gov.au</w:t>
          </w:r>
        </w:hyperlink>
      </w:hyperlink>
      <w:r w:rsidRPr="00FD274F">
        <w:rPr>
          <w:szCs w:val="24"/>
        </w:rPr>
        <w:t xml:space="preserve"> or (02) 6120 </w:t>
      </w:r>
      <w:r w:rsidR="008C77DE" w:rsidRPr="00FD274F">
        <w:rPr>
          <w:szCs w:val="24"/>
        </w:rPr>
        <w:t>1350</w:t>
      </w:r>
      <w:r w:rsidRPr="00FD274F">
        <w:rPr>
          <w:szCs w:val="24"/>
        </w:rPr>
        <w:t>).</w:t>
      </w:r>
    </w:p>
    <w:p w14:paraId="0B9E4064" w14:textId="77777777" w:rsidR="00DD5A0A" w:rsidRPr="00FD274F" w:rsidRDefault="00EA6043" w:rsidP="00EA6043">
      <w:pPr>
        <w:pStyle w:val="Head3"/>
      </w:pPr>
      <w:bookmarkStart w:id="120" w:name="_Toc112918793"/>
      <w:r w:rsidRPr="00FD274F">
        <w:t xml:space="preserve">Scope to </w:t>
      </w:r>
      <w:r w:rsidR="00DD5A0A" w:rsidRPr="00FD274F">
        <w:t>correct errors and make other changes</w:t>
      </w:r>
      <w:bookmarkEnd w:id="120"/>
    </w:p>
    <w:p w14:paraId="5118FD37" w14:textId="6611F707" w:rsidR="00C33B0F" w:rsidRPr="00FD274F" w:rsidRDefault="00DD5A0A" w:rsidP="00DD5A0A">
      <w:pPr>
        <w:pStyle w:val="BodyNum"/>
      </w:pPr>
      <w:bookmarkStart w:id="121" w:name="_Ref441240649"/>
      <w:r w:rsidRPr="00FD274F">
        <w:t>It is possible to make editorial changes and other changes to an instrument as part of preparing a compilation</w:t>
      </w:r>
      <w:r w:rsidR="00EC28EA" w:rsidRPr="00FD274F">
        <w:t xml:space="preserve"> (and for examples, </w:t>
      </w:r>
      <w:r w:rsidR="00EC28EA" w:rsidRPr="004709B9">
        <w:t>see s</w:t>
      </w:r>
      <w:r w:rsidRPr="004709B9">
        <w:t xml:space="preserve">ections 15V and 15X of the </w:t>
      </w:r>
      <w:hyperlink r:id="rId310" w:history="1">
        <w:r w:rsidRPr="004709B9">
          <w:rPr>
            <w:rStyle w:val="Hyperlink"/>
          </w:rPr>
          <w:t>LA</w:t>
        </w:r>
      </w:hyperlink>
      <w:r w:rsidR="00EC28EA" w:rsidRPr="004709B9">
        <w:t>).</w:t>
      </w:r>
      <w:r w:rsidR="00EC28EA" w:rsidRPr="00FD274F">
        <w:t xml:space="preserve"> However, t</w:t>
      </w:r>
      <w:bookmarkEnd w:id="121"/>
      <w:r w:rsidR="00C33B0F" w:rsidRPr="00FD274F">
        <w:t>his power:</w:t>
      </w:r>
    </w:p>
    <w:p w14:paraId="46B70C5C" w14:textId="77777777" w:rsidR="00C33B0F" w:rsidRPr="00FD274F" w:rsidRDefault="00017258" w:rsidP="00C33B0F">
      <w:pPr>
        <w:pStyle w:val="BodyPara"/>
      </w:pPr>
      <w:r w:rsidRPr="00FD274F">
        <w:lastRenderedPageBreak/>
        <w:t xml:space="preserve">can only be used by the </w:t>
      </w:r>
      <w:r w:rsidR="00DD5A0A" w:rsidRPr="00FD274F">
        <w:t xml:space="preserve">First Parliamentary Counsel—there is no scope for </w:t>
      </w:r>
      <w:r w:rsidR="00EF3C18">
        <w:t>agencies to make</w:t>
      </w:r>
      <w:r w:rsidR="00DD5A0A" w:rsidRPr="00FD274F">
        <w:t xml:space="preserve"> editorial changes in an agency</w:t>
      </w:r>
      <w:r w:rsidR="009C4251">
        <w:noBreakHyphen/>
      </w:r>
      <w:r w:rsidR="00DD5A0A" w:rsidRPr="00FD274F">
        <w:t>prepared compilation of a legislative instrument or a notifiable instrument</w:t>
      </w:r>
      <w:r w:rsidR="00C33B0F" w:rsidRPr="00FD274F">
        <w:t xml:space="preserve">; </w:t>
      </w:r>
      <w:r w:rsidR="00E06893">
        <w:t>and</w:t>
      </w:r>
    </w:p>
    <w:p w14:paraId="7761F60B" w14:textId="77777777" w:rsidR="00DD5A0A" w:rsidRPr="00FD274F" w:rsidRDefault="00DD5A0A" w:rsidP="00C33B0F">
      <w:pPr>
        <w:pStyle w:val="BodyPara"/>
      </w:pPr>
      <w:r w:rsidRPr="00FD274F">
        <w:t xml:space="preserve">cannot be used to change the effect of </w:t>
      </w:r>
      <w:r w:rsidR="00583239" w:rsidRPr="00FD274F">
        <w:t>an instrument;</w:t>
      </w:r>
      <w:r w:rsidR="005E3ED2" w:rsidRPr="00FD274F">
        <w:t xml:space="preserve"> and</w:t>
      </w:r>
    </w:p>
    <w:p w14:paraId="0428EEEC" w14:textId="77777777" w:rsidR="005E3ED2" w:rsidRPr="00FD274F" w:rsidRDefault="005F142B" w:rsidP="00C33B0F">
      <w:pPr>
        <w:pStyle w:val="BodyPara"/>
      </w:pPr>
      <w:r w:rsidRPr="00FD274F">
        <w:t xml:space="preserve">may not be appropriate if, for example, </w:t>
      </w:r>
      <w:r w:rsidR="00282DB6" w:rsidRPr="00FD274F">
        <w:t xml:space="preserve">a law </w:t>
      </w:r>
      <w:r w:rsidR="009574B4" w:rsidRPr="00FD274F">
        <w:t>requires</w:t>
      </w:r>
      <w:r w:rsidR="005E3ED2" w:rsidRPr="00FD274F">
        <w:t xml:space="preserve"> consultation</w:t>
      </w:r>
      <w:r w:rsidR="00282DB6" w:rsidRPr="00FD274F">
        <w:t xml:space="preserve"> </w:t>
      </w:r>
      <w:r w:rsidR="005E3ED2" w:rsidRPr="00FD274F">
        <w:t xml:space="preserve">with or approval from another jurisdiction such as New Zealand, or </w:t>
      </w:r>
      <w:r w:rsidRPr="00FD274F">
        <w:t>involves a</w:t>
      </w:r>
      <w:r w:rsidR="00F068FE" w:rsidRPr="00FD274F">
        <w:t xml:space="preserve"> </w:t>
      </w:r>
      <w:r w:rsidR="005E3ED2" w:rsidRPr="00FD274F">
        <w:t>referral of pow</w:t>
      </w:r>
      <w:r w:rsidR="00E06893">
        <w:t>er from States and Territories.</w:t>
      </w:r>
    </w:p>
    <w:p w14:paraId="31628F01" w14:textId="3109AF88" w:rsidR="00DD5A0A" w:rsidRPr="00FD274F" w:rsidRDefault="00DD5A0A" w:rsidP="00DD5A0A">
      <w:pPr>
        <w:pStyle w:val="BodyNum"/>
        <w:rPr>
          <w:szCs w:val="24"/>
        </w:rPr>
      </w:pPr>
      <w:bookmarkStart w:id="122" w:name="_Ref441240651"/>
      <w:r w:rsidRPr="00FD274F">
        <w:t>If your a</w:t>
      </w:r>
      <w:r w:rsidRPr="00FD274F">
        <w:rPr>
          <w:szCs w:val="24"/>
        </w:rPr>
        <w:t xml:space="preserve">gency would like to nominate an instrument for editorial changes, please email </w:t>
      </w:r>
      <w:proofErr w:type="spellStart"/>
      <w:r w:rsidRPr="00FD274F">
        <w:rPr>
          <w:szCs w:val="24"/>
        </w:rPr>
        <w:t>OPC</w:t>
      </w:r>
      <w:proofErr w:type="spellEnd"/>
      <w:r w:rsidRPr="00FD274F">
        <w:rPr>
          <w:szCs w:val="24"/>
        </w:rPr>
        <w:t xml:space="preserve"> (</w:t>
      </w:r>
      <w:hyperlink r:id="rId311" w:history="1">
        <w:hyperlink r:id="rId312" w:history="1">
          <w:r w:rsidR="00D53143" w:rsidRPr="00FD274F">
            <w:rPr>
              <w:rStyle w:val="Hyperlink"/>
              <w:rFonts w:eastAsiaTheme="minorHAnsi"/>
              <w:szCs w:val="24"/>
              <w:lang w:eastAsia="en-US"/>
            </w:rPr>
            <w:t>lodge@legislation.gov.au</w:t>
          </w:r>
        </w:hyperlink>
      </w:hyperlink>
      <w:r w:rsidRPr="00C15392">
        <w:t>)</w:t>
      </w:r>
      <w:r w:rsidRPr="00FD274F">
        <w:rPr>
          <w:rStyle w:val="Hyperlink"/>
          <w:szCs w:val="24"/>
        </w:rPr>
        <w:t xml:space="preserve"> </w:t>
      </w:r>
      <w:r w:rsidRPr="00FD274F">
        <w:rPr>
          <w:szCs w:val="24"/>
        </w:rPr>
        <w:t>with more information about what changes are sought</w:t>
      </w:r>
      <w:r w:rsidR="000D0C5E">
        <w:rPr>
          <w:szCs w:val="24"/>
        </w:rPr>
        <w:t xml:space="preserve"> and</w:t>
      </w:r>
      <w:r w:rsidRPr="00FD274F">
        <w:rPr>
          <w:szCs w:val="24"/>
        </w:rPr>
        <w:t xml:space="preserve"> why the changes are desirable</w:t>
      </w:r>
      <w:r w:rsidR="005C76A8">
        <w:rPr>
          <w:szCs w:val="24"/>
        </w:rPr>
        <w:t>.</w:t>
      </w:r>
      <w:r w:rsidRPr="00FD274F">
        <w:rPr>
          <w:szCs w:val="24"/>
        </w:rPr>
        <w:t xml:space="preserve"> Fees may apply for the preparation of associated compilations, if the First Parliamentary Counsel agrees that changes can and should be made.</w:t>
      </w:r>
      <w:bookmarkEnd w:id="122"/>
    </w:p>
    <w:p w14:paraId="2D14E6D7" w14:textId="77777777" w:rsidR="0084047D" w:rsidRPr="00FD274F" w:rsidRDefault="0084047D" w:rsidP="0084047D">
      <w:pPr>
        <w:pStyle w:val="Head3"/>
      </w:pPr>
      <w:bookmarkStart w:id="123" w:name="_Toc112918794"/>
      <w:r w:rsidRPr="00FD274F">
        <w:t>How to lodge compilations for registration</w:t>
      </w:r>
      <w:bookmarkEnd w:id="123"/>
    </w:p>
    <w:p w14:paraId="15E898E7" w14:textId="5B9FC45A" w:rsidR="0084047D" w:rsidRPr="00FD274F" w:rsidRDefault="0084047D" w:rsidP="0084047D">
      <w:pPr>
        <w:pStyle w:val="BodyNum"/>
        <w:rPr>
          <w:spacing w:val="-4"/>
        </w:rPr>
      </w:pPr>
      <w:r w:rsidRPr="00FD274F">
        <w:rPr>
          <w:spacing w:val="-4"/>
        </w:rPr>
        <w:t>The processes for, and fees associated with, lodging a compilation for registration are very similar to those for lodging a legislative instrument. For current guidance and help on these matters, see the</w:t>
      </w:r>
      <w:r w:rsidR="000920EC">
        <w:rPr>
          <w:spacing w:val="-4"/>
        </w:rPr>
        <w:t xml:space="preserve"> home page of the</w:t>
      </w:r>
      <w:r w:rsidRPr="00FD274F">
        <w:rPr>
          <w:spacing w:val="-4"/>
        </w:rPr>
        <w:t xml:space="preserve"> </w:t>
      </w:r>
      <w:hyperlink r:id="rId313" w:history="1">
        <w:r w:rsidR="00743D59" w:rsidRPr="00FD274F">
          <w:rPr>
            <w:rStyle w:val="Hyperlink"/>
            <w:spacing w:val="-4"/>
          </w:rPr>
          <w:t>lodgement facility</w:t>
        </w:r>
      </w:hyperlink>
      <w:r w:rsidRPr="00FD274F">
        <w:rPr>
          <w:spacing w:val="-4"/>
        </w:rPr>
        <w:t xml:space="preserve"> or contact the </w:t>
      </w:r>
      <w:r w:rsidR="00743D59" w:rsidRPr="00FD274F">
        <w:rPr>
          <w:spacing w:val="-4"/>
        </w:rPr>
        <w:t>Register</w:t>
      </w:r>
      <w:r w:rsidRPr="00FD274F">
        <w:rPr>
          <w:spacing w:val="-4"/>
        </w:rPr>
        <w:t xml:space="preserve"> Help Desk on (02) 6120 1350.</w:t>
      </w:r>
    </w:p>
    <w:p w14:paraId="173EA4BF" w14:textId="4ABB7E23" w:rsidR="00C33B0F" w:rsidRPr="00FD274F" w:rsidRDefault="00E36C18" w:rsidP="00C33B0F">
      <w:pPr>
        <w:pStyle w:val="BodyNum"/>
      </w:pPr>
      <w:r w:rsidRPr="00FD274F">
        <w:t>Please note a</w:t>
      </w:r>
      <w:r w:rsidR="00EA6043" w:rsidRPr="00FD274F">
        <w:t xml:space="preserve">n agency’s responsibility for a </w:t>
      </w:r>
      <w:r w:rsidR="00EA6043" w:rsidRPr="00FD274F">
        <w:rPr>
          <w:spacing w:val="-4"/>
        </w:rPr>
        <w:t>compilation</w:t>
      </w:r>
      <w:r w:rsidR="00EA6043" w:rsidRPr="00FD274F">
        <w:t xml:space="preserve"> does not end with its lodgement. If it emerges that a compilation is incomplete or inaccurate,</w:t>
      </w:r>
      <w:r w:rsidRPr="00FD274F">
        <w:t xml:space="preserve"> it must be withdrawn as soon as practicable (</w:t>
      </w:r>
      <w:hyperlink r:id="rId314" w:history="1">
        <w:hyperlink r:id="rId315" w:history="1">
          <w:r w:rsidR="00197826" w:rsidRPr="004532FE">
            <w:rPr>
              <w:rStyle w:val="Hyperlink"/>
              <w:spacing w:val="-6"/>
            </w:rPr>
            <w:t>Rule</w:t>
          </w:r>
        </w:hyperlink>
      </w:hyperlink>
      <w:r w:rsidRPr="004532FE">
        <w:t xml:space="preserve"> s 6(3)).</w:t>
      </w:r>
      <w:r w:rsidRPr="00FD274F">
        <w:t xml:space="preserve"> If that is no longer possible, then the error must be notified to </w:t>
      </w:r>
      <w:proofErr w:type="spellStart"/>
      <w:r w:rsidRPr="00FD274F">
        <w:t>OPC</w:t>
      </w:r>
      <w:proofErr w:type="spellEnd"/>
      <w:r w:rsidRPr="00FD274F">
        <w:t xml:space="preserve"> without d</w:t>
      </w:r>
      <w:r w:rsidRPr="004709B9">
        <w:t>elay (</w:t>
      </w:r>
      <w:hyperlink r:id="rId316" w:history="1">
        <w:r w:rsidR="007873C4" w:rsidRPr="004709B9">
          <w:rPr>
            <w:rStyle w:val="Hyperlink"/>
          </w:rPr>
          <w:t>LA</w:t>
        </w:r>
      </w:hyperlink>
      <w:r w:rsidRPr="004709B9">
        <w:t xml:space="preserve"> s 15L</w:t>
      </w:r>
      <w:r w:rsidR="00177771" w:rsidRPr="004709B9">
        <w:t>(1)</w:t>
      </w:r>
      <w:r w:rsidRPr="004709B9">
        <w:t>(e)).</w:t>
      </w:r>
      <w:r w:rsidRPr="00FD274F">
        <w:t xml:space="preserve"> Further guidance on how to report events affecting the </w:t>
      </w:r>
      <w:r w:rsidR="00EA6043" w:rsidRPr="00FD274F">
        <w:t xml:space="preserve">accuracy and completeness of the Register is provided </w:t>
      </w:r>
      <w:r w:rsidR="00EA6043" w:rsidRPr="00FE07C4">
        <w:t xml:space="preserve">in </w:t>
      </w:r>
      <w:hyperlink w:anchor="Chapter6" w:history="1">
        <w:r w:rsidR="00EA6043" w:rsidRPr="00FE07C4">
          <w:rPr>
            <w:rStyle w:val="Hyperlink"/>
          </w:rPr>
          <w:t>Chapter 6</w:t>
        </w:r>
      </w:hyperlink>
      <w:r w:rsidR="00E06893">
        <w:rPr>
          <w:spacing w:val="-4"/>
        </w:rPr>
        <w:t>.</w:t>
      </w:r>
    </w:p>
    <w:p w14:paraId="5942EA28" w14:textId="77777777" w:rsidR="00B30E8A" w:rsidRPr="00FD274F" w:rsidRDefault="007D6093" w:rsidP="00C33B0F">
      <w:pPr>
        <w:pStyle w:val="Head2"/>
        <w:keepNext w:val="0"/>
        <w:pageBreakBefore/>
      </w:pPr>
      <w:bookmarkStart w:id="124" w:name="Chapter6"/>
      <w:bookmarkStart w:id="125" w:name="_Toc112918795"/>
      <w:r w:rsidRPr="00FD274F">
        <w:lastRenderedPageBreak/>
        <w:t>Chapter 6—</w:t>
      </w:r>
      <w:r w:rsidR="00676A1A" w:rsidRPr="00FD274F">
        <w:t xml:space="preserve">Keeping the Register </w:t>
      </w:r>
      <w:r w:rsidR="0013568A" w:rsidRPr="00FD274F">
        <w:t>up</w:t>
      </w:r>
      <w:r w:rsidR="009C4251">
        <w:noBreakHyphen/>
      </w:r>
      <w:r w:rsidR="0013568A" w:rsidRPr="00FD274F">
        <w:t>to</w:t>
      </w:r>
      <w:r w:rsidR="009C4251">
        <w:noBreakHyphen/>
      </w:r>
      <w:r w:rsidR="0013568A" w:rsidRPr="00FD274F">
        <w:t>date</w:t>
      </w:r>
      <w:bookmarkEnd w:id="124"/>
      <w:bookmarkEnd w:id="125"/>
    </w:p>
    <w:p w14:paraId="771DF843" w14:textId="77777777" w:rsidR="00422264" w:rsidRPr="00FD274F" w:rsidRDefault="00E06893" w:rsidP="00422264">
      <w:pPr>
        <w:pStyle w:val="SundryBoxHeadBold"/>
      </w:pPr>
      <w:r>
        <w:t>Main points</w:t>
      </w:r>
    </w:p>
    <w:p w14:paraId="53CA2C95" w14:textId="77777777" w:rsidR="00373430" w:rsidRPr="00FD274F" w:rsidRDefault="00422264" w:rsidP="00422264">
      <w:pPr>
        <w:pStyle w:val="SundryBoxBullet"/>
      </w:pPr>
      <w:r w:rsidRPr="00FD274F">
        <w:t>•</w:t>
      </w:r>
      <w:r w:rsidRPr="00FD274F">
        <w:tab/>
      </w:r>
      <w:r w:rsidR="00373430" w:rsidRPr="00FD274F">
        <w:t>An agency’s responsibility for an instrument does not end when the instrument is lodged for registration.</w:t>
      </w:r>
    </w:p>
    <w:p w14:paraId="0E1D2EEB" w14:textId="77777777" w:rsidR="00422264" w:rsidRPr="00FD274F" w:rsidRDefault="00373430" w:rsidP="00422264">
      <w:pPr>
        <w:pStyle w:val="SundryBoxBullet"/>
      </w:pPr>
      <w:r w:rsidRPr="00FD274F">
        <w:t>•</w:t>
      </w:r>
      <w:r w:rsidRPr="00FD274F">
        <w:tab/>
        <w:t>Agencies need to take action if a lodgement is found to contain errors or if an event affects the accuracy an</w:t>
      </w:r>
      <w:r w:rsidR="00E06893">
        <w:t>d completeness of the Register.</w:t>
      </w:r>
    </w:p>
    <w:p w14:paraId="109D983C" w14:textId="77777777" w:rsidR="0035023F" w:rsidRPr="00FD274F" w:rsidRDefault="00EF3C18" w:rsidP="00676A1A">
      <w:pPr>
        <w:pStyle w:val="Head3"/>
      </w:pPr>
      <w:bookmarkStart w:id="126" w:name="_Toc112918796"/>
      <w:r>
        <w:t>General</w:t>
      </w:r>
      <w:bookmarkEnd w:id="126"/>
    </w:p>
    <w:p w14:paraId="08E5E561" w14:textId="64DBB524" w:rsidR="00D65BAF" w:rsidRPr="00FD274F" w:rsidRDefault="0035023F" w:rsidP="00DC09E3">
      <w:pPr>
        <w:pStyle w:val="BodyNum"/>
      </w:pPr>
      <w:r w:rsidRPr="00FD274F">
        <w:t>The Register is</w:t>
      </w:r>
      <w:r w:rsidR="00DC09E3" w:rsidRPr="00FD274F">
        <w:t xml:space="preserve"> </w:t>
      </w:r>
      <w:r w:rsidRPr="00FD274F">
        <w:t xml:space="preserve">an important resource for courts and other users </w:t>
      </w:r>
      <w:r w:rsidR="00DC09E3" w:rsidRPr="00FD274F">
        <w:t>and</w:t>
      </w:r>
      <w:r w:rsidR="006C5816" w:rsidRPr="00FD274F">
        <w:t xml:space="preserve"> </w:t>
      </w:r>
      <w:r w:rsidR="00D65BAF" w:rsidRPr="00927913">
        <w:t xml:space="preserve">section 15B of the </w:t>
      </w:r>
      <w:hyperlink r:id="rId317" w:history="1">
        <w:r w:rsidR="007873C4" w:rsidRPr="00927913">
          <w:rPr>
            <w:rStyle w:val="Hyperlink"/>
          </w:rPr>
          <w:t>LA</w:t>
        </w:r>
      </w:hyperlink>
      <w:r w:rsidR="00D65BAF" w:rsidRPr="00FD274F">
        <w:t xml:space="preserve"> provides that it is “for all purposes, taken to be a complete and accurate record of all registered Acts, legislative instruments and notifiable instruments”.</w:t>
      </w:r>
    </w:p>
    <w:p w14:paraId="769D7AD3" w14:textId="1931A900" w:rsidR="00676A1A" w:rsidRPr="00FD274F" w:rsidRDefault="00DC09E3" w:rsidP="00DC09E3">
      <w:pPr>
        <w:pStyle w:val="BodyNum"/>
      </w:pPr>
      <w:r w:rsidRPr="00FD274F">
        <w:t xml:space="preserve">Users of the Register </w:t>
      </w:r>
      <w:r w:rsidR="006C5816" w:rsidRPr="00FD274F">
        <w:t xml:space="preserve">are also subject to </w:t>
      </w:r>
      <w:r w:rsidRPr="00FD274F">
        <w:t>special legal protections. S</w:t>
      </w:r>
      <w:r w:rsidR="00676A1A" w:rsidRPr="00927913">
        <w:t>ubsection 15D(</w:t>
      </w:r>
      <w:r w:rsidR="00FF030C" w:rsidRPr="00927913">
        <w:t>3</w:t>
      </w:r>
      <w:r w:rsidR="00676A1A" w:rsidRPr="00927913">
        <w:t xml:space="preserve">) of the </w:t>
      </w:r>
      <w:hyperlink r:id="rId318" w:history="1">
        <w:hyperlink r:id="rId319" w:history="1">
          <w:r w:rsidR="00F66686" w:rsidRPr="00927913">
            <w:rPr>
              <w:rStyle w:val="Hyperlink"/>
            </w:rPr>
            <w:t>LA</w:t>
          </w:r>
        </w:hyperlink>
        <w:r w:rsidR="00676A1A" w:rsidRPr="00927913">
          <w:t xml:space="preserve"> </w:t>
        </w:r>
      </w:hyperlink>
      <w:r w:rsidR="00676A1A" w:rsidRPr="00927913">
        <w:t>provi</w:t>
      </w:r>
      <w:r w:rsidR="00676A1A" w:rsidRPr="00FD274F">
        <w:t xml:space="preserve">des that, if the Register is erroneous because of a mistake or omission and the Register is </w:t>
      </w:r>
      <w:r w:rsidR="00705E35">
        <w:t>rectified</w:t>
      </w:r>
      <w:r w:rsidR="00676A1A" w:rsidRPr="00FD274F">
        <w:t xml:space="preserve"> to correct the error, the </w:t>
      </w:r>
      <w:r w:rsidR="00705E35">
        <w:t>rectification</w:t>
      </w:r>
      <w:r w:rsidR="00676A1A" w:rsidRPr="00FD274F">
        <w:t xml:space="preserve"> does not:</w:t>
      </w:r>
    </w:p>
    <w:p w14:paraId="127DE086" w14:textId="77777777" w:rsidR="00676A1A" w:rsidRPr="00FD274F" w:rsidRDefault="00FF030C" w:rsidP="00676A1A">
      <w:pPr>
        <w:pStyle w:val="BodyPara"/>
      </w:pPr>
      <w:r>
        <w:t>affect any right or privilege that was acquired, or that accrued, because of reliance on the content of the Register before the rectification was made</w:t>
      </w:r>
      <w:r w:rsidR="00E06893">
        <w:t>; or</w:t>
      </w:r>
    </w:p>
    <w:p w14:paraId="021B2F81" w14:textId="77777777" w:rsidR="00676A1A" w:rsidRPr="00FD274F" w:rsidRDefault="00676A1A" w:rsidP="00676A1A">
      <w:pPr>
        <w:pStyle w:val="BodyPara"/>
      </w:pPr>
      <w:r w:rsidRPr="00FD274F">
        <w:t xml:space="preserve">impose or increase any obligation or liability incurred before the </w:t>
      </w:r>
      <w:r w:rsidR="00FF030C">
        <w:t>rectification</w:t>
      </w:r>
      <w:r w:rsidRPr="00FD274F">
        <w:t xml:space="preserve"> was made.</w:t>
      </w:r>
    </w:p>
    <w:p w14:paraId="67FA0B87" w14:textId="77777777" w:rsidR="0013568A" w:rsidRPr="00FD274F" w:rsidRDefault="00E36C18" w:rsidP="00DC09E3">
      <w:pPr>
        <w:pStyle w:val="BodyNum"/>
      </w:pPr>
      <w:r w:rsidRPr="00FD274F">
        <w:t xml:space="preserve">In other words, there is a clear </w:t>
      </w:r>
      <w:r w:rsidR="0013568A" w:rsidRPr="00FD274F">
        <w:t xml:space="preserve">expectation that agencies and </w:t>
      </w:r>
      <w:proofErr w:type="spellStart"/>
      <w:r w:rsidR="0013568A" w:rsidRPr="00FD274F">
        <w:t>OPC</w:t>
      </w:r>
      <w:proofErr w:type="spellEnd"/>
      <w:r w:rsidR="0013568A" w:rsidRPr="00FD274F">
        <w:t xml:space="preserve"> will work together to keep the Register up</w:t>
      </w:r>
      <w:r w:rsidR="009C4251">
        <w:noBreakHyphen/>
      </w:r>
      <w:r w:rsidR="0013568A" w:rsidRPr="00FD274F">
        <w:t>to</w:t>
      </w:r>
      <w:r w:rsidR="009C4251">
        <w:noBreakHyphen/>
      </w:r>
      <w:r w:rsidR="0013568A" w:rsidRPr="00FD274F">
        <w:t>date.</w:t>
      </w:r>
    </w:p>
    <w:p w14:paraId="7E992590" w14:textId="77777777" w:rsidR="006C5816" w:rsidRPr="00FD274F" w:rsidRDefault="006C5816" w:rsidP="0013568A">
      <w:pPr>
        <w:pStyle w:val="Head3"/>
      </w:pPr>
      <w:bookmarkStart w:id="127" w:name="_Toc112918797"/>
      <w:r w:rsidRPr="00FD274F">
        <w:t>Agencies must act on lodgements found to contain errors</w:t>
      </w:r>
      <w:bookmarkEnd w:id="127"/>
    </w:p>
    <w:p w14:paraId="54430F41" w14:textId="212D13C2" w:rsidR="0013568A" w:rsidRPr="00FD274F" w:rsidRDefault="0013568A" w:rsidP="0013568A">
      <w:pPr>
        <w:pStyle w:val="BodyNum"/>
      </w:pPr>
      <w:r w:rsidRPr="00FD274F">
        <w:t xml:space="preserve">Although </w:t>
      </w:r>
      <w:proofErr w:type="spellStart"/>
      <w:r w:rsidRPr="00FD274F">
        <w:t>OPC</w:t>
      </w:r>
      <w:proofErr w:type="spellEnd"/>
      <w:r w:rsidRPr="00FD274F">
        <w:t xml:space="preserve"> performs basic checks on every document that is registered, agencies are responsible for ensuring that the documents they lodge for registration are complete and accurate. Consequently, if it emerges that a lodgement is incomplete or inaccurate, the person who lodged it must withdraw it as soon as practicable (see </w:t>
      </w:r>
      <w:hyperlink r:id="rId320" w:history="1">
        <w:r w:rsidR="00197826" w:rsidRPr="0049119D">
          <w:rPr>
            <w:rStyle w:val="Hyperlink"/>
            <w:spacing w:val="-6"/>
          </w:rPr>
          <w:t>Rule</w:t>
        </w:r>
      </w:hyperlink>
      <w:r w:rsidRPr="0049119D">
        <w:t xml:space="preserve"> s 6(3)). T</w:t>
      </w:r>
      <w:r w:rsidRPr="00FD274F">
        <w:t>his can be done:</w:t>
      </w:r>
    </w:p>
    <w:p w14:paraId="2BAD19E4" w14:textId="595BBA23" w:rsidR="0013568A" w:rsidRPr="00FD274F" w:rsidRDefault="0013568A" w:rsidP="0013568A">
      <w:pPr>
        <w:pStyle w:val="BodyPara"/>
        <w:rPr>
          <w:szCs w:val="24"/>
        </w:rPr>
      </w:pPr>
      <w:r w:rsidRPr="00FD274F">
        <w:t>by using the online</w:t>
      </w:r>
      <w:r w:rsidRPr="00FD274F">
        <w:rPr>
          <w:szCs w:val="24"/>
        </w:rPr>
        <w:t xml:space="preserve"> lodgement facility at </w:t>
      </w:r>
      <w:hyperlink r:id="rId321" w:history="1">
        <w:r w:rsidRPr="0049119D">
          <w:rPr>
            <w:rStyle w:val="Hyperlink"/>
            <w:szCs w:val="24"/>
          </w:rPr>
          <w:t>https://lodge.legislation.gov.au</w:t>
        </w:r>
      </w:hyperlink>
      <w:r w:rsidR="00E06893" w:rsidRPr="0049119D">
        <w:rPr>
          <w:szCs w:val="24"/>
        </w:rPr>
        <w:t>;</w:t>
      </w:r>
      <w:r w:rsidR="00E06893">
        <w:rPr>
          <w:szCs w:val="24"/>
        </w:rPr>
        <w:t xml:space="preserve"> or</w:t>
      </w:r>
    </w:p>
    <w:p w14:paraId="2AC6FB2C" w14:textId="4BF44935" w:rsidR="0013568A" w:rsidRPr="00FD274F" w:rsidRDefault="0013568A" w:rsidP="0013568A">
      <w:pPr>
        <w:pStyle w:val="BodyPara"/>
        <w:rPr>
          <w:szCs w:val="24"/>
        </w:rPr>
      </w:pPr>
      <w:r w:rsidRPr="00FD274F">
        <w:rPr>
          <w:szCs w:val="24"/>
        </w:rPr>
        <w:t>by emailing</w:t>
      </w:r>
      <w:r w:rsidR="00D53143" w:rsidRPr="00FD274F">
        <w:rPr>
          <w:szCs w:val="24"/>
        </w:rPr>
        <w:t xml:space="preserve"> </w:t>
      </w:r>
      <w:hyperlink r:id="rId322" w:history="1">
        <w:hyperlink r:id="rId323" w:history="1">
          <w:r w:rsidR="00D53143" w:rsidRPr="00FD274F">
            <w:rPr>
              <w:rStyle w:val="Hyperlink"/>
              <w:rFonts w:eastAsiaTheme="minorHAnsi"/>
              <w:szCs w:val="24"/>
              <w:lang w:eastAsia="en-US"/>
            </w:rPr>
            <w:t>lodge@legislation.gov.au</w:t>
          </w:r>
        </w:hyperlink>
      </w:hyperlink>
      <w:r w:rsidRPr="00FD274F">
        <w:rPr>
          <w:szCs w:val="24"/>
        </w:rPr>
        <w:t>.</w:t>
      </w:r>
    </w:p>
    <w:p w14:paraId="2E9E9B6E" w14:textId="32644281" w:rsidR="0013568A" w:rsidRPr="00FD274F" w:rsidRDefault="0013568A" w:rsidP="0013568A">
      <w:pPr>
        <w:pStyle w:val="BodyNum"/>
        <w:rPr>
          <w:szCs w:val="24"/>
        </w:rPr>
      </w:pPr>
      <w:r w:rsidRPr="00FD274F">
        <w:t xml:space="preserve">It may be that it is not possible to withdraw a lodgement e.g. because it has already been registered. If so, this must be notified to </w:t>
      </w:r>
      <w:proofErr w:type="spellStart"/>
      <w:r w:rsidRPr="00FD274F">
        <w:t>OPC</w:t>
      </w:r>
      <w:proofErr w:type="spellEnd"/>
      <w:r w:rsidRPr="00FD274F">
        <w:t xml:space="preserve"> without delay in accordance with </w:t>
      </w:r>
      <w:r w:rsidR="009B5657" w:rsidRPr="00FD274F">
        <w:t>paragrap</w:t>
      </w:r>
      <w:r w:rsidR="009B5657" w:rsidRPr="00927913">
        <w:t>h</w:t>
      </w:r>
      <w:r w:rsidRPr="00927913">
        <w:t xml:space="preserve"> 15L</w:t>
      </w:r>
      <w:r w:rsidR="00177771" w:rsidRPr="00927913">
        <w:t>(1)</w:t>
      </w:r>
      <w:r w:rsidRPr="00927913">
        <w:t xml:space="preserve">(e) of the </w:t>
      </w:r>
      <w:hyperlink r:id="rId324" w:history="1">
        <w:r w:rsidRPr="00927913">
          <w:rPr>
            <w:rStyle w:val="Hyperlink"/>
          </w:rPr>
          <w:t>LA</w:t>
        </w:r>
      </w:hyperlink>
      <w:r w:rsidRPr="00927913">
        <w:t>. Th</w:t>
      </w:r>
      <w:r w:rsidRPr="00FD274F">
        <w:t>is does not require a log</w:t>
      </w:r>
      <w:r w:rsidR="009C4251">
        <w:noBreakHyphen/>
      </w:r>
      <w:r w:rsidRPr="00FD274F">
        <w:t>on,</w:t>
      </w:r>
      <w:r w:rsidRPr="00FD274F">
        <w:rPr>
          <w:szCs w:val="24"/>
        </w:rPr>
        <w:t xml:space="preserve"> and can be done by any member of the public </w:t>
      </w:r>
      <w:r w:rsidR="00D53143" w:rsidRPr="00FD274F">
        <w:rPr>
          <w:szCs w:val="24"/>
        </w:rPr>
        <w:t xml:space="preserve">by </w:t>
      </w:r>
      <w:r w:rsidRPr="00FD274F">
        <w:rPr>
          <w:szCs w:val="24"/>
        </w:rPr>
        <w:t xml:space="preserve">using the </w:t>
      </w:r>
      <w:hyperlink r:id="rId325" w:history="1">
        <w:r w:rsidRPr="0049119D">
          <w:rPr>
            <w:rStyle w:val="Hyperlink"/>
            <w:szCs w:val="24"/>
          </w:rPr>
          <w:t>Feedback form</w:t>
        </w:r>
      </w:hyperlink>
      <w:r w:rsidRPr="0049119D">
        <w:rPr>
          <w:szCs w:val="24"/>
        </w:rPr>
        <w:t xml:space="preserve"> o</w:t>
      </w:r>
      <w:r w:rsidRPr="00FD274F">
        <w:rPr>
          <w:szCs w:val="24"/>
        </w:rPr>
        <w:t>n the Register website or emailing</w:t>
      </w:r>
      <w:r w:rsidR="00D53143" w:rsidRPr="00FD274F">
        <w:rPr>
          <w:szCs w:val="24"/>
        </w:rPr>
        <w:t xml:space="preserve"> </w:t>
      </w:r>
      <w:hyperlink r:id="rId326" w:history="1">
        <w:r w:rsidR="00D53143" w:rsidRPr="00FD274F">
          <w:rPr>
            <w:rStyle w:val="Hyperlink"/>
            <w:rFonts w:eastAsiaTheme="minorHAnsi"/>
            <w:szCs w:val="24"/>
            <w:lang w:eastAsia="en-US"/>
          </w:rPr>
          <w:t>lodge@legislation.gov.au</w:t>
        </w:r>
      </w:hyperlink>
      <w:r w:rsidR="00D53143" w:rsidRPr="00FD274F">
        <w:rPr>
          <w:rFonts w:eastAsiaTheme="minorHAnsi"/>
          <w:color w:val="1F497D"/>
          <w:szCs w:val="24"/>
          <w:lang w:eastAsia="en-US"/>
        </w:rPr>
        <w:t>.</w:t>
      </w:r>
    </w:p>
    <w:p w14:paraId="15BD99A3" w14:textId="77777777" w:rsidR="0013568A" w:rsidRPr="00FD274F" w:rsidRDefault="0013568A">
      <w:pPr>
        <w:spacing w:line="240" w:lineRule="auto"/>
        <w:rPr>
          <w:rFonts w:ascii="Arial" w:eastAsia="Times New Roman" w:hAnsi="Arial" w:cs="Times New Roman"/>
          <w:b/>
          <w:i/>
          <w:kern w:val="28"/>
          <w:sz w:val="26"/>
          <w:lang w:eastAsia="en-AU"/>
        </w:rPr>
      </w:pPr>
      <w:r w:rsidRPr="00FD274F">
        <w:br w:type="page"/>
      </w:r>
    </w:p>
    <w:p w14:paraId="25BBD16A" w14:textId="77777777" w:rsidR="0013568A" w:rsidRPr="00FD274F" w:rsidRDefault="006C5816" w:rsidP="0013568A">
      <w:pPr>
        <w:pStyle w:val="Head3"/>
      </w:pPr>
      <w:bookmarkStart w:id="128" w:name="_Toc112918798"/>
      <w:r w:rsidRPr="00FD274F">
        <w:lastRenderedPageBreak/>
        <w:t xml:space="preserve">Agencies must notify other events affecting </w:t>
      </w:r>
      <w:r w:rsidR="00D20742" w:rsidRPr="00FD274F">
        <w:t xml:space="preserve">the </w:t>
      </w:r>
      <w:r w:rsidRPr="00FD274F">
        <w:t>Register</w:t>
      </w:r>
      <w:bookmarkEnd w:id="128"/>
    </w:p>
    <w:p w14:paraId="315DA920" w14:textId="77777777" w:rsidR="00D1020D" w:rsidRPr="00FD274F" w:rsidRDefault="00EF3DC1" w:rsidP="00D1020D">
      <w:pPr>
        <w:pStyle w:val="BodyNum"/>
      </w:pPr>
      <w:r w:rsidRPr="00FD274F">
        <w:t xml:space="preserve">As part of its registration services, </w:t>
      </w:r>
      <w:proofErr w:type="spellStart"/>
      <w:r w:rsidRPr="00FD274F">
        <w:t>OPC</w:t>
      </w:r>
      <w:proofErr w:type="spellEnd"/>
      <w:r w:rsidRPr="00FD274F">
        <w:t xml:space="preserve"> routinely monitors a range of </w:t>
      </w:r>
      <w:r w:rsidR="00D1020D" w:rsidRPr="00FD274F">
        <w:t xml:space="preserve">‘downstream’ </w:t>
      </w:r>
      <w:r w:rsidRPr="00FD274F">
        <w:t xml:space="preserve">processes that may affect </w:t>
      </w:r>
      <w:r w:rsidR="00D1020D" w:rsidRPr="00FD274F">
        <w:t xml:space="preserve">the accuracy and completeness of </w:t>
      </w:r>
      <w:r w:rsidR="00E8566F" w:rsidRPr="00FD274F">
        <w:t xml:space="preserve">registered laws. </w:t>
      </w:r>
      <w:proofErr w:type="spellStart"/>
      <w:r w:rsidR="00D1020D" w:rsidRPr="00FD274F">
        <w:t>OPC</w:t>
      </w:r>
      <w:proofErr w:type="spellEnd"/>
      <w:r w:rsidR="00D1020D" w:rsidRPr="00FD274F">
        <w:t xml:space="preserve"> does not need to be notified of, and will update the Reg</w:t>
      </w:r>
      <w:r w:rsidR="007A53CA" w:rsidRPr="00FD274F">
        <w:t>ister for, the following events:</w:t>
      </w:r>
    </w:p>
    <w:p w14:paraId="712DED64" w14:textId="77777777" w:rsidR="003F799B" w:rsidRPr="00FD274F" w:rsidRDefault="00D1020D" w:rsidP="00D1020D">
      <w:pPr>
        <w:pStyle w:val="BodyPara"/>
      </w:pPr>
      <w:r w:rsidRPr="00FD274F">
        <w:t>the occurrence of a specified day or time</w:t>
      </w:r>
      <w:r w:rsidR="009B5657" w:rsidRPr="00FD274F">
        <w:t>;</w:t>
      </w:r>
    </w:p>
    <w:p w14:paraId="09F8FB16" w14:textId="77777777" w:rsidR="003F799B" w:rsidRPr="00FD274F" w:rsidRDefault="003F799B" w:rsidP="00D1020D">
      <w:pPr>
        <w:pStyle w:val="BodyPara"/>
      </w:pPr>
      <w:r w:rsidRPr="00FD274F">
        <w:t>the commencement of, or changes in the commencement, of a registered law where the commencement is linked to either:</w:t>
      </w:r>
    </w:p>
    <w:p w14:paraId="2FC521E2" w14:textId="77777777" w:rsidR="003F799B" w:rsidRPr="00FD274F" w:rsidRDefault="003F799B" w:rsidP="003F799B">
      <w:pPr>
        <w:pStyle w:val="BodySubPara"/>
      </w:pPr>
      <w:r w:rsidRPr="00FD274F">
        <w:t>the commencement of another registered law; or</w:t>
      </w:r>
    </w:p>
    <w:p w14:paraId="38B198FE" w14:textId="4B582734" w:rsidR="00D1020D" w:rsidRPr="00927913" w:rsidRDefault="003F799B" w:rsidP="003F799B">
      <w:pPr>
        <w:pStyle w:val="BodySubPara"/>
      </w:pPr>
      <w:r w:rsidRPr="00FD274F">
        <w:t xml:space="preserve">a commencement instrument that has been lodged for registration </w:t>
      </w:r>
      <w:r w:rsidR="00D1020D" w:rsidRPr="00927913">
        <w:t>(</w:t>
      </w:r>
      <w:hyperlink r:id="rId327" w:history="1">
        <w:r w:rsidR="007873C4" w:rsidRPr="00927913">
          <w:rPr>
            <w:rStyle w:val="Hyperlink"/>
          </w:rPr>
          <w:t>LA</w:t>
        </w:r>
      </w:hyperlink>
      <w:r w:rsidR="00D1020D" w:rsidRPr="00927913">
        <w:t xml:space="preserve"> s 15L(2)(a))</w:t>
      </w:r>
      <w:r w:rsidR="009B5657" w:rsidRPr="00927913">
        <w:t>;</w:t>
      </w:r>
    </w:p>
    <w:p w14:paraId="10472377" w14:textId="6918630F" w:rsidR="00D1020D" w:rsidRDefault="00D1020D" w:rsidP="00D1020D">
      <w:pPr>
        <w:pStyle w:val="BodyPara"/>
      </w:pPr>
      <w:r w:rsidRPr="00FD274F">
        <w:t>required compilation events as described i</w:t>
      </w:r>
      <w:r w:rsidRPr="002D74A6">
        <w:t xml:space="preserve">n paragraph </w:t>
      </w:r>
      <w:r w:rsidR="00D63A8B" w:rsidRPr="00927913">
        <w:fldChar w:fldCharType="begin"/>
      </w:r>
      <w:r w:rsidR="00D63A8B" w:rsidRPr="002D74A6">
        <w:instrText xml:space="preserve"> REF _Ref441240710 \r \h  \* MERGEFORMAT </w:instrText>
      </w:r>
      <w:r w:rsidR="00D63A8B" w:rsidRPr="00927913">
        <w:fldChar w:fldCharType="separate"/>
      </w:r>
      <w:r w:rsidR="003E1B43" w:rsidRPr="002D74A6">
        <w:t>159</w:t>
      </w:r>
      <w:r w:rsidR="00D63A8B" w:rsidRPr="00927913">
        <w:fldChar w:fldCharType="end"/>
      </w:r>
      <w:r w:rsidRPr="00FD274F">
        <w:t xml:space="preserve"> (</w:t>
      </w:r>
      <w:hyperlink r:id="rId328" w:history="1">
        <w:r w:rsidR="007873C4" w:rsidRPr="00927913">
          <w:rPr>
            <w:rStyle w:val="Hyperlink"/>
          </w:rPr>
          <w:t>LA</w:t>
        </w:r>
      </w:hyperlink>
      <w:r w:rsidR="006C679B" w:rsidRPr="00927913">
        <w:t xml:space="preserve"> s 15L(2)(b))</w:t>
      </w:r>
      <w:r w:rsidR="009B5657" w:rsidRPr="00927913">
        <w:t>;</w:t>
      </w:r>
    </w:p>
    <w:p w14:paraId="142841E2" w14:textId="679D2245" w:rsidR="000716AD" w:rsidRPr="00FD274F" w:rsidRDefault="000716AD" w:rsidP="00D1020D">
      <w:pPr>
        <w:pStyle w:val="BodyPara"/>
      </w:pPr>
      <w:r>
        <w:t>the disallowance of legislative instrumen</w:t>
      </w:r>
      <w:r w:rsidRPr="00927913">
        <w:t>ts (</w:t>
      </w:r>
      <w:hyperlink r:id="rId329" w:history="1">
        <w:r w:rsidRPr="00927913">
          <w:rPr>
            <w:rStyle w:val="Hyperlink"/>
          </w:rPr>
          <w:t>LA</w:t>
        </w:r>
      </w:hyperlink>
      <w:r w:rsidRPr="00927913">
        <w:t xml:space="preserve"> s 15L(2)(c));</w:t>
      </w:r>
    </w:p>
    <w:p w14:paraId="677430AC" w14:textId="12389985" w:rsidR="00D1020D" w:rsidRPr="00FD274F" w:rsidRDefault="00D1020D" w:rsidP="00D1020D">
      <w:pPr>
        <w:pStyle w:val="BodyPara"/>
      </w:pPr>
      <w:r w:rsidRPr="00FD274F">
        <w:t xml:space="preserve">the automatic repeal </w:t>
      </w:r>
      <w:r w:rsidRPr="00927913">
        <w:t xml:space="preserve">of </w:t>
      </w:r>
      <w:r w:rsidR="00E8566F" w:rsidRPr="00927913">
        <w:t xml:space="preserve">a registered law </w:t>
      </w:r>
      <w:r w:rsidRPr="00927913">
        <w:t xml:space="preserve">that </w:t>
      </w:r>
      <w:r w:rsidR="00E8566F" w:rsidRPr="00927913">
        <w:t xml:space="preserve">is </w:t>
      </w:r>
      <w:r w:rsidRPr="00927913">
        <w:t>solely commencing, amending or repealing under Part 3 of Chapter 3 of the LA (</w:t>
      </w:r>
      <w:hyperlink r:id="rId330" w:history="1">
        <w:r w:rsidR="007873C4" w:rsidRPr="00927913">
          <w:rPr>
            <w:rStyle w:val="Hyperlink"/>
          </w:rPr>
          <w:t>LA</w:t>
        </w:r>
      </w:hyperlink>
      <w:r w:rsidR="006C679B" w:rsidRPr="00927913">
        <w:t xml:space="preserve"> s 15L(2)(d)(</w:t>
      </w:r>
      <w:proofErr w:type="spellStart"/>
      <w:r w:rsidR="006C679B" w:rsidRPr="00927913">
        <w:t>i</w:t>
      </w:r>
      <w:proofErr w:type="spellEnd"/>
      <w:r w:rsidR="006C679B" w:rsidRPr="00927913">
        <w:t>))</w:t>
      </w:r>
      <w:r w:rsidR="009B5657" w:rsidRPr="00927913">
        <w:t>;</w:t>
      </w:r>
    </w:p>
    <w:p w14:paraId="6F7C31D0" w14:textId="20663EBD" w:rsidR="00D1020D" w:rsidRPr="00FD274F" w:rsidRDefault="00D1020D" w:rsidP="00D1020D">
      <w:pPr>
        <w:pStyle w:val="BodyPara"/>
      </w:pPr>
      <w:r w:rsidRPr="00FD274F">
        <w:t xml:space="preserve">the sunsetting of legislative instruments </w:t>
      </w:r>
      <w:r w:rsidRPr="00927913">
        <w:t>(</w:t>
      </w:r>
      <w:hyperlink r:id="rId331" w:history="1">
        <w:r w:rsidR="007873C4" w:rsidRPr="00927913">
          <w:rPr>
            <w:rStyle w:val="Hyperlink"/>
          </w:rPr>
          <w:t>LA</w:t>
        </w:r>
      </w:hyperlink>
      <w:r w:rsidR="00177771" w:rsidRPr="00927913">
        <w:t xml:space="preserve"> s 15L(2)(d)</w:t>
      </w:r>
      <w:r w:rsidR="00AD5C20" w:rsidRPr="00927913">
        <w:t>(ii)</w:t>
      </w:r>
      <w:r w:rsidR="006C679B" w:rsidRPr="00927913">
        <w:t>)</w:t>
      </w:r>
      <w:r w:rsidR="009B5657" w:rsidRPr="00FD274F">
        <w:t>;</w:t>
      </w:r>
    </w:p>
    <w:p w14:paraId="0A8FF805" w14:textId="0D818DB6" w:rsidR="00D1020D" w:rsidRPr="00FD274F" w:rsidRDefault="00D1020D" w:rsidP="00D1020D">
      <w:pPr>
        <w:pStyle w:val="BodyPara"/>
      </w:pPr>
      <w:r w:rsidRPr="00FD274F">
        <w:t>any othe</w:t>
      </w:r>
      <w:r w:rsidR="007A53CA" w:rsidRPr="00FD274F">
        <w:t>r event prescribed by the rules (</w:t>
      </w:r>
      <w:hyperlink r:id="rId332" w:history="1">
        <w:r w:rsidR="007873C4" w:rsidRPr="00927913">
          <w:rPr>
            <w:rStyle w:val="Hyperlink"/>
          </w:rPr>
          <w:t>LA</w:t>
        </w:r>
      </w:hyperlink>
      <w:r w:rsidR="007A53CA" w:rsidRPr="00927913">
        <w:t xml:space="preserve"> s</w:t>
      </w:r>
      <w:r w:rsidR="006C679B" w:rsidRPr="00927913">
        <w:t> </w:t>
      </w:r>
      <w:r w:rsidR="007A53CA" w:rsidRPr="00927913">
        <w:t>15L</w:t>
      </w:r>
      <w:r w:rsidR="006C679B" w:rsidRPr="00927913">
        <w:t>(2)(e))</w:t>
      </w:r>
      <w:r w:rsidRPr="00927913">
        <w:t>.</w:t>
      </w:r>
    </w:p>
    <w:p w14:paraId="502A8A3E" w14:textId="3E2649AC" w:rsidR="006C679B" w:rsidRPr="00FD274F" w:rsidRDefault="00D1020D" w:rsidP="006C679B">
      <w:pPr>
        <w:pStyle w:val="BodyNum"/>
        <w:rPr>
          <w:szCs w:val="24"/>
        </w:rPr>
      </w:pPr>
      <w:proofErr w:type="spellStart"/>
      <w:r w:rsidRPr="00FD274F">
        <w:t>OPC</w:t>
      </w:r>
      <w:proofErr w:type="spellEnd"/>
      <w:r w:rsidRPr="00FD274F">
        <w:t xml:space="preserve"> is not, however, able to monitor all of the even</w:t>
      </w:r>
      <w:r w:rsidR="00373430" w:rsidRPr="00FD274F">
        <w:t xml:space="preserve">ts that could affect instruments and other registered laws. </w:t>
      </w:r>
      <w:proofErr w:type="spellStart"/>
      <w:r w:rsidR="00373430" w:rsidRPr="00FD274F">
        <w:t>OPC</w:t>
      </w:r>
      <w:proofErr w:type="spellEnd"/>
      <w:r w:rsidR="00373430" w:rsidRPr="00FD274F">
        <w:t xml:space="preserve"> </w:t>
      </w:r>
      <w:r w:rsidRPr="00FD274F">
        <w:t xml:space="preserve">relies on agencies to monitor and </w:t>
      </w:r>
      <w:r w:rsidR="0043618B" w:rsidRPr="00FD274F">
        <w:t xml:space="preserve">notify </w:t>
      </w:r>
      <w:proofErr w:type="spellStart"/>
      <w:r w:rsidR="000716AD">
        <w:t>OPC</w:t>
      </w:r>
      <w:proofErr w:type="spellEnd"/>
      <w:r w:rsidR="000716AD">
        <w:t xml:space="preserve"> of </w:t>
      </w:r>
      <w:r w:rsidR="0043618B" w:rsidRPr="00FD274F">
        <w:t xml:space="preserve">other events that may affect </w:t>
      </w:r>
      <w:r w:rsidR="005072C0" w:rsidRPr="00FD274F">
        <w:t xml:space="preserve">registered laws </w:t>
      </w:r>
      <w:r w:rsidR="00373430" w:rsidRPr="00FD274F">
        <w:t>in ac</w:t>
      </w:r>
      <w:r w:rsidR="0043618B" w:rsidRPr="00FD274F">
        <w:t>cordance with subsec</w:t>
      </w:r>
      <w:r w:rsidR="0043618B" w:rsidRPr="00927913">
        <w:t xml:space="preserve">tion 15L(1) of the </w:t>
      </w:r>
      <w:hyperlink r:id="rId333" w:history="1">
        <w:r w:rsidR="00E25493" w:rsidRPr="00927913">
          <w:rPr>
            <w:rStyle w:val="Hyperlink"/>
          </w:rPr>
          <w:t>LA</w:t>
        </w:r>
      </w:hyperlink>
      <w:r w:rsidR="0043618B" w:rsidRPr="00927913">
        <w:t xml:space="preserve">. </w:t>
      </w:r>
      <w:r w:rsidR="006C679B" w:rsidRPr="00927913">
        <w:t>A</w:t>
      </w:r>
      <w:r w:rsidR="006C679B" w:rsidRPr="00FD274F">
        <w:t xml:space="preserve">gencies </w:t>
      </w:r>
      <w:r w:rsidR="003F799B" w:rsidRPr="00FD274F">
        <w:t>are re</w:t>
      </w:r>
      <w:r w:rsidR="005072C0" w:rsidRPr="00FD274F">
        <w:t>q</w:t>
      </w:r>
      <w:r w:rsidR="003F799B" w:rsidRPr="00FD274F">
        <w:t xml:space="preserve">uired to </w:t>
      </w:r>
      <w:r w:rsidR="006C679B" w:rsidRPr="00FD274F">
        <w:t xml:space="preserve">notify </w:t>
      </w:r>
      <w:proofErr w:type="spellStart"/>
      <w:r w:rsidR="006C679B" w:rsidRPr="00FD274F">
        <w:t>OPC</w:t>
      </w:r>
      <w:proofErr w:type="spellEnd"/>
      <w:r w:rsidR="006C679B" w:rsidRPr="00FD274F">
        <w:t xml:space="preserve"> of any othe</w:t>
      </w:r>
      <w:r w:rsidR="00E06893">
        <w:t>r event that has the effect of:</w:t>
      </w:r>
    </w:p>
    <w:p w14:paraId="0B064FBB" w14:textId="5DE51B0F" w:rsidR="00D20742" w:rsidRPr="00FD274F" w:rsidRDefault="006C679B" w:rsidP="00D20742">
      <w:pPr>
        <w:pStyle w:val="BodyPara"/>
      </w:pPr>
      <w:r w:rsidRPr="00FD274F">
        <w:t>commencing a</w:t>
      </w:r>
      <w:r w:rsidR="00373430" w:rsidRPr="00FD274F">
        <w:t xml:space="preserve"> registered la</w:t>
      </w:r>
      <w:r w:rsidR="00373430" w:rsidRPr="00927913">
        <w:t>w</w:t>
      </w:r>
      <w:r w:rsidRPr="00927913">
        <w:t xml:space="preserve"> (</w:t>
      </w:r>
      <w:hyperlink r:id="rId334" w:history="1">
        <w:r w:rsidR="007873C4" w:rsidRPr="00927913">
          <w:rPr>
            <w:rStyle w:val="Hyperlink"/>
          </w:rPr>
          <w:t>LA</w:t>
        </w:r>
      </w:hyperlink>
      <w:r w:rsidR="00E06893" w:rsidRPr="00927913">
        <w:t xml:space="preserve"> s 15L(1)(a)); or</w:t>
      </w:r>
    </w:p>
    <w:p w14:paraId="0C2D7F4B" w14:textId="15E2F064" w:rsidR="00D20742" w:rsidRPr="00610DF6" w:rsidRDefault="00E8566F" w:rsidP="00D20742">
      <w:pPr>
        <w:pStyle w:val="BodyPara"/>
      </w:pPr>
      <w:r w:rsidRPr="00610DF6">
        <w:t xml:space="preserve">amending </w:t>
      </w:r>
      <w:r w:rsidR="00610DF6" w:rsidRPr="00610DF6">
        <w:t xml:space="preserve">the text of a registered law as in force </w:t>
      </w:r>
      <w:r w:rsidR="00CC14C4" w:rsidRPr="00610DF6">
        <w:t xml:space="preserve">as a result of the automatic repeal provisions under </w:t>
      </w:r>
      <w:r w:rsidR="00CC14C4" w:rsidRPr="00927913">
        <w:t>section 48C or 48D</w:t>
      </w:r>
      <w:r w:rsidR="00927913">
        <w:t xml:space="preserve"> of the </w:t>
      </w:r>
      <w:hyperlink r:id="rId335" w:history="1">
        <w:r w:rsidR="00927913" w:rsidRPr="00927913">
          <w:rPr>
            <w:rStyle w:val="Hyperlink"/>
          </w:rPr>
          <w:t>LA</w:t>
        </w:r>
      </w:hyperlink>
      <w:r w:rsidR="00927913" w:rsidRPr="00927913">
        <w:t>,</w:t>
      </w:r>
      <w:r w:rsidR="00CC14C4" w:rsidRPr="00610DF6">
        <w:t xml:space="preserve"> </w:t>
      </w:r>
      <w:r w:rsidRPr="00610DF6">
        <w:t xml:space="preserve">or modifying the text of a registered law as in force (see also </w:t>
      </w:r>
      <w:r w:rsidRPr="00A37B0D">
        <w:t xml:space="preserve">paragraph </w:t>
      </w:r>
      <w:r w:rsidRPr="00927913">
        <w:fldChar w:fldCharType="begin"/>
      </w:r>
      <w:r w:rsidRPr="00A37B0D">
        <w:instrText xml:space="preserve"> REF _Ref444859371 \r \h </w:instrText>
      </w:r>
      <w:r w:rsidR="00F308D0" w:rsidRPr="00A37B0D">
        <w:instrText xml:space="preserve"> \* MERGEFORMAT </w:instrText>
      </w:r>
      <w:r w:rsidRPr="00927913">
        <w:fldChar w:fldCharType="separate"/>
      </w:r>
      <w:r w:rsidR="003E1B43" w:rsidRPr="00A37B0D">
        <w:t>161</w:t>
      </w:r>
      <w:r w:rsidRPr="00927913">
        <w:fldChar w:fldCharType="end"/>
      </w:r>
      <w:r w:rsidR="00A37B0D">
        <w:t xml:space="preserve"> </w:t>
      </w:r>
      <w:r w:rsidRPr="00610DF6">
        <w:t xml:space="preserve">on </w:t>
      </w:r>
      <w:r w:rsidRPr="00927913">
        <w:t>discretionary compilation events) (</w:t>
      </w:r>
      <w:hyperlink r:id="rId336" w:history="1">
        <w:r w:rsidR="009052EB" w:rsidRPr="00927913">
          <w:rPr>
            <w:rStyle w:val="Hyperlink"/>
          </w:rPr>
          <w:t>LA</w:t>
        </w:r>
      </w:hyperlink>
      <w:r w:rsidR="00D20742" w:rsidRPr="00927913">
        <w:t xml:space="preserve"> s 15L(1)(b)); or</w:t>
      </w:r>
    </w:p>
    <w:p w14:paraId="4879293A" w14:textId="0A38EAE9" w:rsidR="00E8566F" w:rsidRPr="00FD274F" w:rsidRDefault="00E8566F" w:rsidP="00D20742">
      <w:pPr>
        <w:pStyle w:val="BodyPara"/>
      </w:pPr>
      <w:r w:rsidRPr="00FD274F">
        <w:t>repealing a registered law</w:t>
      </w:r>
      <w:r w:rsidR="00610DF6">
        <w:t xml:space="preserve"> or a provision of a registered law</w:t>
      </w:r>
      <w:r w:rsidRPr="00FD274F">
        <w:t xml:space="preserve">, or otherwise causing a registered law </w:t>
      </w:r>
      <w:r w:rsidR="00610DF6">
        <w:t xml:space="preserve">or provision </w:t>
      </w:r>
      <w:r w:rsidRPr="00FD274F">
        <w:t>to cease to be in force (</w:t>
      </w:r>
      <w:hyperlink r:id="rId337" w:history="1">
        <w:r w:rsidR="009052EB" w:rsidRPr="00927913">
          <w:rPr>
            <w:rStyle w:val="Hyperlink"/>
          </w:rPr>
          <w:t>LA</w:t>
        </w:r>
      </w:hyperlink>
      <w:r w:rsidR="009052EB" w:rsidRPr="00927913">
        <w:rPr>
          <w:rStyle w:val="Hyperlink"/>
        </w:rPr>
        <w:t xml:space="preserve"> </w:t>
      </w:r>
      <w:r w:rsidRPr="00927913">
        <w:t>s 15L(1)(c));</w:t>
      </w:r>
      <w:r w:rsidR="009B5657" w:rsidRPr="00FD274F">
        <w:t xml:space="preserve"> or</w:t>
      </w:r>
    </w:p>
    <w:p w14:paraId="6B2F6CC3" w14:textId="4498A8AA" w:rsidR="006C679B" w:rsidRPr="00FD274F" w:rsidRDefault="006C679B" w:rsidP="006C679B">
      <w:pPr>
        <w:pStyle w:val="BodyPara"/>
      </w:pPr>
      <w:r w:rsidRPr="00FD274F">
        <w:t>rendering a</w:t>
      </w:r>
      <w:r w:rsidR="00373430" w:rsidRPr="00FD274F">
        <w:t xml:space="preserve"> registered law </w:t>
      </w:r>
      <w:r w:rsidRPr="00FD274F">
        <w:t>invalid or unenforceable (</w:t>
      </w:r>
      <w:hyperlink r:id="rId338" w:history="1">
        <w:r w:rsidR="009052EB" w:rsidRPr="00927913">
          <w:rPr>
            <w:rStyle w:val="Hyperlink"/>
          </w:rPr>
          <w:t>LA</w:t>
        </w:r>
      </w:hyperlink>
      <w:r w:rsidR="009052EB" w:rsidRPr="00927913">
        <w:rPr>
          <w:rStyle w:val="Hyperlink"/>
        </w:rPr>
        <w:t xml:space="preserve"> </w:t>
      </w:r>
      <w:r w:rsidRPr="00927913">
        <w:t>s 15L(1)(d)</w:t>
      </w:r>
      <w:r w:rsidRPr="00FD274F">
        <w:t>)</w:t>
      </w:r>
      <w:r w:rsidR="000716AD">
        <w:t xml:space="preserve"> (e.g. as a result of a Court or Tribunal decision)</w:t>
      </w:r>
      <w:r w:rsidRPr="00FD274F">
        <w:t>.</w:t>
      </w:r>
    </w:p>
    <w:p w14:paraId="156C54C0" w14:textId="77777777" w:rsidR="006C679B" w:rsidRPr="00FD274F" w:rsidRDefault="009B5657" w:rsidP="006C679B">
      <w:pPr>
        <w:pStyle w:val="BodyNum"/>
        <w:rPr>
          <w:szCs w:val="24"/>
        </w:rPr>
      </w:pPr>
      <w:r w:rsidRPr="00FD274F">
        <w:rPr>
          <w:szCs w:val="24"/>
        </w:rPr>
        <w:t xml:space="preserve">Examples of events that agencies </w:t>
      </w:r>
      <w:r w:rsidR="006C679B" w:rsidRPr="00FD274F">
        <w:rPr>
          <w:szCs w:val="24"/>
        </w:rPr>
        <w:t xml:space="preserve">must notify </w:t>
      </w:r>
      <w:proofErr w:type="spellStart"/>
      <w:r w:rsidR="000716AD">
        <w:rPr>
          <w:szCs w:val="24"/>
        </w:rPr>
        <w:t>OPC</w:t>
      </w:r>
      <w:proofErr w:type="spellEnd"/>
      <w:r w:rsidR="000716AD">
        <w:rPr>
          <w:szCs w:val="24"/>
        </w:rPr>
        <w:t xml:space="preserve"> of </w:t>
      </w:r>
      <w:r w:rsidR="006C679B" w:rsidRPr="00FD274F">
        <w:rPr>
          <w:szCs w:val="24"/>
        </w:rPr>
        <w:t>are as follows:</w:t>
      </w:r>
    </w:p>
    <w:p w14:paraId="77FC1067" w14:textId="77777777" w:rsidR="006C679B" w:rsidRPr="00FD274F" w:rsidRDefault="006C679B" w:rsidP="006C679B">
      <w:pPr>
        <w:pStyle w:val="BodyPara"/>
      </w:pPr>
      <w:r w:rsidRPr="00FD274F">
        <w:t xml:space="preserve">the commencement of State </w:t>
      </w:r>
      <w:r w:rsidR="00EF3C18">
        <w:t xml:space="preserve">or Territory </w:t>
      </w:r>
      <w:r w:rsidRPr="00FD274F">
        <w:t>law</w:t>
      </w:r>
      <w:r w:rsidR="000716AD">
        <w:t>s</w:t>
      </w:r>
      <w:r w:rsidRPr="00FD274F">
        <w:t xml:space="preserve"> or of an international treaty, where this triggers the co</w:t>
      </w:r>
      <w:r w:rsidR="003F799B" w:rsidRPr="00FD274F">
        <w:t>mmencement of a registered law</w:t>
      </w:r>
      <w:r w:rsidR="009B5657" w:rsidRPr="00FD274F">
        <w:t>;</w:t>
      </w:r>
    </w:p>
    <w:p w14:paraId="1C0E4AA3" w14:textId="77777777" w:rsidR="005072C0" w:rsidRPr="00FD274F" w:rsidRDefault="006C679B" w:rsidP="006C679B">
      <w:pPr>
        <w:pStyle w:val="BodyPara"/>
      </w:pPr>
      <w:r w:rsidRPr="00FD274F">
        <w:lastRenderedPageBreak/>
        <w:t>the implied amendment of a</w:t>
      </w:r>
      <w:r w:rsidR="005072C0" w:rsidRPr="00FD274F">
        <w:t xml:space="preserve"> registered law, for example, </w:t>
      </w:r>
      <w:r w:rsidRPr="00FD274F">
        <w:t>by an amendment that</w:t>
      </w:r>
      <w:r w:rsidR="005072C0" w:rsidRPr="00FD274F">
        <w:t xml:space="preserve"> is broadly framed and that does not specify each law that is amended</w:t>
      </w:r>
      <w:r w:rsidR="009B5657" w:rsidRPr="00FD274F">
        <w:t>;</w:t>
      </w:r>
    </w:p>
    <w:p w14:paraId="6B521592" w14:textId="77777777" w:rsidR="006C679B" w:rsidRPr="00FD274F" w:rsidRDefault="006C679B" w:rsidP="006C679B">
      <w:pPr>
        <w:pStyle w:val="BodyPara"/>
      </w:pPr>
      <w:r w:rsidRPr="00FD274F">
        <w:t xml:space="preserve">the implied repeal of a </w:t>
      </w:r>
      <w:r w:rsidR="005072C0" w:rsidRPr="00FD274F">
        <w:t xml:space="preserve">law, for example, </w:t>
      </w:r>
      <w:r w:rsidRPr="00FD274F">
        <w:t xml:space="preserve">by the repeal of </w:t>
      </w:r>
      <w:r w:rsidR="005072C0" w:rsidRPr="00FD274F">
        <w:t xml:space="preserve">an instrument’s </w:t>
      </w:r>
      <w:r w:rsidRPr="00FD274F">
        <w:t>enabling legislation or provision</w:t>
      </w:r>
      <w:r w:rsidR="009B5657" w:rsidRPr="00FD274F">
        <w:t>;</w:t>
      </w:r>
    </w:p>
    <w:p w14:paraId="47127162" w14:textId="77777777" w:rsidR="006C679B" w:rsidRPr="00FD274F" w:rsidRDefault="006C679B" w:rsidP="006C679B">
      <w:pPr>
        <w:pStyle w:val="BodyPara"/>
      </w:pPr>
      <w:r w:rsidRPr="00FD274F">
        <w:t>the preservation of an instrument by a saving, application or transitional provision despite the repeal of its enabling legislation or provision.</w:t>
      </w:r>
    </w:p>
    <w:p w14:paraId="29949372" w14:textId="785B6912" w:rsidR="0043618B" w:rsidRPr="00FD274F" w:rsidRDefault="0043618B" w:rsidP="0043618B">
      <w:pPr>
        <w:pStyle w:val="BodyNum"/>
        <w:rPr>
          <w:szCs w:val="24"/>
        </w:rPr>
      </w:pPr>
      <w:r w:rsidRPr="00FD274F">
        <w:t xml:space="preserve">Agencies are asked to notify </w:t>
      </w:r>
      <w:proofErr w:type="spellStart"/>
      <w:r w:rsidRPr="00FD274F">
        <w:t>OPC</w:t>
      </w:r>
      <w:proofErr w:type="spellEnd"/>
      <w:r w:rsidRPr="00FD274F">
        <w:t xml:space="preserve"> of even</w:t>
      </w:r>
      <w:r w:rsidRPr="00FD274F">
        <w:rPr>
          <w:szCs w:val="24"/>
        </w:rPr>
        <w:t xml:space="preserve">ts by emailing </w:t>
      </w:r>
      <w:hyperlink r:id="rId339" w:history="1">
        <w:hyperlink r:id="rId340" w:history="1">
          <w:r w:rsidR="00D53143" w:rsidRPr="00FD274F">
            <w:rPr>
              <w:rStyle w:val="Hyperlink"/>
              <w:rFonts w:eastAsiaTheme="minorHAnsi"/>
              <w:szCs w:val="24"/>
              <w:lang w:eastAsia="en-US"/>
            </w:rPr>
            <w:t>lodge@legislation.gov.au</w:t>
          </w:r>
        </w:hyperlink>
      </w:hyperlink>
      <w:r w:rsidRPr="00FD274F">
        <w:rPr>
          <w:szCs w:val="24"/>
        </w:rPr>
        <w:t xml:space="preserve"> and </w:t>
      </w:r>
      <w:r w:rsidR="006C679B" w:rsidRPr="00FD274F">
        <w:rPr>
          <w:szCs w:val="24"/>
        </w:rPr>
        <w:t xml:space="preserve">to attach or provide links to </w:t>
      </w:r>
      <w:r w:rsidRPr="00FD274F">
        <w:rPr>
          <w:szCs w:val="24"/>
        </w:rPr>
        <w:t xml:space="preserve">documentary evidence of the relevant event, such as a court judgement or a written statement from an SES employee </w:t>
      </w:r>
      <w:r w:rsidRPr="0049119D">
        <w:rPr>
          <w:szCs w:val="24"/>
        </w:rPr>
        <w:t>(</w:t>
      </w:r>
      <w:r w:rsidR="005406F4" w:rsidRPr="0049119D">
        <w:rPr>
          <w:szCs w:val="24"/>
        </w:rPr>
        <w:t xml:space="preserve">see </w:t>
      </w:r>
      <w:hyperlink r:id="rId341" w:history="1">
        <w:hyperlink r:id="rId342" w:history="1">
          <w:r w:rsidR="00197826" w:rsidRPr="0049119D">
            <w:rPr>
              <w:rStyle w:val="Hyperlink"/>
              <w:spacing w:val="-6"/>
            </w:rPr>
            <w:t>Rule</w:t>
          </w:r>
        </w:hyperlink>
      </w:hyperlink>
      <w:r w:rsidRPr="0049119D">
        <w:rPr>
          <w:szCs w:val="24"/>
        </w:rPr>
        <w:t xml:space="preserve"> s 13). T</w:t>
      </w:r>
      <w:r w:rsidRPr="00FD274F">
        <w:rPr>
          <w:szCs w:val="24"/>
        </w:rPr>
        <w:t>his evidence may be registered and as such, must not contain classified or sensitive information.</w:t>
      </w:r>
    </w:p>
    <w:p w14:paraId="43E943E5" w14:textId="77777777" w:rsidR="00212C6A" w:rsidRPr="00FD274F" w:rsidRDefault="00212C6A" w:rsidP="00212C6A">
      <w:pPr>
        <w:pStyle w:val="Head3"/>
      </w:pPr>
      <w:bookmarkStart w:id="129" w:name="_Toc112918799"/>
      <w:r w:rsidRPr="00FD274F">
        <w:t>If an error is found in the Register</w:t>
      </w:r>
      <w:bookmarkEnd w:id="129"/>
    </w:p>
    <w:p w14:paraId="66DE8CF8" w14:textId="05500012" w:rsidR="00212C6A" w:rsidRPr="00FD274F" w:rsidRDefault="00212C6A" w:rsidP="00212C6A">
      <w:pPr>
        <w:pStyle w:val="BodyNum"/>
        <w:rPr>
          <w:spacing w:val="-4"/>
        </w:rPr>
      </w:pPr>
      <w:bookmarkStart w:id="130" w:name="_Ref442361469"/>
      <w:r w:rsidRPr="00FD274F">
        <w:rPr>
          <w:spacing w:val="-4"/>
        </w:rPr>
        <w:t xml:space="preserve">If an agency or another user of the Register notifies </w:t>
      </w:r>
      <w:proofErr w:type="spellStart"/>
      <w:r w:rsidRPr="00FD274F">
        <w:rPr>
          <w:spacing w:val="-4"/>
        </w:rPr>
        <w:t>OPC</w:t>
      </w:r>
      <w:proofErr w:type="spellEnd"/>
      <w:r w:rsidRPr="00FD274F">
        <w:rPr>
          <w:spacing w:val="-4"/>
        </w:rPr>
        <w:t xml:space="preserve"> of an error in the Register</w:t>
      </w:r>
      <w:r w:rsidR="00DE6A77">
        <w:rPr>
          <w:spacing w:val="-4"/>
        </w:rPr>
        <w:t xml:space="preserve"> that arises because t</w:t>
      </w:r>
      <w:r w:rsidR="00705E35">
        <w:rPr>
          <w:spacing w:val="-4"/>
        </w:rPr>
        <w:t>he text of the document in the R</w:t>
      </w:r>
      <w:r w:rsidR="00DE6A77">
        <w:rPr>
          <w:spacing w:val="-4"/>
        </w:rPr>
        <w:t>egister is not the same as the text as made or assented to or the document was not compiled correctly</w:t>
      </w:r>
      <w:r w:rsidRPr="00FD274F">
        <w:rPr>
          <w:spacing w:val="-4"/>
        </w:rPr>
        <w:t xml:space="preserve">, the matter will be investigated consistent with the First Parliamentary Counsel’s obligation to </w:t>
      </w:r>
      <w:r w:rsidR="00FF030C">
        <w:rPr>
          <w:spacing w:val="-4"/>
        </w:rPr>
        <w:t xml:space="preserve">rectify </w:t>
      </w:r>
      <w:r w:rsidRPr="00FD274F">
        <w:rPr>
          <w:spacing w:val="-4"/>
        </w:rPr>
        <w:t xml:space="preserve">errors under </w:t>
      </w:r>
      <w:r w:rsidR="009B5657" w:rsidRPr="00FD274F">
        <w:rPr>
          <w:spacing w:val="-4"/>
        </w:rPr>
        <w:t>s</w:t>
      </w:r>
      <w:r w:rsidR="009B5657" w:rsidRPr="005633BF">
        <w:rPr>
          <w:spacing w:val="-4"/>
        </w:rPr>
        <w:t xml:space="preserve">ubsection </w:t>
      </w:r>
      <w:r w:rsidRPr="005633BF">
        <w:rPr>
          <w:spacing w:val="-4"/>
        </w:rPr>
        <w:t xml:space="preserve">15D(1) of the </w:t>
      </w:r>
      <w:hyperlink r:id="rId343" w:history="1">
        <w:r w:rsidR="009052EB" w:rsidRPr="005633BF">
          <w:rPr>
            <w:rStyle w:val="Hyperlink"/>
          </w:rPr>
          <w:t>LA</w:t>
        </w:r>
      </w:hyperlink>
      <w:r w:rsidRPr="005633BF">
        <w:rPr>
          <w:spacing w:val="-4"/>
        </w:rPr>
        <w:t>.</w:t>
      </w:r>
      <w:r w:rsidRPr="00FD274F">
        <w:rPr>
          <w:spacing w:val="-4"/>
        </w:rPr>
        <w:t xml:space="preserve"> A </w:t>
      </w:r>
      <w:r w:rsidR="00FF030C">
        <w:rPr>
          <w:spacing w:val="-4"/>
        </w:rPr>
        <w:t>rectification</w:t>
      </w:r>
      <w:r w:rsidRPr="00FD274F">
        <w:rPr>
          <w:spacing w:val="-4"/>
        </w:rPr>
        <w:t xml:space="preserve"> may be appropriate if, for example:</w:t>
      </w:r>
      <w:bookmarkEnd w:id="130"/>
    </w:p>
    <w:p w14:paraId="02D2EBB3" w14:textId="77777777" w:rsidR="00212C6A" w:rsidRPr="00FD274F" w:rsidRDefault="00212C6A" w:rsidP="00212C6A">
      <w:pPr>
        <w:pStyle w:val="BodyPara"/>
      </w:pPr>
      <w:r w:rsidRPr="00FD274F">
        <w:t>a symbol or mathematical formula is not displaying correctly in the authoris</w:t>
      </w:r>
      <w:r w:rsidR="00E06893">
        <w:t>ed version of an instrument; or</w:t>
      </w:r>
    </w:p>
    <w:p w14:paraId="70A8F130" w14:textId="77777777" w:rsidR="00212C6A" w:rsidRPr="00FD274F" w:rsidRDefault="00212C6A" w:rsidP="00212C6A">
      <w:pPr>
        <w:pStyle w:val="BodyPara"/>
      </w:pPr>
      <w:r w:rsidRPr="00FD274F">
        <w:t>an amendment has not been incorporated into a compilation correctly or in a timely manner (for example, because commencement was tied to an event that</w:t>
      </w:r>
      <w:r w:rsidR="00E06893">
        <w:t xml:space="preserve"> was not notified promptly); or</w:t>
      </w:r>
    </w:p>
    <w:p w14:paraId="1C39C35D" w14:textId="77777777" w:rsidR="00E717C5" w:rsidRPr="00FD274F" w:rsidRDefault="00E717C5" w:rsidP="00212C6A">
      <w:pPr>
        <w:pStyle w:val="BodyPara"/>
      </w:pPr>
      <w:r>
        <w:t>an electronic version of a disallowable legislative instrument registered on the Register does not accurately reflect the text of the original document as made by the rule</w:t>
      </w:r>
      <w:r w:rsidR="009C4251">
        <w:noBreakHyphen/>
      </w:r>
      <w:r>
        <w:t>maker.</w:t>
      </w:r>
    </w:p>
    <w:p w14:paraId="6F089A2E" w14:textId="65DAC109" w:rsidR="00212C6A" w:rsidRPr="005633BF" w:rsidRDefault="00212C6A" w:rsidP="00212C6A">
      <w:pPr>
        <w:pStyle w:val="BodyNum"/>
      </w:pPr>
      <w:r w:rsidRPr="00FD274F">
        <w:t xml:space="preserve">If a </w:t>
      </w:r>
      <w:r w:rsidR="00FF030C">
        <w:t>rectification</w:t>
      </w:r>
      <w:r w:rsidRPr="00FD274F">
        <w:t xml:space="preserve"> is made, both the </w:t>
      </w:r>
      <w:r w:rsidR="00AE5773">
        <w:t>rectified</w:t>
      </w:r>
      <w:r w:rsidRPr="00FD274F">
        <w:t xml:space="preserve"> and the original document remain on the Register to enable users to assess the legal effect of changes. The Register is also annotated to show that a </w:t>
      </w:r>
      <w:r w:rsidR="00AE5773">
        <w:t>rectification</w:t>
      </w:r>
      <w:r w:rsidRPr="00FD274F">
        <w:t xml:space="preserve"> has been made and to outline the </w:t>
      </w:r>
      <w:r w:rsidR="00AE5773">
        <w:t>rectification</w:t>
      </w:r>
      <w:r w:rsidRPr="00FD274F">
        <w:t xml:space="preserve"> in general terms </w:t>
      </w:r>
      <w:r w:rsidRPr="005633BF">
        <w:t>(</w:t>
      </w:r>
      <w:hyperlink r:id="rId344" w:history="1">
        <w:r w:rsidR="009052EB" w:rsidRPr="005633BF">
          <w:rPr>
            <w:rStyle w:val="Hyperlink"/>
          </w:rPr>
          <w:t>LA</w:t>
        </w:r>
      </w:hyperlink>
      <w:r w:rsidR="009052EB" w:rsidRPr="005633BF">
        <w:rPr>
          <w:rStyle w:val="Hyperlink"/>
        </w:rPr>
        <w:t xml:space="preserve"> </w:t>
      </w:r>
      <w:r w:rsidRPr="005633BF">
        <w:t>s</w:t>
      </w:r>
      <w:r w:rsidR="00017258" w:rsidRPr="005633BF">
        <w:t> </w:t>
      </w:r>
      <w:r w:rsidRPr="005633BF">
        <w:t>15D(</w:t>
      </w:r>
      <w:r w:rsidR="00AE5773" w:rsidRPr="005633BF">
        <w:t>2</w:t>
      </w:r>
      <w:r w:rsidRPr="005633BF">
        <w:t>)).</w:t>
      </w:r>
    </w:p>
    <w:p w14:paraId="380FB6EB" w14:textId="0F800741" w:rsidR="00212C6A" w:rsidRPr="005D53B9" w:rsidRDefault="00212C6A" w:rsidP="00212C6A">
      <w:pPr>
        <w:pStyle w:val="BodyNum"/>
      </w:pPr>
      <w:r w:rsidRPr="00FD274F">
        <w:t xml:space="preserve">A </w:t>
      </w:r>
      <w:r w:rsidR="00AE5773">
        <w:t>rectification</w:t>
      </w:r>
      <w:r w:rsidRPr="00FD274F">
        <w:t xml:space="preserve"> may not be appropriate in every instance. For example, if the text of an instrument contains a typographic</w:t>
      </w:r>
      <w:r w:rsidR="004B6FF6">
        <w:t>al</w:t>
      </w:r>
      <w:r w:rsidRPr="00FD274F">
        <w:t xml:space="preserve"> error but the text is consistent with the text made by the rule</w:t>
      </w:r>
      <w:r w:rsidR="009C4251">
        <w:noBreakHyphen/>
      </w:r>
      <w:r w:rsidRPr="00FD274F">
        <w:t>maker, the error cannot be corrected under sectio</w:t>
      </w:r>
      <w:r w:rsidRPr="005633BF">
        <w:t>n 15D</w:t>
      </w:r>
      <w:r w:rsidR="009B5657" w:rsidRPr="005633BF">
        <w:t xml:space="preserve"> of the </w:t>
      </w:r>
      <w:hyperlink r:id="rId345" w:history="1">
        <w:r w:rsidR="00E25493" w:rsidRPr="005633BF">
          <w:rPr>
            <w:rStyle w:val="Hyperlink"/>
          </w:rPr>
          <w:t>LA</w:t>
        </w:r>
      </w:hyperlink>
      <w:r w:rsidRPr="005633BF">
        <w:t>.</w:t>
      </w:r>
      <w:r w:rsidRPr="00FD274F">
        <w:t xml:space="preserve"> However, in this example, it may be possible for </w:t>
      </w:r>
      <w:proofErr w:type="spellStart"/>
      <w:r w:rsidRPr="00FD274F">
        <w:t>OPC</w:t>
      </w:r>
      <w:proofErr w:type="spellEnd"/>
      <w:r w:rsidRPr="00FD274F">
        <w:t xml:space="preserve"> to prepare a compilation that incorporates an editorial change that fixes the error. </w:t>
      </w:r>
      <w:r w:rsidR="002071BB" w:rsidRPr="00FD274F">
        <w:t xml:space="preserve">For more </w:t>
      </w:r>
      <w:r w:rsidRPr="00FD274F">
        <w:t xml:space="preserve">information </w:t>
      </w:r>
      <w:r w:rsidR="002071BB" w:rsidRPr="00FD274F">
        <w:t xml:space="preserve">on </w:t>
      </w:r>
      <w:proofErr w:type="spellStart"/>
      <w:r w:rsidRPr="00FD274F">
        <w:t>OPC’s</w:t>
      </w:r>
      <w:proofErr w:type="spellEnd"/>
      <w:r w:rsidRPr="00FD274F">
        <w:t xml:space="preserve"> editorial powers</w:t>
      </w:r>
      <w:r w:rsidR="00D63A8B" w:rsidRPr="00FD274F">
        <w:t xml:space="preserve">, see </w:t>
      </w:r>
      <w:r w:rsidRPr="005D53B9">
        <w:t>paragraph</w:t>
      </w:r>
      <w:r w:rsidR="00D63A8B" w:rsidRPr="005D53B9">
        <w:t>s</w:t>
      </w:r>
      <w:r w:rsidRPr="005D53B9">
        <w:t xml:space="preserve"> </w:t>
      </w:r>
      <w:r w:rsidR="00D63A8B" w:rsidRPr="005633BF">
        <w:fldChar w:fldCharType="begin"/>
      </w:r>
      <w:r w:rsidR="00D63A8B" w:rsidRPr="005D53B9">
        <w:instrText xml:space="preserve"> REF _Ref441240649 \r \h  \* MERGEFORMAT </w:instrText>
      </w:r>
      <w:r w:rsidR="00D63A8B" w:rsidRPr="005633BF">
        <w:fldChar w:fldCharType="separate"/>
      </w:r>
      <w:r w:rsidR="003E1B43" w:rsidRPr="005D53B9">
        <w:t>194</w:t>
      </w:r>
      <w:r w:rsidR="00D63A8B" w:rsidRPr="005633BF">
        <w:fldChar w:fldCharType="end"/>
      </w:r>
      <w:r w:rsidR="009B5657" w:rsidRPr="005D53B9">
        <w:t xml:space="preserve"> and </w:t>
      </w:r>
      <w:r w:rsidR="00D63A8B" w:rsidRPr="005633BF">
        <w:fldChar w:fldCharType="begin"/>
      </w:r>
      <w:r w:rsidR="00D63A8B" w:rsidRPr="005D53B9">
        <w:instrText xml:space="preserve"> REF _Ref441240651 \r \h  \* MERGEFORMAT </w:instrText>
      </w:r>
      <w:r w:rsidR="00D63A8B" w:rsidRPr="005633BF">
        <w:fldChar w:fldCharType="separate"/>
      </w:r>
      <w:r w:rsidR="003E1B43" w:rsidRPr="005D53B9">
        <w:t>195</w:t>
      </w:r>
      <w:r w:rsidR="00D63A8B" w:rsidRPr="005633BF">
        <w:fldChar w:fldCharType="end"/>
      </w:r>
      <w:r w:rsidRPr="005D53B9">
        <w:t>.</w:t>
      </w:r>
    </w:p>
    <w:p w14:paraId="4DE937E7" w14:textId="77777777" w:rsidR="00E717C5" w:rsidRDefault="00DF6481" w:rsidP="00676A1A">
      <w:pPr>
        <w:pStyle w:val="Head3"/>
      </w:pPr>
      <w:bookmarkStart w:id="131" w:name="_Toc112918800"/>
      <w:r>
        <w:t>Rectification of disallowable legislative instruments</w:t>
      </w:r>
      <w:bookmarkEnd w:id="131"/>
    </w:p>
    <w:p w14:paraId="07126D4B" w14:textId="3DA30B00" w:rsidR="00DF6481" w:rsidRDefault="00DF6481" w:rsidP="00DF6481">
      <w:pPr>
        <w:pStyle w:val="BodyNum"/>
      </w:pPr>
      <w:bookmarkStart w:id="132" w:name="_Ref2948989"/>
      <w:r>
        <w:t>If a disallowable legislative instrument</w:t>
      </w:r>
      <w:r w:rsidR="000716AD">
        <w:t xml:space="preserve"> is </w:t>
      </w:r>
      <w:r>
        <w:t xml:space="preserve">rectified </w:t>
      </w:r>
      <w:r w:rsidR="000716AD">
        <w:t>after the original version was tabled</w:t>
      </w:r>
      <w:r>
        <w:t xml:space="preserve"> then the rectified instrument must be re</w:t>
      </w:r>
      <w:r w:rsidR="009C4251">
        <w:noBreakHyphen/>
      </w:r>
      <w:r>
        <w:t>tabled in each House of the Parliament within 6 sitti</w:t>
      </w:r>
      <w:r w:rsidR="003F219A">
        <w:t xml:space="preserve">ng days after the rectification </w:t>
      </w:r>
      <w:r w:rsidR="003F219A" w:rsidRPr="00FD274F">
        <w:t>(</w:t>
      </w:r>
      <w:hyperlink r:id="rId346" w:history="1">
        <w:r w:rsidR="003F219A" w:rsidRPr="005633BF">
          <w:rPr>
            <w:rStyle w:val="Hyperlink"/>
          </w:rPr>
          <w:t>LA</w:t>
        </w:r>
      </w:hyperlink>
      <w:r w:rsidR="003F219A" w:rsidRPr="005633BF">
        <w:rPr>
          <w:rStyle w:val="Hyperlink"/>
        </w:rPr>
        <w:t xml:space="preserve"> </w:t>
      </w:r>
      <w:r w:rsidR="003F219A" w:rsidRPr="005633BF">
        <w:t>s 15DA(2)).</w:t>
      </w:r>
      <w:bookmarkEnd w:id="132"/>
    </w:p>
    <w:p w14:paraId="68F77796" w14:textId="6981F169" w:rsidR="003F219A" w:rsidRDefault="003F219A" w:rsidP="00DF6481">
      <w:pPr>
        <w:pStyle w:val="BodyNum"/>
      </w:pPr>
      <w:bookmarkStart w:id="133" w:name="_Ref2949471"/>
      <w:r>
        <w:lastRenderedPageBreak/>
        <w:t>If the disallowable legislative instrument has already been disallowed in full by a House of the Parliament then the re</w:t>
      </w:r>
      <w:r w:rsidR="009C4251">
        <w:noBreakHyphen/>
      </w:r>
      <w:r>
        <w:t xml:space="preserve">tabled instrument is not subject to </w:t>
      </w:r>
      <w:r w:rsidR="00976BCD">
        <w:t>a new disallowance perio</w:t>
      </w:r>
      <w:r w:rsidR="00976BCD" w:rsidRPr="005633BF">
        <w:t xml:space="preserve">d </w:t>
      </w:r>
      <w:r w:rsidR="00526C3D" w:rsidRPr="005633BF">
        <w:t>(</w:t>
      </w:r>
      <w:hyperlink r:id="rId347" w:history="1">
        <w:r w:rsidR="00526C3D" w:rsidRPr="005633BF">
          <w:rPr>
            <w:rStyle w:val="Hyperlink"/>
          </w:rPr>
          <w:t>LA</w:t>
        </w:r>
      </w:hyperlink>
      <w:r w:rsidR="00526C3D" w:rsidRPr="005633BF">
        <w:rPr>
          <w:rStyle w:val="Hyperlink"/>
        </w:rPr>
        <w:t xml:space="preserve"> </w:t>
      </w:r>
      <w:r w:rsidR="00526C3D" w:rsidRPr="005633BF">
        <w:t xml:space="preserve">s 15DA(4)). </w:t>
      </w:r>
      <w:r w:rsidR="00976BCD" w:rsidRPr="005633BF">
        <w:t>I</w:t>
      </w:r>
      <w:r w:rsidR="00976BCD">
        <w:t xml:space="preserve">n all other cases, a rectified disallowable legislative instrument extends or starts a </w:t>
      </w:r>
      <w:r w:rsidR="00526C3D">
        <w:t xml:space="preserve">new </w:t>
      </w:r>
      <w:r w:rsidR="00976BCD">
        <w:t>disallowance peri</w:t>
      </w:r>
      <w:r w:rsidR="00976BCD" w:rsidRPr="005633BF">
        <w:t>od</w:t>
      </w:r>
      <w:r w:rsidR="00526C3D" w:rsidRPr="005633BF">
        <w:t xml:space="preserve"> (</w:t>
      </w:r>
      <w:hyperlink r:id="rId348" w:history="1">
        <w:r w:rsidR="00526C3D" w:rsidRPr="005633BF">
          <w:rPr>
            <w:rStyle w:val="Hyperlink"/>
          </w:rPr>
          <w:t>LA</w:t>
        </w:r>
      </w:hyperlink>
      <w:r w:rsidR="00526C3D" w:rsidRPr="005633BF">
        <w:rPr>
          <w:rStyle w:val="Hyperlink"/>
        </w:rPr>
        <w:t xml:space="preserve"> </w:t>
      </w:r>
      <w:r w:rsidR="00526C3D" w:rsidRPr="005633BF">
        <w:t>s 15DA(3</w:t>
      </w:r>
      <w:r w:rsidR="00526C3D" w:rsidRPr="00FD274F">
        <w:t>)</w:t>
      </w:r>
      <w:r w:rsidR="00526C3D">
        <w:t>).</w:t>
      </w:r>
      <w:bookmarkEnd w:id="133"/>
    </w:p>
    <w:p w14:paraId="78B3AF2C" w14:textId="77777777" w:rsidR="005D59AF" w:rsidRDefault="005D59AF" w:rsidP="00DF6481">
      <w:pPr>
        <w:pStyle w:val="BodyNum"/>
      </w:pPr>
      <w:bookmarkStart w:id="134" w:name="_Ref2949476"/>
      <w:r>
        <w:t>The following table summarises the impact of rectification on parliamentary processes for disallo</w:t>
      </w:r>
      <w:r w:rsidR="000716AD">
        <w:t>wable legislative instruments.</w:t>
      </w:r>
      <w:bookmarkEnd w:id="134"/>
    </w:p>
    <w:p w14:paraId="20542A97" w14:textId="77777777" w:rsidR="005D59AF" w:rsidRPr="00DF6481" w:rsidRDefault="005D59AF" w:rsidP="005D59AF"/>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513"/>
        <w:gridCol w:w="4513"/>
      </w:tblGrid>
      <w:tr w:rsidR="00976BCD" w:rsidRPr="00FD274F" w14:paraId="66037BCE" w14:textId="77777777" w:rsidTr="00976BCD">
        <w:trPr>
          <w:tblHeader/>
        </w:trPr>
        <w:tc>
          <w:tcPr>
            <w:tcW w:w="4513" w:type="dxa"/>
            <w:tcBorders>
              <w:top w:val="single" w:sz="12" w:space="0" w:color="auto"/>
              <w:bottom w:val="single" w:sz="12" w:space="0" w:color="auto"/>
            </w:tcBorders>
          </w:tcPr>
          <w:p w14:paraId="57F2A338" w14:textId="77777777" w:rsidR="00976BCD" w:rsidRPr="00FD274F" w:rsidRDefault="00976BCD" w:rsidP="00976BCD">
            <w:pPr>
              <w:pStyle w:val="TableHeading"/>
            </w:pPr>
            <w:r w:rsidRPr="00526C3D">
              <w:t>Time of rectification</w:t>
            </w:r>
          </w:p>
        </w:tc>
        <w:tc>
          <w:tcPr>
            <w:tcW w:w="4513" w:type="dxa"/>
            <w:tcBorders>
              <w:top w:val="single" w:sz="12" w:space="0" w:color="auto"/>
              <w:bottom w:val="single" w:sz="12" w:space="0" w:color="auto"/>
            </w:tcBorders>
            <w:shd w:val="clear" w:color="auto" w:fill="auto"/>
          </w:tcPr>
          <w:p w14:paraId="126C764F" w14:textId="77777777" w:rsidR="00976BCD" w:rsidRPr="00FD274F" w:rsidRDefault="000716AD" w:rsidP="00976BCD">
            <w:pPr>
              <w:pStyle w:val="TableHeading"/>
            </w:pPr>
            <w:r>
              <w:t>Action</w:t>
            </w:r>
          </w:p>
        </w:tc>
      </w:tr>
      <w:tr w:rsidR="00976BCD" w:rsidRPr="00FD274F" w14:paraId="56D2819A" w14:textId="77777777" w:rsidTr="00976BCD">
        <w:tc>
          <w:tcPr>
            <w:tcW w:w="4513" w:type="dxa"/>
            <w:tcBorders>
              <w:top w:val="single" w:sz="12" w:space="0" w:color="auto"/>
            </w:tcBorders>
          </w:tcPr>
          <w:p w14:paraId="2EB17623" w14:textId="77777777" w:rsidR="00976BCD" w:rsidRPr="00FD274F" w:rsidRDefault="00097B59" w:rsidP="00097B59">
            <w:pPr>
              <w:pStyle w:val="Tabletext"/>
            </w:pPr>
            <w:r>
              <w:t>The i</w:t>
            </w:r>
            <w:r w:rsidR="00976BCD">
              <w:t>nstrument is rectified before the original instrument has been tabled</w:t>
            </w:r>
          </w:p>
        </w:tc>
        <w:tc>
          <w:tcPr>
            <w:tcW w:w="4513" w:type="dxa"/>
            <w:tcBorders>
              <w:top w:val="single" w:sz="12" w:space="0" w:color="auto"/>
            </w:tcBorders>
            <w:shd w:val="clear" w:color="auto" w:fill="auto"/>
          </w:tcPr>
          <w:p w14:paraId="690DF08F" w14:textId="77777777" w:rsidR="00976BCD" w:rsidRPr="00FD274F" w:rsidRDefault="00097B59" w:rsidP="00976BCD">
            <w:pPr>
              <w:pStyle w:val="Tabletext"/>
            </w:pPr>
            <w:r>
              <w:t>The r</w:t>
            </w:r>
            <w:r w:rsidR="00976BCD">
              <w:t>ectified instrument is tabled and normal parliamentary processes occur</w:t>
            </w:r>
          </w:p>
        </w:tc>
      </w:tr>
      <w:tr w:rsidR="00976BCD" w:rsidRPr="00FD274F" w14:paraId="596A6D1B" w14:textId="77777777" w:rsidTr="00976BCD">
        <w:tc>
          <w:tcPr>
            <w:tcW w:w="4513" w:type="dxa"/>
            <w:tcBorders>
              <w:bottom w:val="single" w:sz="4" w:space="0" w:color="auto"/>
            </w:tcBorders>
          </w:tcPr>
          <w:p w14:paraId="64C2E11C" w14:textId="77777777" w:rsidR="00976BCD" w:rsidRPr="00FD274F" w:rsidRDefault="00097B59" w:rsidP="00D50771">
            <w:pPr>
              <w:pStyle w:val="Tabletext"/>
            </w:pPr>
            <w:r>
              <w:t>The i</w:t>
            </w:r>
            <w:r w:rsidR="00976BCD">
              <w:t>nstrument is rectified after the original instrument has been tabled and the disallowance period has begun</w:t>
            </w:r>
            <w:r w:rsidR="005D59AF">
              <w:t xml:space="preserve"> </w:t>
            </w:r>
            <w:r w:rsidR="00756A1D">
              <w:t xml:space="preserve">but no motion to disallow </w:t>
            </w:r>
            <w:r w:rsidR="00D50771">
              <w:t>is on foot</w:t>
            </w:r>
          </w:p>
        </w:tc>
        <w:tc>
          <w:tcPr>
            <w:tcW w:w="4513" w:type="dxa"/>
            <w:tcBorders>
              <w:bottom w:val="single" w:sz="4" w:space="0" w:color="auto"/>
            </w:tcBorders>
            <w:shd w:val="clear" w:color="auto" w:fill="auto"/>
          </w:tcPr>
          <w:p w14:paraId="2342EC28" w14:textId="77777777" w:rsidR="00976BCD" w:rsidRPr="00FD274F" w:rsidRDefault="00097B59" w:rsidP="005D59AF">
            <w:pPr>
              <w:pStyle w:val="Tabletext"/>
            </w:pPr>
            <w:r>
              <w:t>The r</w:t>
            </w:r>
            <w:r w:rsidR="005D59AF">
              <w:t>ectified instrument is re</w:t>
            </w:r>
            <w:r w:rsidR="009C4251">
              <w:noBreakHyphen/>
            </w:r>
            <w:r w:rsidR="005D59AF">
              <w:t>tabled and the disallowance period restarts (</w:t>
            </w:r>
            <w:r>
              <w:t>thereby</w:t>
            </w:r>
            <w:r w:rsidR="005D59AF">
              <w:t xml:space="preserve"> extending) the disallowance period</w:t>
            </w:r>
          </w:p>
        </w:tc>
      </w:tr>
      <w:tr w:rsidR="00756A1D" w:rsidRPr="00FD274F" w14:paraId="57452F34" w14:textId="77777777" w:rsidTr="00097B59">
        <w:tc>
          <w:tcPr>
            <w:tcW w:w="4513" w:type="dxa"/>
          </w:tcPr>
          <w:p w14:paraId="62E895F3" w14:textId="77777777" w:rsidR="00756A1D" w:rsidRDefault="00756A1D" w:rsidP="00D50771">
            <w:pPr>
              <w:pStyle w:val="Tabletext"/>
            </w:pPr>
            <w:r>
              <w:t>The instrument is rectified after the original instrument has been tabled, the disa</w:t>
            </w:r>
            <w:r w:rsidR="000716AD">
              <w:t xml:space="preserve">llowance period has begun and notice of a </w:t>
            </w:r>
            <w:r>
              <w:t>motion to disallow</w:t>
            </w:r>
            <w:r w:rsidR="00D50771">
              <w:t xml:space="preserve"> is on foot</w:t>
            </w:r>
          </w:p>
        </w:tc>
        <w:tc>
          <w:tcPr>
            <w:tcW w:w="4513" w:type="dxa"/>
            <w:shd w:val="clear" w:color="auto" w:fill="auto"/>
          </w:tcPr>
          <w:p w14:paraId="0FCD6FC2" w14:textId="77777777" w:rsidR="00756A1D" w:rsidRDefault="00756A1D" w:rsidP="000716AD">
            <w:pPr>
              <w:pStyle w:val="Tabletext"/>
            </w:pPr>
            <w:r>
              <w:t>The rectified instrument is re</w:t>
            </w:r>
            <w:r w:rsidR="009C4251">
              <w:noBreakHyphen/>
            </w:r>
            <w:r>
              <w:t>tabled and the disallowance period restarts (thereby extending) the disallowance period</w:t>
            </w:r>
            <w:r w:rsidR="000716AD">
              <w:t>. T</w:t>
            </w:r>
            <w:r>
              <w:t xml:space="preserve">he notice of motion is taken to have been given on the sitting day after the rectified instrument is </w:t>
            </w:r>
            <w:r w:rsidR="000716AD">
              <w:t>tabled</w:t>
            </w:r>
          </w:p>
        </w:tc>
      </w:tr>
      <w:tr w:rsidR="00976BCD" w:rsidRPr="00FD274F" w14:paraId="5AAA6496" w14:textId="77777777" w:rsidTr="00097B59">
        <w:tc>
          <w:tcPr>
            <w:tcW w:w="4513" w:type="dxa"/>
          </w:tcPr>
          <w:p w14:paraId="1430D3E8" w14:textId="77777777" w:rsidR="00976BCD" w:rsidRPr="00FD274F" w:rsidRDefault="00097B59" w:rsidP="000716AD">
            <w:pPr>
              <w:pStyle w:val="Tabletext"/>
            </w:pPr>
            <w:r>
              <w:t>The i</w:t>
            </w:r>
            <w:r w:rsidR="005D59AF">
              <w:t>nstrument is rectified after the original instrument has been tabled</w:t>
            </w:r>
            <w:r w:rsidR="00756A1D">
              <w:t xml:space="preserve"> </w:t>
            </w:r>
            <w:r>
              <w:t>and the instrument</w:t>
            </w:r>
            <w:r w:rsidR="000716AD">
              <w:t xml:space="preserve"> has been disallowed</w:t>
            </w:r>
            <w:r>
              <w:t xml:space="preserve"> in full</w:t>
            </w:r>
          </w:p>
        </w:tc>
        <w:tc>
          <w:tcPr>
            <w:tcW w:w="4513" w:type="dxa"/>
            <w:shd w:val="clear" w:color="auto" w:fill="auto"/>
          </w:tcPr>
          <w:p w14:paraId="303E21FB" w14:textId="77777777" w:rsidR="00976BCD" w:rsidRPr="00FD274F" w:rsidRDefault="00097B59" w:rsidP="000716AD">
            <w:pPr>
              <w:pStyle w:val="Tabletext"/>
            </w:pPr>
            <w:r>
              <w:t>The rectified instrument is re</w:t>
            </w:r>
            <w:r w:rsidR="009C4251">
              <w:noBreakHyphen/>
            </w:r>
            <w:r>
              <w:t xml:space="preserve">tabled but the </w:t>
            </w:r>
            <w:r w:rsidR="000716AD">
              <w:t>disallowance period does not restart as the instrument</w:t>
            </w:r>
            <w:r>
              <w:t xml:space="preserve"> has already been disallowed in full</w:t>
            </w:r>
          </w:p>
        </w:tc>
      </w:tr>
      <w:tr w:rsidR="00097B59" w:rsidRPr="00FD274F" w14:paraId="07AFA5F4" w14:textId="77777777" w:rsidTr="00097B59">
        <w:tc>
          <w:tcPr>
            <w:tcW w:w="4513" w:type="dxa"/>
          </w:tcPr>
          <w:p w14:paraId="55E1B67E" w14:textId="77777777" w:rsidR="00097B59" w:rsidRDefault="00097B59" w:rsidP="00705E35">
            <w:pPr>
              <w:pStyle w:val="Tabletext"/>
            </w:pPr>
            <w:r>
              <w:t>The instrument is rectified after the original instrument has been tabled, the disallowance period has begun and a motion to disallow the instrument in part has been passed</w:t>
            </w:r>
          </w:p>
        </w:tc>
        <w:tc>
          <w:tcPr>
            <w:tcW w:w="4513" w:type="dxa"/>
            <w:shd w:val="clear" w:color="auto" w:fill="auto"/>
          </w:tcPr>
          <w:p w14:paraId="4F22DE1C" w14:textId="77777777" w:rsidR="00097B59" w:rsidRDefault="00097B59" w:rsidP="00097B59">
            <w:pPr>
              <w:pStyle w:val="Tabletext"/>
            </w:pPr>
            <w:r>
              <w:t>The rectified instrument is re</w:t>
            </w:r>
            <w:r w:rsidR="009C4251">
              <w:noBreakHyphen/>
            </w:r>
            <w:r>
              <w:t>tabled and the disallowance period restarts for the provisions of the instrument that have not already been disallowed</w:t>
            </w:r>
          </w:p>
        </w:tc>
      </w:tr>
      <w:tr w:rsidR="00097B59" w:rsidRPr="00FD274F" w14:paraId="09289D04" w14:textId="77777777" w:rsidTr="00976BCD">
        <w:tc>
          <w:tcPr>
            <w:tcW w:w="4513" w:type="dxa"/>
            <w:tcBorders>
              <w:bottom w:val="single" w:sz="12" w:space="0" w:color="auto"/>
            </w:tcBorders>
          </w:tcPr>
          <w:p w14:paraId="787E2394" w14:textId="77777777" w:rsidR="00097B59" w:rsidRDefault="00097B59" w:rsidP="000716AD">
            <w:pPr>
              <w:pStyle w:val="Tabletext"/>
            </w:pPr>
            <w:r>
              <w:t xml:space="preserve">The instrument is rectified after the original instrument has been tabled, the original disallowance period has ended and for solely amending </w:t>
            </w:r>
            <w:r w:rsidR="000716AD">
              <w:t xml:space="preserve">or </w:t>
            </w:r>
            <w:r>
              <w:t>repealing instruments</w:t>
            </w:r>
            <w:r w:rsidR="000716AD">
              <w:t xml:space="preserve"> or provisions</w:t>
            </w:r>
            <w:r>
              <w:t>, s</w:t>
            </w:r>
            <w:r w:rsidRPr="005633BF">
              <w:t>ection 48A</w:t>
            </w:r>
            <w:r w:rsidR="00756A1D" w:rsidRPr="005633BF">
              <w:t xml:space="preserve"> or 48C of the LA </w:t>
            </w:r>
            <w:r w:rsidR="000716AD" w:rsidRPr="005633BF">
              <w:t>has</w:t>
            </w:r>
            <w:r w:rsidRPr="005633BF">
              <w:t xml:space="preserve"> ope</w:t>
            </w:r>
            <w:r>
              <w:t>rated and automatically repealed the instrument</w:t>
            </w:r>
            <w:r w:rsidR="00756A1D">
              <w:t xml:space="preserve"> or provisions of the instrument</w:t>
            </w:r>
          </w:p>
        </w:tc>
        <w:tc>
          <w:tcPr>
            <w:tcW w:w="4513" w:type="dxa"/>
            <w:tcBorders>
              <w:bottom w:val="single" w:sz="12" w:space="0" w:color="auto"/>
            </w:tcBorders>
            <w:shd w:val="clear" w:color="auto" w:fill="auto"/>
          </w:tcPr>
          <w:p w14:paraId="1A27EFD6" w14:textId="77777777" w:rsidR="00097B59" w:rsidRDefault="00097B59" w:rsidP="000716AD">
            <w:pPr>
              <w:pStyle w:val="Tabletext"/>
            </w:pPr>
            <w:r>
              <w:t>The rectified instrument is re</w:t>
            </w:r>
            <w:r w:rsidR="009C4251">
              <w:noBreakHyphen/>
            </w:r>
            <w:r>
              <w:t xml:space="preserve">tabled, </w:t>
            </w:r>
            <w:r w:rsidR="00756A1D">
              <w:t>the automatic repeal of the instrument or provisions of the instrument</w:t>
            </w:r>
            <w:r w:rsidR="000716AD">
              <w:t xml:space="preserve"> under s</w:t>
            </w:r>
            <w:r w:rsidR="000716AD" w:rsidRPr="005633BF">
              <w:t>ections 48A or 48C of the LA i</w:t>
            </w:r>
            <w:r w:rsidR="000716AD">
              <w:t>s</w:t>
            </w:r>
            <w:r w:rsidR="00756A1D">
              <w:t xml:space="preserve"> taken not to have occurred and a</w:t>
            </w:r>
            <w:r w:rsidR="00D50771">
              <w:t xml:space="preserve"> new disallowance period begins</w:t>
            </w:r>
          </w:p>
        </w:tc>
      </w:tr>
    </w:tbl>
    <w:p w14:paraId="761C65BC" w14:textId="77777777" w:rsidR="00676A1A" w:rsidRPr="00FD274F" w:rsidRDefault="00D1020D" w:rsidP="00676A1A">
      <w:pPr>
        <w:pStyle w:val="Head3"/>
      </w:pPr>
      <w:bookmarkStart w:id="135" w:name="_Toc112918801"/>
      <w:r w:rsidRPr="00FD274F">
        <w:t>Scope for redaction or removal of registered documents</w:t>
      </w:r>
      <w:bookmarkEnd w:id="135"/>
    </w:p>
    <w:p w14:paraId="3A77E1D8" w14:textId="0F5083E2" w:rsidR="00A0626C" w:rsidRPr="00FD274F" w:rsidRDefault="00EF3C18" w:rsidP="006028D5">
      <w:pPr>
        <w:pStyle w:val="BodyNum"/>
      </w:pPr>
      <w:bookmarkStart w:id="136" w:name="_Ref435529190"/>
      <w:r>
        <w:t>It is not possible to remove a registered document</w:t>
      </w:r>
      <w:r w:rsidR="00177771" w:rsidRPr="00FD274F">
        <w:t xml:space="preserve"> from the Register because of privacy or other concerns </w:t>
      </w:r>
      <w:r>
        <w:t>once the document has been registered</w:t>
      </w:r>
      <w:r w:rsidR="00CC76D9" w:rsidRPr="00FD274F">
        <w:t>. Th</w:t>
      </w:r>
      <w:r w:rsidR="00CC76D9" w:rsidRPr="005633BF">
        <w:t xml:space="preserve">e </w:t>
      </w:r>
      <w:hyperlink r:id="rId349" w:history="1">
        <w:r w:rsidR="00E25493" w:rsidRPr="005633BF">
          <w:rPr>
            <w:rStyle w:val="Hyperlink"/>
          </w:rPr>
          <w:t>LA</w:t>
        </w:r>
      </w:hyperlink>
      <w:r w:rsidR="00CC76D9" w:rsidRPr="00FD274F">
        <w:t xml:space="preserve"> makes no provision for </w:t>
      </w:r>
      <w:r w:rsidR="00D75C0B" w:rsidRPr="00FD274F">
        <w:t xml:space="preserve">the </w:t>
      </w:r>
      <w:r w:rsidR="00881CD3" w:rsidRPr="00FD274F">
        <w:t xml:space="preserve">redaction (blacking out) </w:t>
      </w:r>
      <w:r w:rsidR="00CC76D9" w:rsidRPr="00FD274F">
        <w:t xml:space="preserve">or </w:t>
      </w:r>
      <w:r w:rsidR="006028D5" w:rsidRPr="00FD274F">
        <w:t xml:space="preserve">the </w:t>
      </w:r>
      <w:r w:rsidR="00CC76D9" w:rsidRPr="00FD274F">
        <w:t xml:space="preserve">removal </w:t>
      </w:r>
      <w:r w:rsidR="00881CD3" w:rsidRPr="00FD274F">
        <w:t xml:space="preserve">of </w:t>
      </w:r>
      <w:r w:rsidR="00D75C0B" w:rsidRPr="00FD274F">
        <w:t>any document that is required to be registered</w:t>
      </w:r>
      <w:r w:rsidR="00C1161E" w:rsidRPr="00FD274F">
        <w:t xml:space="preserve">, </w:t>
      </w:r>
      <w:r w:rsidR="00A0626C" w:rsidRPr="00FD274F">
        <w:t xml:space="preserve">even if a court </w:t>
      </w:r>
      <w:r w:rsidR="006028D5" w:rsidRPr="00FD274F">
        <w:t xml:space="preserve">has </w:t>
      </w:r>
      <w:r w:rsidR="00A0626C" w:rsidRPr="00FD274F">
        <w:t>declare</w:t>
      </w:r>
      <w:r w:rsidR="006028D5" w:rsidRPr="00FD274F">
        <w:t>d</w:t>
      </w:r>
      <w:r w:rsidR="00D20742" w:rsidRPr="00FD274F">
        <w:t xml:space="preserve"> an instrument to be void.</w:t>
      </w:r>
    </w:p>
    <w:p w14:paraId="242001BF" w14:textId="173F95ED" w:rsidR="00D75C0B" w:rsidRPr="00FD274F" w:rsidRDefault="00CC76D9" w:rsidP="002071BB">
      <w:pPr>
        <w:pStyle w:val="BodyNum"/>
      </w:pPr>
      <w:r w:rsidRPr="00FD274F">
        <w:t xml:space="preserve">If your agency has serious concerns about the content of a registered document, please contact </w:t>
      </w:r>
      <w:proofErr w:type="spellStart"/>
      <w:r w:rsidRPr="00FD274F">
        <w:t>OPC</w:t>
      </w:r>
      <w:proofErr w:type="spellEnd"/>
      <w:r w:rsidRPr="00FD274F">
        <w:t xml:space="preserve"> </w:t>
      </w:r>
      <w:r w:rsidR="002071BB" w:rsidRPr="00FD274F">
        <w:t>(</w:t>
      </w:r>
      <w:hyperlink r:id="rId350" w:history="1">
        <w:hyperlink r:id="rId351" w:history="1">
          <w:r w:rsidR="00916D88" w:rsidRPr="00FD274F">
            <w:rPr>
              <w:rStyle w:val="Hyperlink"/>
              <w:rFonts w:eastAsiaTheme="minorHAnsi"/>
              <w:szCs w:val="24"/>
              <w:lang w:eastAsia="en-US"/>
            </w:rPr>
            <w:t>lodge@legislation.gov.au</w:t>
          </w:r>
        </w:hyperlink>
      </w:hyperlink>
      <w:r w:rsidR="00F6707A">
        <w:rPr>
          <w:szCs w:val="24"/>
        </w:rPr>
        <w:t xml:space="preserve">) </w:t>
      </w:r>
      <w:r w:rsidR="002071BB" w:rsidRPr="00FD274F">
        <w:t xml:space="preserve">to </w:t>
      </w:r>
      <w:r w:rsidR="00A0626C" w:rsidRPr="00FD274F">
        <w:t>discuss the</w:t>
      </w:r>
      <w:r w:rsidR="002071BB" w:rsidRPr="00FD274F">
        <w:t xml:space="preserve"> issues and options. It may be possible, for example, to clarify the status of an instrument by a</w:t>
      </w:r>
      <w:r w:rsidR="00916D88" w:rsidRPr="00FD274F">
        <w:t xml:space="preserve">dding information or documents </w:t>
      </w:r>
      <w:r w:rsidR="002071BB" w:rsidRPr="00FD274F">
        <w:t xml:space="preserve">such </w:t>
      </w:r>
      <w:r w:rsidR="00916D88" w:rsidRPr="00FD274F">
        <w:t>as a court judgement</w:t>
      </w:r>
      <w:r w:rsidR="002071BB" w:rsidRPr="00FD274F">
        <w:t>.</w:t>
      </w:r>
    </w:p>
    <w:p w14:paraId="7AEFD3E6" w14:textId="77777777" w:rsidR="00B30E8A" w:rsidRPr="00FD274F" w:rsidRDefault="00B30E8A" w:rsidP="00B30E8A">
      <w:pPr>
        <w:pStyle w:val="Head3"/>
      </w:pPr>
      <w:bookmarkStart w:id="137" w:name="_Toc112918802"/>
      <w:bookmarkEnd w:id="136"/>
      <w:r w:rsidRPr="00FD274F">
        <w:t xml:space="preserve">Scope for republication of </w:t>
      </w:r>
      <w:r w:rsidR="000D63D1" w:rsidRPr="00FD274F">
        <w:t xml:space="preserve">registered </w:t>
      </w:r>
      <w:r w:rsidRPr="00FD274F">
        <w:t>content</w:t>
      </w:r>
      <w:bookmarkEnd w:id="137"/>
    </w:p>
    <w:p w14:paraId="5DA124C0" w14:textId="6A0ACEE2" w:rsidR="004E72A3" w:rsidRPr="00FD274F" w:rsidRDefault="0019206B" w:rsidP="00B30E8A">
      <w:pPr>
        <w:pStyle w:val="BodyNum"/>
      </w:pPr>
      <w:bookmarkStart w:id="138" w:name="_Ref441250050"/>
      <w:bookmarkStart w:id="139" w:name="_Ref422933070"/>
      <w:bookmarkStart w:id="140" w:name="_Ref422907436"/>
      <w:r w:rsidRPr="00FD274F">
        <w:t>It is possible to make authorised versions of registered documents</w:t>
      </w:r>
      <w:r w:rsidR="004E72A3" w:rsidRPr="00FD274F">
        <w:t xml:space="preserve"> from the PDF files published on the Register (</w:t>
      </w:r>
      <w:hyperlink r:id="rId352" w:history="1">
        <w:hyperlink r:id="rId353" w:history="1">
          <w:r w:rsidR="00197826" w:rsidRPr="0049119D">
            <w:rPr>
              <w:rStyle w:val="Hyperlink"/>
              <w:spacing w:val="-6"/>
            </w:rPr>
            <w:t>Rule</w:t>
          </w:r>
        </w:hyperlink>
      </w:hyperlink>
      <w:r w:rsidR="004E72A3" w:rsidRPr="0049119D">
        <w:t xml:space="preserve"> s 14(1)). The</w:t>
      </w:r>
      <w:r w:rsidR="004E72A3" w:rsidRPr="00FD274F">
        <w:t xml:space="preserve"> electronic version, and any print version that is </w:t>
      </w:r>
      <w:r w:rsidR="004E72A3" w:rsidRPr="00FD274F">
        <w:lastRenderedPageBreak/>
        <w:t xml:space="preserve">made from it, must also </w:t>
      </w:r>
      <w:r w:rsidRPr="00FD274F">
        <w:t xml:space="preserve">contain </w:t>
      </w:r>
      <w:r w:rsidR="004E72A3" w:rsidRPr="00FD274F">
        <w:t xml:space="preserve">a specific phrase, such as “Authorised version” </w:t>
      </w:r>
      <w:r w:rsidR="005413DA" w:rsidRPr="00FD274F">
        <w:t xml:space="preserve">as used from </w:t>
      </w:r>
      <w:r w:rsidR="004E72A3" w:rsidRPr="00FD274F">
        <w:t xml:space="preserve">March 2016. For a complete list of </w:t>
      </w:r>
      <w:r w:rsidR="005413DA" w:rsidRPr="00FD274F">
        <w:t xml:space="preserve">specified </w:t>
      </w:r>
      <w:r w:rsidR="004E72A3" w:rsidRPr="00FD274F">
        <w:t xml:space="preserve">phrases, see </w:t>
      </w:r>
      <w:r w:rsidR="004E72A3" w:rsidRPr="0049119D">
        <w:t xml:space="preserve">subsection 14(2) of the </w:t>
      </w:r>
      <w:hyperlink r:id="rId354" w:history="1">
        <w:hyperlink r:id="rId355" w:history="1">
          <w:r w:rsidR="00197826" w:rsidRPr="0049119D">
            <w:rPr>
              <w:rStyle w:val="Hyperlink"/>
              <w:spacing w:val="-6"/>
            </w:rPr>
            <w:t>Rule</w:t>
          </w:r>
        </w:hyperlink>
      </w:hyperlink>
      <w:r w:rsidR="004E72A3" w:rsidRPr="0049119D">
        <w:t>.</w:t>
      </w:r>
      <w:bookmarkEnd w:id="138"/>
    </w:p>
    <w:p w14:paraId="0A0BBFE2" w14:textId="30CA4B71" w:rsidR="005413DA" w:rsidRPr="00FD274F" w:rsidRDefault="005413DA" w:rsidP="00B30E8A">
      <w:pPr>
        <w:pStyle w:val="BodyNum"/>
      </w:pPr>
      <w:bookmarkStart w:id="141" w:name="_Ref474413213"/>
      <w:r w:rsidRPr="00FD274F">
        <w:t>W</w:t>
      </w:r>
      <w:r w:rsidR="004E72A3" w:rsidRPr="00FD274F">
        <w:t xml:space="preserve">holesale or commercial reproduction of registered content is subject to </w:t>
      </w:r>
      <w:r w:rsidR="00B30E8A" w:rsidRPr="00FD274F">
        <w:t xml:space="preserve">the </w:t>
      </w:r>
      <w:hyperlink r:id="rId356" w:history="1">
        <w:r w:rsidR="00B30E8A" w:rsidRPr="0049119D">
          <w:rPr>
            <w:rStyle w:val="Hyperlink"/>
            <w:i/>
          </w:rPr>
          <w:t>Copyright Act 1968</w:t>
        </w:r>
      </w:hyperlink>
      <w:r w:rsidR="00B30E8A" w:rsidRPr="0049119D">
        <w:t>,</w:t>
      </w:r>
      <w:r w:rsidR="00B30E8A" w:rsidRPr="00FD274F">
        <w:t xml:space="preserve"> other relevant laws and the relevant Creative Commons licence</w:t>
      </w:r>
      <w:r w:rsidRPr="00FD274F">
        <w:t xml:space="preserve">. However, there are still some restrictions on </w:t>
      </w:r>
      <w:r w:rsidR="00EF3C18">
        <w:t xml:space="preserve">the </w:t>
      </w:r>
      <w:r w:rsidRPr="00FD274F">
        <w:t xml:space="preserve">use of some content (such as the Commonwealth coat of arms). Please refer to the </w:t>
      </w:r>
      <w:hyperlink r:id="rId357" w:history="1">
        <w:r w:rsidR="00B30E8A" w:rsidRPr="0049119D">
          <w:rPr>
            <w:rStyle w:val="Hyperlink"/>
          </w:rPr>
          <w:t>copyright notic</w:t>
        </w:r>
        <w:r w:rsidRPr="0049119D">
          <w:rPr>
            <w:rStyle w:val="Hyperlink"/>
          </w:rPr>
          <w:t>e on</w:t>
        </w:r>
        <w:r w:rsidR="00732846" w:rsidRPr="0049119D">
          <w:rPr>
            <w:rStyle w:val="Hyperlink"/>
          </w:rPr>
          <w:t xml:space="preserve"> the Registe</w:t>
        </w:r>
        <w:r w:rsidRPr="0049119D">
          <w:rPr>
            <w:rStyle w:val="Hyperlink"/>
          </w:rPr>
          <w:t xml:space="preserve">r website </w:t>
        </w:r>
      </w:hyperlink>
      <w:bookmarkEnd w:id="139"/>
      <w:r w:rsidRPr="0049119D">
        <w:t>f</w:t>
      </w:r>
      <w:r w:rsidRPr="00FD274F">
        <w:t>or details.</w:t>
      </w:r>
      <w:bookmarkEnd w:id="141"/>
    </w:p>
    <w:p w14:paraId="7FCCE450" w14:textId="77777777" w:rsidR="00B30E8A" w:rsidRPr="00FD274F" w:rsidRDefault="00B30E8A" w:rsidP="00B30E8A">
      <w:pPr>
        <w:pStyle w:val="BodyNum"/>
      </w:pPr>
      <w:bookmarkStart w:id="142" w:name="_Ref444779699"/>
      <w:r w:rsidRPr="00FD274F">
        <w:t xml:space="preserve">Agencies wishing to reproduce </w:t>
      </w:r>
      <w:r w:rsidR="0049446F" w:rsidRPr="00FD274F">
        <w:t xml:space="preserve">registered </w:t>
      </w:r>
      <w:r w:rsidRPr="00FD274F">
        <w:t>co</w:t>
      </w:r>
      <w:r w:rsidR="000312DD">
        <w:t xml:space="preserve">ntent should also be aware that this </w:t>
      </w:r>
      <w:r w:rsidRPr="00FD274F">
        <w:t xml:space="preserve">has inherent risks </w:t>
      </w:r>
      <w:r w:rsidR="00EF3C18">
        <w:t>as</w:t>
      </w:r>
      <w:r w:rsidRPr="00FD274F">
        <w:t xml:space="preserve"> the law is subject to change</w:t>
      </w:r>
      <w:r w:rsidR="00EF3C18">
        <w:t>. F</w:t>
      </w:r>
      <w:r w:rsidRPr="00FD274F">
        <w:t>ailure to keep agency websites in particular up</w:t>
      </w:r>
      <w:r w:rsidR="009C4251">
        <w:noBreakHyphen/>
      </w:r>
      <w:r w:rsidRPr="00FD274F">
        <w:t>to</w:t>
      </w:r>
      <w:r w:rsidR="009C4251">
        <w:noBreakHyphen/>
      </w:r>
      <w:r w:rsidRPr="00FD274F">
        <w:t xml:space="preserve">date may </w:t>
      </w:r>
      <w:bookmarkEnd w:id="140"/>
      <w:r w:rsidRPr="00FD274F">
        <w:t xml:space="preserve">raise questions of legal liability. It may, therefore, be better to provide simple links to relevant content on </w:t>
      </w:r>
      <w:r w:rsidR="0049446F" w:rsidRPr="00FD274F">
        <w:t>the Register</w:t>
      </w:r>
      <w:r w:rsidRPr="00FD274F">
        <w:t xml:space="preserve">. This can be done as follows, with the relevant </w:t>
      </w:r>
      <w:r w:rsidR="0049446F" w:rsidRPr="00FD274F">
        <w:t>document</w:t>
      </w:r>
      <w:r w:rsidRPr="00FD274F">
        <w:t xml:space="preserve"> ID substituted for </w:t>
      </w:r>
      <w:proofErr w:type="spellStart"/>
      <w:r w:rsidRPr="00FD274F">
        <w:t>FyyyyLnnnnn</w:t>
      </w:r>
      <w:proofErr w:type="spellEnd"/>
      <w:r w:rsidRPr="00FD274F">
        <w:t>:</w:t>
      </w:r>
      <w:bookmarkEnd w:id="142"/>
      <w:r w:rsidRPr="00FD274F">
        <w:br/>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513"/>
        <w:gridCol w:w="4513"/>
      </w:tblGrid>
      <w:tr w:rsidR="00B30E8A" w:rsidRPr="00FD274F" w14:paraId="2E908670" w14:textId="77777777" w:rsidTr="00BE1B77">
        <w:trPr>
          <w:tblHeader/>
        </w:trPr>
        <w:tc>
          <w:tcPr>
            <w:tcW w:w="4513" w:type="dxa"/>
            <w:tcBorders>
              <w:top w:val="single" w:sz="12" w:space="0" w:color="auto"/>
              <w:bottom w:val="single" w:sz="12" w:space="0" w:color="auto"/>
            </w:tcBorders>
          </w:tcPr>
          <w:p w14:paraId="725FDF80" w14:textId="77777777" w:rsidR="00B30E8A" w:rsidRPr="00FD274F" w:rsidRDefault="00B30E8A" w:rsidP="00BE1B77">
            <w:pPr>
              <w:pStyle w:val="TableHeading"/>
            </w:pPr>
            <w:r w:rsidRPr="00FD274F">
              <w:t>Use this link format</w:t>
            </w:r>
          </w:p>
        </w:tc>
        <w:tc>
          <w:tcPr>
            <w:tcW w:w="4513" w:type="dxa"/>
            <w:tcBorders>
              <w:top w:val="single" w:sz="12" w:space="0" w:color="auto"/>
              <w:bottom w:val="single" w:sz="12" w:space="0" w:color="auto"/>
            </w:tcBorders>
            <w:shd w:val="clear" w:color="auto" w:fill="auto"/>
          </w:tcPr>
          <w:p w14:paraId="630E16E0" w14:textId="77777777" w:rsidR="00B30E8A" w:rsidRPr="00FD274F" w:rsidRDefault="00E06893" w:rsidP="00BE1B77">
            <w:pPr>
              <w:pStyle w:val="TableHeading"/>
            </w:pPr>
            <w:r>
              <w:t>To link users to</w:t>
            </w:r>
          </w:p>
        </w:tc>
      </w:tr>
      <w:tr w:rsidR="00B30E8A" w:rsidRPr="00FD274F" w14:paraId="63C970D4" w14:textId="77777777" w:rsidTr="00BE1B77">
        <w:tc>
          <w:tcPr>
            <w:tcW w:w="4513" w:type="dxa"/>
            <w:tcBorders>
              <w:top w:val="single" w:sz="12" w:space="0" w:color="auto"/>
            </w:tcBorders>
          </w:tcPr>
          <w:p w14:paraId="79824236" w14:textId="77777777" w:rsidR="00B30E8A" w:rsidRPr="00FD274F" w:rsidRDefault="0049446F" w:rsidP="0049446F">
            <w:pPr>
              <w:pStyle w:val="Tabletext"/>
            </w:pPr>
            <w:r w:rsidRPr="00FD274F">
              <w:t>www.legislation</w:t>
            </w:r>
            <w:r w:rsidR="00B30E8A" w:rsidRPr="00FD274F">
              <w:t>.gov.au/Details/FyyyyLnnnnn</w:t>
            </w:r>
          </w:p>
        </w:tc>
        <w:tc>
          <w:tcPr>
            <w:tcW w:w="4513" w:type="dxa"/>
            <w:tcBorders>
              <w:top w:val="single" w:sz="12" w:space="0" w:color="auto"/>
            </w:tcBorders>
            <w:shd w:val="clear" w:color="auto" w:fill="auto"/>
          </w:tcPr>
          <w:p w14:paraId="1533156B" w14:textId="77777777" w:rsidR="00B30E8A" w:rsidRPr="00FD274F" w:rsidRDefault="00B30E8A" w:rsidP="00BE1B77">
            <w:pPr>
              <w:pStyle w:val="Tabletext"/>
            </w:pPr>
            <w:r w:rsidRPr="00FD274F">
              <w:t>a particular version of a law—not recommended unless the intent is to link to a historic version</w:t>
            </w:r>
          </w:p>
        </w:tc>
      </w:tr>
      <w:tr w:rsidR="00B30E8A" w:rsidRPr="00FD274F" w14:paraId="0FE60B10" w14:textId="77777777" w:rsidTr="00BE1B77">
        <w:tc>
          <w:tcPr>
            <w:tcW w:w="4513" w:type="dxa"/>
            <w:tcBorders>
              <w:bottom w:val="single" w:sz="4" w:space="0" w:color="auto"/>
            </w:tcBorders>
          </w:tcPr>
          <w:p w14:paraId="41FA4F61" w14:textId="77777777" w:rsidR="00B30E8A" w:rsidRPr="00FD274F" w:rsidRDefault="0049446F" w:rsidP="00573B38">
            <w:pPr>
              <w:pStyle w:val="Tabletext"/>
            </w:pPr>
            <w:r w:rsidRPr="00FD274F">
              <w:t>www.legislation</w:t>
            </w:r>
            <w:r w:rsidR="00B30E8A" w:rsidRPr="00FD274F">
              <w:t>.gov.au/</w:t>
            </w:r>
            <w:r w:rsidR="00573B38" w:rsidRPr="00FD274F">
              <w:t>Latest</w:t>
            </w:r>
            <w:r w:rsidR="00B30E8A" w:rsidRPr="00FD274F">
              <w:t>/FyyyyLnnnnn</w:t>
            </w:r>
          </w:p>
        </w:tc>
        <w:tc>
          <w:tcPr>
            <w:tcW w:w="4513" w:type="dxa"/>
            <w:tcBorders>
              <w:bottom w:val="single" w:sz="4" w:space="0" w:color="auto"/>
            </w:tcBorders>
            <w:shd w:val="clear" w:color="auto" w:fill="auto"/>
          </w:tcPr>
          <w:p w14:paraId="3AC41853" w14:textId="77777777" w:rsidR="00B30E8A" w:rsidRPr="00FD274F" w:rsidRDefault="00B30E8A" w:rsidP="00BE1B77">
            <w:pPr>
              <w:pStyle w:val="Tabletext"/>
            </w:pPr>
            <w:r w:rsidRPr="00FD274F">
              <w:t>the latest version of a law</w:t>
            </w:r>
          </w:p>
        </w:tc>
      </w:tr>
      <w:tr w:rsidR="00B30E8A" w:rsidRPr="00FD274F" w14:paraId="72A59E18" w14:textId="77777777" w:rsidTr="00BE1B77">
        <w:tc>
          <w:tcPr>
            <w:tcW w:w="4513" w:type="dxa"/>
            <w:tcBorders>
              <w:bottom w:val="single" w:sz="12" w:space="0" w:color="auto"/>
            </w:tcBorders>
          </w:tcPr>
          <w:p w14:paraId="07430F4D" w14:textId="77777777" w:rsidR="00B30E8A" w:rsidRPr="00FD274F" w:rsidRDefault="00B30E8A" w:rsidP="0049446F">
            <w:pPr>
              <w:pStyle w:val="Tabletext"/>
            </w:pPr>
            <w:r w:rsidRPr="00FD274F">
              <w:t>www.</w:t>
            </w:r>
            <w:r w:rsidR="0049446F" w:rsidRPr="00FD274F">
              <w:t>legislation</w:t>
            </w:r>
            <w:r w:rsidRPr="00FD274F">
              <w:t>.gov.au/Series/FyyyyLnnnnn</w:t>
            </w:r>
          </w:p>
        </w:tc>
        <w:tc>
          <w:tcPr>
            <w:tcW w:w="4513" w:type="dxa"/>
            <w:tcBorders>
              <w:bottom w:val="single" w:sz="12" w:space="0" w:color="auto"/>
            </w:tcBorders>
            <w:shd w:val="clear" w:color="auto" w:fill="auto"/>
          </w:tcPr>
          <w:p w14:paraId="32AEB013" w14:textId="77777777" w:rsidR="00B30E8A" w:rsidRPr="00FD274F" w:rsidRDefault="00B30E8A" w:rsidP="00BE1B77">
            <w:pPr>
              <w:pStyle w:val="Tabletext"/>
            </w:pPr>
            <w:r w:rsidRPr="00FD274F">
              <w:t>the series page, which shows all available versions of a law and any instruments/notices enabled by it</w:t>
            </w:r>
          </w:p>
        </w:tc>
      </w:tr>
    </w:tbl>
    <w:p w14:paraId="56AEECB6" w14:textId="44111011" w:rsidR="00B30E8A" w:rsidRPr="00FD274F" w:rsidRDefault="00B30E8A" w:rsidP="00B30E8A">
      <w:pPr>
        <w:pStyle w:val="BodyNum"/>
      </w:pPr>
      <w:bookmarkStart w:id="143" w:name="_Ref444792746"/>
      <w:r w:rsidRPr="00FD274F">
        <w:t xml:space="preserve">If an agency still wants or needs to reproduce </w:t>
      </w:r>
      <w:r w:rsidR="0049446F" w:rsidRPr="00FD274F">
        <w:t xml:space="preserve">registered </w:t>
      </w:r>
      <w:r w:rsidR="00DD5A0A" w:rsidRPr="00FD274F">
        <w:t xml:space="preserve">content, it would be prudent </w:t>
      </w:r>
      <w:r w:rsidR="002071BB" w:rsidRPr="00FD274F">
        <w:t xml:space="preserve">to </w:t>
      </w:r>
      <w:r w:rsidR="004E72A3" w:rsidRPr="00FD274F">
        <w:t xml:space="preserve">do so using the authorised version as described in </w:t>
      </w:r>
      <w:r w:rsidR="004E72A3" w:rsidRPr="00507B09">
        <w:t xml:space="preserve">paragraph </w:t>
      </w:r>
      <w:r w:rsidR="004E72A3" w:rsidRPr="005633BF">
        <w:fldChar w:fldCharType="begin"/>
      </w:r>
      <w:r w:rsidR="004E72A3" w:rsidRPr="00507B09">
        <w:instrText xml:space="preserve"> REF _Ref441250050 \r \h </w:instrText>
      </w:r>
      <w:r w:rsidR="00F308D0" w:rsidRPr="00507B09">
        <w:instrText xml:space="preserve"> \* MERGEFORMAT </w:instrText>
      </w:r>
      <w:r w:rsidR="004E72A3" w:rsidRPr="005633BF">
        <w:fldChar w:fldCharType="separate"/>
      </w:r>
      <w:r w:rsidR="003E1B43" w:rsidRPr="00507B09">
        <w:t>215</w:t>
      </w:r>
      <w:r w:rsidR="004E72A3" w:rsidRPr="005633BF">
        <w:fldChar w:fldCharType="end"/>
      </w:r>
      <w:r w:rsidR="002071BB" w:rsidRPr="00507B09">
        <w:t>,</w:t>
      </w:r>
      <w:r w:rsidR="002071BB" w:rsidRPr="00FD274F">
        <w:t xml:space="preserve"> </w:t>
      </w:r>
      <w:r w:rsidR="004E72A3" w:rsidRPr="00FD274F">
        <w:t xml:space="preserve">and also to </w:t>
      </w:r>
      <w:r w:rsidRPr="00FD274F">
        <w:t xml:space="preserve">include an </w:t>
      </w:r>
      <w:hyperlink r:id="rId358" w:history="1">
        <w:r w:rsidRPr="0049119D">
          <w:rPr>
            <w:rStyle w:val="Hyperlink"/>
          </w:rPr>
          <w:t>appropriate attribution</w:t>
        </w:r>
      </w:hyperlink>
      <w:r w:rsidRPr="0049119D">
        <w:t xml:space="preserve"> s</w:t>
      </w:r>
      <w:r w:rsidRPr="00FD274F">
        <w:t xml:space="preserve">o that users can easily check </w:t>
      </w:r>
      <w:r w:rsidR="0049446F" w:rsidRPr="00FD274F">
        <w:t>the Register</w:t>
      </w:r>
      <w:r w:rsidRPr="00FD274F">
        <w:t xml:space="preserve"> for up</w:t>
      </w:r>
      <w:r w:rsidR="009C4251">
        <w:noBreakHyphen/>
      </w:r>
      <w:r w:rsidRPr="00FD274F">
        <w:t>to</w:t>
      </w:r>
      <w:r w:rsidR="009C4251">
        <w:noBreakHyphen/>
      </w:r>
      <w:r w:rsidRPr="00FD274F">
        <w:t>date information.</w:t>
      </w:r>
      <w:bookmarkEnd w:id="143"/>
    </w:p>
    <w:p w14:paraId="49D474F0" w14:textId="6338C8E7" w:rsidR="00B30E8A" w:rsidRPr="00FD274F" w:rsidRDefault="00B30E8A" w:rsidP="001E456D">
      <w:pPr>
        <w:pStyle w:val="BodyNum"/>
      </w:pPr>
      <w:r w:rsidRPr="00FD274F">
        <w:t xml:space="preserve">Agencies can also order bound print copies of </w:t>
      </w:r>
      <w:r w:rsidR="0049446F" w:rsidRPr="00FD274F">
        <w:t>registered</w:t>
      </w:r>
      <w:r w:rsidRPr="00FD274F">
        <w:t xml:space="preserve"> documents online, by locating the relevant document on </w:t>
      </w:r>
      <w:r w:rsidR="0049446F" w:rsidRPr="00FD274F">
        <w:t>the Register</w:t>
      </w:r>
      <w:r w:rsidRPr="00FD274F">
        <w:t xml:space="preserve"> and using the “Buy Print Copy” facility. Please email </w:t>
      </w:r>
      <w:proofErr w:type="spellStart"/>
      <w:r w:rsidRPr="00FD274F">
        <w:t>OPC</w:t>
      </w:r>
      <w:proofErr w:type="spellEnd"/>
      <w:r w:rsidRPr="00FD274F">
        <w:t xml:space="preserve"> </w:t>
      </w:r>
      <w:r w:rsidR="00884A7A" w:rsidRPr="00FD274F">
        <w:t>(</w:t>
      </w:r>
      <w:hyperlink r:id="rId359" w:history="1">
        <w:hyperlink r:id="rId360" w:history="1">
          <w:r w:rsidR="00884A7A" w:rsidRPr="00FD274F">
            <w:rPr>
              <w:rStyle w:val="Hyperlink"/>
              <w:rFonts w:eastAsiaTheme="minorHAnsi"/>
              <w:szCs w:val="24"/>
              <w:lang w:eastAsia="en-US"/>
            </w:rPr>
            <w:t>lodge@legislation.gov.au</w:t>
          </w:r>
        </w:hyperlink>
      </w:hyperlink>
      <w:r w:rsidR="00884A7A">
        <w:rPr>
          <w:szCs w:val="24"/>
        </w:rPr>
        <w:t>)</w:t>
      </w:r>
      <w:r w:rsidRPr="00FD274F">
        <w:t xml:space="preserve"> if your agency would like </w:t>
      </w:r>
      <w:r w:rsidR="00884A7A">
        <w:t xml:space="preserve">to enquire about purchasing copies of </w:t>
      </w:r>
      <w:r w:rsidRPr="00FD274F">
        <w:t>legislati</w:t>
      </w:r>
      <w:r w:rsidR="00E06893">
        <w:t xml:space="preserve">on </w:t>
      </w:r>
      <w:r w:rsidR="00884A7A">
        <w:t>that cannot be ordered online or</w:t>
      </w:r>
      <w:r w:rsidR="00E06893">
        <w:t xml:space="preserve"> has not commenced</w:t>
      </w:r>
      <w:r w:rsidR="006F66BD">
        <w:t>.</w:t>
      </w:r>
    </w:p>
    <w:p w14:paraId="17E9C33A" w14:textId="372E7AA2" w:rsidR="00B30E8A" w:rsidRPr="00FD274F" w:rsidRDefault="00B30E8A" w:rsidP="00B30E8A">
      <w:pPr>
        <w:pStyle w:val="BodyNum"/>
      </w:pPr>
      <w:r w:rsidRPr="00FD274F">
        <w:t xml:space="preserve">If your agency receives a request about copyright of content that it has contributed to </w:t>
      </w:r>
      <w:r w:rsidR="0049446F" w:rsidRPr="00FD274F">
        <w:t>the Register,</w:t>
      </w:r>
      <w:r w:rsidRPr="00FD274F">
        <w:t xml:space="preserve"> please review </w:t>
      </w:r>
      <w:r w:rsidR="007873C4" w:rsidRPr="00FD274F">
        <w:t xml:space="preserve">the </w:t>
      </w:r>
      <w:hyperlink r:id="rId361" w:history="1">
        <w:r w:rsidRPr="0049119D">
          <w:rPr>
            <w:rStyle w:val="Hyperlink"/>
          </w:rPr>
          <w:t>copyright permissions</w:t>
        </w:r>
        <w:r w:rsidR="0049446F" w:rsidRPr="0049119D">
          <w:rPr>
            <w:rStyle w:val="Hyperlink"/>
          </w:rPr>
          <w:t xml:space="preserve"> for the Register</w:t>
        </w:r>
        <w:r w:rsidR="007873C4" w:rsidRPr="0049119D">
          <w:rPr>
            <w:rStyle w:val="Hyperlink"/>
          </w:rPr>
          <w:t xml:space="preserve"> website</w:t>
        </w:r>
      </w:hyperlink>
      <w:r w:rsidRPr="0049119D">
        <w:t>.</w:t>
      </w:r>
      <w:r w:rsidRPr="00FD274F">
        <w:t xml:space="preserve"> It may be that no additional permission is required. Alternatively, if the request involves the issues identifie</w:t>
      </w:r>
      <w:r w:rsidRPr="00507B09">
        <w:t xml:space="preserve">d in paragraph </w:t>
      </w:r>
      <w:r w:rsidR="00445382">
        <w:fldChar w:fldCharType="begin"/>
      </w:r>
      <w:r w:rsidR="00445382">
        <w:instrText xml:space="preserve"> REF _Ref474413213 \r \h </w:instrText>
      </w:r>
      <w:r w:rsidR="00445382">
        <w:fldChar w:fldCharType="separate"/>
      </w:r>
      <w:r w:rsidR="00445382">
        <w:t>216</w:t>
      </w:r>
      <w:r w:rsidR="00445382">
        <w:fldChar w:fldCharType="end"/>
      </w:r>
      <w:r w:rsidRPr="00507B09">
        <w:t>, th</w:t>
      </w:r>
      <w:r w:rsidRPr="00FD274F">
        <w:t xml:space="preserve">e request may need </w:t>
      </w:r>
      <w:r w:rsidR="00E06893">
        <w:t>to be referred to other bodies.</w:t>
      </w:r>
    </w:p>
    <w:p w14:paraId="7DF347D5" w14:textId="77777777" w:rsidR="008D05AF" w:rsidRPr="00FD274F" w:rsidRDefault="008D05AF" w:rsidP="008D05AF">
      <w:pPr>
        <w:pStyle w:val="Head3"/>
      </w:pPr>
      <w:bookmarkStart w:id="144" w:name="_Toc112918803"/>
      <w:r w:rsidRPr="00FD274F">
        <w:t>If an instrument is no longer required</w:t>
      </w:r>
      <w:bookmarkEnd w:id="144"/>
    </w:p>
    <w:p w14:paraId="7917A652" w14:textId="717A0683" w:rsidR="0037654B" w:rsidRPr="00FD274F" w:rsidRDefault="0037654B" w:rsidP="0037654B">
      <w:pPr>
        <w:pStyle w:val="BodyNum"/>
      </w:pPr>
      <w:bookmarkStart w:id="145" w:name="_Ref367446866"/>
      <w:r w:rsidRPr="00FD274F">
        <w:t>P</w:t>
      </w:r>
      <w:r w:rsidRPr="000D2500">
        <w:t xml:space="preserve">arts 3 and 4 of Chapter 3 of the </w:t>
      </w:r>
      <w:hyperlink r:id="rId362" w:history="1">
        <w:hyperlink r:id="rId363" w:history="1">
          <w:r w:rsidRPr="000D2500">
            <w:rPr>
              <w:rStyle w:val="Hyperlink"/>
            </w:rPr>
            <w:t>LA</w:t>
          </w:r>
        </w:hyperlink>
        <w:r w:rsidRPr="000D2500">
          <w:rPr>
            <w:rStyle w:val="Hyperlink"/>
          </w:rPr>
          <w:t xml:space="preserve"> </w:t>
        </w:r>
      </w:hyperlink>
      <w:r w:rsidRPr="000D2500">
        <w:t>e</w:t>
      </w:r>
      <w:r w:rsidRPr="00FD274F">
        <w:t>ncourage the timely repeal of instruments that are no longer required. An instrument that is repealed remains on permanent public record on the Register, but no longer displays as in force. An instrument may be repealed:</w:t>
      </w:r>
      <w:bookmarkEnd w:id="145"/>
    </w:p>
    <w:p w14:paraId="1B548004" w14:textId="7158B57D" w:rsidR="0037654B" w:rsidRPr="00FD274F" w:rsidRDefault="0037654B" w:rsidP="0037654B">
      <w:pPr>
        <w:pStyle w:val="BodyPara"/>
        <w:rPr>
          <w:spacing w:val="-2"/>
        </w:rPr>
      </w:pPr>
      <w:r w:rsidRPr="00FD274F">
        <w:rPr>
          <w:spacing w:val="-2"/>
        </w:rPr>
        <w:t xml:space="preserve">by the automatic and bulk repeal provisions </w:t>
      </w:r>
      <w:r w:rsidRPr="000D2500">
        <w:rPr>
          <w:spacing w:val="-2"/>
        </w:rPr>
        <w:t xml:space="preserve">of Part 3 of Chapter 3 of the </w:t>
      </w:r>
      <w:hyperlink r:id="rId364" w:history="1">
        <w:r w:rsidRPr="000D2500">
          <w:rPr>
            <w:rStyle w:val="Hyperlink"/>
          </w:rPr>
          <w:t>LA</w:t>
        </w:r>
      </w:hyperlink>
      <w:r w:rsidRPr="000D2500">
        <w:rPr>
          <w:spacing w:val="-2"/>
        </w:rPr>
        <w:t>; o</w:t>
      </w:r>
      <w:r w:rsidRPr="00FD274F">
        <w:rPr>
          <w:spacing w:val="-2"/>
        </w:rPr>
        <w:t>r</w:t>
      </w:r>
    </w:p>
    <w:p w14:paraId="13BFE668" w14:textId="77777777" w:rsidR="0037654B" w:rsidRPr="00FD274F" w:rsidRDefault="0037654B" w:rsidP="0037654B">
      <w:pPr>
        <w:pStyle w:val="BodyPara"/>
        <w:rPr>
          <w:spacing w:val="-2"/>
        </w:rPr>
      </w:pPr>
      <w:r w:rsidRPr="00FD274F">
        <w:rPr>
          <w:spacing w:val="-2"/>
        </w:rPr>
        <w:t>by the rule</w:t>
      </w:r>
      <w:r w:rsidR="009C4251">
        <w:rPr>
          <w:spacing w:val="-2"/>
        </w:rPr>
        <w:noBreakHyphen/>
      </w:r>
      <w:r w:rsidRPr="00FD274F">
        <w:rPr>
          <w:spacing w:val="-2"/>
        </w:rPr>
        <w:t>maker; or</w:t>
      </w:r>
    </w:p>
    <w:p w14:paraId="43F6EC29" w14:textId="73377DCF" w:rsidR="0037654B" w:rsidRPr="000312DD" w:rsidRDefault="0037654B" w:rsidP="0037654B">
      <w:pPr>
        <w:pStyle w:val="BodyPara"/>
        <w:rPr>
          <w:spacing w:val="-4"/>
        </w:rPr>
      </w:pPr>
      <w:r w:rsidRPr="000312DD">
        <w:rPr>
          <w:spacing w:val="-4"/>
        </w:rPr>
        <w:t>if</w:t>
      </w:r>
      <w:r w:rsidR="000312DD" w:rsidRPr="000312DD">
        <w:rPr>
          <w:spacing w:val="-4"/>
        </w:rPr>
        <w:t xml:space="preserve"> it</w:t>
      </w:r>
      <w:r w:rsidRPr="000312DD">
        <w:rPr>
          <w:spacing w:val="-4"/>
        </w:rPr>
        <w:t xml:space="preserve"> is a legislative instrument—by sunsetting u</w:t>
      </w:r>
      <w:r w:rsidRPr="000D2500">
        <w:rPr>
          <w:spacing w:val="-4"/>
        </w:rPr>
        <w:t xml:space="preserve">nder Part 4 of Chapter 3 of the </w:t>
      </w:r>
      <w:hyperlink r:id="rId365" w:history="1">
        <w:r w:rsidRPr="000D2500">
          <w:rPr>
            <w:rStyle w:val="Hyperlink"/>
            <w:spacing w:val="-4"/>
          </w:rPr>
          <w:t>LA</w:t>
        </w:r>
      </w:hyperlink>
      <w:r w:rsidRPr="000D2500">
        <w:rPr>
          <w:spacing w:val="-4"/>
        </w:rPr>
        <w:t>.</w:t>
      </w:r>
    </w:p>
    <w:p w14:paraId="72CECC90" w14:textId="77777777" w:rsidR="0037654B" w:rsidRPr="00FD274F" w:rsidRDefault="0037654B" w:rsidP="0037654B">
      <w:pPr>
        <w:pStyle w:val="Head4"/>
      </w:pPr>
      <w:bookmarkStart w:id="146" w:name="_Toc112918804"/>
      <w:r w:rsidRPr="00FD274F">
        <w:lastRenderedPageBreak/>
        <w:t>Automatic and bulk repeal under P</w:t>
      </w:r>
      <w:r w:rsidRPr="000D2500">
        <w:t>art 3 of Chapter 3 of the LA</w:t>
      </w:r>
      <w:bookmarkEnd w:id="146"/>
    </w:p>
    <w:p w14:paraId="028AB131" w14:textId="6E8777E0" w:rsidR="00B14CA2" w:rsidRDefault="004524AB" w:rsidP="0037654B">
      <w:pPr>
        <w:pStyle w:val="BodyNum"/>
      </w:pPr>
      <w:bookmarkStart w:id="147" w:name="_Ref384368606"/>
      <w:r>
        <w:t>A</w:t>
      </w:r>
      <w:r w:rsidR="0037654B" w:rsidRPr="00FD274F">
        <w:t>ll new instruments that are solely commencing, amending or repealing are subject to automatic repeal as soon as they have been registered</w:t>
      </w:r>
      <w:r w:rsidR="00B14CA2">
        <w:t xml:space="preserve">, </w:t>
      </w:r>
      <w:r w:rsidR="0037654B" w:rsidRPr="00FD274F">
        <w:t xml:space="preserve">operated in full </w:t>
      </w:r>
      <w:r w:rsidR="00B14CA2">
        <w:t xml:space="preserve">and, for disallowable legislative instruments, their disallowance period has ended </w:t>
      </w:r>
      <w:r w:rsidR="0037654B" w:rsidRPr="00FD274F">
        <w:t>(se</w:t>
      </w:r>
      <w:r w:rsidR="0037654B" w:rsidRPr="00492805">
        <w:t xml:space="preserve">e paragraph </w:t>
      </w:r>
      <w:r w:rsidR="0037654B" w:rsidRPr="000D2500">
        <w:fldChar w:fldCharType="begin"/>
      </w:r>
      <w:r w:rsidR="0037654B" w:rsidRPr="00492805">
        <w:instrText xml:space="preserve"> REF _Ref384723656 \r \h  \* MERGEFORMAT </w:instrText>
      </w:r>
      <w:r w:rsidR="0037654B" w:rsidRPr="000D2500">
        <w:fldChar w:fldCharType="separate"/>
      </w:r>
      <w:r w:rsidR="003E1B43" w:rsidRPr="00492805">
        <w:t>89</w:t>
      </w:r>
      <w:r w:rsidR="0037654B" w:rsidRPr="000D2500">
        <w:fldChar w:fldCharType="end"/>
      </w:r>
      <w:r w:rsidR="00E06893" w:rsidRPr="00492805">
        <w:t>).</w:t>
      </w:r>
    </w:p>
    <w:p w14:paraId="1DBC6877" w14:textId="357185DE" w:rsidR="0037654B" w:rsidRPr="00FD274F" w:rsidRDefault="0037654B" w:rsidP="0037654B">
      <w:pPr>
        <w:pStyle w:val="BodyNum"/>
      </w:pPr>
      <w:bookmarkStart w:id="148" w:name="_Ref110331308"/>
      <w:r w:rsidRPr="00FD274F">
        <w:t>In addition, existing instruments and provisions can be repealed in bulk by means of a regulation made under secti</w:t>
      </w:r>
      <w:r w:rsidRPr="000D2500">
        <w:t xml:space="preserve">on 48E of the </w:t>
      </w:r>
      <w:hyperlink r:id="rId366" w:history="1">
        <w:r w:rsidRPr="000D2500">
          <w:rPr>
            <w:rStyle w:val="Hyperlink"/>
          </w:rPr>
          <w:t>LA</w:t>
        </w:r>
      </w:hyperlink>
      <w:r w:rsidR="00B14CA2" w:rsidRPr="000D2500">
        <w:rPr>
          <w:rStyle w:val="Hyperlink"/>
        </w:rPr>
        <w:t xml:space="preserve">. </w:t>
      </w:r>
      <w:r w:rsidR="00B14CA2" w:rsidRPr="000D2500">
        <w:t>H</w:t>
      </w:r>
      <w:r w:rsidR="00B14CA2">
        <w:t>owever, no bulk repeal regulations have been made by the Attorney</w:t>
      </w:r>
      <w:r w:rsidR="009C4251">
        <w:noBreakHyphen/>
      </w:r>
      <w:r w:rsidR="00B14CA2">
        <w:t>General since 2015</w:t>
      </w:r>
      <w:r w:rsidRPr="00FD274F">
        <w:t>.</w:t>
      </w:r>
      <w:bookmarkEnd w:id="147"/>
      <w:bookmarkEnd w:id="148"/>
    </w:p>
    <w:p w14:paraId="60005188" w14:textId="77777777" w:rsidR="0037654B" w:rsidRPr="00FD274F" w:rsidRDefault="0037654B" w:rsidP="0037654B">
      <w:pPr>
        <w:pStyle w:val="BodyNum"/>
      </w:pPr>
      <w:r w:rsidRPr="00FD274F">
        <w:t>Automatic and bulk repeal does not un</w:t>
      </w:r>
      <w:r w:rsidR="00B14CA2">
        <w:t>do the effect of the instrument</w:t>
      </w:r>
      <w:r w:rsidRPr="00FD274F">
        <w:t>. Bulk repeal may also be used to repeal instruments that:</w:t>
      </w:r>
    </w:p>
    <w:p w14:paraId="0744B703" w14:textId="77777777" w:rsidR="0037654B" w:rsidRPr="00FD274F" w:rsidRDefault="0037654B" w:rsidP="0037654B">
      <w:pPr>
        <w:pStyle w:val="BodyPara"/>
      </w:pPr>
      <w:r w:rsidRPr="00FD274F">
        <w:t>are spent but currently exempt from sunsetting; or</w:t>
      </w:r>
    </w:p>
    <w:p w14:paraId="722D9114" w14:textId="77777777" w:rsidR="0037654B" w:rsidRPr="00FD274F" w:rsidRDefault="0037654B" w:rsidP="0037654B">
      <w:pPr>
        <w:pStyle w:val="BodyPara"/>
      </w:pPr>
      <w:r w:rsidRPr="00FD274F">
        <w:t>may</w:t>
      </w:r>
      <w:r w:rsidR="00E06893">
        <w:t xml:space="preserve"> not have been validly made; or</w:t>
      </w:r>
    </w:p>
    <w:p w14:paraId="5923A5CC" w14:textId="77777777" w:rsidR="0037654B" w:rsidRPr="00FD274F" w:rsidRDefault="0037654B" w:rsidP="0037654B">
      <w:pPr>
        <w:pStyle w:val="BodyPara"/>
      </w:pPr>
      <w:r w:rsidRPr="00FD274F">
        <w:t>are no longer required for whatever reason.</w:t>
      </w:r>
    </w:p>
    <w:p w14:paraId="479C74ED" w14:textId="32E262B7" w:rsidR="0037654B" w:rsidRPr="00FD274F" w:rsidRDefault="0037654B" w:rsidP="0037654B">
      <w:pPr>
        <w:pStyle w:val="BodyNum"/>
      </w:pPr>
      <w:r w:rsidRPr="00FD274F">
        <w:t xml:space="preserve">Agencies, not </w:t>
      </w:r>
      <w:proofErr w:type="spellStart"/>
      <w:r w:rsidRPr="00FD274F">
        <w:t>OPC</w:t>
      </w:r>
      <w:proofErr w:type="spellEnd"/>
      <w:r w:rsidRPr="00FD274F">
        <w:t xml:space="preserve">, are responsible for assessing whether there are any statutory or other impediments to the repeal of an instrument and, if appropriate, seeking legal advice about this matter in accordance with the </w:t>
      </w:r>
      <w:hyperlink r:id="rId367" w:history="1">
        <w:r w:rsidRPr="0049119D">
          <w:rPr>
            <w:rStyle w:val="Hyperlink"/>
          </w:rPr>
          <w:t xml:space="preserve">Legal Services Directions </w:t>
        </w:r>
      </w:hyperlink>
      <w:r w:rsidRPr="0049119D">
        <w:t>a</w:t>
      </w:r>
      <w:r w:rsidRPr="00FD274F">
        <w:t>s in force from time to time. It may not be appropriate to list an instrument for bulk repeal if, for example, it:</w:t>
      </w:r>
    </w:p>
    <w:p w14:paraId="583E7E90" w14:textId="77777777" w:rsidR="0037654B" w:rsidRPr="00FD274F" w:rsidRDefault="0037654B" w:rsidP="0037654B">
      <w:pPr>
        <w:pStyle w:val="BodyPara"/>
      </w:pPr>
      <w:r w:rsidRPr="00FD274F">
        <w:t>is described in its enabling</w:t>
      </w:r>
      <w:r w:rsidR="00E06893">
        <w:t xml:space="preserve"> legislation as irrevocable; or</w:t>
      </w:r>
    </w:p>
    <w:p w14:paraId="708A4BAD" w14:textId="77777777" w:rsidR="0037654B" w:rsidRPr="00FD274F" w:rsidRDefault="0037654B" w:rsidP="0037654B">
      <w:pPr>
        <w:pStyle w:val="BodyPara"/>
      </w:pPr>
      <w:r w:rsidRPr="00FD274F">
        <w:t>amends or modifies something that is not available on the Register (such as an aircraft maintenance manual, or a law enacted by a State government); or</w:t>
      </w:r>
    </w:p>
    <w:p w14:paraId="0486253C" w14:textId="77777777" w:rsidR="0037654B" w:rsidRPr="00FD274F" w:rsidRDefault="0037654B" w:rsidP="0037654B">
      <w:pPr>
        <w:pStyle w:val="BodyPara"/>
      </w:pPr>
      <w:r w:rsidRPr="00FD274F">
        <w:t>is referenced in the laws of another jurisdiction and changes to that law are required to ensure that there are no unintended consequences.</w:t>
      </w:r>
    </w:p>
    <w:p w14:paraId="294F2C2A" w14:textId="31F1CB57" w:rsidR="0037654B" w:rsidRPr="00FD274F" w:rsidRDefault="0037654B" w:rsidP="0037654B">
      <w:pPr>
        <w:pStyle w:val="BodyNum"/>
      </w:pPr>
      <w:r w:rsidRPr="00FD274F">
        <w:t xml:space="preserve">For more information about any aspect of automatic or bulk repeal, please contact </w:t>
      </w:r>
      <w:proofErr w:type="spellStart"/>
      <w:r w:rsidRPr="00FD274F">
        <w:t>OPC</w:t>
      </w:r>
      <w:proofErr w:type="spellEnd"/>
      <w:r w:rsidRPr="00FD274F">
        <w:t xml:space="preserve"> (</w:t>
      </w:r>
      <w:hyperlink r:id="rId368" w:history="1">
        <w:r w:rsidRPr="00FD274F">
          <w:rPr>
            <w:rStyle w:val="Hyperlink"/>
          </w:rPr>
          <w:t>sunsetting@opc.gov.au</w:t>
        </w:r>
      </w:hyperlink>
      <w:r w:rsidRPr="00FD274F">
        <w:t xml:space="preserve"> or (02) 6120 13</w:t>
      </w:r>
      <w:r w:rsidR="00EF3C18">
        <w:t>50</w:t>
      </w:r>
      <w:r w:rsidRPr="00FD274F">
        <w:t>).</w:t>
      </w:r>
    </w:p>
    <w:p w14:paraId="5D5E1807" w14:textId="77777777" w:rsidR="0037654B" w:rsidRPr="00FD274F" w:rsidRDefault="0037654B" w:rsidP="0037654B">
      <w:pPr>
        <w:pStyle w:val="Head4"/>
      </w:pPr>
      <w:bookmarkStart w:id="149" w:name="_Toc112918805"/>
      <w:r w:rsidRPr="00FD274F">
        <w:t>Direct repeal by rule</w:t>
      </w:r>
      <w:r w:rsidR="009C4251">
        <w:noBreakHyphen/>
      </w:r>
      <w:r w:rsidRPr="00FD274F">
        <w:t>maker</w:t>
      </w:r>
      <w:bookmarkEnd w:id="149"/>
    </w:p>
    <w:p w14:paraId="7DCCBD66" w14:textId="23D72D93" w:rsidR="0037654B" w:rsidRPr="000D41C4" w:rsidRDefault="0037654B" w:rsidP="00CD6FA3">
      <w:pPr>
        <w:pStyle w:val="BodyNum"/>
        <w:keepNext/>
      </w:pPr>
      <w:r w:rsidRPr="000D41C4">
        <w:t>A rule</w:t>
      </w:r>
      <w:r w:rsidR="009C4251" w:rsidRPr="000D41C4">
        <w:noBreakHyphen/>
      </w:r>
      <w:r w:rsidRPr="000D41C4">
        <w:t xml:space="preserve">maker who is authorised to make a particular instrument can repeal any instrument of the same </w:t>
      </w:r>
      <w:r w:rsidR="000D41C4">
        <w:t>kind</w:t>
      </w:r>
      <w:r w:rsidR="003D72D2" w:rsidRPr="000D41C4">
        <w:t xml:space="preserve">, even if </w:t>
      </w:r>
      <w:r w:rsidR="000D41C4" w:rsidRPr="000D41C4">
        <w:t xml:space="preserve">a different individual in the position of the rule-maker, or a delegate </w:t>
      </w:r>
      <w:r w:rsidR="009343B0">
        <w:t xml:space="preserve">of </w:t>
      </w:r>
      <w:r w:rsidR="000D41C4" w:rsidRPr="000D41C4">
        <w:t>the rule-maker, made the instrument</w:t>
      </w:r>
      <w:r w:rsidRPr="000D41C4">
        <w:t>. If a rule</w:t>
      </w:r>
      <w:r w:rsidR="009C4251" w:rsidRPr="000D41C4">
        <w:noBreakHyphen/>
      </w:r>
      <w:r w:rsidRPr="000D41C4">
        <w:t xml:space="preserve">maker is required or wishes to use </w:t>
      </w:r>
      <w:proofErr w:type="spellStart"/>
      <w:r w:rsidRPr="000D41C4">
        <w:t>OPC’s</w:t>
      </w:r>
      <w:proofErr w:type="spellEnd"/>
      <w:r w:rsidRPr="000D41C4">
        <w:t xml:space="preserve"> drafting services, please contact </w:t>
      </w:r>
      <w:proofErr w:type="spellStart"/>
      <w:r w:rsidRPr="000D41C4">
        <w:t>OPC</w:t>
      </w:r>
      <w:proofErr w:type="spellEnd"/>
      <w:r w:rsidRPr="000D41C4">
        <w:t xml:space="preserve"> with the details. Otherwise, please note that:</w:t>
      </w:r>
    </w:p>
    <w:p w14:paraId="328AF1BC" w14:textId="24129FAD" w:rsidR="0037654B" w:rsidRPr="00FD274F" w:rsidRDefault="0037654B" w:rsidP="0037654B">
      <w:pPr>
        <w:pStyle w:val="BodyPara"/>
      </w:pPr>
      <w:r w:rsidRPr="00FD274F">
        <w:t xml:space="preserve">any date specified for repeal </w:t>
      </w:r>
      <w:r w:rsidR="005C76A8">
        <w:t xml:space="preserve">must </w:t>
      </w:r>
      <w:r w:rsidR="004D7321">
        <w:t xml:space="preserve">not </w:t>
      </w:r>
      <w:r w:rsidRPr="00FD274F">
        <w:t xml:space="preserve">be </w:t>
      </w:r>
      <w:r w:rsidR="004D7321">
        <w:t>later</w:t>
      </w:r>
      <w:r w:rsidRPr="00FD274F">
        <w:t xml:space="preserve"> than any sunset date that may apply under Pa</w:t>
      </w:r>
      <w:r w:rsidRPr="000D2500">
        <w:t xml:space="preserve">rt 4 of Chapter 3 of the </w:t>
      </w:r>
      <w:hyperlink r:id="rId369" w:history="1">
        <w:r w:rsidRPr="000D2500">
          <w:rPr>
            <w:rStyle w:val="Hyperlink"/>
          </w:rPr>
          <w:t>LA</w:t>
        </w:r>
      </w:hyperlink>
      <w:r w:rsidRPr="000D2500">
        <w:t>; a</w:t>
      </w:r>
      <w:r w:rsidRPr="00FD274F">
        <w:t>nd</w:t>
      </w:r>
    </w:p>
    <w:p w14:paraId="1768808E" w14:textId="6744F46D" w:rsidR="0037654B" w:rsidRPr="00FD274F" w:rsidRDefault="0037654B" w:rsidP="0037654B">
      <w:pPr>
        <w:pStyle w:val="BodyPara"/>
      </w:pPr>
      <w:r w:rsidRPr="00FD274F">
        <w:t xml:space="preserve">it is important to use the word “repeal” to link clearly back to </w:t>
      </w:r>
      <w:r w:rsidRPr="0049119D">
        <w:t xml:space="preserve">section 7 of the </w:t>
      </w:r>
      <w:hyperlink r:id="rId370" w:history="1">
        <w:hyperlink r:id="rId371" w:history="1">
          <w:r w:rsidRPr="0049119D">
            <w:rPr>
              <w:rStyle w:val="Hyperlink"/>
              <w:i/>
            </w:rPr>
            <w:t>Acts Interpretation Act 1901</w:t>
          </w:r>
        </w:hyperlink>
      </w:hyperlink>
      <w:r w:rsidRPr="0049119D">
        <w:t>, unle</w:t>
      </w:r>
      <w:r w:rsidRPr="00FD274F">
        <w:t>ss another term is required b</w:t>
      </w:r>
      <w:r w:rsidR="00E06893">
        <w:t>y the enabling legislation; and</w:t>
      </w:r>
    </w:p>
    <w:p w14:paraId="1F189776" w14:textId="77777777" w:rsidR="0037654B" w:rsidRDefault="0037654B" w:rsidP="0037654B">
      <w:pPr>
        <w:pStyle w:val="BodyPara"/>
      </w:pPr>
      <w:r w:rsidRPr="00FD274F">
        <w:lastRenderedPageBreak/>
        <w:t>if the instrument of repeal includes a transitional, saving or application provision that is not to be inserted into the principal instrument by amendment, a self</w:t>
      </w:r>
      <w:r w:rsidR="009C4251">
        <w:noBreakHyphen/>
      </w:r>
      <w:r w:rsidRPr="00FD274F">
        <w:t>repealing provision should also be considered.</w:t>
      </w:r>
    </w:p>
    <w:p w14:paraId="0D775579" w14:textId="5B61E053" w:rsidR="0037654B" w:rsidRPr="00FD274F" w:rsidRDefault="0037654B" w:rsidP="0037654B">
      <w:pPr>
        <w:pStyle w:val="BodyNum"/>
      </w:pPr>
      <w:r w:rsidRPr="00FD274F">
        <w:t>For further guidance on how to repeal instruments, including the drafting of self</w:t>
      </w:r>
      <w:r w:rsidR="009C4251">
        <w:noBreakHyphen/>
      </w:r>
      <w:r w:rsidRPr="00FD274F">
        <w:t xml:space="preserve">repealing provisions, see </w:t>
      </w:r>
      <w:hyperlink w:anchor="Chapter3" w:history="1">
        <w:r w:rsidRPr="00492805">
          <w:rPr>
            <w:rStyle w:val="Hyperlink"/>
          </w:rPr>
          <w:t>Chapter 3</w:t>
        </w:r>
      </w:hyperlink>
      <w:r w:rsidR="00E06893" w:rsidRPr="00492805">
        <w:t>.</w:t>
      </w:r>
    </w:p>
    <w:p w14:paraId="3616C100" w14:textId="77777777" w:rsidR="0037654B" w:rsidRPr="00FD274F" w:rsidRDefault="0037654B" w:rsidP="0037654B">
      <w:pPr>
        <w:pStyle w:val="Head4"/>
      </w:pPr>
      <w:bookmarkStart w:id="150" w:name="_Toc112918806"/>
      <w:r w:rsidRPr="00FD274F">
        <w:t>Sunsetting under Pa</w:t>
      </w:r>
      <w:r w:rsidRPr="000D2500">
        <w:t>rt 4 of Chapter 3 of the LA</w:t>
      </w:r>
      <w:bookmarkEnd w:id="150"/>
    </w:p>
    <w:p w14:paraId="21F6DFC3" w14:textId="77777777" w:rsidR="0037654B" w:rsidRPr="00FD274F" w:rsidRDefault="0037654B" w:rsidP="0037654B">
      <w:pPr>
        <w:pStyle w:val="BodyNum"/>
      </w:pPr>
      <w:r w:rsidRPr="00FD274F">
        <w:t>If a legislative instrument is no longer required, it is preferable to repeal the instrument explicitly. Doing nothing does not guarantee that an instrument will, in fact, sunset because the instrument may be exempt from sunsetting. Even if an instrument is subject to sunsetting, any Senator or Member may move for a resolution to defer (“roll over”) its sunset date by 10 years.</w:t>
      </w:r>
    </w:p>
    <w:p w14:paraId="16F30F9D" w14:textId="3E2CE07B" w:rsidR="00583C05" w:rsidRPr="00FD274F" w:rsidRDefault="00583C05" w:rsidP="008D05AF">
      <w:pPr>
        <w:pStyle w:val="BodyNum"/>
      </w:pPr>
      <w:r w:rsidRPr="00FD274F">
        <w:t xml:space="preserve">For further guidance on sunsetting processes, see </w:t>
      </w:r>
      <w:hyperlink w:anchor="Chapter10" w:history="1">
        <w:r w:rsidRPr="00492805">
          <w:rPr>
            <w:rStyle w:val="Hyperlink"/>
          </w:rPr>
          <w:t xml:space="preserve">Chapter </w:t>
        </w:r>
        <w:r w:rsidR="005413DA" w:rsidRPr="00492805">
          <w:rPr>
            <w:rStyle w:val="Hyperlink"/>
          </w:rPr>
          <w:t>10</w:t>
        </w:r>
      </w:hyperlink>
      <w:r w:rsidRPr="00492805">
        <w:t>.</w:t>
      </w:r>
    </w:p>
    <w:p w14:paraId="05AAB05D" w14:textId="77777777" w:rsidR="008D05AF" w:rsidRPr="00FD274F" w:rsidRDefault="008D05AF">
      <w:pPr>
        <w:spacing w:line="240" w:lineRule="auto"/>
        <w:rPr>
          <w:rFonts w:ascii="Arial" w:eastAsia="Times New Roman" w:hAnsi="Arial" w:cs="Times New Roman"/>
          <w:b/>
          <w:caps/>
          <w:kern w:val="28"/>
          <w:sz w:val="28"/>
          <w:lang w:eastAsia="en-AU"/>
        </w:rPr>
      </w:pPr>
      <w:r w:rsidRPr="00FD274F">
        <w:rPr>
          <w:caps/>
        </w:rPr>
        <w:br w:type="page"/>
      </w:r>
    </w:p>
    <w:p w14:paraId="003C875A" w14:textId="77777777" w:rsidR="0084047D" w:rsidRPr="00FD274F" w:rsidRDefault="0084047D" w:rsidP="00B30E8A">
      <w:pPr>
        <w:pStyle w:val="Head2"/>
        <w:rPr>
          <w:sz w:val="36"/>
        </w:rPr>
      </w:pPr>
      <w:bookmarkStart w:id="151" w:name="_Toc112918807"/>
      <w:r w:rsidRPr="00FD274F">
        <w:rPr>
          <w:sz w:val="36"/>
        </w:rPr>
        <w:lastRenderedPageBreak/>
        <w:t>Part 2—</w:t>
      </w:r>
      <w:r w:rsidR="00E94C94" w:rsidRPr="00FD274F">
        <w:rPr>
          <w:sz w:val="36"/>
        </w:rPr>
        <w:t>Matters specific to</w:t>
      </w:r>
      <w:r w:rsidRPr="00FD274F">
        <w:rPr>
          <w:sz w:val="36"/>
        </w:rPr>
        <w:t xml:space="preserve"> legislative instruments</w:t>
      </w:r>
      <w:bookmarkEnd w:id="151"/>
    </w:p>
    <w:p w14:paraId="2D213793" w14:textId="77777777" w:rsidR="0084047D" w:rsidRPr="00FD274F" w:rsidRDefault="00E94C94" w:rsidP="0084047D">
      <w:pPr>
        <w:pStyle w:val="Head2"/>
      </w:pPr>
      <w:bookmarkStart w:id="152" w:name="_Toc112918808"/>
      <w:bookmarkStart w:id="153" w:name="Chapter7"/>
      <w:bookmarkEnd w:id="90"/>
      <w:r w:rsidRPr="00FD274F">
        <w:t xml:space="preserve">Chapter </w:t>
      </w:r>
      <w:r w:rsidR="00732846" w:rsidRPr="00FD274F">
        <w:t>7</w:t>
      </w:r>
      <w:r w:rsidRPr="00FD274F">
        <w:t>—Before making a legislative instrument</w:t>
      </w:r>
      <w:bookmarkEnd w:id="152"/>
    </w:p>
    <w:bookmarkEnd w:id="153"/>
    <w:p w14:paraId="6E5DDEDD" w14:textId="77777777" w:rsidR="00E94C94" w:rsidRPr="00FD274F" w:rsidRDefault="00E06893" w:rsidP="00E94C94">
      <w:pPr>
        <w:pStyle w:val="SundryBoxHeadBold"/>
      </w:pPr>
      <w:r>
        <w:t>Main points</w:t>
      </w:r>
    </w:p>
    <w:p w14:paraId="223BB20F" w14:textId="77777777" w:rsidR="0049446F" w:rsidRPr="00FD274F" w:rsidRDefault="00E94C94" w:rsidP="00E94C94">
      <w:pPr>
        <w:pStyle w:val="SundryBoxBullet"/>
      </w:pPr>
      <w:r w:rsidRPr="00FD274F">
        <w:t>•</w:t>
      </w:r>
      <w:r w:rsidRPr="00FD274F">
        <w:tab/>
      </w:r>
      <w:r w:rsidR="0049446F" w:rsidRPr="00FD274F">
        <w:t>Before making a legislative instrument, a</w:t>
      </w:r>
      <w:r w:rsidRPr="00FD274F">
        <w:t xml:space="preserve"> rule</w:t>
      </w:r>
      <w:r w:rsidR="009C4251">
        <w:noBreakHyphen/>
      </w:r>
      <w:r w:rsidRPr="00FD274F">
        <w:t>maker is required to do a range of things (or to arrange for these to be done)</w:t>
      </w:r>
      <w:r w:rsidR="00E06893">
        <w:t>.</w:t>
      </w:r>
    </w:p>
    <w:p w14:paraId="672AA0F8" w14:textId="77777777" w:rsidR="00E94C94" w:rsidRPr="00FD274F" w:rsidRDefault="00E94C94" w:rsidP="00E94C94">
      <w:pPr>
        <w:pStyle w:val="SundryBoxBullet"/>
      </w:pPr>
      <w:r w:rsidRPr="00FD274F">
        <w:t>•</w:t>
      </w:r>
      <w:r w:rsidRPr="00FD274F">
        <w:tab/>
      </w:r>
      <w:r w:rsidR="0049446F" w:rsidRPr="00FD274F">
        <w:t xml:space="preserve">In particular, the </w:t>
      </w:r>
      <w:r w:rsidRPr="00FD274F">
        <w:t>rule</w:t>
      </w:r>
      <w:r w:rsidR="009C4251">
        <w:noBreakHyphen/>
      </w:r>
      <w:r w:rsidRPr="00FD274F">
        <w:t xml:space="preserve">maker must be satisfied that consultation has been undertaken to the extent </w:t>
      </w:r>
      <w:r w:rsidR="000312DD">
        <w:t xml:space="preserve">that is </w:t>
      </w:r>
      <w:r w:rsidRPr="00FD274F">
        <w:t>appropriate and practicable.</w:t>
      </w:r>
    </w:p>
    <w:p w14:paraId="696E3AC9" w14:textId="77777777" w:rsidR="00E94C94" w:rsidRPr="00FD274F" w:rsidRDefault="00E94C94" w:rsidP="00E94C94">
      <w:pPr>
        <w:pStyle w:val="SundryBoxBullet"/>
      </w:pPr>
      <w:r w:rsidRPr="00FD274F">
        <w:t>•</w:t>
      </w:r>
      <w:r w:rsidRPr="00FD274F">
        <w:tab/>
        <w:t>The rule</w:t>
      </w:r>
      <w:r w:rsidR="009C4251">
        <w:noBreakHyphen/>
      </w:r>
      <w:r w:rsidRPr="00FD274F">
        <w:t>maker must also assess the regulatory impact of a proposal, and consider a range of other matters.</w:t>
      </w:r>
    </w:p>
    <w:p w14:paraId="44D2120D" w14:textId="77777777" w:rsidR="0084047D" w:rsidRPr="00FD274F" w:rsidRDefault="0084047D" w:rsidP="0084047D">
      <w:pPr>
        <w:pStyle w:val="Head3"/>
      </w:pPr>
      <w:bookmarkStart w:id="154" w:name="_Toc112918809"/>
      <w:r w:rsidRPr="00FD274F">
        <w:t>What is making?</w:t>
      </w:r>
      <w:bookmarkEnd w:id="154"/>
    </w:p>
    <w:p w14:paraId="4A0B5F2E" w14:textId="48DBBFAA" w:rsidR="0084047D" w:rsidRDefault="0049446F" w:rsidP="0084047D">
      <w:pPr>
        <w:pStyle w:val="BodyNum"/>
      </w:pPr>
      <w:r w:rsidRPr="00FD274F">
        <w:t>For the purposes of t</w:t>
      </w:r>
      <w:r w:rsidRPr="009574E1">
        <w:t xml:space="preserve">he </w:t>
      </w:r>
      <w:hyperlink r:id="rId372" w:history="1">
        <w:r w:rsidR="00F66686" w:rsidRPr="009574E1">
          <w:rPr>
            <w:rStyle w:val="Hyperlink"/>
          </w:rPr>
          <w:t>LA</w:t>
        </w:r>
      </w:hyperlink>
      <w:r w:rsidR="0084047D" w:rsidRPr="009574E1">
        <w:t>, t</w:t>
      </w:r>
      <w:r w:rsidR="0084047D" w:rsidRPr="00FD274F">
        <w:t xml:space="preserve">he </w:t>
      </w:r>
      <w:r w:rsidR="0084047D" w:rsidRPr="00FD274F">
        <w:rPr>
          <w:b/>
          <w:i/>
        </w:rPr>
        <w:t>making</w:t>
      </w:r>
      <w:r w:rsidR="0084047D" w:rsidRPr="00FD274F">
        <w:t xml:space="preserve"> of a legislative instrument is the signing, sealing or other endorsement of the instrument by the person or body empowered to make it, by which it becomes a legislative instrum</w:t>
      </w:r>
      <w:r w:rsidR="0084047D" w:rsidRPr="009574E1">
        <w:t>ent (</w:t>
      </w:r>
      <w:hyperlink r:id="rId373" w:history="1">
        <w:r w:rsidR="009052EB" w:rsidRPr="009574E1">
          <w:rPr>
            <w:rStyle w:val="Hyperlink"/>
          </w:rPr>
          <w:t>LA</w:t>
        </w:r>
      </w:hyperlink>
      <w:r w:rsidR="009052EB" w:rsidRPr="009574E1">
        <w:rPr>
          <w:rStyle w:val="Hyperlink"/>
        </w:rPr>
        <w:t xml:space="preserve"> </w:t>
      </w:r>
      <w:r w:rsidR="00E06893" w:rsidRPr="009574E1">
        <w:t>s 4).</w:t>
      </w:r>
    </w:p>
    <w:p w14:paraId="314F351D" w14:textId="0AE3849E" w:rsidR="00931A6E" w:rsidRDefault="00931A6E" w:rsidP="00931A6E">
      <w:pPr>
        <w:pStyle w:val="BodyNum"/>
      </w:pPr>
      <w:r w:rsidRPr="0049119D">
        <w:t xml:space="preserve">AGS have </w:t>
      </w:r>
      <w:r w:rsidR="00F93CD7" w:rsidRPr="0049119D">
        <w:t>published the</w:t>
      </w:r>
      <w:r w:rsidRPr="0049119D">
        <w:t xml:space="preserve"> </w:t>
      </w:r>
      <w:r w:rsidR="00F87BF7" w:rsidRPr="0049119D">
        <w:t>Legal briefing</w:t>
      </w:r>
      <w:r w:rsidR="007213CE" w:rsidRPr="0049119D">
        <w:t xml:space="preserve"> - </w:t>
      </w:r>
      <w:r w:rsidRPr="0049119D">
        <w:t>Execution solutions for remote working arrangements</w:t>
      </w:r>
      <w:r w:rsidR="005620B3" w:rsidRPr="0049119D">
        <w:rPr>
          <w:rStyle w:val="FootnoteReference"/>
        </w:rPr>
        <w:footnoteReference w:id="16"/>
      </w:r>
      <w:r w:rsidRPr="0049119D">
        <w:t xml:space="preserve"> </w:t>
      </w:r>
      <w:r w:rsidR="005620B3" w:rsidRPr="0049119D">
        <w:t>t</w:t>
      </w:r>
      <w:r w:rsidR="001233B4">
        <w:t>o assist agencies</w:t>
      </w:r>
      <w:r>
        <w:t>.</w:t>
      </w:r>
    </w:p>
    <w:p w14:paraId="46B5655D" w14:textId="77777777" w:rsidR="00931A6E" w:rsidRDefault="00931A6E" w:rsidP="00931A6E">
      <w:pPr>
        <w:pStyle w:val="BodyNum"/>
      </w:pPr>
      <w:r>
        <w:t>In this, AGS advise:</w:t>
      </w:r>
    </w:p>
    <w:p w14:paraId="37FE73BB" w14:textId="0ED7F6CB" w:rsidR="00931A6E" w:rsidRPr="001C63D8" w:rsidRDefault="00931A6E" w:rsidP="002577A6">
      <w:pPr>
        <w:pStyle w:val="Head4"/>
        <w:ind w:left="284"/>
      </w:pPr>
      <w:bookmarkStart w:id="155" w:name="_Toc112918810"/>
      <w:r w:rsidRPr="001C63D8">
        <w:t>Making legislative instruments</w:t>
      </w:r>
      <w:bookmarkEnd w:id="155"/>
    </w:p>
    <w:p w14:paraId="37AAA9B2" w14:textId="46681DCE" w:rsidR="00931A6E" w:rsidRPr="001C63D8" w:rsidRDefault="00931A6E" w:rsidP="002577A6">
      <w:pPr>
        <w:pStyle w:val="Body"/>
        <w:ind w:left="284"/>
      </w:pPr>
      <w:r w:rsidRPr="001C63D8">
        <w:t xml:space="preserve">Under the </w:t>
      </w:r>
      <w:r w:rsidRPr="002F3911">
        <w:rPr>
          <w:i/>
        </w:rPr>
        <w:t>Legislation Act 2003</w:t>
      </w:r>
      <w:r w:rsidRPr="002F3911">
        <w:t xml:space="preserve"> (</w:t>
      </w:r>
      <w:proofErr w:type="spellStart"/>
      <w:r w:rsidRPr="002F3911">
        <w:t>Cth</w:t>
      </w:r>
      <w:proofErr w:type="spellEnd"/>
      <w:r w:rsidRPr="002F3911">
        <w:t>), a l</w:t>
      </w:r>
      <w:r w:rsidRPr="001C63D8">
        <w:t>egislative instrument is ‘made’ by the signing, sealing or other endorsement of the instrument by the person or body empowered to make it. A Minister or other rule-maker could probably ‘make’ such an instrument by personally applying an electronic signature, on the basis that this would constitute their endorsement (approval) of the instrument.</w:t>
      </w:r>
    </w:p>
    <w:p w14:paraId="293CE68F" w14:textId="5563650F" w:rsidR="00931A6E" w:rsidRPr="001C63D8" w:rsidRDefault="00931A6E" w:rsidP="002577A6">
      <w:pPr>
        <w:pStyle w:val="Body"/>
        <w:ind w:left="284"/>
      </w:pPr>
      <w:r w:rsidRPr="001C63D8">
        <w:t>Where this is done, it would be advisable that a person witness the application by the Minister of their electronic signature and make a contemporaneous file note to that effect, to ensure that evidence can be provided should there be a question raised in future as to whether it was the Minister who endorsed the document. Alternatively, it may be that the electronic signature could be locked to the Minister personally and evidence provided, if required, that only the Minister could access and apply it.</w:t>
      </w:r>
    </w:p>
    <w:p w14:paraId="2065CE13" w14:textId="77777777" w:rsidR="00931A6E" w:rsidRPr="001C63D8" w:rsidRDefault="00931A6E" w:rsidP="001C63D8">
      <w:pPr>
        <w:pStyle w:val="BodyNum"/>
      </w:pPr>
      <w:r w:rsidRPr="001C63D8">
        <w:t xml:space="preserve">Before </w:t>
      </w:r>
      <w:r w:rsidR="002577A6">
        <w:t>applying</w:t>
      </w:r>
      <w:r w:rsidRPr="001C63D8">
        <w:t xml:space="preserve"> </w:t>
      </w:r>
      <w:r w:rsidR="002577A6">
        <w:t xml:space="preserve">an </w:t>
      </w:r>
      <w:r w:rsidRPr="001C63D8">
        <w:t xml:space="preserve">electronic signature, agencies should satisfy themselves first that the instrument can be validly made using </w:t>
      </w:r>
      <w:r w:rsidR="001C63D8">
        <w:t xml:space="preserve">the application of </w:t>
      </w:r>
      <w:r w:rsidRPr="001C63D8">
        <w:t xml:space="preserve">an electronic signature. </w:t>
      </w:r>
    </w:p>
    <w:p w14:paraId="7C9F655F" w14:textId="61AF9B4B" w:rsidR="00931A6E" w:rsidRPr="001C63D8" w:rsidRDefault="00931A6E" w:rsidP="001C63D8">
      <w:pPr>
        <w:pStyle w:val="BodyNum"/>
      </w:pPr>
      <w:r w:rsidRPr="001C63D8">
        <w:t xml:space="preserve">For instruments for Exco, agencies should </w:t>
      </w:r>
      <w:r w:rsidR="005629C8">
        <w:t>also have regard</w:t>
      </w:r>
      <w:r w:rsidRPr="001C63D8">
        <w:t xml:space="preserve"> to other relevant guidance, including for example the</w:t>
      </w:r>
      <w:r w:rsidR="005E5B85">
        <w:t xml:space="preserve"> </w:t>
      </w:r>
      <w:r w:rsidR="005E5B85" w:rsidRPr="00FD274F">
        <w:t>Federal</w:t>
      </w:r>
      <w:r w:rsidR="005E5B85">
        <w:t xml:space="preserve"> </w:t>
      </w:r>
      <w:r w:rsidRPr="001C63D8">
        <w:t>Exe</w:t>
      </w:r>
      <w:r w:rsidRPr="0049119D">
        <w:t>cutive Council Handbook</w:t>
      </w:r>
      <w:r w:rsidR="006C574C" w:rsidRPr="0049119D">
        <w:rPr>
          <w:rStyle w:val="FootnoteReference"/>
        </w:rPr>
        <w:footnoteReference w:id="17"/>
      </w:r>
      <w:r w:rsidR="00791CD4">
        <w:t xml:space="preserve"> and Executive Council Circulars</w:t>
      </w:r>
      <w:r w:rsidR="008505C7">
        <w:t>.</w:t>
      </w:r>
    </w:p>
    <w:p w14:paraId="0A00EFBE" w14:textId="526D5790" w:rsidR="001C63D8" w:rsidRDefault="00931A6E" w:rsidP="001C63D8">
      <w:pPr>
        <w:pStyle w:val="BodyNum"/>
      </w:pPr>
      <w:r w:rsidRPr="001C63D8">
        <w:lastRenderedPageBreak/>
        <w:t xml:space="preserve">When an instrument is lodged for registration, </w:t>
      </w:r>
      <w:r w:rsidR="001C63D8">
        <w:t xml:space="preserve">an additional certification requirement is included in relation to electronic signatures that have been applied to a legislative instrument </w:t>
      </w:r>
      <w:r w:rsidR="001C63D8" w:rsidRPr="00A55793">
        <w:t xml:space="preserve">(see paragraph </w:t>
      </w:r>
      <w:r w:rsidR="00AD5C20" w:rsidRPr="009574E1">
        <w:fldChar w:fldCharType="begin"/>
      </w:r>
      <w:r w:rsidR="00AD5C20" w:rsidRPr="00A55793">
        <w:instrText xml:space="preserve"> REF _Ref81732483 \r \h </w:instrText>
      </w:r>
      <w:r w:rsidR="00BF3019">
        <w:rPr>
          <w:highlight w:val="yellow"/>
        </w:rPr>
        <w:instrText xml:space="preserve"> \* MERGEFORMAT </w:instrText>
      </w:r>
      <w:r w:rsidR="00AD5C20" w:rsidRPr="009574E1">
        <w:fldChar w:fldCharType="separate"/>
      </w:r>
      <w:r w:rsidR="003E1B43" w:rsidRPr="00A55793">
        <w:t>141</w:t>
      </w:r>
      <w:r w:rsidR="00AD5C20" w:rsidRPr="009574E1">
        <w:fldChar w:fldCharType="end"/>
      </w:r>
      <w:r w:rsidR="001C63D8" w:rsidRPr="00A55793">
        <w:t>).</w:t>
      </w:r>
    </w:p>
    <w:p w14:paraId="60F9F3CF" w14:textId="77777777" w:rsidR="0084047D" w:rsidRPr="00FD274F" w:rsidRDefault="0084047D" w:rsidP="0084047D">
      <w:pPr>
        <w:pStyle w:val="Head3"/>
      </w:pPr>
      <w:bookmarkStart w:id="156" w:name="_Toc112918811"/>
      <w:r w:rsidRPr="00FD274F">
        <w:t>Requirement to consult before making</w:t>
      </w:r>
      <w:bookmarkEnd w:id="156"/>
    </w:p>
    <w:p w14:paraId="700B3758" w14:textId="1FBE445F" w:rsidR="0084047D" w:rsidRPr="00FD274F" w:rsidRDefault="0049446F" w:rsidP="0084047D">
      <w:pPr>
        <w:pStyle w:val="BodyNum"/>
      </w:pPr>
      <w:r w:rsidRPr="00FD274F">
        <w:t>T</w:t>
      </w:r>
      <w:r w:rsidRPr="00521AB3">
        <w:t xml:space="preserve">he </w:t>
      </w:r>
      <w:hyperlink r:id="rId374" w:history="1">
        <w:r w:rsidR="00F66686" w:rsidRPr="00521AB3">
          <w:rPr>
            <w:rStyle w:val="Hyperlink"/>
          </w:rPr>
          <w:t>LA</w:t>
        </w:r>
      </w:hyperlink>
      <w:r w:rsidR="0084047D" w:rsidRPr="00521AB3">
        <w:t xml:space="preserve"> requi</w:t>
      </w:r>
      <w:r w:rsidR="0084047D" w:rsidRPr="00FD274F">
        <w:t>res a rule</w:t>
      </w:r>
      <w:r w:rsidR="009C4251">
        <w:noBreakHyphen/>
      </w:r>
      <w:r w:rsidR="0084047D" w:rsidRPr="00FD274F">
        <w:t>maker, before making a</w:t>
      </w:r>
      <w:r w:rsidRPr="00FD274F">
        <w:t xml:space="preserve"> legislative </w:t>
      </w:r>
      <w:r w:rsidR="0084047D" w:rsidRPr="00FD274F">
        <w:t>instrument, to be satisfied that any consultation the rule</w:t>
      </w:r>
      <w:r w:rsidR="009C4251">
        <w:noBreakHyphen/>
      </w:r>
      <w:r w:rsidR="0084047D" w:rsidRPr="00FD274F">
        <w:t>maker considers to be appropriate and reasonably practicable has been undertak</w:t>
      </w:r>
      <w:r w:rsidR="0084047D" w:rsidRPr="00521AB3">
        <w:t>en</w:t>
      </w:r>
      <w:r w:rsidRPr="00521AB3">
        <w:t xml:space="preserve"> (</w:t>
      </w:r>
      <w:hyperlink r:id="rId375" w:history="1">
        <w:r w:rsidR="009052EB" w:rsidRPr="00521AB3">
          <w:rPr>
            <w:rStyle w:val="Hyperlink"/>
          </w:rPr>
          <w:t>LA</w:t>
        </w:r>
      </w:hyperlink>
      <w:r w:rsidR="009052EB" w:rsidRPr="00521AB3">
        <w:rPr>
          <w:rStyle w:val="Hyperlink"/>
        </w:rPr>
        <w:t xml:space="preserve"> </w:t>
      </w:r>
      <w:r w:rsidRPr="00521AB3">
        <w:t>s 17(1)).</w:t>
      </w:r>
      <w:r w:rsidR="0084047D" w:rsidRPr="00FD274F">
        <w:t xml:space="preserve"> This requirement applies to all legislative instruments</w:t>
      </w:r>
      <w:r w:rsidR="005413DA" w:rsidRPr="00FD274F">
        <w:t>.</w:t>
      </w:r>
    </w:p>
    <w:p w14:paraId="7957216D" w14:textId="247620D5" w:rsidR="0084047D" w:rsidRPr="00FD274F" w:rsidRDefault="0084047D" w:rsidP="0084047D">
      <w:pPr>
        <w:pStyle w:val="BodyNum"/>
      </w:pPr>
      <w:r w:rsidRPr="00FD274F">
        <w:t xml:space="preserve">The </w:t>
      </w:r>
      <w:hyperlink r:id="rId376" w:history="1">
        <w:r w:rsidR="00F66686" w:rsidRPr="00521AB3">
          <w:rPr>
            <w:rStyle w:val="Hyperlink"/>
          </w:rPr>
          <w:t>LA</w:t>
        </w:r>
      </w:hyperlink>
      <w:r w:rsidRPr="00521AB3">
        <w:t xml:space="preserve"> pro</w:t>
      </w:r>
      <w:r w:rsidRPr="00FD274F">
        <w:t>vides that, in deciding whether consultation is appropriate, the rule</w:t>
      </w:r>
      <w:r w:rsidR="009C4251">
        <w:noBreakHyphen/>
      </w:r>
      <w:r w:rsidRPr="00FD274F">
        <w:t>maker may have regard to the extent to which consultation drew on the knowledge of relevant subject matter experts and ensured that persons likely to be affected by the proposed instrument had an adequate opportunity to comment on its proposed conten</w:t>
      </w:r>
      <w:r w:rsidRPr="00521AB3">
        <w:t>t (</w:t>
      </w:r>
      <w:hyperlink r:id="rId377" w:history="1">
        <w:r w:rsidR="009052EB" w:rsidRPr="00521AB3">
          <w:rPr>
            <w:rStyle w:val="Hyperlink"/>
          </w:rPr>
          <w:t>LA</w:t>
        </w:r>
      </w:hyperlink>
      <w:r w:rsidR="009052EB" w:rsidRPr="00521AB3">
        <w:rPr>
          <w:rStyle w:val="Hyperlink"/>
        </w:rPr>
        <w:t xml:space="preserve"> </w:t>
      </w:r>
      <w:r w:rsidRPr="00521AB3">
        <w:t>s 17(2)).</w:t>
      </w:r>
      <w:r w:rsidRPr="00FD274F">
        <w:t xml:space="preserve"> Consultation could involve </w:t>
      </w:r>
      <w:r w:rsidRPr="00521AB3">
        <w:t>(</w:t>
      </w:r>
      <w:hyperlink r:id="rId378" w:history="1">
        <w:r w:rsidR="009052EB" w:rsidRPr="00521AB3">
          <w:rPr>
            <w:rStyle w:val="Hyperlink"/>
          </w:rPr>
          <w:t>LA</w:t>
        </w:r>
      </w:hyperlink>
      <w:r w:rsidR="009052EB" w:rsidRPr="00521AB3">
        <w:rPr>
          <w:rStyle w:val="Hyperlink"/>
        </w:rPr>
        <w:t xml:space="preserve"> </w:t>
      </w:r>
      <w:r w:rsidRPr="00521AB3">
        <w:t>s 17(3)):</w:t>
      </w:r>
    </w:p>
    <w:p w14:paraId="1EAA598C" w14:textId="77777777" w:rsidR="0084047D" w:rsidRPr="00FD274F" w:rsidRDefault="0084047D" w:rsidP="0084047D">
      <w:pPr>
        <w:pStyle w:val="BodyPara"/>
      </w:pPr>
      <w:r w:rsidRPr="00FD274F">
        <w:t>notifying representative bodies or organisations (either directly or by advertisement); and</w:t>
      </w:r>
    </w:p>
    <w:p w14:paraId="083A0895" w14:textId="77777777" w:rsidR="0084047D" w:rsidRPr="00FD274F" w:rsidRDefault="0084047D" w:rsidP="0084047D">
      <w:pPr>
        <w:pStyle w:val="BodyPara"/>
      </w:pPr>
      <w:r w:rsidRPr="00FD274F">
        <w:t>inviting submissions or pa</w:t>
      </w:r>
      <w:r w:rsidR="00E06893">
        <w:t>rticipation in public hearings.</w:t>
      </w:r>
    </w:p>
    <w:p w14:paraId="356802DD" w14:textId="62D6551B" w:rsidR="0084047D" w:rsidRPr="00FD274F" w:rsidRDefault="0049446F" w:rsidP="0084047D">
      <w:pPr>
        <w:pStyle w:val="BodyNum"/>
      </w:pPr>
      <w:r w:rsidRPr="00FD274F">
        <w:t>Although t</w:t>
      </w:r>
      <w:r w:rsidRPr="00521AB3">
        <w:t xml:space="preserve">he </w:t>
      </w:r>
      <w:hyperlink r:id="rId379" w:history="1">
        <w:r w:rsidR="00F66686" w:rsidRPr="00521AB3">
          <w:rPr>
            <w:rStyle w:val="Hyperlink"/>
          </w:rPr>
          <w:t>LA</w:t>
        </w:r>
      </w:hyperlink>
      <w:r w:rsidR="0084047D" w:rsidRPr="00521AB3">
        <w:t xml:space="preserve"> is</w:t>
      </w:r>
      <w:r w:rsidR="0084047D" w:rsidRPr="00FD274F">
        <w:t xml:space="preserve"> not prescriptive about consultation, agencies should note that the Parliament takes the obligation to consult seriously. Inadequate consultation is one of the most frequent grounds of criticism by the Senate Standing Committee </w:t>
      </w:r>
      <w:r w:rsidR="00805ED3">
        <w:t xml:space="preserve">for the Scrutiny of Delegated Legislation </w:t>
      </w:r>
      <w:r w:rsidR="0084047D" w:rsidRPr="00FD274F">
        <w:t>(</w:t>
      </w:r>
      <w:r w:rsidR="00805ED3">
        <w:t>SDLC</w:t>
      </w:r>
      <w:r w:rsidR="0084047D" w:rsidRPr="00FD274F">
        <w:t>). Consequently, agencies should:</w:t>
      </w:r>
    </w:p>
    <w:p w14:paraId="72429DBE" w14:textId="77777777" w:rsidR="0084047D" w:rsidRPr="00FD274F" w:rsidRDefault="0084047D" w:rsidP="0084047D">
      <w:pPr>
        <w:pStyle w:val="BodyPara"/>
      </w:pPr>
      <w:r w:rsidRPr="00FD274F">
        <w:t>establish what the rule</w:t>
      </w:r>
      <w:r w:rsidR="009C4251">
        <w:noBreakHyphen/>
      </w:r>
      <w:r w:rsidRPr="00FD274F">
        <w:t>maker considers to be the most appropriate form of consultation at an early stage of the process; and</w:t>
      </w:r>
    </w:p>
    <w:p w14:paraId="00AA6A7A" w14:textId="77777777" w:rsidR="0084047D" w:rsidRPr="00FD274F" w:rsidRDefault="0084047D" w:rsidP="0084047D">
      <w:pPr>
        <w:pStyle w:val="BodyPara"/>
      </w:pPr>
      <w:r w:rsidRPr="00FD274F">
        <w:t>satisfy the rule</w:t>
      </w:r>
      <w:r w:rsidR="009C4251">
        <w:noBreakHyphen/>
      </w:r>
      <w:r w:rsidRPr="00FD274F">
        <w:t>maker that consultation has been undertaken to the required standard bef</w:t>
      </w:r>
      <w:r w:rsidR="00E06893">
        <w:t>ore the instrument is made; and</w:t>
      </w:r>
    </w:p>
    <w:p w14:paraId="24C385E4" w14:textId="77777777" w:rsidR="0084047D" w:rsidRPr="00FD274F" w:rsidRDefault="0084047D" w:rsidP="0084047D">
      <w:pPr>
        <w:pStyle w:val="BodyPara"/>
      </w:pPr>
      <w:r w:rsidRPr="00FD274F">
        <w:t>ensure that the explanatory statement for an instrument provides an adequate description of either:</w:t>
      </w:r>
    </w:p>
    <w:p w14:paraId="7BF43ED0" w14:textId="77777777" w:rsidR="0084047D" w:rsidRPr="00FD274F" w:rsidRDefault="0084047D" w:rsidP="0084047D">
      <w:pPr>
        <w:pStyle w:val="BodySubPara"/>
      </w:pPr>
      <w:r w:rsidRPr="00FD274F">
        <w:t>the consul</w:t>
      </w:r>
      <w:r w:rsidR="00E06893">
        <w:t>tation process and outcomes; or</w:t>
      </w:r>
    </w:p>
    <w:p w14:paraId="641AA5BD" w14:textId="28988889" w:rsidR="0084047D" w:rsidRPr="00FD274F" w:rsidRDefault="0084047D" w:rsidP="0084047D">
      <w:pPr>
        <w:pStyle w:val="BodySubPara"/>
      </w:pPr>
      <w:r w:rsidRPr="00FD274F">
        <w:t xml:space="preserve">if no consultation was undertaken, the reasons for not consulting (see </w:t>
      </w:r>
      <w:r w:rsidRPr="00A55793">
        <w:t xml:space="preserve">paragraphs </w:t>
      </w:r>
      <w:r w:rsidRPr="00521AB3">
        <w:fldChar w:fldCharType="begin"/>
      </w:r>
      <w:r w:rsidRPr="00A55793">
        <w:instrText xml:space="preserve"> REF _Ref369887055 \r \h </w:instrText>
      </w:r>
      <w:r w:rsidR="00F308D0" w:rsidRPr="00A55793">
        <w:instrText xml:space="preserve"> \* MERGEFORMAT </w:instrText>
      </w:r>
      <w:r w:rsidRPr="00521AB3">
        <w:fldChar w:fldCharType="separate"/>
      </w:r>
      <w:r w:rsidR="003E1B43" w:rsidRPr="00A55793">
        <w:t>241</w:t>
      </w:r>
      <w:r w:rsidRPr="00521AB3">
        <w:fldChar w:fldCharType="end"/>
      </w:r>
      <w:r w:rsidR="009B5657" w:rsidRPr="00A55793">
        <w:t xml:space="preserve"> to </w:t>
      </w:r>
      <w:r w:rsidRPr="00521AB3">
        <w:fldChar w:fldCharType="begin"/>
      </w:r>
      <w:r w:rsidRPr="00A55793">
        <w:instrText xml:space="preserve"> REF _Ref369887049 \r \h </w:instrText>
      </w:r>
      <w:r w:rsidR="00F308D0" w:rsidRPr="00A55793">
        <w:instrText xml:space="preserve"> \* MERGEFORMAT </w:instrText>
      </w:r>
      <w:r w:rsidRPr="00521AB3">
        <w:fldChar w:fldCharType="separate"/>
      </w:r>
      <w:r w:rsidR="003E1B43" w:rsidRPr="00A55793">
        <w:t>243</w:t>
      </w:r>
      <w:r w:rsidRPr="00521AB3">
        <w:fldChar w:fldCharType="end"/>
      </w:r>
      <w:r w:rsidRPr="00A55793">
        <w:t>).</w:t>
      </w:r>
    </w:p>
    <w:p w14:paraId="6D5522BE" w14:textId="7EBAAE1B" w:rsidR="0084047D" w:rsidRPr="00FD274F" w:rsidRDefault="0084047D" w:rsidP="0084047D">
      <w:pPr>
        <w:pStyle w:val="BodyNum"/>
      </w:pPr>
      <w:bookmarkStart w:id="157" w:name="_Ref369887081"/>
      <w:r w:rsidRPr="00FD274F">
        <w:t xml:space="preserve">An explanatory statement that does not mention consultation, or that contains only a superficial description, is likely to result in the relevant Minister being asked </w:t>
      </w:r>
      <w:r w:rsidR="004524AB" w:rsidRPr="00FD274F">
        <w:t xml:space="preserve">by </w:t>
      </w:r>
      <w:r w:rsidR="00E029C7">
        <w:t xml:space="preserve">the </w:t>
      </w:r>
      <w:r w:rsidR="00805ED3">
        <w:t xml:space="preserve">SDLC </w:t>
      </w:r>
      <w:r w:rsidRPr="00FD274F">
        <w:t>to provide additional i</w:t>
      </w:r>
      <w:r w:rsidR="004524AB">
        <w:t>nformation or take other action</w:t>
      </w:r>
      <w:r w:rsidRPr="00FD274F">
        <w:t>. Further guidance on how to</w:t>
      </w:r>
      <w:r w:rsidR="0058533F" w:rsidRPr="00FD274F">
        <w:t xml:space="preserve"> meet the requirements of t</w:t>
      </w:r>
      <w:r w:rsidR="0058533F" w:rsidRPr="00521AB3">
        <w:t xml:space="preserve">he </w:t>
      </w:r>
      <w:hyperlink r:id="rId380" w:history="1">
        <w:r w:rsidR="00F66686" w:rsidRPr="00521AB3">
          <w:rPr>
            <w:rStyle w:val="Hyperlink"/>
          </w:rPr>
          <w:t>LA</w:t>
        </w:r>
      </w:hyperlink>
      <w:r w:rsidRPr="00521AB3">
        <w:t xml:space="preserve"> a</w:t>
      </w:r>
      <w:r w:rsidRPr="00FD274F">
        <w:t xml:space="preserve">nd the Parliament is provided on the </w:t>
      </w:r>
      <w:r w:rsidR="00805ED3">
        <w:t xml:space="preserve">SDLC </w:t>
      </w:r>
      <w:r w:rsidRPr="00FD274F">
        <w:t>websi</w:t>
      </w:r>
      <w:r w:rsidRPr="009574E1">
        <w:t>te</w:t>
      </w:r>
      <w:r w:rsidRPr="009574E1">
        <w:rPr>
          <w:rStyle w:val="FootnoteReference"/>
        </w:rPr>
        <w:footnoteReference w:id="18"/>
      </w:r>
      <w:r w:rsidR="009B5657" w:rsidRPr="009574E1">
        <w:t>.</w:t>
      </w:r>
    </w:p>
    <w:p w14:paraId="7622C01E" w14:textId="77777777" w:rsidR="0084047D" w:rsidRPr="00FD274F" w:rsidRDefault="0084047D" w:rsidP="0084047D">
      <w:pPr>
        <w:pStyle w:val="Head4"/>
      </w:pPr>
      <w:bookmarkStart w:id="158" w:name="_Toc112918812"/>
      <w:bookmarkEnd w:id="157"/>
      <w:r w:rsidRPr="00FD274F">
        <w:t>When consultation may be unnecessary or inappropriate</w:t>
      </w:r>
      <w:bookmarkEnd w:id="158"/>
    </w:p>
    <w:p w14:paraId="2E312AB9" w14:textId="538BE2D2" w:rsidR="00EE0E51" w:rsidRPr="00FD274F" w:rsidRDefault="00EE0E51" w:rsidP="0084047D">
      <w:pPr>
        <w:pStyle w:val="BodyNum"/>
      </w:pPr>
      <w:bookmarkStart w:id="159" w:name="_Ref369887055"/>
      <w:r w:rsidRPr="00FD274F">
        <w:t xml:space="preserve">The </w:t>
      </w:r>
      <w:hyperlink r:id="rId381" w:history="1">
        <w:r w:rsidR="00E25493" w:rsidRPr="00521AB3">
          <w:rPr>
            <w:rStyle w:val="Hyperlink"/>
          </w:rPr>
          <w:t>LA</w:t>
        </w:r>
      </w:hyperlink>
      <w:r w:rsidRPr="00521AB3">
        <w:t xml:space="preserve"> does</w:t>
      </w:r>
      <w:r w:rsidRPr="00FD274F">
        <w:t xml:space="preserve"> not require consultation if the rule</w:t>
      </w:r>
      <w:r w:rsidR="009C4251">
        <w:noBreakHyphen/>
      </w:r>
      <w:r w:rsidRPr="00FD274F">
        <w:t>maker</w:t>
      </w:r>
      <w:r w:rsidR="00FD5F93" w:rsidRPr="00FD274F">
        <w:t xml:space="preserve"> </w:t>
      </w:r>
      <w:r w:rsidRPr="00FD274F">
        <w:t>considers it inappropriate or impractical. It may be, for example, that a legislative instrument:</w:t>
      </w:r>
    </w:p>
    <w:bookmarkEnd w:id="159"/>
    <w:p w14:paraId="2F40BD5F" w14:textId="77777777" w:rsidR="0084047D" w:rsidRPr="00FD274F" w:rsidRDefault="0084047D" w:rsidP="0084047D">
      <w:pPr>
        <w:pStyle w:val="BodyPara"/>
      </w:pPr>
      <w:r w:rsidRPr="00FD274F">
        <w:lastRenderedPageBreak/>
        <w:t>is of a minor or machinery nature or does not substantially alter existing arrangements; or</w:t>
      </w:r>
    </w:p>
    <w:p w14:paraId="61ADA7E5" w14:textId="77777777" w:rsidR="0084047D" w:rsidRPr="00FD274F" w:rsidRDefault="0084047D" w:rsidP="0084047D">
      <w:pPr>
        <w:pStyle w:val="BodyPara"/>
      </w:pPr>
      <w:r w:rsidRPr="00FD274F">
        <w:t>is required urgently; or</w:t>
      </w:r>
    </w:p>
    <w:p w14:paraId="5E0EF9D8" w14:textId="77777777" w:rsidR="0084047D" w:rsidRPr="00FD274F" w:rsidRDefault="0084047D" w:rsidP="0084047D">
      <w:pPr>
        <w:pStyle w:val="BodyPara"/>
      </w:pPr>
      <w:r w:rsidRPr="00FD274F">
        <w:t>implements a decision announced in the Budget; or</w:t>
      </w:r>
    </w:p>
    <w:p w14:paraId="7F93C4C2" w14:textId="77777777" w:rsidR="0084047D" w:rsidRPr="00FD274F" w:rsidRDefault="0084047D" w:rsidP="0084047D">
      <w:pPr>
        <w:pStyle w:val="BodyPara"/>
      </w:pPr>
      <w:r w:rsidRPr="00FD274F">
        <w:t>is required because of a national security issue; or</w:t>
      </w:r>
    </w:p>
    <w:p w14:paraId="62F038E4" w14:textId="77777777" w:rsidR="0084047D" w:rsidRPr="00FD274F" w:rsidRDefault="0084047D" w:rsidP="0084047D">
      <w:pPr>
        <w:pStyle w:val="BodyPara"/>
      </w:pPr>
      <w:r w:rsidRPr="00FD274F">
        <w:t>is an instrument for which appropriate consultation has already been undertaken by somebody else; or</w:t>
      </w:r>
    </w:p>
    <w:p w14:paraId="34C36AC1" w14:textId="77777777" w:rsidR="0084047D" w:rsidRPr="00FD274F" w:rsidRDefault="0084047D" w:rsidP="0084047D">
      <w:pPr>
        <w:pStyle w:val="BodyPara"/>
      </w:pPr>
      <w:r w:rsidRPr="00FD274F">
        <w:t>relates to employme</w:t>
      </w:r>
      <w:r w:rsidR="00E06893">
        <w:t>nt; or</w:t>
      </w:r>
    </w:p>
    <w:p w14:paraId="47E3457B" w14:textId="77777777" w:rsidR="0084047D" w:rsidRPr="00FD274F" w:rsidRDefault="0084047D" w:rsidP="0084047D">
      <w:pPr>
        <w:pStyle w:val="BodyPara"/>
      </w:pPr>
      <w:r w:rsidRPr="00FD274F">
        <w:t>relates to the management of, or to the service of members of, the Australian Defence Force.</w:t>
      </w:r>
    </w:p>
    <w:p w14:paraId="74ED5194" w14:textId="5AB646CE" w:rsidR="00EE0E51" w:rsidRPr="00FD274F" w:rsidRDefault="00EE0E51" w:rsidP="0084047D">
      <w:pPr>
        <w:pStyle w:val="BodyNum"/>
      </w:pPr>
      <w:r w:rsidRPr="00FD274F">
        <w:rPr>
          <w:szCs w:val="24"/>
        </w:rPr>
        <w:t>Even if an instrument falls into one of these examples, a case</w:t>
      </w:r>
      <w:r w:rsidR="009C4251">
        <w:rPr>
          <w:szCs w:val="24"/>
        </w:rPr>
        <w:noBreakHyphen/>
      </w:r>
      <w:r w:rsidRPr="00FD274F">
        <w:rPr>
          <w:szCs w:val="24"/>
        </w:rPr>
        <w:t>by</w:t>
      </w:r>
      <w:r w:rsidR="009C4251">
        <w:rPr>
          <w:szCs w:val="24"/>
        </w:rPr>
        <w:noBreakHyphen/>
      </w:r>
      <w:r w:rsidRPr="00FD274F">
        <w:rPr>
          <w:szCs w:val="24"/>
        </w:rPr>
        <w:t>case assessment is still important and necessary to satisfy the requirements o</w:t>
      </w:r>
      <w:r w:rsidRPr="00521AB3">
        <w:rPr>
          <w:szCs w:val="24"/>
        </w:rPr>
        <w:t>f section 1</w:t>
      </w:r>
      <w:r w:rsidR="00177771" w:rsidRPr="00521AB3">
        <w:rPr>
          <w:szCs w:val="24"/>
        </w:rPr>
        <w:t>7</w:t>
      </w:r>
      <w:r w:rsidRPr="00521AB3">
        <w:rPr>
          <w:szCs w:val="24"/>
        </w:rPr>
        <w:t xml:space="preserve"> of the </w:t>
      </w:r>
      <w:hyperlink r:id="rId382" w:history="1">
        <w:r w:rsidR="009052EB" w:rsidRPr="00521AB3">
          <w:rPr>
            <w:rStyle w:val="Hyperlink"/>
          </w:rPr>
          <w:t>LA</w:t>
        </w:r>
      </w:hyperlink>
      <w:r w:rsidR="009052EB" w:rsidRPr="00521AB3">
        <w:rPr>
          <w:rStyle w:val="Hyperlink"/>
        </w:rPr>
        <w:t xml:space="preserve"> </w:t>
      </w:r>
      <w:r w:rsidRPr="00521AB3">
        <w:rPr>
          <w:szCs w:val="24"/>
        </w:rPr>
        <w:t>an</w:t>
      </w:r>
      <w:r w:rsidRPr="00FD274F">
        <w:rPr>
          <w:szCs w:val="24"/>
        </w:rPr>
        <w:t>d of scrutiny bodies.</w:t>
      </w:r>
    </w:p>
    <w:p w14:paraId="4F5F890F" w14:textId="77777777" w:rsidR="0084047D" w:rsidRPr="00FD274F" w:rsidRDefault="0084047D" w:rsidP="0084047D">
      <w:pPr>
        <w:pStyle w:val="Head4"/>
      </w:pPr>
      <w:bookmarkStart w:id="160" w:name="_Toc112918813"/>
      <w:r w:rsidRPr="00FD274F">
        <w:t>Consequences of failure to consult</w:t>
      </w:r>
      <w:bookmarkEnd w:id="160"/>
    </w:p>
    <w:p w14:paraId="1F19ECAD" w14:textId="065A98F8" w:rsidR="0084047D" w:rsidRPr="00FD274F" w:rsidRDefault="0084047D" w:rsidP="0084047D">
      <w:pPr>
        <w:pStyle w:val="BodyNum"/>
      </w:pPr>
      <w:bookmarkStart w:id="161" w:name="_Ref369887049"/>
      <w:r w:rsidRPr="00FD274F">
        <w:t>Failure to consult in relation to a legislative instrument does not affect the validity or enforceability of the instru</w:t>
      </w:r>
      <w:r w:rsidRPr="00521AB3">
        <w:t>ment (</w:t>
      </w:r>
      <w:hyperlink r:id="rId383" w:history="1">
        <w:r w:rsidR="009052EB" w:rsidRPr="00521AB3">
          <w:rPr>
            <w:rStyle w:val="Hyperlink"/>
          </w:rPr>
          <w:t>LA</w:t>
        </w:r>
      </w:hyperlink>
      <w:r w:rsidR="009052EB" w:rsidRPr="00521AB3">
        <w:rPr>
          <w:rStyle w:val="Hyperlink"/>
        </w:rPr>
        <w:t xml:space="preserve"> </w:t>
      </w:r>
      <w:r w:rsidRPr="00521AB3">
        <w:t>s 19). Ho</w:t>
      </w:r>
      <w:r w:rsidRPr="00FD274F">
        <w:t>wever, the rule</w:t>
      </w:r>
      <w:r w:rsidR="009C4251">
        <w:noBreakHyphen/>
      </w:r>
      <w:r w:rsidRPr="00FD274F">
        <w:t xml:space="preserve">maker must explain why consultation was unnecessary or inappropriate in the explanatory statement that is registered and tabled with the instrument in the Parliament </w:t>
      </w:r>
      <w:r w:rsidRPr="00980B37">
        <w:t xml:space="preserve">(see also </w:t>
      </w:r>
      <w:hyperlink w:anchor="Chapter8" w:history="1">
        <w:r w:rsidR="007D63BE" w:rsidRPr="00980B37">
          <w:rPr>
            <w:rStyle w:val="Hyperlink"/>
          </w:rPr>
          <w:t>Chapter 8</w:t>
        </w:r>
      </w:hyperlink>
      <w:r w:rsidRPr="00980B37">
        <w:t>).</w:t>
      </w:r>
      <w:bookmarkEnd w:id="161"/>
    </w:p>
    <w:p w14:paraId="409975B9" w14:textId="77777777" w:rsidR="0084047D" w:rsidRPr="00FD274F" w:rsidRDefault="0084047D" w:rsidP="0084047D">
      <w:pPr>
        <w:pStyle w:val="Head3"/>
      </w:pPr>
      <w:bookmarkStart w:id="162" w:name="_Toc112918814"/>
      <w:r w:rsidRPr="00FD274F">
        <w:t>Requirement to assess regulatory impacts before making</w:t>
      </w:r>
      <w:bookmarkEnd w:id="162"/>
    </w:p>
    <w:p w14:paraId="5A4621FB" w14:textId="77777777" w:rsidR="008D68E4" w:rsidRDefault="0084047D" w:rsidP="0084047D">
      <w:pPr>
        <w:pStyle w:val="BodyNum"/>
      </w:pPr>
      <w:r w:rsidRPr="00FD274F">
        <w:t xml:space="preserve">Before the decision is taken to make an instrument, </w:t>
      </w:r>
      <w:r w:rsidR="004D5E1F" w:rsidRPr="00FD274F">
        <w:t xml:space="preserve">a </w:t>
      </w:r>
      <w:r w:rsidRPr="00FD274F">
        <w:t xml:space="preserve">regulatory impact assessment must be undertaken consistent with the Government’s deregulation policies. A formal </w:t>
      </w:r>
      <w:r w:rsidRPr="00392E1D">
        <w:t>Regulation Impact Statement (</w:t>
      </w:r>
      <w:proofErr w:type="spellStart"/>
      <w:r w:rsidRPr="00392E1D">
        <w:t>RIS</w:t>
      </w:r>
      <w:proofErr w:type="spellEnd"/>
      <w:r w:rsidR="00E06893" w:rsidRPr="00392E1D">
        <w:t>) m</w:t>
      </w:r>
      <w:r w:rsidR="00E06893">
        <w:t>ay also need to be prepared.</w:t>
      </w:r>
    </w:p>
    <w:p w14:paraId="4F9289FA" w14:textId="77777777" w:rsidR="0084047D" w:rsidRPr="00FD274F" w:rsidRDefault="004524AB" w:rsidP="0084047D">
      <w:pPr>
        <w:pStyle w:val="BodyNum"/>
      </w:pPr>
      <w:r>
        <w:t xml:space="preserve">Alternatively, you may be able to use </w:t>
      </w:r>
      <w:r w:rsidRPr="00FD274F">
        <w:t>the O</w:t>
      </w:r>
      <w:r w:rsidRPr="00392E1D">
        <w:t>ffice of Best Practice Regulation’s (</w:t>
      </w:r>
      <w:proofErr w:type="spellStart"/>
      <w:r w:rsidRPr="00392E1D">
        <w:t>OBPR</w:t>
      </w:r>
      <w:proofErr w:type="spellEnd"/>
      <w:r w:rsidRPr="00392E1D">
        <w:t>) “streamlined” pr</w:t>
      </w:r>
      <w:r>
        <w:t>ocess of senior</w:t>
      </w:r>
      <w:r w:rsidR="009C4251">
        <w:noBreakHyphen/>
      </w:r>
      <w:r>
        <w:t xml:space="preserve">level officer correspondence in lieu of preparing a </w:t>
      </w:r>
      <w:proofErr w:type="spellStart"/>
      <w:r>
        <w:t>RIS</w:t>
      </w:r>
      <w:proofErr w:type="spellEnd"/>
      <w:r>
        <w:t>. Information abou</w:t>
      </w:r>
      <w:r w:rsidRPr="00392E1D">
        <w:t xml:space="preserve">t this process and the circumstances in which it may be used is available in </w:t>
      </w:r>
      <w:proofErr w:type="spellStart"/>
      <w:r w:rsidRPr="00392E1D">
        <w:t>OBPR’s</w:t>
      </w:r>
      <w:proofErr w:type="spellEnd"/>
      <w:r w:rsidRPr="00392E1D">
        <w:t xml:space="preserve"> Sunsetting Legislative Instruments Guidance Note</w:t>
      </w:r>
      <w:r w:rsidR="00326770" w:rsidRPr="00392E1D">
        <w:rPr>
          <w:rStyle w:val="FootnoteReference"/>
        </w:rPr>
        <w:footnoteReference w:id="19"/>
      </w:r>
      <w:r w:rsidR="00326770" w:rsidRPr="00392E1D">
        <w:t>.</w:t>
      </w:r>
    </w:p>
    <w:p w14:paraId="43C415F6" w14:textId="1DC73690" w:rsidR="0084047D" w:rsidRPr="00FD274F" w:rsidRDefault="0084047D" w:rsidP="0084047D">
      <w:pPr>
        <w:pStyle w:val="BodyNum"/>
      </w:pPr>
      <w:r w:rsidRPr="00FD274F">
        <w:t xml:space="preserve">Failure to comply with the </w:t>
      </w:r>
      <w:proofErr w:type="spellStart"/>
      <w:r w:rsidRPr="00FD274F">
        <w:t>RIS</w:t>
      </w:r>
      <w:proofErr w:type="spellEnd"/>
      <w:r w:rsidRPr="00FD274F">
        <w:t xml:space="preserve"> requirements does not invalidate an instrument, but is a breach of Government policy and will be publicly reported by the </w:t>
      </w:r>
      <w:proofErr w:type="spellStart"/>
      <w:r w:rsidRPr="00FD274F">
        <w:t>OBPR</w:t>
      </w:r>
      <w:proofErr w:type="spellEnd"/>
      <w:r w:rsidRPr="00FD274F">
        <w:t xml:space="preserve">. More information on the current requirements is available from the </w:t>
      </w:r>
      <w:proofErr w:type="spellStart"/>
      <w:r w:rsidRPr="00FD274F">
        <w:t>OBPR</w:t>
      </w:r>
      <w:proofErr w:type="spellEnd"/>
      <w:r w:rsidRPr="00FD274F">
        <w:t xml:space="preserve"> website</w:t>
      </w:r>
      <w:r w:rsidRPr="00FD274F">
        <w:rPr>
          <w:rStyle w:val="FootnoteReference"/>
        </w:rPr>
        <w:footnoteReference w:id="20"/>
      </w:r>
      <w:r w:rsidRPr="00FD274F">
        <w:t xml:space="preserve"> and on request (</w:t>
      </w:r>
      <w:hyperlink r:id="rId384" w:history="1">
        <w:r w:rsidRPr="00392E1D">
          <w:rPr>
            <w:rStyle w:val="Hyperlink"/>
          </w:rPr>
          <w:t>helpdesk</w:t>
        </w:r>
        <w:r w:rsidR="009C4251" w:rsidRPr="00392E1D">
          <w:rPr>
            <w:rStyle w:val="Hyperlink"/>
          </w:rPr>
          <w:noBreakHyphen/>
        </w:r>
        <w:r w:rsidRPr="00392E1D">
          <w:rPr>
            <w:rStyle w:val="Hyperlink"/>
          </w:rPr>
          <w:t>obpr@pmc.gov.au</w:t>
        </w:r>
      </w:hyperlink>
      <w:r w:rsidRPr="00392E1D">
        <w:rPr>
          <w:rStyle w:val="Hyperlink"/>
        </w:rPr>
        <w:t xml:space="preserve"> </w:t>
      </w:r>
      <w:r w:rsidRPr="00392E1D">
        <w:t>or (02) 6271 6270).</w:t>
      </w:r>
    </w:p>
    <w:p w14:paraId="548B458C" w14:textId="77777777" w:rsidR="0084047D" w:rsidRPr="00FD274F" w:rsidRDefault="0084047D" w:rsidP="0084047D">
      <w:pPr>
        <w:pStyle w:val="BodyNum"/>
      </w:pPr>
      <w:r w:rsidRPr="00FD274F">
        <w:t xml:space="preserve">Note also that, if a </w:t>
      </w:r>
      <w:proofErr w:type="spellStart"/>
      <w:r w:rsidRPr="00FD274F">
        <w:t>RIS</w:t>
      </w:r>
      <w:proofErr w:type="spellEnd"/>
      <w:r w:rsidRPr="00FD274F">
        <w:t xml:space="preserve"> that relates to an instrument has been completed, the entire </w:t>
      </w:r>
      <w:proofErr w:type="spellStart"/>
      <w:r w:rsidRPr="00FD274F">
        <w:t>RIS</w:t>
      </w:r>
      <w:proofErr w:type="spellEnd"/>
      <w:r w:rsidRPr="00FD274F">
        <w:t xml:space="preserve"> must be included in, or attached to, the inst</w:t>
      </w:r>
      <w:r w:rsidR="00E06893">
        <w:t>rument’s explanatory statement.</w:t>
      </w:r>
    </w:p>
    <w:p w14:paraId="7DF7FB20" w14:textId="77777777" w:rsidR="0084047D" w:rsidRPr="00FD274F" w:rsidRDefault="0084047D" w:rsidP="0084047D">
      <w:pPr>
        <w:pStyle w:val="Head3"/>
      </w:pPr>
      <w:bookmarkStart w:id="163" w:name="_Toc112918815"/>
      <w:r w:rsidRPr="00FD274F">
        <w:lastRenderedPageBreak/>
        <w:t xml:space="preserve">Other </w:t>
      </w:r>
      <w:r w:rsidR="00EE2132" w:rsidRPr="00FD274F">
        <w:t>requirements</w:t>
      </w:r>
      <w:r w:rsidRPr="00FD274F">
        <w:t xml:space="preserve"> to consider before making</w:t>
      </w:r>
      <w:bookmarkEnd w:id="163"/>
    </w:p>
    <w:p w14:paraId="2D69F0B7" w14:textId="77777777" w:rsidR="0084047D" w:rsidRPr="00FD274F" w:rsidRDefault="0084047D" w:rsidP="0084047D">
      <w:pPr>
        <w:pStyle w:val="BodyNum"/>
      </w:pPr>
      <w:r w:rsidRPr="00FD274F">
        <w:t xml:space="preserve">There are a range of other </w:t>
      </w:r>
      <w:r w:rsidR="00EE2132" w:rsidRPr="00FD274F">
        <w:t>requirements</w:t>
      </w:r>
      <w:r w:rsidRPr="00FD274F">
        <w:t xml:space="preserve"> a rule</w:t>
      </w:r>
      <w:r w:rsidR="009C4251">
        <w:noBreakHyphen/>
      </w:r>
      <w:r w:rsidRPr="00FD274F">
        <w:t>maker may need to consider before making a legislative instrument or approving an explanatory statement. For example, as a matter of process, before making an instrument:</w:t>
      </w:r>
    </w:p>
    <w:p w14:paraId="54445A25" w14:textId="77777777" w:rsidR="0084047D" w:rsidRPr="00FD274F" w:rsidRDefault="0084047D" w:rsidP="0084047D">
      <w:pPr>
        <w:pStyle w:val="BodyPara"/>
      </w:pPr>
      <w:r w:rsidRPr="00FD274F">
        <w:t>during the caretaker (election) period—it may be necessary to consider the caretaker conventions, even if the rule</w:t>
      </w:r>
      <w:r w:rsidR="009C4251">
        <w:noBreakHyphen/>
      </w:r>
      <w:r w:rsidRPr="00FD274F">
        <w:t>maker is a statutory authority or officeholder rather than a Minister or department</w:t>
      </w:r>
      <w:r w:rsidRPr="00FD274F">
        <w:rPr>
          <w:rStyle w:val="FootnoteReference"/>
        </w:rPr>
        <w:footnoteReference w:id="21"/>
      </w:r>
      <w:r w:rsidR="00E06893">
        <w:t>; or</w:t>
      </w:r>
    </w:p>
    <w:p w14:paraId="5D432A16" w14:textId="7E84F119" w:rsidR="0084047D" w:rsidRPr="00FD274F" w:rsidRDefault="0084047D" w:rsidP="0084047D">
      <w:pPr>
        <w:pStyle w:val="BodyPara"/>
      </w:pPr>
      <w:r w:rsidRPr="00FD274F">
        <w:t>that is the same in substance as an instrument that has been registered or disallowed recently—it may be neces</w:t>
      </w:r>
      <w:r w:rsidRPr="00980B37">
        <w:t xml:space="preserve">sary to consider the restrictions on remaking that apply before and after tabling (see </w:t>
      </w:r>
      <w:hyperlink w:anchor="Chapter9" w:history="1">
        <w:r w:rsidR="007D63BE" w:rsidRPr="00980B37">
          <w:rPr>
            <w:rStyle w:val="Hyperlink"/>
          </w:rPr>
          <w:t>Chapter 9</w:t>
        </w:r>
      </w:hyperlink>
      <w:r w:rsidRPr="00980B37">
        <w:t>);</w:t>
      </w:r>
      <w:r w:rsidRPr="00FD274F">
        <w:t xml:space="preserve"> or</w:t>
      </w:r>
    </w:p>
    <w:p w14:paraId="74B2765D" w14:textId="4D225487" w:rsidR="0084047D" w:rsidRPr="00FD274F" w:rsidRDefault="0084047D" w:rsidP="0084047D">
      <w:pPr>
        <w:pStyle w:val="BodyPara"/>
      </w:pPr>
      <w:r w:rsidRPr="00FD274F">
        <w:t xml:space="preserve">that is intended to amend or replace an instrument that has already </w:t>
      </w:r>
      <w:proofErr w:type="spellStart"/>
      <w:r w:rsidRPr="00FD274F">
        <w:t>sunsetted</w:t>
      </w:r>
      <w:proofErr w:type="spellEnd"/>
      <w:r w:rsidRPr="00FD274F">
        <w:t xml:space="preserve"> or will sunset soon—it is necessary to consider a range of other issues (see </w:t>
      </w:r>
      <w:hyperlink w:anchor="Chapter10" w:history="1">
        <w:r w:rsidR="007D63BE" w:rsidRPr="00980B37">
          <w:rPr>
            <w:rStyle w:val="Hyperlink"/>
          </w:rPr>
          <w:t>Chapter 10</w:t>
        </w:r>
      </w:hyperlink>
      <w:r w:rsidRPr="00980B37">
        <w:t>).</w:t>
      </w:r>
    </w:p>
    <w:p w14:paraId="7D73CEF5" w14:textId="77777777" w:rsidR="00E94C94" w:rsidRPr="00FD274F" w:rsidRDefault="00E94C94">
      <w:pPr>
        <w:spacing w:line="240" w:lineRule="auto"/>
        <w:rPr>
          <w:rFonts w:ascii="Arial" w:eastAsia="Times New Roman" w:hAnsi="Arial" w:cs="Times New Roman"/>
          <w:b/>
          <w:kern w:val="28"/>
          <w:sz w:val="28"/>
          <w:lang w:eastAsia="en-AU"/>
        </w:rPr>
      </w:pPr>
      <w:r w:rsidRPr="00FD274F">
        <w:br w:type="page"/>
      </w:r>
    </w:p>
    <w:p w14:paraId="5ED792E6" w14:textId="77777777" w:rsidR="00727ED5" w:rsidRPr="00FD274F" w:rsidRDefault="00F434C0" w:rsidP="004855B6">
      <w:pPr>
        <w:pStyle w:val="Head2"/>
      </w:pPr>
      <w:bookmarkStart w:id="164" w:name="_Toc112918816"/>
      <w:bookmarkStart w:id="165" w:name="Chapter8"/>
      <w:r w:rsidRPr="00FD274F">
        <w:lastRenderedPageBreak/>
        <w:t xml:space="preserve">Chapter </w:t>
      </w:r>
      <w:r w:rsidR="00732846" w:rsidRPr="00FD274F">
        <w:t>8</w:t>
      </w:r>
      <w:r w:rsidRPr="00FD274F">
        <w:t>—</w:t>
      </w:r>
      <w:r w:rsidR="00727ED5" w:rsidRPr="00FD274F">
        <w:t>Explanatory statements</w:t>
      </w:r>
      <w:bookmarkEnd w:id="164"/>
    </w:p>
    <w:bookmarkEnd w:id="165"/>
    <w:p w14:paraId="0F2B722D" w14:textId="77777777" w:rsidR="00727ED5" w:rsidRPr="00FD274F" w:rsidRDefault="00E06893" w:rsidP="00A128EE">
      <w:pPr>
        <w:pStyle w:val="SundryBoxHeadBold"/>
      </w:pPr>
      <w:r>
        <w:t>Main points</w:t>
      </w:r>
    </w:p>
    <w:p w14:paraId="10C7DC0D" w14:textId="77777777" w:rsidR="00727ED5" w:rsidRPr="00FD274F" w:rsidRDefault="00727ED5" w:rsidP="00F75BA9">
      <w:pPr>
        <w:pStyle w:val="SundryBoxBullet"/>
      </w:pPr>
      <w:r w:rsidRPr="00FD274F">
        <w:t>•</w:t>
      </w:r>
      <w:r w:rsidRPr="00FD274F">
        <w:tab/>
      </w:r>
      <w:r w:rsidR="000D63D1" w:rsidRPr="00FD274F">
        <w:t>Each new legislative instrument must have an explanatory statement approved by the rule</w:t>
      </w:r>
      <w:r w:rsidR="009C4251">
        <w:noBreakHyphen/>
      </w:r>
      <w:r w:rsidR="000D63D1" w:rsidRPr="00FD274F">
        <w:t>maker, but a single sta</w:t>
      </w:r>
      <w:r w:rsidRPr="00FD274F">
        <w:t>tement may relate to one or more legislative instruments.</w:t>
      </w:r>
    </w:p>
    <w:p w14:paraId="5E519EEF" w14:textId="77777777" w:rsidR="00727ED5" w:rsidRPr="00FD274F" w:rsidRDefault="00727ED5" w:rsidP="00F75BA9">
      <w:pPr>
        <w:pStyle w:val="SundryBoxBullet"/>
      </w:pPr>
      <w:r w:rsidRPr="00FD274F">
        <w:t>•</w:t>
      </w:r>
      <w:r w:rsidRPr="00FD274F">
        <w:tab/>
        <w:t xml:space="preserve">An explanatory statement must contain certain information and should also take into account the requirements of the </w:t>
      </w:r>
      <w:r w:rsidR="004A60E3" w:rsidRPr="00FD274F">
        <w:t>Federal Executive Council (</w:t>
      </w:r>
      <w:proofErr w:type="spellStart"/>
      <w:r w:rsidR="00EF49B8" w:rsidRPr="00FD274F">
        <w:t>ExCo</w:t>
      </w:r>
      <w:proofErr w:type="spellEnd"/>
      <w:r w:rsidR="004A60E3" w:rsidRPr="00FD274F">
        <w:t>)</w:t>
      </w:r>
      <w:r w:rsidRPr="00FD274F">
        <w:t xml:space="preserve"> Secretariat and of parliamentary committees if applicable.</w:t>
      </w:r>
    </w:p>
    <w:p w14:paraId="7C4B2A36" w14:textId="77777777" w:rsidR="00727ED5" w:rsidRPr="00FD274F" w:rsidRDefault="00727ED5" w:rsidP="00F75BA9">
      <w:pPr>
        <w:pStyle w:val="SundryBoxBullet"/>
      </w:pPr>
      <w:r w:rsidRPr="00FD274F">
        <w:t>•</w:t>
      </w:r>
      <w:r w:rsidRPr="00FD274F">
        <w:tab/>
        <w:t xml:space="preserve">The explanatory statement must be lodged with </w:t>
      </w:r>
      <w:proofErr w:type="spellStart"/>
      <w:r w:rsidRPr="00FD274F">
        <w:t>OPC</w:t>
      </w:r>
      <w:proofErr w:type="spellEnd"/>
      <w:r w:rsidRPr="00FD274F">
        <w:t xml:space="preserve"> for registration with, or as soon as practicable after, the legislative instrument to which it relates.</w:t>
      </w:r>
    </w:p>
    <w:p w14:paraId="6A9F4F54" w14:textId="77777777" w:rsidR="00727ED5" w:rsidRPr="00FD274F" w:rsidRDefault="00727ED5" w:rsidP="00F75BA9">
      <w:pPr>
        <w:pStyle w:val="SundryBoxBullet"/>
      </w:pPr>
      <w:r w:rsidRPr="00FD274F">
        <w:t>•</w:t>
      </w:r>
      <w:r w:rsidRPr="00FD274F">
        <w:tab/>
        <w:t>The explanatory statement is likely to attract question and comment if it is not able to be tabled with the instrument or does not meet parliamentary requirements.</w:t>
      </w:r>
    </w:p>
    <w:p w14:paraId="7CB33123" w14:textId="77777777" w:rsidR="00727ED5" w:rsidRPr="00FD274F" w:rsidRDefault="00727ED5" w:rsidP="00F75BA9">
      <w:pPr>
        <w:pStyle w:val="SundryBoxBullet"/>
      </w:pPr>
      <w:r w:rsidRPr="00FD274F">
        <w:t>•</w:t>
      </w:r>
      <w:r w:rsidRPr="00FD274F">
        <w:tab/>
      </w:r>
      <w:r w:rsidR="00196529" w:rsidRPr="00FD274F">
        <w:t>If the initial explanatory statement provided by a rule</w:t>
      </w:r>
      <w:r w:rsidR="009C4251">
        <w:noBreakHyphen/>
      </w:r>
      <w:r w:rsidR="00196529" w:rsidRPr="00FD274F">
        <w:t xml:space="preserve">maker is incomplete or inaccurate, it may be possible to lodge a </w:t>
      </w:r>
      <w:r w:rsidRPr="00FD274F">
        <w:t xml:space="preserve">supplementary or replacement statement </w:t>
      </w:r>
      <w:r w:rsidR="00196529" w:rsidRPr="00FD274F">
        <w:t xml:space="preserve">with </w:t>
      </w:r>
      <w:proofErr w:type="spellStart"/>
      <w:r w:rsidR="00196529" w:rsidRPr="00FD274F">
        <w:t>OPC</w:t>
      </w:r>
      <w:proofErr w:type="spellEnd"/>
      <w:r w:rsidR="0076692A">
        <w:t xml:space="preserve"> for registration on the Register</w:t>
      </w:r>
      <w:r w:rsidR="00196529" w:rsidRPr="00FD274F">
        <w:t>.</w:t>
      </w:r>
    </w:p>
    <w:p w14:paraId="017113F0" w14:textId="77777777" w:rsidR="00727ED5" w:rsidRPr="00FD274F" w:rsidRDefault="0076692A" w:rsidP="004855B6">
      <w:pPr>
        <w:pStyle w:val="Head3"/>
      </w:pPr>
      <w:bookmarkStart w:id="166" w:name="_Toc112918817"/>
      <w:r>
        <w:t>General</w:t>
      </w:r>
      <w:bookmarkEnd w:id="166"/>
    </w:p>
    <w:p w14:paraId="6A169A5A" w14:textId="71CFB708" w:rsidR="00727ED5" w:rsidRPr="00FD274F" w:rsidRDefault="00727ED5" w:rsidP="0008193D">
      <w:pPr>
        <w:pStyle w:val="BodyNum"/>
      </w:pPr>
      <w:r w:rsidRPr="00FD274F">
        <w:t>Explanatory sta</w:t>
      </w:r>
      <w:r w:rsidRPr="002C0EF2">
        <w:t xml:space="preserve">tements are an important resource for readers of legislative instruments and, under section 15AB of the </w:t>
      </w:r>
      <w:hyperlink r:id="rId385" w:history="1">
        <w:hyperlink r:id="rId386" w:history="1">
          <w:r w:rsidR="00197826" w:rsidRPr="002C0EF2">
            <w:rPr>
              <w:rStyle w:val="Hyperlink"/>
              <w:i/>
            </w:rPr>
            <w:t>Acts Interpretation Act 1901</w:t>
          </w:r>
        </w:hyperlink>
      </w:hyperlink>
      <w:r w:rsidRPr="002C0EF2">
        <w:t>,</w:t>
      </w:r>
      <w:r w:rsidRPr="00FD274F">
        <w:t xml:space="preserve"> may be used by a court to help interpret an instrument. A well</w:t>
      </w:r>
      <w:r w:rsidR="009C4251">
        <w:noBreakHyphen/>
      </w:r>
      <w:r w:rsidRPr="00FD274F">
        <w:t>prepared explanatory statement is also desirable to facilitate:</w:t>
      </w:r>
    </w:p>
    <w:p w14:paraId="002C696F" w14:textId="77777777" w:rsidR="00727ED5" w:rsidRPr="00FD274F" w:rsidRDefault="00727ED5" w:rsidP="0008193D">
      <w:pPr>
        <w:pStyle w:val="BodyPara"/>
      </w:pPr>
      <w:r w:rsidRPr="00FD274F">
        <w:t>parliamentary scrutiny of the legislative instrument; and</w:t>
      </w:r>
    </w:p>
    <w:p w14:paraId="42D57422" w14:textId="77777777" w:rsidR="00727ED5" w:rsidRPr="00FD274F" w:rsidRDefault="00727ED5" w:rsidP="0008193D">
      <w:pPr>
        <w:pStyle w:val="BodyPara"/>
      </w:pPr>
      <w:r w:rsidRPr="00FD274F">
        <w:t>compliance with the instrument by agencies and external stakeholders.</w:t>
      </w:r>
    </w:p>
    <w:p w14:paraId="11D507A9" w14:textId="47C50D33" w:rsidR="00727ED5" w:rsidRPr="00FD274F" w:rsidRDefault="00727ED5" w:rsidP="0008193D">
      <w:pPr>
        <w:pStyle w:val="BodyNum"/>
      </w:pPr>
      <w:bookmarkStart w:id="167" w:name="_Ref369784874"/>
      <w:r w:rsidRPr="00FD274F">
        <w:t xml:space="preserve">Although each legislative instrument must be accompanied by an explanatory statement, a single explanatory statement may relate to one or more legislative instruments </w:t>
      </w:r>
      <w:r w:rsidRPr="001A4E0D">
        <w:t>(</w:t>
      </w:r>
      <w:hyperlink r:id="rId387" w:history="1">
        <w:hyperlink r:id="rId388" w:history="1">
          <w:r w:rsidR="00560EDE" w:rsidRPr="001A4E0D">
            <w:rPr>
              <w:rStyle w:val="Hyperlink"/>
            </w:rPr>
            <w:t>LA</w:t>
          </w:r>
        </w:hyperlink>
        <w:r w:rsidR="00EE279C" w:rsidRPr="001A4E0D">
          <w:rPr>
            <w:rStyle w:val="Hyperlink"/>
          </w:rPr>
          <w:t xml:space="preserve"> </w:t>
        </w:r>
      </w:hyperlink>
      <w:r w:rsidRPr="001A4E0D">
        <w:t>s </w:t>
      </w:r>
      <w:r w:rsidR="00EE0E51" w:rsidRPr="001A4E0D">
        <w:t>15J(4)</w:t>
      </w:r>
      <w:r w:rsidRPr="001A4E0D">
        <w:t>). T</w:t>
      </w:r>
      <w:r w:rsidRPr="00FD274F">
        <w:t xml:space="preserve">his may be appropriate if, for example, several instruments are made under the same enabling legislation at the same time. However, careful consideration should be given to the </w:t>
      </w:r>
      <w:r w:rsidR="00EE279C" w:rsidRPr="00FD274F">
        <w:t xml:space="preserve">content and </w:t>
      </w:r>
      <w:r w:rsidRPr="00FD274F">
        <w:t>timing requirements outlined i</w:t>
      </w:r>
      <w:r w:rsidRPr="00411168">
        <w:t xml:space="preserve">n paragraphs </w:t>
      </w:r>
      <w:r w:rsidRPr="001A4E0D">
        <w:fldChar w:fldCharType="begin"/>
      </w:r>
      <w:r w:rsidRPr="00411168">
        <w:instrText xml:space="preserve"> REF _Ref367446445 \r \h </w:instrText>
      </w:r>
      <w:r w:rsidR="00F308D0" w:rsidRPr="00411168">
        <w:instrText xml:space="preserve"> \* MERGEFORMAT </w:instrText>
      </w:r>
      <w:r w:rsidRPr="001A4E0D">
        <w:fldChar w:fldCharType="separate"/>
      </w:r>
      <w:r w:rsidR="003E1B43" w:rsidRPr="00411168">
        <w:t>254</w:t>
      </w:r>
      <w:r w:rsidRPr="001A4E0D">
        <w:fldChar w:fldCharType="end"/>
      </w:r>
      <w:r w:rsidRPr="00411168">
        <w:t xml:space="preserve"> and </w:t>
      </w:r>
      <w:r w:rsidR="00FD5983" w:rsidRPr="001A4E0D">
        <w:fldChar w:fldCharType="begin"/>
      </w:r>
      <w:r w:rsidR="00FD5983" w:rsidRPr="00411168">
        <w:instrText xml:space="preserve"> REF _Ref29483756 \r \h </w:instrText>
      </w:r>
      <w:r w:rsidR="00BF3019">
        <w:rPr>
          <w:highlight w:val="yellow"/>
        </w:rPr>
        <w:instrText xml:space="preserve"> \* MERGEFORMAT </w:instrText>
      </w:r>
      <w:r w:rsidR="00FD5983" w:rsidRPr="001A4E0D">
        <w:fldChar w:fldCharType="separate"/>
      </w:r>
      <w:r w:rsidR="003E1B43" w:rsidRPr="00411168">
        <w:t>281</w:t>
      </w:r>
      <w:r w:rsidR="00FD5983" w:rsidRPr="001A4E0D">
        <w:fldChar w:fldCharType="end"/>
      </w:r>
      <w:r w:rsidRPr="00411168">
        <w:t>.</w:t>
      </w:r>
      <w:bookmarkEnd w:id="167"/>
    </w:p>
    <w:p w14:paraId="34938EF3" w14:textId="77777777" w:rsidR="00727ED5" w:rsidRPr="00FD274F" w:rsidRDefault="0076692A" w:rsidP="004855B6">
      <w:pPr>
        <w:pStyle w:val="Head3"/>
      </w:pPr>
      <w:bookmarkStart w:id="168" w:name="_Toc112918818"/>
      <w:r>
        <w:t xml:space="preserve">Responsibility </w:t>
      </w:r>
      <w:r w:rsidR="00727ED5" w:rsidRPr="00FD274F">
        <w:t xml:space="preserve">for </w:t>
      </w:r>
      <w:r w:rsidR="00A862A2" w:rsidRPr="00FD274F">
        <w:t xml:space="preserve">approving </w:t>
      </w:r>
      <w:r w:rsidR="00727ED5" w:rsidRPr="00FD274F">
        <w:t>explanatory statement</w:t>
      </w:r>
      <w:r w:rsidR="00EE0E51" w:rsidRPr="00FD274F">
        <w:t>s</w:t>
      </w:r>
      <w:bookmarkEnd w:id="168"/>
    </w:p>
    <w:p w14:paraId="1BDFCEBB" w14:textId="165CFF7A" w:rsidR="00A862A2" w:rsidRPr="00FD274F" w:rsidRDefault="00A862A2" w:rsidP="00A862A2">
      <w:pPr>
        <w:pStyle w:val="BodyNum"/>
      </w:pPr>
      <w:r w:rsidRPr="00FD274F">
        <w:t xml:space="preserve">Agencies must ensure that any explanatory statement that they lodge </w:t>
      </w:r>
      <w:r w:rsidR="00196529" w:rsidRPr="00FD274F">
        <w:t xml:space="preserve">in relation to an instrument </w:t>
      </w:r>
      <w:r w:rsidRPr="00FD274F">
        <w:t xml:space="preserve">has been approved by the </w:t>
      </w:r>
      <w:r w:rsidR="00196529" w:rsidRPr="00FD274F">
        <w:t xml:space="preserve">relevant </w:t>
      </w:r>
      <w:r w:rsidRPr="00FD274F">
        <w:t>rule</w:t>
      </w:r>
      <w:r w:rsidR="009C4251">
        <w:noBreakHyphen/>
      </w:r>
      <w:r w:rsidRPr="00FD274F">
        <w:t xml:space="preserve">maker as required by </w:t>
      </w:r>
      <w:r w:rsidRPr="001A4E0D">
        <w:t>section 15J</w:t>
      </w:r>
      <w:r w:rsidR="00FC7415" w:rsidRPr="001A4E0D">
        <w:t xml:space="preserve"> of the </w:t>
      </w:r>
      <w:hyperlink r:id="rId389" w:history="1">
        <w:hyperlink r:id="rId390" w:history="1">
          <w:r w:rsidR="00FC7415" w:rsidRPr="001A4E0D">
            <w:rPr>
              <w:rStyle w:val="Hyperlink"/>
            </w:rPr>
            <w:t>LA</w:t>
          </w:r>
        </w:hyperlink>
      </w:hyperlink>
      <w:r w:rsidRPr="001A4E0D">
        <w:t>. It is usua</w:t>
      </w:r>
      <w:r w:rsidRPr="00FD274F">
        <w:t>l to submit explanatory statements to rule</w:t>
      </w:r>
      <w:r w:rsidR="009C4251">
        <w:noBreakHyphen/>
      </w:r>
      <w:r w:rsidRPr="00FD274F">
        <w:t xml:space="preserve">makers at the same time as the legislative instruments that they explain so that all related documents can be lodged, </w:t>
      </w:r>
      <w:r w:rsidR="00E06893">
        <w:t>registered and tabled together.</w:t>
      </w:r>
    </w:p>
    <w:p w14:paraId="740A963A" w14:textId="08C1AB8A" w:rsidR="005F6DDD" w:rsidRPr="00FD274F" w:rsidRDefault="00A862A2" w:rsidP="00CD6FA3">
      <w:pPr>
        <w:pStyle w:val="BodyNum"/>
        <w:keepLines/>
      </w:pPr>
      <w:r w:rsidRPr="00FD274F">
        <w:lastRenderedPageBreak/>
        <w:t>In the case of a l</w:t>
      </w:r>
      <w:r w:rsidR="00727ED5" w:rsidRPr="00FD274F">
        <w:t>egislative instrument made by the Governor</w:t>
      </w:r>
      <w:r w:rsidR="009C4251">
        <w:noBreakHyphen/>
      </w:r>
      <w:r w:rsidR="00727ED5" w:rsidRPr="00FD274F">
        <w:t xml:space="preserve">General, </w:t>
      </w:r>
      <w:r w:rsidR="005F6DDD" w:rsidRPr="00FD274F">
        <w:t xml:space="preserve">the </w:t>
      </w:r>
      <w:r w:rsidR="00727ED5" w:rsidRPr="00FD274F">
        <w:t xml:space="preserve">explanatory statement </w:t>
      </w:r>
      <w:r w:rsidR="00852F6E" w:rsidRPr="00FD274F">
        <w:t>can be approved by the relevant Minis</w:t>
      </w:r>
      <w:r w:rsidR="00852F6E" w:rsidRPr="00277499">
        <w:t xml:space="preserve">ter (see </w:t>
      </w:r>
      <w:hyperlink r:id="rId391" w:history="1">
        <w:r w:rsidR="00852F6E" w:rsidRPr="00277499">
          <w:rPr>
            <w:rStyle w:val="Hyperlink"/>
          </w:rPr>
          <w:t>LA</w:t>
        </w:r>
      </w:hyperlink>
      <w:r w:rsidR="00852F6E" w:rsidRPr="00277499">
        <w:rPr>
          <w:rStyle w:val="Hyperlink"/>
        </w:rPr>
        <w:t xml:space="preserve"> </w:t>
      </w:r>
      <w:r w:rsidR="00852F6E" w:rsidRPr="00277499">
        <w:t>s 6(1)(a)).</w:t>
      </w:r>
      <w:r w:rsidR="00852F6E" w:rsidRPr="00FD274F">
        <w:t xml:space="preserve"> The explanatory statement </w:t>
      </w:r>
      <w:r w:rsidR="002E7C73" w:rsidRPr="00FD274F">
        <w:t>do</w:t>
      </w:r>
      <w:r w:rsidR="005F6DDD" w:rsidRPr="00FD274F">
        <w:t>es</w:t>
      </w:r>
      <w:r w:rsidR="002E7C73" w:rsidRPr="00FD274F">
        <w:t xml:space="preserve"> not </w:t>
      </w:r>
      <w:r w:rsidR="00852F6E" w:rsidRPr="00FD274F">
        <w:t xml:space="preserve">generally </w:t>
      </w:r>
      <w:r w:rsidR="002E7C73" w:rsidRPr="00FD274F">
        <w:t xml:space="preserve">need to be submitted to </w:t>
      </w:r>
      <w:proofErr w:type="spellStart"/>
      <w:r w:rsidR="002E7C73" w:rsidRPr="00FD274F">
        <w:t>ExCo</w:t>
      </w:r>
      <w:proofErr w:type="spellEnd"/>
      <w:r w:rsidR="00852F6E" w:rsidRPr="00FD274F">
        <w:t xml:space="preserve">, and should not be confused with the explanatory memorandum that is required for </w:t>
      </w:r>
      <w:proofErr w:type="spellStart"/>
      <w:r w:rsidR="00852F6E" w:rsidRPr="00FD274F">
        <w:t>ExCo</w:t>
      </w:r>
      <w:proofErr w:type="spellEnd"/>
      <w:r w:rsidR="00852F6E" w:rsidRPr="00FD274F">
        <w:t xml:space="preserve"> purposes</w:t>
      </w:r>
      <w:r w:rsidR="00852F6E" w:rsidRPr="00277499">
        <w:t xml:space="preserve">. </w:t>
      </w:r>
      <w:r w:rsidR="005F6DDD" w:rsidRPr="00277499">
        <w:t xml:space="preserve">For further information on </w:t>
      </w:r>
      <w:proofErr w:type="spellStart"/>
      <w:r w:rsidR="005F6DDD" w:rsidRPr="00277499">
        <w:t>ExCo</w:t>
      </w:r>
      <w:proofErr w:type="spellEnd"/>
      <w:r w:rsidR="005F6DDD" w:rsidRPr="00277499">
        <w:t xml:space="preserve"> requirements</w:t>
      </w:r>
      <w:r w:rsidR="00852F6E" w:rsidRPr="00277499">
        <w:t xml:space="preserve"> and processes</w:t>
      </w:r>
      <w:r w:rsidR="005F6DDD" w:rsidRPr="00277499">
        <w:t>, see the Federal Executive Council Handbook</w:t>
      </w:r>
      <w:r w:rsidR="005F6DDD" w:rsidRPr="00277499">
        <w:rPr>
          <w:rStyle w:val="FootnoteReference"/>
        </w:rPr>
        <w:footnoteReference w:id="22"/>
      </w:r>
      <w:r w:rsidR="005F6DDD" w:rsidRPr="00277499">
        <w:t>.</w:t>
      </w:r>
    </w:p>
    <w:p w14:paraId="5532150C" w14:textId="77777777" w:rsidR="00727ED5" w:rsidRPr="00FD274F" w:rsidRDefault="0076692A" w:rsidP="004855B6">
      <w:pPr>
        <w:pStyle w:val="Head3"/>
      </w:pPr>
      <w:bookmarkStart w:id="169" w:name="_Toc112918819"/>
      <w:r>
        <w:t>Content of</w:t>
      </w:r>
      <w:r w:rsidR="00727ED5" w:rsidRPr="00FD274F">
        <w:t xml:space="preserve"> explanatory statements</w:t>
      </w:r>
      <w:bookmarkEnd w:id="169"/>
    </w:p>
    <w:p w14:paraId="7D5E4F70" w14:textId="77777777" w:rsidR="00727ED5" w:rsidRPr="00FD274F" w:rsidRDefault="00727ED5" w:rsidP="0008193D">
      <w:pPr>
        <w:pStyle w:val="BodyNum"/>
      </w:pPr>
      <w:r w:rsidRPr="00FD274F">
        <w:t>The explanatory statement for an instrument should be as clear and helpful as possible. The more complex the instrument, the more extensive the explanatory statement needs to be to achieve this.</w:t>
      </w:r>
    </w:p>
    <w:p w14:paraId="261A72FA" w14:textId="77777777" w:rsidR="00196529" w:rsidRPr="00FD274F" w:rsidRDefault="00196529" w:rsidP="00196529">
      <w:pPr>
        <w:pStyle w:val="BodyNum"/>
      </w:pPr>
      <w:bookmarkStart w:id="170" w:name="_Ref367446445"/>
      <w:r w:rsidRPr="00FD274F">
        <w:t>To make it easy to identify an explanatory statement and the instrument that it explains, it is usual to present the following information at the top of the first page:</w:t>
      </w:r>
    </w:p>
    <w:p w14:paraId="5FB99AE3" w14:textId="77777777" w:rsidR="00196529" w:rsidRPr="00FD274F" w:rsidRDefault="00196529" w:rsidP="00196529">
      <w:pPr>
        <w:pStyle w:val="BodyPara"/>
      </w:pPr>
      <w:r w:rsidRPr="00FD274F">
        <w:t>the name of the document e.g. “Explanatory Statement” (if necessary prefaced by the words “Replacement” or “Supplementary”); and</w:t>
      </w:r>
    </w:p>
    <w:p w14:paraId="6E77EDE6" w14:textId="77777777" w:rsidR="00196529" w:rsidRPr="00FD274F" w:rsidRDefault="00196529" w:rsidP="00196529">
      <w:pPr>
        <w:pStyle w:val="BodyPara"/>
      </w:pPr>
      <w:r w:rsidRPr="00FD274F">
        <w:t>the complete name of the instrument to which the statement relates, as specified in the instrument.</w:t>
      </w:r>
    </w:p>
    <w:p w14:paraId="09EE7EED" w14:textId="79AC0929" w:rsidR="00727ED5" w:rsidRPr="00FD274F" w:rsidRDefault="007B59C6" w:rsidP="0008193D">
      <w:pPr>
        <w:pStyle w:val="BodyNum"/>
      </w:pPr>
      <w:r w:rsidRPr="00FD274F">
        <w:t xml:space="preserve">When it comes to the content of the statement, </w:t>
      </w:r>
      <w:r w:rsidR="00727ED5" w:rsidRPr="00FD274F">
        <w:t>se</w:t>
      </w:r>
      <w:r w:rsidR="00727ED5" w:rsidRPr="00277499">
        <w:t xml:space="preserve">ction </w:t>
      </w:r>
      <w:r w:rsidR="00A862A2" w:rsidRPr="00277499">
        <w:t xml:space="preserve">15J </w:t>
      </w:r>
      <w:r w:rsidR="00727ED5" w:rsidRPr="00277499">
        <w:t xml:space="preserve">of the </w:t>
      </w:r>
      <w:hyperlink r:id="rId392" w:history="1">
        <w:hyperlink r:id="rId393" w:history="1">
          <w:r w:rsidR="009052EB" w:rsidRPr="00277499">
            <w:rPr>
              <w:rStyle w:val="Hyperlink"/>
            </w:rPr>
            <w:t>LA</w:t>
          </w:r>
        </w:hyperlink>
        <w:r w:rsidR="009052EB" w:rsidRPr="00277499">
          <w:rPr>
            <w:rStyle w:val="Hyperlink"/>
          </w:rPr>
          <w:t xml:space="preserve"> </w:t>
        </w:r>
      </w:hyperlink>
      <w:r w:rsidRPr="00277499">
        <w:t>s</w:t>
      </w:r>
      <w:r w:rsidRPr="00FD274F">
        <w:t xml:space="preserve">ets out the minimum standards in some detail. An </w:t>
      </w:r>
      <w:r w:rsidR="00A862A2" w:rsidRPr="00FD274F">
        <w:t>initial or replacement</w:t>
      </w:r>
      <w:r w:rsidRPr="00FD274F">
        <w:t xml:space="preserve"> explanatory statement must:</w:t>
      </w:r>
    </w:p>
    <w:bookmarkEnd w:id="170"/>
    <w:p w14:paraId="1D881301" w14:textId="77777777" w:rsidR="00727ED5" w:rsidRPr="00FD274F" w:rsidRDefault="00727ED5" w:rsidP="0008193D">
      <w:pPr>
        <w:pStyle w:val="BodyPara"/>
      </w:pPr>
      <w:r w:rsidRPr="00FD274F">
        <w:t xml:space="preserve">be </w:t>
      </w:r>
      <w:r w:rsidR="00A862A2" w:rsidRPr="00FD274F">
        <w:t>approved</w:t>
      </w:r>
      <w:r w:rsidRPr="00FD274F">
        <w:t xml:space="preserve"> by the rule</w:t>
      </w:r>
      <w:r w:rsidR="009C4251">
        <w:noBreakHyphen/>
      </w:r>
      <w:r w:rsidRPr="00FD274F">
        <w:t>maker; and</w:t>
      </w:r>
    </w:p>
    <w:p w14:paraId="084DDD17" w14:textId="77777777" w:rsidR="00727ED5" w:rsidRPr="00FD274F" w:rsidRDefault="00727ED5" w:rsidP="0008193D">
      <w:pPr>
        <w:pStyle w:val="BodyPara"/>
      </w:pPr>
      <w:r w:rsidRPr="00FD274F">
        <w:t>explain the purpose and operation of the instrument; and</w:t>
      </w:r>
    </w:p>
    <w:p w14:paraId="2E277906" w14:textId="77777777" w:rsidR="00727ED5" w:rsidRPr="00FD274F" w:rsidRDefault="00727ED5" w:rsidP="0008193D">
      <w:pPr>
        <w:pStyle w:val="BodyPara"/>
      </w:pPr>
      <w:r w:rsidRPr="00FD274F">
        <w:t>if any documents are incorporated in the instrument by reference—contain a description of the incorporated documents and indicate how they may be obtained; and</w:t>
      </w:r>
    </w:p>
    <w:p w14:paraId="3B5AA177" w14:textId="590D2875" w:rsidR="00727ED5" w:rsidRPr="00FD274F" w:rsidRDefault="00727ED5" w:rsidP="0008193D">
      <w:pPr>
        <w:pStyle w:val="BodyPara"/>
      </w:pPr>
      <w:r w:rsidRPr="00FD274F">
        <w:t>if consultation was undertaken under s</w:t>
      </w:r>
      <w:r w:rsidRPr="00277499">
        <w:t xml:space="preserve">ection 17 </w:t>
      </w:r>
      <w:r w:rsidR="00EE279C" w:rsidRPr="00277499">
        <w:t xml:space="preserve">of the </w:t>
      </w:r>
      <w:hyperlink r:id="rId394" w:history="1">
        <w:hyperlink r:id="rId395" w:history="1">
          <w:r w:rsidR="009052EB" w:rsidRPr="00277499">
            <w:rPr>
              <w:rStyle w:val="Hyperlink"/>
            </w:rPr>
            <w:t>LA</w:t>
          </w:r>
        </w:hyperlink>
        <w:r w:rsidR="009052EB" w:rsidRPr="00277499">
          <w:rPr>
            <w:rStyle w:val="Hyperlink"/>
          </w:rPr>
          <w:t xml:space="preserve"> </w:t>
        </w:r>
      </w:hyperlink>
      <w:r w:rsidRPr="00277499">
        <w:t>b</w:t>
      </w:r>
      <w:r w:rsidRPr="00FD274F">
        <w:t>efore the instrument was made—contain a description of the nature of the consultation; and</w:t>
      </w:r>
    </w:p>
    <w:p w14:paraId="1EF1143F" w14:textId="77777777" w:rsidR="00727ED5" w:rsidRPr="00FD274F" w:rsidRDefault="00727ED5" w:rsidP="0008193D">
      <w:pPr>
        <w:pStyle w:val="BodyPara"/>
      </w:pPr>
      <w:r w:rsidRPr="00FD274F">
        <w:t>if no such consultation was undertaken—explain why no such consultation was undertaken; and</w:t>
      </w:r>
    </w:p>
    <w:p w14:paraId="21A26957" w14:textId="68D5F80D" w:rsidR="00727ED5" w:rsidRPr="00FD274F" w:rsidRDefault="00727ED5" w:rsidP="0008193D">
      <w:pPr>
        <w:pStyle w:val="BodyPara"/>
      </w:pPr>
      <w:r w:rsidRPr="00FD274F">
        <w:t>if the instrument is disallowable—contain a statement of compatibility prepared unde</w:t>
      </w:r>
      <w:r w:rsidRPr="00277499">
        <w:t xml:space="preserve">r subsection 9(1) of the </w:t>
      </w:r>
      <w:hyperlink r:id="rId396" w:history="1">
        <w:r w:rsidRPr="00277499">
          <w:rPr>
            <w:rStyle w:val="Hyperlink"/>
            <w:i/>
          </w:rPr>
          <w:t>Human Rights (Parliamentary Scrutiny) Act 2011</w:t>
        </w:r>
      </w:hyperlink>
      <w:r w:rsidR="00E06893" w:rsidRPr="00277499">
        <w:t>; and</w:t>
      </w:r>
    </w:p>
    <w:p w14:paraId="6EAFE7C6" w14:textId="7586EF3D" w:rsidR="00727ED5" w:rsidRPr="00ED449C" w:rsidRDefault="008F1989" w:rsidP="0008193D">
      <w:pPr>
        <w:pStyle w:val="BodyPara"/>
        <w:rPr>
          <w:spacing w:val="-2"/>
        </w:rPr>
      </w:pPr>
      <w:r w:rsidRPr="00ED449C">
        <w:rPr>
          <w:spacing w:val="-2"/>
        </w:rPr>
        <w:t xml:space="preserve">contain any </w:t>
      </w:r>
      <w:r w:rsidR="00727ED5" w:rsidRPr="00ED449C">
        <w:rPr>
          <w:spacing w:val="-2"/>
        </w:rPr>
        <w:t>other information prescribed by regulation</w:t>
      </w:r>
      <w:r w:rsidR="00196529" w:rsidRPr="00ED449C">
        <w:rPr>
          <w:spacing w:val="-2"/>
        </w:rPr>
        <w:t>.</w:t>
      </w:r>
    </w:p>
    <w:p w14:paraId="6D5B8778" w14:textId="77CA35F5" w:rsidR="00D35347" w:rsidRPr="00D35347" w:rsidRDefault="00D35347" w:rsidP="0008193D">
      <w:pPr>
        <w:pStyle w:val="BodyNum"/>
        <w:rPr>
          <w:spacing w:val="-2"/>
        </w:rPr>
      </w:pPr>
      <w:r w:rsidRPr="00D35347">
        <w:t xml:space="preserve">An </w:t>
      </w:r>
      <w:r w:rsidR="00FF3086">
        <w:t xml:space="preserve">Act may prescribe certain information that must be included in an </w:t>
      </w:r>
      <w:r w:rsidRPr="00D35347">
        <w:t>explanatory statement</w:t>
      </w:r>
      <w:r w:rsidRPr="00D35347">
        <w:rPr>
          <w:spacing w:val="-2"/>
        </w:rPr>
        <w:t>, for examp</w:t>
      </w:r>
      <w:r w:rsidRPr="00277499">
        <w:rPr>
          <w:spacing w:val="-2"/>
        </w:rPr>
        <w:t xml:space="preserve">le </w:t>
      </w:r>
      <w:hyperlink r:id="rId397" w:history="1">
        <w:hyperlink r:id="rId398" w:history="1">
          <w:r w:rsidRPr="00277499">
            <w:rPr>
              <w:rStyle w:val="Hyperlink"/>
            </w:rPr>
            <w:t>LA</w:t>
          </w:r>
        </w:hyperlink>
        <w:r w:rsidRPr="00277499">
          <w:rPr>
            <w:rStyle w:val="Hyperlink"/>
          </w:rPr>
          <w:t xml:space="preserve"> </w:t>
        </w:r>
      </w:hyperlink>
      <w:r w:rsidRPr="00277499">
        <w:rPr>
          <w:spacing w:val="-2"/>
        </w:rPr>
        <w:t>s 51(5) and 51A(4).</w:t>
      </w:r>
    </w:p>
    <w:p w14:paraId="6B690033" w14:textId="648CCF52" w:rsidR="00570666" w:rsidRPr="00FD274F" w:rsidRDefault="00196529" w:rsidP="0008193D">
      <w:pPr>
        <w:pStyle w:val="BodyNum"/>
      </w:pPr>
      <w:r w:rsidRPr="00FD274F">
        <w:lastRenderedPageBreak/>
        <w:t xml:space="preserve">A </w:t>
      </w:r>
      <w:r w:rsidR="00570666" w:rsidRPr="00FD274F">
        <w:t>supplementary explanatory statement</w:t>
      </w:r>
      <w:r w:rsidRPr="00FD274F">
        <w:t xml:space="preserve"> must also be approved by the rule</w:t>
      </w:r>
      <w:r w:rsidR="009C4251">
        <w:noBreakHyphen/>
      </w:r>
      <w:r w:rsidRPr="00FD274F">
        <w:t>maker and must contain any other information prescribed by regula</w:t>
      </w:r>
      <w:r w:rsidR="00E06893">
        <w:t>tion.</w:t>
      </w:r>
    </w:p>
    <w:p w14:paraId="36399D3D" w14:textId="6D9827DB" w:rsidR="00727ED5" w:rsidRPr="00FD274F" w:rsidRDefault="00727ED5" w:rsidP="0008193D">
      <w:pPr>
        <w:pStyle w:val="BodyNum"/>
      </w:pPr>
      <w:r w:rsidRPr="00FD274F">
        <w:t>It may be necessary or desirable to include other content to provide assurance that key legal requirements or issues have been considere</w:t>
      </w:r>
      <w:r w:rsidRPr="00B53AAE">
        <w:t xml:space="preserve">d, and to facilitate parliamentary scrutiny. Other content considerations are discussed in paragraphs </w:t>
      </w:r>
      <w:r w:rsidRPr="00277499">
        <w:fldChar w:fldCharType="begin"/>
      </w:r>
      <w:r w:rsidRPr="00B53AAE">
        <w:instrText xml:space="preserve"> REF _Ref369786489 \r \h  \* MERGEFORMAT </w:instrText>
      </w:r>
      <w:r w:rsidRPr="00277499">
        <w:fldChar w:fldCharType="separate"/>
      </w:r>
      <w:r w:rsidR="003E1B43" w:rsidRPr="00B53AAE">
        <w:t>266</w:t>
      </w:r>
      <w:r w:rsidRPr="00277499">
        <w:fldChar w:fldCharType="end"/>
      </w:r>
      <w:r w:rsidR="00FC7415" w:rsidRPr="00B53AAE">
        <w:t xml:space="preserve"> to </w:t>
      </w:r>
      <w:r w:rsidR="00F5665A" w:rsidRPr="00277499">
        <w:fldChar w:fldCharType="begin"/>
      </w:r>
      <w:r w:rsidR="00F5665A" w:rsidRPr="00B53AAE">
        <w:instrText xml:space="preserve"> REF _Ref384355454 \r \h </w:instrText>
      </w:r>
      <w:r w:rsidR="00BF3019">
        <w:rPr>
          <w:highlight w:val="yellow"/>
        </w:rPr>
        <w:instrText xml:space="preserve"> \* MERGEFORMAT </w:instrText>
      </w:r>
      <w:r w:rsidR="00F5665A" w:rsidRPr="00277499">
        <w:fldChar w:fldCharType="separate"/>
      </w:r>
      <w:r w:rsidR="003E1B43" w:rsidRPr="00B53AAE">
        <w:t>280</w:t>
      </w:r>
      <w:r w:rsidR="00F5665A" w:rsidRPr="00277499">
        <w:fldChar w:fldCharType="end"/>
      </w:r>
      <w:r w:rsidR="00E06893" w:rsidRPr="00B53AAE">
        <w:t>.</w:t>
      </w:r>
    </w:p>
    <w:p w14:paraId="5B51F89D" w14:textId="6CD9A572" w:rsidR="00727ED5" w:rsidRPr="00FD274F" w:rsidRDefault="00727ED5" w:rsidP="004855B6">
      <w:pPr>
        <w:pStyle w:val="Head4"/>
      </w:pPr>
      <w:bookmarkStart w:id="171" w:name="_Toc112918820"/>
      <w:r w:rsidRPr="00FD274F">
        <w:t>Purpose and operation of instrument</w:t>
      </w:r>
      <w:bookmarkEnd w:id="171"/>
    </w:p>
    <w:p w14:paraId="72BB7580" w14:textId="77777777" w:rsidR="00727ED5" w:rsidRPr="00FD274F" w:rsidRDefault="00727ED5" w:rsidP="0008193D">
      <w:pPr>
        <w:pStyle w:val="BodyNum"/>
      </w:pPr>
      <w:r w:rsidRPr="00FD274F">
        <w:t>The explanatory statement should contain sufficient information to enable readers to understand the need for the instrument, its objectives and its intended operation. As a guide, it is desirable for the statement to include the following information:</w:t>
      </w:r>
    </w:p>
    <w:p w14:paraId="1C97A0DE" w14:textId="77777777" w:rsidR="00727ED5" w:rsidRPr="00FD274F" w:rsidRDefault="00727ED5" w:rsidP="0008193D">
      <w:pPr>
        <w:pStyle w:val="BodyPara"/>
      </w:pPr>
      <w:r w:rsidRPr="00FD274F">
        <w:t>the issues giving rise to the need for the legislative instrument;</w:t>
      </w:r>
    </w:p>
    <w:p w14:paraId="000337C0" w14:textId="77777777" w:rsidR="00727ED5" w:rsidRPr="00FD274F" w:rsidRDefault="00727ED5" w:rsidP="0008193D">
      <w:pPr>
        <w:pStyle w:val="BodyPara"/>
      </w:pPr>
      <w:r w:rsidRPr="00FD274F">
        <w:t>why legislation is necessary to address the issues;</w:t>
      </w:r>
    </w:p>
    <w:p w14:paraId="167E5EB9" w14:textId="77777777" w:rsidR="00727ED5" w:rsidRPr="00FD274F" w:rsidRDefault="00727ED5" w:rsidP="0008193D">
      <w:pPr>
        <w:pStyle w:val="BodyPara"/>
      </w:pPr>
      <w:r w:rsidRPr="00FD274F">
        <w:t>an explanation of how the instrument is intended to operate, and its likely impact.</w:t>
      </w:r>
    </w:p>
    <w:p w14:paraId="0904ABDD" w14:textId="3D6ACC63" w:rsidR="00727ED5" w:rsidRPr="00FD274F" w:rsidRDefault="007E1D05" w:rsidP="0008193D">
      <w:pPr>
        <w:pStyle w:val="BodyNum"/>
      </w:pPr>
      <w:bookmarkStart w:id="172" w:name="_Ref369785034"/>
      <w:r w:rsidRPr="00FD274F">
        <w:t>Althoug</w:t>
      </w:r>
      <w:r w:rsidRPr="00277499">
        <w:t xml:space="preserve">h the </w:t>
      </w:r>
      <w:hyperlink r:id="rId399" w:history="1">
        <w:r w:rsidR="00E25493" w:rsidRPr="00277499">
          <w:rPr>
            <w:rStyle w:val="Hyperlink"/>
          </w:rPr>
          <w:t>LA</w:t>
        </w:r>
      </w:hyperlink>
      <w:r w:rsidRPr="00277499">
        <w:t xml:space="preserve"> d</w:t>
      </w:r>
      <w:r w:rsidRPr="00FD274F">
        <w:t>oes not insist on a provision</w:t>
      </w:r>
      <w:r w:rsidR="009C4251">
        <w:noBreakHyphen/>
      </w:r>
      <w:r w:rsidRPr="00FD274F">
        <w:t>by</w:t>
      </w:r>
      <w:r w:rsidR="009C4251">
        <w:noBreakHyphen/>
      </w:r>
      <w:r w:rsidRPr="00FD274F">
        <w:t>provision explanation, this is often useful and may be necessary to meet the needs of users</w:t>
      </w:r>
      <w:r w:rsidR="00D72C8E">
        <w:t>,</w:t>
      </w:r>
      <w:r w:rsidRPr="00FD274F">
        <w:t xml:space="preserve"> particularly scrutiny bodies such as </w:t>
      </w:r>
      <w:r w:rsidR="003D6A0D">
        <w:t xml:space="preserve">the </w:t>
      </w:r>
      <w:r w:rsidR="00805ED3">
        <w:t xml:space="preserve">SDLC </w:t>
      </w:r>
      <w:r w:rsidR="00CD7048" w:rsidRPr="00FD274F">
        <w:t>(</w:t>
      </w:r>
      <w:r w:rsidR="00CD7048" w:rsidRPr="00CE7008">
        <w:t>see paragraph</w:t>
      </w:r>
      <w:r w:rsidR="00F5665A" w:rsidRPr="00CE7008">
        <w:t>s</w:t>
      </w:r>
      <w:r w:rsidR="00C11612" w:rsidRPr="00CE7008">
        <w:t xml:space="preserve"> </w:t>
      </w:r>
      <w:r w:rsidR="00F5665A" w:rsidRPr="00277499">
        <w:fldChar w:fldCharType="begin"/>
      </w:r>
      <w:r w:rsidR="00F5665A" w:rsidRPr="00CE7008">
        <w:instrText xml:space="preserve"> REF _Ref36029834 \r \h </w:instrText>
      </w:r>
      <w:r w:rsidR="00BF3019">
        <w:rPr>
          <w:highlight w:val="yellow"/>
        </w:rPr>
        <w:instrText xml:space="preserve"> \* MERGEFORMAT </w:instrText>
      </w:r>
      <w:r w:rsidR="00F5665A" w:rsidRPr="00277499">
        <w:fldChar w:fldCharType="separate"/>
      </w:r>
      <w:r w:rsidR="003E1B43" w:rsidRPr="00CE7008">
        <w:t>269</w:t>
      </w:r>
      <w:r w:rsidR="00F5665A" w:rsidRPr="00277499">
        <w:fldChar w:fldCharType="end"/>
      </w:r>
      <w:r w:rsidR="00F5665A" w:rsidRPr="00CE7008">
        <w:t xml:space="preserve"> to </w:t>
      </w:r>
      <w:r w:rsidR="00F5665A" w:rsidRPr="00277499">
        <w:fldChar w:fldCharType="begin"/>
      </w:r>
      <w:r w:rsidR="00F5665A" w:rsidRPr="00CE7008">
        <w:instrText xml:space="preserve"> REF _Ref36029839 \r \h </w:instrText>
      </w:r>
      <w:r w:rsidR="00BF3019">
        <w:rPr>
          <w:highlight w:val="yellow"/>
        </w:rPr>
        <w:instrText xml:space="preserve"> \* MERGEFORMAT </w:instrText>
      </w:r>
      <w:r w:rsidR="00F5665A" w:rsidRPr="00277499">
        <w:fldChar w:fldCharType="separate"/>
      </w:r>
      <w:r w:rsidR="003E1B43" w:rsidRPr="00CE7008">
        <w:t>273</w:t>
      </w:r>
      <w:r w:rsidR="00F5665A" w:rsidRPr="00277499">
        <w:fldChar w:fldCharType="end"/>
      </w:r>
      <w:r w:rsidR="00C11612" w:rsidRPr="00CE7008">
        <w:t>).</w:t>
      </w:r>
    </w:p>
    <w:p w14:paraId="1341F79F" w14:textId="77777777" w:rsidR="00E527DB" w:rsidRPr="00FD274F" w:rsidRDefault="00E527DB" w:rsidP="00E527DB">
      <w:pPr>
        <w:pStyle w:val="Head4"/>
      </w:pPr>
      <w:bookmarkStart w:id="173" w:name="_Toc112918821"/>
      <w:bookmarkEnd w:id="172"/>
      <w:r w:rsidRPr="00FD274F">
        <w:t>Documents incorporated by reference</w:t>
      </w:r>
      <w:bookmarkEnd w:id="173"/>
    </w:p>
    <w:p w14:paraId="64C53EAD" w14:textId="57F517CD" w:rsidR="00E527DB" w:rsidRPr="00277499" w:rsidRDefault="00E527DB" w:rsidP="00E527DB">
      <w:pPr>
        <w:pStyle w:val="BodyNum"/>
      </w:pPr>
      <w:r w:rsidRPr="00FD274F">
        <w:t>If an instrument incorporates a document by reference</w:t>
      </w:r>
      <w:r w:rsidR="00477B7A">
        <w:t xml:space="preserve"> and </w:t>
      </w:r>
      <w:r w:rsidR="00477B7A" w:rsidRPr="00FD274F">
        <w:t>the document is not a Commonwealth Act or legislative instrument</w:t>
      </w:r>
      <w:r w:rsidRPr="00FD274F">
        <w:t>, the explanatory statement must describe each document that has been incorporated and indicate how the document may be obtaine</w:t>
      </w:r>
      <w:r w:rsidRPr="00277499">
        <w:t>d (</w:t>
      </w:r>
      <w:hyperlink r:id="rId400" w:history="1">
        <w:hyperlink r:id="rId401" w:history="1">
          <w:hyperlink r:id="rId402" w:history="1">
            <w:r w:rsidRPr="00277499">
              <w:rPr>
                <w:rStyle w:val="Hyperlink"/>
              </w:rPr>
              <w:t>LA</w:t>
            </w:r>
          </w:hyperlink>
          <w:r w:rsidRPr="00277499">
            <w:rPr>
              <w:rStyle w:val="Hyperlink"/>
            </w:rPr>
            <w:t xml:space="preserve"> </w:t>
          </w:r>
        </w:hyperlink>
      </w:hyperlink>
      <w:r w:rsidRPr="00277499">
        <w:t>s 15J(2)(c)). In describing such documents, the explanatory statement should:</w:t>
      </w:r>
    </w:p>
    <w:p w14:paraId="7E0265F9" w14:textId="77777777" w:rsidR="00E527DB" w:rsidRPr="00FD274F" w:rsidRDefault="00E527DB" w:rsidP="00E527DB">
      <w:pPr>
        <w:pStyle w:val="BodyPara"/>
      </w:pPr>
      <w:r w:rsidRPr="00FD274F">
        <w:t>state whether the document is incorporated as in force from time to time or as at a particular time; and</w:t>
      </w:r>
    </w:p>
    <w:p w14:paraId="3D0EF200" w14:textId="77777777" w:rsidR="00E527DB" w:rsidRPr="00ED449C" w:rsidRDefault="00E527DB" w:rsidP="00E527DB">
      <w:pPr>
        <w:pStyle w:val="BodyPara"/>
        <w:rPr>
          <w:spacing w:val="-4"/>
        </w:rPr>
      </w:pPr>
      <w:r w:rsidRPr="00ED449C">
        <w:rPr>
          <w:spacing w:val="-4"/>
        </w:rPr>
        <w:t>if the document is incorporated as in force at a particular time—state the time; and</w:t>
      </w:r>
    </w:p>
    <w:p w14:paraId="0166BD40" w14:textId="709EEDE9" w:rsidR="00686473" w:rsidRDefault="00E527DB" w:rsidP="00E527DB">
      <w:pPr>
        <w:pStyle w:val="BodyPara"/>
      </w:pPr>
      <w:r w:rsidRPr="00FD274F">
        <w:t>if the document is incorporated as in force from time to time—comment on the application of subsectio</w:t>
      </w:r>
      <w:r w:rsidRPr="00277499">
        <w:t xml:space="preserve">n 14(2) of the </w:t>
      </w:r>
      <w:hyperlink r:id="rId403" w:history="1">
        <w:r w:rsidRPr="00277499">
          <w:rPr>
            <w:rStyle w:val="Hyperlink"/>
          </w:rPr>
          <w:t>LA</w:t>
        </w:r>
      </w:hyperlink>
      <w:r w:rsidRPr="00FD274F">
        <w:t xml:space="preserve"> and mention any contrary provision in the enabling legislation that displaces it</w:t>
      </w:r>
      <w:r w:rsidR="00686473">
        <w:t>; and</w:t>
      </w:r>
    </w:p>
    <w:p w14:paraId="5D76EC28" w14:textId="77777777" w:rsidR="00E527DB" w:rsidRPr="00FD274F" w:rsidRDefault="00686473" w:rsidP="00E527DB">
      <w:pPr>
        <w:pStyle w:val="BodyPara"/>
      </w:pPr>
      <w:r>
        <w:t>indicate where the document may be freely accessed and used by members of the public</w:t>
      </w:r>
      <w:r w:rsidR="00E527DB" w:rsidRPr="00FD274F">
        <w:t>.</w:t>
      </w:r>
    </w:p>
    <w:p w14:paraId="364EA54E" w14:textId="77777777" w:rsidR="00E527DB" w:rsidRPr="00FD274F" w:rsidRDefault="00E527DB" w:rsidP="00E527DB">
      <w:pPr>
        <w:pStyle w:val="BodyNum"/>
      </w:pPr>
      <w:r w:rsidRPr="00FD274F">
        <w:t>If an instrument does not incorporate a document by reference, a statement in the explanatory statement indicating this can assist in exp</w:t>
      </w:r>
      <w:r w:rsidR="00E06893">
        <w:t>editing parliamentary scrutiny.</w:t>
      </w:r>
    </w:p>
    <w:p w14:paraId="0228806D" w14:textId="5AAC9258" w:rsidR="00E527DB" w:rsidRPr="00FD274F" w:rsidRDefault="00E527DB" w:rsidP="00E527DB">
      <w:pPr>
        <w:pStyle w:val="BodyNum"/>
      </w:pPr>
      <w:r w:rsidRPr="00FD274F">
        <w:t>Please refer to parag</w:t>
      </w:r>
      <w:r w:rsidRPr="00124F91">
        <w:t xml:space="preserve">raphs </w:t>
      </w:r>
      <w:r w:rsidRPr="00277499">
        <w:fldChar w:fldCharType="begin"/>
      </w:r>
      <w:r w:rsidRPr="00124F91">
        <w:instrText xml:space="preserve"> REF _Ref428882029 \r \h  \* MERGEFORMAT </w:instrText>
      </w:r>
      <w:r w:rsidRPr="00277499">
        <w:fldChar w:fldCharType="separate"/>
      </w:r>
      <w:r w:rsidR="003E1B43" w:rsidRPr="00124F91">
        <w:t>94</w:t>
      </w:r>
      <w:r w:rsidRPr="00277499">
        <w:fldChar w:fldCharType="end"/>
      </w:r>
      <w:r w:rsidRPr="00124F91">
        <w:t xml:space="preserve"> to </w:t>
      </w:r>
      <w:r w:rsidRPr="00277499">
        <w:fldChar w:fldCharType="begin"/>
      </w:r>
      <w:r w:rsidRPr="00124F91">
        <w:instrText xml:space="preserve"> REF _Ref435530063 \r \h  \* MERGEFORMAT </w:instrText>
      </w:r>
      <w:r w:rsidRPr="00277499">
        <w:fldChar w:fldCharType="separate"/>
      </w:r>
      <w:r w:rsidR="003E1B43" w:rsidRPr="00124F91">
        <w:t>98</w:t>
      </w:r>
      <w:r w:rsidRPr="00277499">
        <w:fldChar w:fldCharType="end"/>
      </w:r>
      <w:r w:rsidRPr="00124F91">
        <w:t xml:space="preserve">, </w:t>
      </w:r>
      <w:r w:rsidR="00F5665A" w:rsidRPr="00277499">
        <w:fldChar w:fldCharType="begin"/>
      </w:r>
      <w:r w:rsidR="00F5665A" w:rsidRPr="00124F91">
        <w:instrText xml:space="preserve"> REF _Ref36030145 \r \h </w:instrText>
      </w:r>
      <w:r w:rsidR="00BF3019">
        <w:rPr>
          <w:highlight w:val="yellow"/>
        </w:rPr>
        <w:instrText xml:space="preserve"> \* MERGEFORMAT </w:instrText>
      </w:r>
      <w:r w:rsidR="00F5665A" w:rsidRPr="00277499">
        <w:fldChar w:fldCharType="separate"/>
      </w:r>
      <w:r w:rsidR="003E1B43" w:rsidRPr="00124F91">
        <w:t>271</w:t>
      </w:r>
      <w:r w:rsidR="00F5665A" w:rsidRPr="00277499">
        <w:fldChar w:fldCharType="end"/>
      </w:r>
      <w:r w:rsidR="00F5665A" w:rsidRPr="00124F91">
        <w:t xml:space="preserve">, </w:t>
      </w:r>
      <w:r w:rsidRPr="00277499">
        <w:fldChar w:fldCharType="begin"/>
      </w:r>
      <w:r w:rsidRPr="00124F91">
        <w:instrText xml:space="preserve"> REF _Ref435530018 \r \h  \* MERGEFORMAT </w:instrText>
      </w:r>
      <w:r w:rsidRPr="00277499">
        <w:fldChar w:fldCharType="separate"/>
      </w:r>
      <w:r w:rsidR="003E1B43" w:rsidRPr="00124F91">
        <w:t>300</w:t>
      </w:r>
      <w:r w:rsidRPr="00277499">
        <w:fldChar w:fldCharType="end"/>
      </w:r>
      <w:r w:rsidRPr="00124F91">
        <w:t xml:space="preserve"> </w:t>
      </w:r>
      <w:r w:rsidR="008D68E4" w:rsidRPr="00124F91">
        <w:t xml:space="preserve">and </w:t>
      </w:r>
      <w:r w:rsidR="008D68E4" w:rsidRPr="00277499">
        <w:fldChar w:fldCharType="begin"/>
      </w:r>
      <w:r w:rsidR="008D68E4" w:rsidRPr="00124F91">
        <w:instrText xml:space="preserve"> REF _Ref384719737 \r \h </w:instrText>
      </w:r>
      <w:r w:rsidR="00BF3019">
        <w:rPr>
          <w:highlight w:val="yellow"/>
        </w:rPr>
        <w:instrText xml:space="preserve"> \* MERGEFORMAT </w:instrText>
      </w:r>
      <w:r w:rsidR="008D68E4" w:rsidRPr="00277499">
        <w:fldChar w:fldCharType="separate"/>
      </w:r>
      <w:r w:rsidR="003E1B43" w:rsidRPr="00124F91">
        <w:t>301</w:t>
      </w:r>
      <w:r w:rsidR="008D68E4" w:rsidRPr="00277499">
        <w:fldChar w:fldCharType="end"/>
      </w:r>
      <w:r w:rsidRPr="00FD274F">
        <w:t xml:space="preserve"> for further information on documents incorporated by reference.</w:t>
      </w:r>
    </w:p>
    <w:p w14:paraId="66D375F7" w14:textId="77777777" w:rsidR="00346687" w:rsidRPr="00FD274F" w:rsidRDefault="00346687" w:rsidP="00346687">
      <w:pPr>
        <w:pStyle w:val="Head4"/>
      </w:pPr>
      <w:bookmarkStart w:id="174" w:name="_Toc112918822"/>
      <w:r w:rsidRPr="00FD274F">
        <w:lastRenderedPageBreak/>
        <w:t>Consultation</w:t>
      </w:r>
      <w:bookmarkEnd w:id="174"/>
    </w:p>
    <w:p w14:paraId="5961708E" w14:textId="2244E2C9" w:rsidR="00727ED5" w:rsidRPr="00AB5E02" w:rsidRDefault="00727ED5" w:rsidP="0008193D">
      <w:pPr>
        <w:pStyle w:val="BodyNum"/>
        <w:rPr>
          <w:spacing w:val="-2"/>
        </w:rPr>
      </w:pPr>
      <w:r w:rsidRPr="00AB5E02">
        <w:rPr>
          <w:spacing w:val="-2"/>
        </w:rPr>
        <w:t>The explanatory statement must contain a description of any consultation undertaken unde</w:t>
      </w:r>
      <w:r w:rsidRPr="00277499">
        <w:rPr>
          <w:spacing w:val="-2"/>
        </w:rPr>
        <w:t xml:space="preserve">r section 17 of the </w:t>
      </w:r>
      <w:hyperlink r:id="rId404" w:history="1">
        <w:hyperlink r:id="rId405" w:history="1">
          <w:hyperlink r:id="rId406" w:history="1">
            <w:hyperlink r:id="rId407" w:history="1">
              <w:hyperlink r:id="rId408" w:history="1">
                <w:r w:rsidR="004F5980" w:rsidRPr="00277499">
                  <w:rPr>
                    <w:rStyle w:val="Hyperlink"/>
                    <w:spacing w:val="-2"/>
                  </w:rPr>
                  <w:t>LA</w:t>
                </w:r>
              </w:hyperlink>
              <w:r w:rsidR="004F5980" w:rsidRPr="00277499">
                <w:rPr>
                  <w:rStyle w:val="Hyperlink"/>
                  <w:spacing w:val="-2"/>
                </w:rPr>
                <w:t xml:space="preserve"> </w:t>
              </w:r>
            </w:hyperlink>
          </w:hyperlink>
        </w:hyperlink>
      </w:hyperlink>
      <w:r w:rsidRPr="00277499">
        <w:rPr>
          <w:spacing w:val="-2"/>
        </w:rPr>
        <w:t>be</w:t>
      </w:r>
      <w:r w:rsidRPr="00AB5E02">
        <w:rPr>
          <w:spacing w:val="-2"/>
        </w:rPr>
        <w:t xml:space="preserve">fore the instrument was made or, if no such consultation was undertaken, an explanation </w:t>
      </w:r>
      <w:r w:rsidR="00AB5E02" w:rsidRPr="00AB5E02">
        <w:rPr>
          <w:spacing w:val="-2"/>
        </w:rPr>
        <w:t xml:space="preserve">as to </w:t>
      </w:r>
      <w:r w:rsidRPr="00AB5E02">
        <w:rPr>
          <w:spacing w:val="-2"/>
        </w:rPr>
        <w:t xml:space="preserve">why no such consultation was undertaken. The requirement for consultation before making a legislative instrument is discussed in more </w:t>
      </w:r>
      <w:r w:rsidRPr="00B2122D">
        <w:rPr>
          <w:spacing w:val="-2"/>
        </w:rPr>
        <w:t xml:space="preserve">detail in </w:t>
      </w:r>
      <w:hyperlink w:anchor="Chapter7" w:history="1">
        <w:r w:rsidR="007D63BE" w:rsidRPr="00B2122D">
          <w:rPr>
            <w:rStyle w:val="Hyperlink"/>
            <w:spacing w:val="-2"/>
          </w:rPr>
          <w:t>Chapter 7</w:t>
        </w:r>
      </w:hyperlink>
      <w:r w:rsidR="007D63BE" w:rsidRPr="00B2122D">
        <w:rPr>
          <w:spacing w:val="-2"/>
        </w:rPr>
        <w:t>.</w:t>
      </w:r>
    </w:p>
    <w:p w14:paraId="0A27D0AE" w14:textId="77777777" w:rsidR="00727ED5" w:rsidRPr="00FD274F" w:rsidRDefault="00727ED5" w:rsidP="004855B6">
      <w:pPr>
        <w:pStyle w:val="Head4"/>
      </w:pPr>
      <w:bookmarkStart w:id="175" w:name="_Toc112918823"/>
      <w:r w:rsidRPr="00FD274F">
        <w:t>Human rights compatibility</w:t>
      </w:r>
      <w:bookmarkEnd w:id="175"/>
    </w:p>
    <w:p w14:paraId="347D5590" w14:textId="32AB508D" w:rsidR="00727ED5" w:rsidRPr="00FD274F" w:rsidRDefault="007447B8" w:rsidP="0008193D">
      <w:pPr>
        <w:pStyle w:val="BodyNum"/>
      </w:pPr>
      <w:r w:rsidRPr="00FD274F">
        <w:t>U</w:t>
      </w:r>
      <w:r w:rsidR="00727ED5" w:rsidRPr="00FD274F">
        <w:t xml:space="preserve">nder </w:t>
      </w:r>
      <w:r w:rsidR="00FC7415" w:rsidRPr="00FD274F">
        <w:t>paragrap</w:t>
      </w:r>
      <w:r w:rsidR="00FC7415" w:rsidRPr="00277499">
        <w:t xml:space="preserve">h </w:t>
      </w:r>
      <w:r w:rsidR="007E1D05" w:rsidRPr="00277499">
        <w:t>15J(2)(f)</w:t>
      </w:r>
      <w:r w:rsidR="002C15BA" w:rsidRPr="00277499">
        <w:t xml:space="preserve"> of </w:t>
      </w:r>
      <w:r w:rsidR="00727ED5" w:rsidRPr="00277499">
        <w:t xml:space="preserve">the </w:t>
      </w:r>
      <w:hyperlink r:id="rId409" w:history="1">
        <w:hyperlink r:id="rId410" w:history="1">
          <w:hyperlink r:id="rId411" w:history="1">
            <w:r w:rsidR="004F5980" w:rsidRPr="00277499">
              <w:rPr>
                <w:rStyle w:val="Hyperlink"/>
              </w:rPr>
              <w:t>LA</w:t>
            </w:r>
          </w:hyperlink>
        </w:hyperlink>
      </w:hyperlink>
      <w:r w:rsidR="002C15BA" w:rsidRPr="00277499">
        <w:t xml:space="preserve">, </w:t>
      </w:r>
      <w:r w:rsidR="00727ED5" w:rsidRPr="00277499">
        <w:t>if a le</w:t>
      </w:r>
      <w:r w:rsidR="00727ED5" w:rsidRPr="00FD274F">
        <w:t xml:space="preserve">gislative instrument is disallowable, its explanatory statement must include a statement of compatibility </w:t>
      </w:r>
      <w:r w:rsidR="002C15BA" w:rsidRPr="00FD274F">
        <w:t xml:space="preserve">prepared under </w:t>
      </w:r>
      <w:r w:rsidR="002C15BA" w:rsidRPr="00277499">
        <w:t xml:space="preserve">subsection 9(1) of the </w:t>
      </w:r>
      <w:hyperlink r:id="rId412" w:history="1">
        <w:r w:rsidR="002C15BA" w:rsidRPr="00277499">
          <w:rPr>
            <w:rStyle w:val="Hyperlink"/>
            <w:i/>
          </w:rPr>
          <w:t>Human Rights (Parliamentary Scrutiny) Act 2011</w:t>
        </w:r>
      </w:hyperlink>
      <w:r w:rsidR="006A297D" w:rsidRPr="00277499">
        <w:rPr>
          <w:rStyle w:val="Hyperlink"/>
          <w:i/>
        </w:rPr>
        <w:t xml:space="preserve"> </w:t>
      </w:r>
      <w:r w:rsidR="00727ED5" w:rsidRPr="00277499">
        <w:t>tha</w:t>
      </w:r>
      <w:r w:rsidR="00727ED5" w:rsidRPr="00FD274F">
        <w:t xml:space="preserve">t assesses the instrument’s compatibility with the rights and freedoms contained in </w:t>
      </w:r>
      <w:r w:rsidR="00FC7415" w:rsidRPr="00FD274F">
        <w:t>seven</w:t>
      </w:r>
      <w:r w:rsidR="00727ED5" w:rsidRPr="00FD274F">
        <w:t xml:space="preserve"> core human rights treaties to which Australia is a party. More information on human rights and how to assess compatibility is available on the AGD websit</w:t>
      </w:r>
      <w:r w:rsidR="00727ED5" w:rsidRPr="00277499">
        <w:t>e</w:t>
      </w:r>
      <w:r w:rsidR="008612E1" w:rsidRPr="00277499">
        <w:rPr>
          <w:rStyle w:val="FootnoteReference"/>
        </w:rPr>
        <w:footnoteReference w:id="23"/>
      </w:r>
      <w:r w:rsidR="00FC7415" w:rsidRPr="00277499">
        <w:t>.</w:t>
      </w:r>
    </w:p>
    <w:p w14:paraId="4748518D" w14:textId="77777777" w:rsidR="00727ED5" w:rsidRPr="00FD274F" w:rsidRDefault="00727ED5" w:rsidP="004855B6">
      <w:pPr>
        <w:pStyle w:val="Head3"/>
      </w:pPr>
      <w:bookmarkStart w:id="176" w:name="_Toc112918824"/>
      <w:r w:rsidRPr="00FD274F">
        <w:t>Other content considerations</w:t>
      </w:r>
      <w:bookmarkEnd w:id="176"/>
    </w:p>
    <w:p w14:paraId="3C6D58B4" w14:textId="18A00E03" w:rsidR="00727ED5" w:rsidRPr="00FD274F" w:rsidRDefault="00727ED5" w:rsidP="0008193D">
      <w:pPr>
        <w:pStyle w:val="BodyNum"/>
      </w:pPr>
      <w:bookmarkStart w:id="177" w:name="_Ref369786489"/>
      <w:bookmarkStart w:id="178" w:name="_Ref384355426"/>
      <w:r w:rsidRPr="00FD274F">
        <w:t xml:space="preserve">In considering what to include in an explanatory statement, it is useful to take into account the needs of users. The following guidance </w:t>
      </w:r>
      <w:r w:rsidR="005F6DDD" w:rsidRPr="00FD274F">
        <w:t xml:space="preserve">takes into account issues of particular interest to the Parliament. </w:t>
      </w:r>
      <w:r w:rsidRPr="00FD274F">
        <w:t xml:space="preserve">For </w:t>
      </w:r>
      <w:r w:rsidRPr="00B2122D">
        <w:t>general guidance on formatting matters</w:t>
      </w:r>
      <w:r w:rsidR="00EF49B8" w:rsidRPr="00B2122D">
        <w:t>,</w:t>
      </w:r>
      <w:r w:rsidRPr="00B2122D">
        <w:t xml:space="preserve"> including use of images and hidden content, see paragraphs</w:t>
      </w:r>
      <w:bookmarkEnd w:id="177"/>
      <w:r w:rsidRPr="00B2122D">
        <w:t xml:space="preserve"> </w:t>
      </w:r>
      <w:r w:rsidRPr="00277499">
        <w:fldChar w:fldCharType="begin"/>
      </w:r>
      <w:r w:rsidRPr="00B2122D">
        <w:instrText xml:space="preserve"> REF _Ref367446139 \r \h </w:instrText>
      </w:r>
      <w:r w:rsidR="00F308D0" w:rsidRPr="00B2122D">
        <w:instrText xml:space="preserve"> \* MERGEFORMAT </w:instrText>
      </w:r>
      <w:r w:rsidRPr="00277499">
        <w:fldChar w:fldCharType="separate"/>
      </w:r>
      <w:r w:rsidR="003E1B43" w:rsidRPr="00B2122D">
        <w:t>112</w:t>
      </w:r>
      <w:r w:rsidRPr="00277499">
        <w:fldChar w:fldCharType="end"/>
      </w:r>
      <w:r w:rsidR="00FC7415" w:rsidRPr="00B2122D">
        <w:t xml:space="preserve"> to </w:t>
      </w:r>
      <w:r w:rsidRPr="00277499">
        <w:fldChar w:fldCharType="begin"/>
      </w:r>
      <w:r w:rsidRPr="00B2122D">
        <w:instrText xml:space="preserve"> REF _Ref384353433 \r \h </w:instrText>
      </w:r>
      <w:r w:rsidR="00F308D0" w:rsidRPr="00B2122D">
        <w:instrText xml:space="preserve"> \* MERGEFORMAT </w:instrText>
      </w:r>
      <w:r w:rsidRPr="00277499">
        <w:fldChar w:fldCharType="separate"/>
      </w:r>
      <w:r w:rsidR="003E1B43" w:rsidRPr="00B2122D">
        <w:t>121</w:t>
      </w:r>
      <w:r w:rsidRPr="00277499">
        <w:fldChar w:fldCharType="end"/>
      </w:r>
      <w:r w:rsidRPr="00B2122D">
        <w:t>.</w:t>
      </w:r>
      <w:bookmarkEnd w:id="178"/>
    </w:p>
    <w:p w14:paraId="49F0B9FF" w14:textId="77777777" w:rsidR="00727ED5" w:rsidRPr="00FD274F" w:rsidRDefault="00727ED5" w:rsidP="004855B6">
      <w:pPr>
        <w:pStyle w:val="Head4"/>
      </w:pPr>
      <w:bookmarkStart w:id="179" w:name="_Toc112918825"/>
      <w:r w:rsidRPr="00FD274F">
        <w:t>Best Practice Regulation requirements</w:t>
      </w:r>
      <w:bookmarkEnd w:id="179"/>
    </w:p>
    <w:p w14:paraId="331C45DA" w14:textId="77777777" w:rsidR="00727ED5" w:rsidRPr="00FD274F" w:rsidRDefault="00A73283" w:rsidP="0008193D">
      <w:pPr>
        <w:pStyle w:val="BodyNum"/>
      </w:pPr>
      <w:r w:rsidRPr="00FD274F">
        <w:t xml:space="preserve">If a </w:t>
      </w:r>
      <w:r w:rsidR="00727ED5" w:rsidRPr="00FD274F">
        <w:t>Regulation Impact Statement (</w:t>
      </w:r>
      <w:proofErr w:type="spellStart"/>
      <w:r w:rsidR="00727ED5" w:rsidRPr="00FD274F">
        <w:t>RIS</w:t>
      </w:r>
      <w:proofErr w:type="spellEnd"/>
      <w:r w:rsidR="00727ED5" w:rsidRPr="00FD274F">
        <w:t xml:space="preserve">) has been </w:t>
      </w:r>
      <w:r w:rsidRPr="00FD274F">
        <w:t>completed</w:t>
      </w:r>
      <w:r w:rsidR="00727ED5" w:rsidRPr="00FD274F">
        <w:t xml:space="preserve">, </w:t>
      </w:r>
      <w:r w:rsidR="00EF49B8" w:rsidRPr="00FD274F">
        <w:t xml:space="preserve">the entire </w:t>
      </w:r>
      <w:proofErr w:type="spellStart"/>
      <w:r w:rsidR="00EF49B8" w:rsidRPr="00FD274F">
        <w:t>RIS</w:t>
      </w:r>
      <w:proofErr w:type="spellEnd"/>
      <w:r w:rsidR="00EF49B8" w:rsidRPr="00FD274F">
        <w:t xml:space="preserve"> </w:t>
      </w:r>
      <w:r w:rsidRPr="00FD274F">
        <w:t xml:space="preserve">must </w:t>
      </w:r>
      <w:r w:rsidR="00727ED5" w:rsidRPr="00FD274F">
        <w:t>be included in or attached to the instrument’s explanatory statement for</w:t>
      </w:r>
      <w:r w:rsidR="0040559E">
        <w:t xml:space="preserve"> tabling purposes.</w:t>
      </w:r>
      <w:r w:rsidR="000E215F">
        <w:t xml:space="preserve"> If the streamlined process of senior</w:t>
      </w:r>
      <w:r w:rsidR="009C4251">
        <w:noBreakHyphen/>
      </w:r>
      <w:r w:rsidR="000E215F">
        <w:t xml:space="preserve">level officer correspondence with </w:t>
      </w:r>
      <w:proofErr w:type="spellStart"/>
      <w:r w:rsidR="000E215F">
        <w:t>OBPR</w:t>
      </w:r>
      <w:proofErr w:type="spellEnd"/>
      <w:r w:rsidR="000E215F">
        <w:t xml:space="preserve"> has been adopted, then that correspondence should be included in or attached to the explanatory statement.</w:t>
      </w:r>
    </w:p>
    <w:p w14:paraId="5EB08A58" w14:textId="4F4655D1" w:rsidR="00727ED5" w:rsidRPr="00FD274F" w:rsidRDefault="00727ED5" w:rsidP="0008193D">
      <w:pPr>
        <w:pStyle w:val="BodyNum"/>
      </w:pPr>
      <w:r w:rsidRPr="00FD274F">
        <w:t xml:space="preserve">Even if a </w:t>
      </w:r>
      <w:proofErr w:type="spellStart"/>
      <w:r w:rsidRPr="00FD274F">
        <w:t>RIS</w:t>
      </w:r>
      <w:proofErr w:type="spellEnd"/>
      <w:r w:rsidRPr="00FD274F">
        <w:t xml:space="preserve"> has not been </w:t>
      </w:r>
      <w:r w:rsidR="00A73283" w:rsidRPr="00FD274F">
        <w:t>completed</w:t>
      </w:r>
      <w:r w:rsidRPr="00FD274F">
        <w:t>, it is desirable to describe the regulatory impact assessment process and outcomes</w:t>
      </w:r>
      <w:r w:rsidR="002C15BA" w:rsidRPr="00FD274F">
        <w:t xml:space="preserve"> and include</w:t>
      </w:r>
      <w:r w:rsidRPr="00FD274F">
        <w:t xml:space="preserve"> any </w:t>
      </w:r>
      <w:proofErr w:type="spellStart"/>
      <w:r w:rsidRPr="00FD274F">
        <w:t>OBPR</w:t>
      </w:r>
      <w:proofErr w:type="spellEnd"/>
      <w:r w:rsidRPr="00FD274F">
        <w:t xml:space="preserve"> reference number. This provides assurance that the Australian Government’s best practice regulation requirements have been met. For more information about these requiremen</w:t>
      </w:r>
      <w:r w:rsidR="005009ED" w:rsidRPr="00FD274F">
        <w:t xml:space="preserve">ts, please contact </w:t>
      </w:r>
      <w:proofErr w:type="spellStart"/>
      <w:r w:rsidR="00BC65E8" w:rsidRPr="00FD274F">
        <w:t>O</w:t>
      </w:r>
      <w:r w:rsidR="005009ED" w:rsidRPr="00FD274F">
        <w:t>BPR</w:t>
      </w:r>
      <w:proofErr w:type="spellEnd"/>
      <w:r w:rsidR="005009ED" w:rsidRPr="00FD274F">
        <w:t xml:space="preserve"> (</w:t>
      </w:r>
      <w:hyperlink r:id="rId413" w:history="1">
        <w:r w:rsidR="00222067" w:rsidRPr="00FD274F">
          <w:rPr>
            <w:rStyle w:val="Hyperlink"/>
          </w:rPr>
          <w:t>helpdesk</w:t>
        </w:r>
        <w:r w:rsidR="009C4251">
          <w:rPr>
            <w:rStyle w:val="Hyperlink"/>
          </w:rPr>
          <w:noBreakHyphen/>
        </w:r>
        <w:r w:rsidR="00222067" w:rsidRPr="00FD274F">
          <w:rPr>
            <w:rStyle w:val="Hyperlink"/>
          </w:rPr>
          <w:t>obpr@pmc.gov.au</w:t>
        </w:r>
      </w:hyperlink>
      <w:r w:rsidR="005009ED" w:rsidRPr="00FD274F">
        <w:rPr>
          <w:rStyle w:val="Hyperlink"/>
        </w:rPr>
        <w:t xml:space="preserve"> </w:t>
      </w:r>
      <w:r w:rsidR="005009ED" w:rsidRPr="00FD274F">
        <w:t>or (02) 6271 6270)</w:t>
      </w:r>
      <w:r w:rsidR="00BC65E8" w:rsidRPr="00FD274F">
        <w:t>.</w:t>
      </w:r>
    </w:p>
    <w:p w14:paraId="35B83D1E" w14:textId="77777777" w:rsidR="00727ED5" w:rsidRPr="00FD274F" w:rsidRDefault="00727ED5" w:rsidP="004855B6">
      <w:pPr>
        <w:pStyle w:val="Head4"/>
      </w:pPr>
      <w:bookmarkStart w:id="180" w:name="_Toc112918826"/>
      <w:r w:rsidRPr="00FD274F">
        <w:t>S</w:t>
      </w:r>
      <w:r w:rsidR="00EF49B8" w:rsidRPr="00FD274F">
        <w:t xml:space="preserve">enate </w:t>
      </w:r>
      <w:r w:rsidRPr="00FD274F">
        <w:t>S</w:t>
      </w:r>
      <w:r w:rsidR="00EF49B8" w:rsidRPr="00FD274F">
        <w:t xml:space="preserve">tanding </w:t>
      </w:r>
      <w:r w:rsidRPr="00FD274F">
        <w:t>C</w:t>
      </w:r>
      <w:r w:rsidR="00EF49B8" w:rsidRPr="00FD274F">
        <w:t xml:space="preserve">ommittee </w:t>
      </w:r>
      <w:r w:rsidR="00805ED3">
        <w:t xml:space="preserve">for the Scrutiny of Delegated Legislation </w:t>
      </w:r>
      <w:r w:rsidR="00EF49B8" w:rsidRPr="00FD274F">
        <w:t>(</w:t>
      </w:r>
      <w:r w:rsidR="00805ED3">
        <w:t>SDLC</w:t>
      </w:r>
      <w:r w:rsidR="00EF49B8" w:rsidRPr="00FD274F">
        <w:t>)</w:t>
      </w:r>
      <w:r w:rsidRPr="00FD274F">
        <w:t xml:space="preserve"> requirements</w:t>
      </w:r>
      <w:bookmarkEnd w:id="180"/>
    </w:p>
    <w:p w14:paraId="780D77FE" w14:textId="189A31D5" w:rsidR="00727ED5" w:rsidRPr="00D12368" w:rsidRDefault="00E41755" w:rsidP="0008193D">
      <w:pPr>
        <w:pStyle w:val="BodyNum"/>
      </w:pPr>
      <w:bookmarkStart w:id="181" w:name="_Ref367446522"/>
      <w:bookmarkStart w:id="182" w:name="_Ref36029834"/>
      <w:r>
        <w:t xml:space="preserve">The </w:t>
      </w:r>
      <w:r w:rsidR="00805ED3">
        <w:t xml:space="preserve">SDLC </w:t>
      </w:r>
      <w:r w:rsidR="00727ED5" w:rsidRPr="00FD274F">
        <w:t xml:space="preserve">reviews each disallowable </w:t>
      </w:r>
      <w:r w:rsidR="00FF12CA">
        <w:t xml:space="preserve">legislative </w:t>
      </w:r>
      <w:r w:rsidR="00727ED5" w:rsidRPr="00FD274F">
        <w:t>instrument</w:t>
      </w:r>
      <w:r w:rsidR="007D44FE">
        <w:t xml:space="preserve">, or legislative instrument that is subject to disapproval, affirmative resolution or exempt from disallowance, </w:t>
      </w:r>
      <w:r w:rsidR="00727ED5" w:rsidRPr="00FD274F">
        <w:t>that is tabled in the Parliament</w:t>
      </w:r>
      <w:r w:rsidR="007D44FE">
        <w:t>. The instruments are reviewed</w:t>
      </w:r>
      <w:r w:rsidR="00727ED5" w:rsidRPr="00FD274F">
        <w:t xml:space="preserve"> against a set of </w:t>
      </w:r>
      <w:r w:rsidR="00D12368">
        <w:t xml:space="preserve">technical </w:t>
      </w:r>
      <w:r w:rsidR="00727ED5" w:rsidRPr="00FD274F">
        <w:t>scrutiny principles that focus on individual rights and liberties and standards of parliamentary propriety.</w:t>
      </w:r>
      <w:bookmarkEnd w:id="181"/>
      <w:r w:rsidR="00612949">
        <w:t xml:space="preserve"> </w:t>
      </w:r>
      <w:r w:rsidR="00FF12CA">
        <w:t xml:space="preserve">The SDLC publishes </w:t>
      </w:r>
      <w:r w:rsidR="00FF12CA" w:rsidRPr="00B4479C">
        <w:t xml:space="preserve">a </w:t>
      </w:r>
      <w:hyperlink r:id="rId414" w:history="1">
        <w:r w:rsidRPr="00B4479C">
          <w:t xml:space="preserve">consolidated set of </w:t>
        </w:r>
        <w:r w:rsidR="00B4479C" w:rsidRPr="00B4479C">
          <w:t xml:space="preserve">guidelines setting out </w:t>
        </w:r>
        <w:r w:rsidRPr="00B4479C">
          <w:t>these scrutiny principles</w:t>
        </w:r>
      </w:hyperlink>
      <w:r w:rsidR="0001103A" w:rsidRPr="00B4479C">
        <w:t>.</w:t>
      </w:r>
      <w:r w:rsidR="00D12368" w:rsidRPr="00B4479C">
        <w:t xml:space="preserve"> Each of the scrutiny pr</w:t>
      </w:r>
      <w:r w:rsidR="00D12368">
        <w:t xml:space="preserve">inciples contains </w:t>
      </w:r>
      <w:r w:rsidR="00B4479C">
        <w:t xml:space="preserve">information </w:t>
      </w:r>
      <w:r w:rsidR="00D12368">
        <w:t>to assist agencies to prepare an explanatory statement which meets the requirements of the SDLC.</w:t>
      </w:r>
      <w:r w:rsidR="00F1520D">
        <w:t xml:space="preserve"> One of the scrutiny principles deals specifically with the adequacy of explanatory materials.</w:t>
      </w:r>
      <w:bookmarkEnd w:id="182"/>
    </w:p>
    <w:p w14:paraId="37C15225" w14:textId="77777777" w:rsidR="00727ED5" w:rsidRPr="00B4479C" w:rsidRDefault="00E41755" w:rsidP="0008193D">
      <w:pPr>
        <w:pStyle w:val="BodyNum"/>
      </w:pPr>
      <w:bookmarkStart w:id="183" w:name="_Ref444788679"/>
      <w:r w:rsidRPr="00B4479C">
        <w:lastRenderedPageBreak/>
        <w:t xml:space="preserve">The </w:t>
      </w:r>
      <w:r w:rsidR="00805ED3" w:rsidRPr="00B4479C">
        <w:t xml:space="preserve">SDLC </w:t>
      </w:r>
      <w:r w:rsidR="00F1520D" w:rsidRPr="00B4479C">
        <w:t xml:space="preserve">has long emphasised the importance of explanatory statements as a point of access to understanding the law, and, if needed, as extrinsic materials to assist with interpretation. The SDLC assesses whether the explanatory materials for a legislative instrument provide sufficient information to gain a clear understanding of the instrument. The </w:t>
      </w:r>
      <w:r w:rsidR="00B4479C">
        <w:t>guideline</w:t>
      </w:r>
      <w:r w:rsidR="00F1520D" w:rsidRPr="00B4479C">
        <w:t xml:space="preserve"> for the scrutiny principle </w:t>
      </w:r>
      <w:r w:rsidRPr="00B4479C">
        <w:t xml:space="preserve">dealing with the adequacy of explanatory materials </w:t>
      </w:r>
      <w:r w:rsidR="00F1520D" w:rsidRPr="00B4479C">
        <w:t>says that an explanatory statement should typically</w:t>
      </w:r>
      <w:r w:rsidR="00727ED5" w:rsidRPr="00B4479C">
        <w:t>:</w:t>
      </w:r>
      <w:bookmarkEnd w:id="183"/>
    </w:p>
    <w:p w14:paraId="0E792D7C" w14:textId="47659B6E" w:rsidR="00F1520D" w:rsidRDefault="00F1520D" w:rsidP="00F1520D">
      <w:pPr>
        <w:pStyle w:val="BodyPara"/>
      </w:pPr>
      <w:r>
        <w:t xml:space="preserve">describe </w:t>
      </w:r>
      <w:r w:rsidRPr="00FD274F">
        <w:t xml:space="preserve">the </w:t>
      </w:r>
      <w:r>
        <w:t xml:space="preserve">purpose and operation of </w:t>
      </w:r>
      <w:r w:rsidRPr="00FD274F">
        <w:t>the instrum</w:t>
      </w:r>
      <w:r w:rsidRPr="00277499">
        <w:t xml:space="preserve">ent (see also </w:t>
      </w:r>
      <w:hyperlink r:id="rId415" w:history="1">
        <w:hyperlink r:id="rId416" w:history="1">
          <w:hyperlink r:id="rId417" w:history="1">
            <w:hyperlink r:id="rId418" w:history="1">
              <w:r w:rsidRPr="00277499">
                <w:rPr>
                  <w:rStyle w:val="Hyperlink"/>
                </w:rPr>
                <w:t>LA</w:t>
              </w:r>
            </w:hyperlink>
            <w:r w:rsidRPr="00277499">
              <w:rPr>
                <w:rStyle w:val="Hyperlink"/>
              </w:rPr>
              <w:t xml:space="preserve"> </w:t>
            </w:r>
          </w:hyperlink>
        </w:hyperlink>
      </w:hyperlink>
      <w:r w:rsidRPr="00277499">
        <w:t>s 15J(2)(b));</w:t>
      </w:r>
    </w:p>
    <w:p w14:paraId="59D2B1EE" w14:textId="77777777" w:rsidR="00F1520D" w:rsidRDefault="00F1520D" w:rsidP="0008193D">
      <w:pPr>
        <w:pStyle w:val="BodyPara"/>
      </w:pPr>
      <w:r w:rsidRPr="00FD274F">
        <w:t>provide a detailed provision</w:t>
      </w:r>
      <w:r>
        <w:noBreakHyphen/>
      </w:r>
      <w:r w:rsidRPr="00FD274F">
        <w:t>by</w:t>
      </w:r>
      <w:r>
        <w:noBreakHyphen/>
      </w:r>
      <w:r w:rsidRPr="00FD274F">
        <w:t xml:space="preserve">provision </w:t>
      </w:r>
      <w:r>
        <w:t xml:space="preserve">explanation </w:t>
      </w:r>
      <w:r w:rsidRPr="00FD274F">
        <w:t>of the instrument</w:t>
      </w:r>
      <w:r>
        <w:t xml:space="preserve">, with sufficient detail to understand how each section will function and which does </w:t>
      </w:r>
      <w:r w:rsidR="00E41755">
        <w:t xml:space="preserve">so </w:t>
      </w:r>
      <w:r>
        <w:t xml:space="preserve">not </w:t>
      </w:r>
      <w:r w:rsidR="00E41755">
        <w:t xml:space="preserve">by </w:t>
      </w:r>
      <w:r>
        <w:t>simply repeat</w:t>
      </w:r>
      <w:r w:rsidR="00E41755">
        <w:t>ing</w:t>
      </w:r>
      <w:r>
        <w:t xml:space="preserve"> the text of the provisions;</w:t>
      </w:r>
    </w:p>
    <w:p w14:paraId="0300E709" w14:textId="77777777" w:rsidR="00727ED5" w:rsidRDefault="00727ED5" w:rsidP="0008193D">
      <w:pPr>
        <w:pStyle w:val="BodyPara"/>
      </w:pPr>
      <w:r w:rsidRPr="00FD274F">
        <w:t xml:space="preserve">state the </w:t>
      </w:r>
      <w:r w:rsidR="004A701C">
        <w:t xml:space="preserve">specific provisions that provide the legal </w:t>
      </w:r>
      <w:r w:rsidRPr="00FD274F">
        <w:t>authority for making the instrument;</w:t>
      </w:r>
    </w:p>
    <w:p w14:paraId="54ABE324" w14:textId="07EF6511" w:rsidR="0015100D" w:rsidRPr="00277499" w:rsidRDefault="0015100D" w:rsidP="0015100D">
      <w:pPr>
        <w:pStyle w:val="BodyPara"/>
      </w:pPr>
      <w:r w:rsidRPr="0015100D">
        <w:t xml:space="preserve">where </w:t>
      </w:r>
      <w:r>
        <w:t xml:space="preserve">the </w:t>
      </w:r>
      <w:r w:rsidRPr="0015100D">
        <w:t xml:space="preserve">instrument has been made in contemplation of commencement of its enabling provision, </w:t>
      </w:r>
      <w:r>
        <w:t xml:space="preserve">state </w:t>
      </w:r>
      <w:r w:rsidRPr="0015100D">
        <w:t>that the instrument relies on s</w:t>
      </w:r>
      <w:r w:rsidRPr="00277499">
        <w:t xml:space="preserve">ection 4 of the </w:t>
      </w:r>
      <w:hyperlink r:id="rId419" w:history="1">
        <w:r w:rsidR="0001103A" w:rsidRPr="00FD6A45">
          <w:rPr>
            <w:rStyle w:val="Hyperlink"/>
            <w:i/>
          </w:rPr>
          <w:t>Acts Interpretation Act 1901</w:t>
        </w:r>
      </w:hyperlink>
      <w:r w:rsidRPr="00277499">
        <w:t>;</w:t>
      </w:r>
    </w:p>
    <w:p w14:paraId="6135AFA0" w14:textId="6ED807DF" w:rsidR="0015100D" w:rsidRPr="0015100D" w:rsidRDefault="0015100D" w:rsidP="0015100D">
      <w:pPr>
        <w:pStyle w:val="BodyPara"/>
      </w:pPr>
      <w:r>
        <w:t xml:space="preserve">where the </w:t>
      </w:r>
      <w:r w:rsidRPr="0015100D">
        <w:t xml:space="preserve">instrument repeals or amends another instrument, and there is no express power in the enabling legislation to do so, </w:t>
      </w:r>
      <w:r w:rsidR="0001103A">
        <w:t xml:space="preserve">state that </w:t>
      </w:r>
      <w:r w:rsidRPr="0015100D">
        <w:t>the instrument relies on s</w:t>
      </w:r>
      <w:r w:rsidRPr="00277499">
        <w:t xml:space="preserve">ubsection 33(3) of the </w:t>
      </w:r>
      <w:hyperlink r:id="rId420" w:history="1">
        <w:r w:rsidRPr="00FD6A45">
          <w:rPr>
            <w:rStyle w:val="Hyperlink"/>
            <w:i/>
          </w:rPr>
          <w:t>Acts Interpretation Act 1901</w:t>
        </w:r>
      </w:hyperlink>
      <w:r w:rsidRPr="00277499">
        <w:t xml:space="preserve"> fo</w:t>
      </w:r>
      <w:r w:rsidRPr="0015100D">
        <w:t xml:space="preserve">r the power to amend, modify or repeal the instrument. </w:t>
      </w:r>
      <w:r w:rsidR="003D6A0D">
        <w:t xml:space="preserve">The </w:t>
      </w:r>
      <w:r w:rsidRPr="0015100D">
        <w:t>SDLC has provided the following example of a form of words that may be included in an explanatory statement where relevant:</w:t>
      </w:r>
    </w:p>
    <w:p w14:paraId="639F6BE8" w14:textId="77777777" w:rsidR="0015100D" w:rsidRPr="0015100D" w:rsidRDefault="0015100D" w:rsidP="0015100D">
      <w:pPr>
        <w:pStyle w:val="notetext"/>
      </w:pPr>
      <w:r>
        <w:tab/>
      </w:r>
      <w:r w:rsidRPr="0015100D">
        <w:t xml:space="preserve">Under </w:t>
      </w:r>
      <w:r w:rsidRPr="00277499">
        <w:t>subsection 33(3) of the </w:t>
      </w:r>
      <w:r w:rsidRPr="00277499">
        <w:rPr>
          <w:i/>
        </w:rPr>
        <w:t>Acts Interpretation Act 1901</w:t>
      </w:r>
      <w:r w:rsidRPr="00277499">
        <w:t>, w</w:t>
      </w:r>
      <w:r w:rsidRPr="0015100D">
        <w:t>here an Act confers a power to make, grant or issue any instrument of a legislative or administrative character (including rules, regulations or by</w:t>
      </w:r>
      <w:r w:rsidRPr="0015100D">
        <w:noBreakHyphen/>
        <w:t>laws), the power shall be construed as including a power exercisable in the like manner and subject to the like conditions (if any) to repeal, rescind, revoke, amend, or vary any such instrument.</w:t>
      </w:r>
    </w:p>
    <w:p w14:paraId="75FB9ADD" w14:textId="77777777" w:rsidR="00AE1C58" w:rsidRPr="00FD274F" w:rsidRDefault="004A701C" w:rsidP="0008193D">
      <w:pPr>
        <w:pStyle w:val="BodyPara"/>
      </w:pPr>
      <w:r>
        <w:t xml:space="preserve">state </w:t>
      </w:r>
      <w:r w:rsidR="00AE1C58">
        <w:t>whether there are any statutory preconditions which must be satisfied for the instrument to be lawfully made and, if so, whether they have been satisfied;</w:t>
      </w:r>
    </w:p>
    <w:p w14:paraId="50710C97" w14:textId="7A060FB5" w:rsidR="004A701C" w:rsidRDefault="004A701C" w:rsidP="0015100D">
      <w:pPr>
        <w:pStyle w:val="BodyPara"/>
      </w:pPr>
      <w:r>
        <w:t xml:space="preserve">where the instrument is one that specifies grants and programs on which expenditure is authorised (usually made under the </w:t>
      </w:r>
      <w:hyperlink r:id="rId421" w:history="1">
        <w:r w:rsidRPr="007809FB">
          <w:rPr>
            <w:rStyle w:val="Hyperlink"/>
            <w:i/>
          </w:rPr>
          <w:t>Financial Framework (Supplementary Powers) Act 1997</w:t>
        </w:r>
      </w:hyperlink>
      <w:r>
        <w:t xml:space="preserve"> or the </w:t>
      </w:r>
      <w:hyperlink r:id="rId422" w:history="1">
        <w:r w:rsidRPr="007809FB">
          <w:rPr>
            <w:rStyle w:val="Hyperlink"/>
            <w:i/>
          </w:rPr>
          <w:t>Industry Research and Development Act 1986</w:t>
        </w:r>
      </w:hyperlink>
      <w:r w:rsidRPr="00277499">
        <w:t xml:space="preserve">), </w:t>
      </w:r>
      <w:r w:rsidR="00B4479C" w:rsidRPr="00277499">
        <w:t>o</w:t>
      </w:r>
      <w:r w:rsidR="00B4479C">
        <w:t>r engages an express or implied constitutional principle or guarantee, explain why the instrument is constitutionally valid;</w:t>
      </w:r>
    </w:p>
    <w:p w14:paraId="1BFCE3E2" w14:textId="77777777" w:rsidR="004A701C" w:rsidRDefault="004A701C" w:rsidP="0015100D">
      <w:pPr>
        <w:pStyle w:val="BodyPara"/>
      </w:pPr>
      <w:r>
        <w:t>where the instrument is likely to engage an express or implied constitutional principle or guarantee, explain why the instrument does not breach the principle or guarantee;</w:t>
      </w:r>
    </w:p>
    <w:p w14:paraId="4FBF2593" w14:textId="69D5933A" w:rsidR="004A701C" w:rsidRPr="00277499" w:rsidRDefault="004A701C" w:rsidP="004A701C">
      <w:pPr>
        <w:pStyle w:val="BodyPara"/>
        <w:keepLines/>
        <w:widowControl w:val="0"/>
      </w:pPr>
      <w:r>
        <w:t xml:space="preserve">state whether any </w:t>
      </w:r>
      <w:r w:rsidRPr="00FD274F">
        <w:t xml:space="preserve">consultation </w:t>
      </w:r>
      <w:r>
        <w:t xml:space="preserve">occurred in relation to the </w:t>
      </w:r>
      <w:r w:rsidR="00B4479C">
        <w:t xml:space="preserve">specific </w:t>
      </w:r>
      <w:r>
        <w:t>instrument (</w:t>
      </w:r>
      <w:r w:rsidR="00E41755">
        <w:t xml:space="preserve">and, if so, </w:t>
      </w:r>
      <w:r>
        <w:t>whether persons likely to be affected by the instrument and persons with expertise in relevant fields</w:t>
      </w:r>
      <w:r w:rsidR="00E41755">
        <w:t xml:space="preserve"> were consulted</w:t>
      </w:r>
      <w:r>
        <w:t>) or, if no consultation occurred, why no consultation occurred</w:t>
      </w:r>
      <w:r w:rsidR="00331285">
        <w:t xml:space="preserve"> </w:t>
      </w:r>
      <w:r w:rsidR="00331285" w:rsidRPr="00FD274F">
        <w:t>(se</w:t>
      </w:r>
      <w:r w:rsidR="00331285" w:rsidRPr="00277499">
        <w:t xml:space="preserve">e also </w:t>
      </w:r>
      <w:hyperlink r:id="rId423" w:history="1">
        <w:hyperlink r:id="rId424" w:history="1">
          <w:hyperlink r:id="rId425" w:history="1">
            <w:r w:rsidR="00331285" w:rsidRPr="00277499">
              <w:rPr>
                <w:rStyle w:val="Hyperlink"/>
              </w:rPr>
              <w:t>LA</w:t>
            </w:r>
          </w:hyperlink>
          <w:r w:rsidR="00331285" w:rsidRPr="00277499">
            <w:rPr>
              <w:rStyle w:val="Hyperlink"/>
            </w:rPr>
            <w:t xml:space="preserve"> </w:t>
          </w:r>
        </w:hyperlink>
      </w:hyperlink>
      <w:r w:rsidR="00331285" w:rsidRPr="00277499">
        <w:t>s 15J(2)(d) and (e) and s 17);</w:t>
      </w:r>
    </w:p>
    <w:p w14:paraId="73115563" w14:textId="4C7C5468" w:rsidR="004A701C" w:rsidRDefault="003D6A0D" w:rsidP="0015100D">
      <w:pPr>
        <w:pStyle w:val="BodyPara"/>
      </w:pPr>
      <w:r>
        <w:lastRenderedPageBreak/>
        <w:t>contain</w:t>
      </w:r>
      <w:r w:rsidR="00331285">
        <w:t xml:space="preserve"> a statement of compatibility with human rights prepared under </w:t>
      </w:r>
      <w:r w:rsidR="00331285" w:rsidRPr="00277499">
        <w:t xml:space="preserve">subsection 9(1) of the </w:t>
      </w:r>
      <w:hyperlink r:id="rId426" w:history="1">
        <w:r w:rsidR="004D6FFE" w:rsidRPr="00277499">
          <w:rPr>
            <w:rStyle w:val="Hyperlink"/>
            <w:i/>
          </w:rPr>
          <w:t>Human Rights (Parliamentary Scrutiny) Act 2011</w:t>
        </w:r>
      </w:hyperlink>
      <w:r w:rsidR="00331285" w:rsidRPr="00277499">
        <w:t xml:space="preserve"> (se</w:t>
      </w:r>
      <w:r w:rsidR="00331285">
        <w:t>e als</w:t>
      </w:r>
      <w:r w:rsidR="00331285" w:rsidRPr="00277499">
        <w:t xml:space="preserve">o </w:t>
      </w:r>
      <w:hyperlink r:id="rId427" w:history="1">
        <w:hyperlink r:id="rId428" w:history="1">
          <w:hyperlink r:id="rId429" w:history="1">
            <w:hyperlink r:id="rId430" w:history="1">
              <w:r w:rsidR="00331285" w:rsidRPr="00277499">
                <w:rPr>
                  <w:rStyle w:val="Hyperlink"/>
                </w:rPr>
                <w:t>LA</w:t>
              </w:r>
            </w:hyperlink>
            <w:r w:rsidR="00331285" w:rsidRPr="00277499">
              <w:rPr>
                <w:rStyle w:val="Hyperlink"/>
              </w:rPr>
              <w:t xml:space="preserve"> </w:t>
            </w:r>
          </w:hyperlink>
        </w:hyperlink>
      </w:hyperlink>
      <w:r w:rsidR="00331285" w:rsidRPr="00277499">
        <w:t>s 15J(2)(f)).</w:t>
      </w:r>
    </w:p>
    <w:p w14:paraId="7B05A0C3" w14:textId="77777777" w:rsidR="00331285" w:rsidRPr="00331285" w:rsidRDefault="00331285" w:rsidP="00331285">
      <w:pPr>
        <w:pStyle w:val="BodyNum"/>
      </w:pPr>
      <w:bookmarkStart w:id="184" w:name="_Ref36030145"/>
      <w:r>
        <w:t xml:space="preserve">The checklist for the scrutiny principle </w:t>
      </w:r>
      <w:r w:rsidR="00E029C7">
        <w:t xml:space="preserve">covering adequacy of explanatory materials </w:t>
      </w:r>
      <w:r>
        <w:t>also identifies the following instrument-specific matters which should be covered by the explanatory statement where relevant:</w:t>
      </w:r>
      <w:bookmarkEnd w:id="184"/>
    </w:p>
    <w:p w14:paraId="21F544F7" w14:textId="77777777" w:rsidR="00331285" w:rsidRDefault="00331285" w:rsidP="0015100D">
      <w:pPr>
        <w:pStyle w:val="BodyPara"/>
      </w:pPr>
      <w:r>
        <w:t>where the instrument provides for the collection, use or disclosure of personal information</w:t>
      </w:r>
      <w:r w:rsidR="00477B7A">
        <w:t>, an explanation of the nature and scope of the provisions, why they are necessary and appropriate, and the safeguards in place to protect the personal information</w:t>
      </w:r>
      <w:r>
        <w:t>;</w:t>
      </w:r>
    </w:p>
    <w:p w14:paraId="59636F67" w14:textId="77777777" w:rsidR="00331285" w:rsidRDefault="00331285" w:rsidP="0015100D">
      <w:pPr>
        <w:pStyle w:val="BodyPara"/>
      </w:pPr>
      <w:r>
        <w:t xml:space="preserve">the availability </w:t>
      </w:r>
      <w:r w:rsidR="00E0581B">
        <w:t xml:space="preserve">or otherwise </w:t>
      </w:r>
      <w:r>
        <w:t>of independent review of discretionary</w:t>
      </w:r>
      <w:r w:rsidR="00743BCD">
        <w:t xml:space="preserve"> decisions made under the instrument, explained by reference to the Administrative Review Council’s Guide </w:t>
      </w:r>
      <w:r w:rsidR="00743BCD" w:rsidRPr="00477B7A">
        <w:rPr>
          <w:i/>
        </w:rPr>
        <w:t>What decisions should be subject to merits review?</w:t>
      </w:r>
      <w:r w:rsidR="004D6FFE">
        <w:rPr>
          <w:rStyle w:val="FootnoteReference"/>
          <w:i/>
        </w:rPr>
        <w:footnoteReference w:id="24"/>
      </w:r>
      <w:r w:rsidR="00743BCD">
        <w:t>;</w:t>
      </w:r>
    </w:p>
    <w:p w14:paraId="56B59AAF" w14:textId="77777777" w:rsidR="00743BCD" w:rsidRDefault="00477B7A" w:rsidP="0015100D">
      <w:pPr>
        <w:pStyle w:val="BodyPara"/>
      </w:pPr>
      <w:r>
        <w:t xml:space="preserve">details about any delegation of administrative functions or powers in the instrument, including the </w:t>
      </w:r>
      <w:r w:rsidR="00B4479C">
        <w:t xml:space="preserve">purpose, </w:t>
      </w:r>
      <w:r>
        <w:t xml:space="preserve">scope </w:t>
      </w:r>
      <w:r w:rsidR="00B4479C">
        <w:t xml:space="preserve">and necessity </w:t>
      </w:r>
      <w:r>
        <w:t>of the delegation, who will be exercising the powers and functions</w:t>
      </w:r>
      <w:r w:rsidR="00B4479C">
        <w:t xml:space="preserve"> (including whether they possess appropriate qualifications and skills)</w:t>
      </w:r>
      <w:r>
        <w:t>, and the limitations and safeguards in place;</w:t>
      </w:r>
    </w:p>
    <w:p w14:paraId="0FFC045E" w14:textId="77777777" w:rsidR="00477B7A" w:rsidRDefault="00477B7A" w:rsidP="0015100D">
      <w:pPr>
        <w:pStyle w:val="BodyPara"/>
      </w:pPr>
      <w:r>
        <w:t>an explanation of any exemption from primary legislation or modification of the application of primary legislation made by the instrument</w:t>
      </w:r>
      <w:r w:rsidR="00F34218">
        <w:t>, and additional details</w:t>
      </w:r>
      <w:r>
        <w:t>;</w:t>
      </w:r>
    </w:p>
    <w:p w14:paraId="524046FD" w14:textId="77777777" w:rsidR="00477B7A" w:rsidRDefault="00477B7A" w:rsidP="0015100D">
      <w:pPr>
        <w:pStyle w:val="BodyPara"/>
      </w:pPr>
      <w:r>
        <w:t>the basis for imposition of any fees or charges imposed by the instrument</w:t>
      </w:r>
      <w:r w:rsidR="00F34218">
        <w:t>, and additional details</w:t>
      </w:r>
      <w:r>
        <w:t>;</w:t>
      </w:r>
    </w:p>
    <w:p w14:paraId="06F044A3" w14:textId="736F3FCC" w:rsidR="0015100D" w:rsidRPr="00FD274F" w:rsidRDefault="00477B7A" w:rsidP="0015100D">
      <w:pPr>
        <w:pStyle w:val="BodyPara"/>
      </w:pPr>
      <w:r>
        <w:t xml:space="preserve">a description of </w:t>
      </w:r>
      <w:r w:rsidR="0015100D" w:rsidRPr="00FD274F">
        <w:t>any document incorporated by reference</w:t>
      </w:r>
      <w:r w:rsidR="0015100D">
        <w:t>, including the manner in which it is incorporated</w:t>
      </w:r>
      <w:r w:rsidR="0001103A">
        <w:t xml:space="preserve"> (</w:t>
      </w:r>
      <w:r w:rsidR="00C315E6">
        <w:t>that is</w:t>
      </w:r>
      <w:r w:rsidR="0001103A">
        <w:t>, whether as in force at a particular time or as in force from time to time)</w:t>
      </w:r>
      <w:r w:rsidR="0015100D">
        <w:t>, the legislative authority for incorporation</w:t>
      </w:r>
      <w:r w:rsidR="00D12368">
        <w:t xml:space="preserve"> as in force from time to time (if applicable)</w:t>
      </w:r>
      <w:r w:rsidR="0015100D">
        <w:t xml:space="preserve">, how the document may be obtained and where it may be freely accessed and used by the public </w:t>
      </w:r>
      <w:r w:rsidR="0015100D" w:rsidRPr="003E69AE">
        <w:t xml:space="preserve">(see also </w:t>
      </w:r>
      <w:hyperlink r:id="rId431" w:history="1">
        <w:hyperlink r:id="rId432" w:history="1">
          <w:hyperlink r:id="rId433" w:history="1">
            <w:r w:rsidR="0015100D" w:rsidRPr="003E69AE">
              <w:rPr>
                <w:rStyle w:val="Hyperlink"/>
              </w:rPr>
              <w:t>LA</w:t>
            </w:r>
          </w:hyperlink>
          <w:r w:rsidR="0015100D" w:rsidRPr="003E69AE">
            <w:rPr>
              <w:rStyle w:val="Hyperlink"/>
            </w:rPr>
            <w:t xml:space="preserve"> </w:t>
          </w:r>
        </w:hyperlink>
      </w:hyperlink>
      <w:r w:rsidR="0015100D" w:rsidRPr="003E69AE">
        <w:t>s 15J(2)(c));</w:t>
      </w:r>
    </w:p>
    <w:p w14:paraId="4A85C3D5" w14:textId="34B5A035" w:rsidR="0015100D" w:rsidRDefault="00477B7A" w:rsidP="0008193D">
      <w:pPr>
        <w:pStyle w:val="BodyPara"/>
      </w:pPr>
      <w:r>
        <w:t xml:space="preserve">where the instrument includes an offence which reverses the legal or evidential burden of proof, </w:t>
      </w:r>
      <w:r w:rsidR="00DA6CC7">
        <w:t xml:space="preserve">a justification </w:t>
      </w:r>
      <w:r w:rsidR="00E029C7">
        <w:t xml:space="preserve">for </w:t>
      </w:r>
      <w:r w:rsidR="00DA6CC7">
        <w:t xml:space="preserve">this reversal by reference to the </w:t>
      </w:r>
      <w:r w:rsidR="004D6FFE" w:rsidRPr="003E69AE">
        <w:t xml:space="preserve">AGD </w:t>
      </w:r>
      <w:r w:rsidR="004D6FFE" w:rsidRPr="003E69AE">
        <w:rPr>
          <w:i/>
        </w:rPr>
        <w:t>Guide to Framing Commonwealth Offences, Infringement Notices and Enforcement Powers</w:t>
      </w:r>
      <w:r w:rsidR="006C574C">
        <w:rPr>
          <w:rStyle w:val="FootnoteReference"/>
          <w:i/>
        </w:rPr>
        <w:footnoteReference w:id="25"/>
      </w:r>
      <w:r w:rsidR="00DA6CC7" w:rsidRPr="003E69AE">
        <w:t>;</w:t>
      </w:r>
    </w:p>
    <w:p w14:paraId="08B69913" w14:textId="22815146" w:rsidR="0015100D" w:rsidRPr="00FD274F" w:rsidRDefault="0015100D" w:rsidP="0008193D">
      <w:pPr>
        <w:pStyle w:val="BodyPara"/>
      </w:pPr>
      <w:r>
        <w:t xml:space="preserve">if the instrument commences retrospectively, </w:t>
      </w:r>
      <w:r w:rsidR="00E0581B">
        <w:t xml:space="preserve">a </w:t>
      </w:r>
      <w:r w:rsidR="00D12368">
        <w:t>state</w:t>
      </w:r>
      <w:r w:rsidR="00E0581B">
        <w:t>ment</w:t>
      </w:r>
      <w:r w:rsidR="00D12368">
        <w:t xml:space="preserve"> </w:t>
      </w:r>
      <w:r>
        <w:t xml:space="preserve">whether any person </w:t>
      </w:r>
      <w:r w:rsidR="00E0581B">
        <w:t>may be disadvantaged by the retrospectivity and, if so, what steps have been or will be taken to avoid such disadva</w:t>
      </w:r>
      <w:r w:rsidR="00E0581B" w:rsidRPr="003E69AE">
        <w:t xml:space="preserve">ntage </w:t>
      </w:r>
      <w:r w:rsidRPr="003E69AE">
        <w:t xml:space="preserve">(see also </w:t>
      </w:r>
      <w:hyperlink r:id="rId434" w:history="1">
        <w:hyperlink r:id="rId435" w:history="1">
          <w:hyperlink r:id="rId436" w:history="1">
            <w:hyperlink r:id="rId437" w:history="1">
              <w:r w:rsidRPr="003E69AE">
                <w:rPr>
                  <w:rStyle w:val="Hyperlink"/>
                </w:rPr>
                <w:t>LA</w:t>
              </w:r>
            </w:hyperlink>
            <w:r w:rsidRPr="003E69AE">
              <w:rPr>
                <w:rStyle w:val="Hyperlink"/>
              </w:rPr>
              <w:t xml:space="preserve"> </w:t>
            </w:r>
          </w:hyperlink>
        </w:hyperlink>
      </w:hyperlink>
      <w:r w:rsidRPr="003E69AE">
        <w:t>s 12(2))</w:t>
      </w:r>
      <w:r w:rsidR="00E0581B" w:rsidRPr="003E69AE">
        <w:t>.</w:t>
      </w:r>
    </w:p>
    <w:p w14:paraId="601B2772" w14:textId="77777777" w:rsidR="00727ED5" w:rsidRPr="00FD274F" w:rsidRDefault="00727ED5" w:rsidP="0008193D">
      <w:pPr>
        <w:pStyle w:val="BodyNum"/>
      </w:pPr>
      <w:r w:rsidRPr="00FD274F">
        <w:lastRenderedPageBreak/>
        <w:t xml:space="preserve">Agencies should respond quickly if </w:t>
      </w:r>
      <w:r w:rsidR="00E029C7">
        <w:t xml:space="preserve">the </w:t>
      </w:r>
      <w:r w:rsidR="00805ED3">
        <w:t xml:space="preserve">SDLC </w:t>
      </w:r>
      <w:r w:rsidRPr="00FD274F">
        <w:t>asks questions or expresses concern about a legislative instrument. Failure to do so may result in adverse pa</w:t>
      </w:r>
      <w:r w:rsidR="00595FCC" w:rsidRPr="00FD274F">
        <w:t>rliamentary comment and</w:t>
      </w:r>
      <w:r w:rsidRPr="00FD274F">
        <w:t xml:space="preserve"> </w:t>
      </w:r>
      <w:r w:rsidR="00D86DC9" w:rsidRPr="00FD274F">
        <w:t xml:space="preserve">possibly </w:t>
      </w:r>
      <w:r w:rsidRPr="00FD274F">
        <w:t>disallowance of the instrument.</w:t>
      </w:r>
      <w:r w:rsidR="003A1103" w:rsidRPr="00FD274F">
        <w:t xml:space="preserve"> If the instrument was drafted by </w:t>
      </w:r>
      <w:proofErr w:type="spellStart"/>
      <w:r w:rsidR="003A1103" w:rsidRPr="00FD274F">
        <w:t>OPC</w:t>
      </w:r>
      <w:proofErr w:type="spellEnd"/>
      <w:r w:rsidR="003A1103" w:rsidRPr="00FD274F">
        <w:t xml:space="preserve">, agencies should also contact their </w:t>
      </w:r>
      <w:proofErr w:type="spellStart"/>
      <w:r w:rsidR="003A1103" w:rsidRPr="00FD274F">
        <w:t>OPC</w:t>
      </w:r>
      <w:proofErr w:type="spellEnd"/>
      <w:r w:rsidR="003A1103" w:rsidRPr="00FD274F">
        <w:t xml:space="preserve"> drafter.</w:t>
      </w:r>
    </w:p>
    <w:p w14:paraId="0CC52D70" w14:textId="77777777" w:rsidR="00727ED5" w:rsidRPr="00FD274F" w:rsidRDefault="00727ED5" w:rsidP="0008193D">
      <w:pPr>
        <w:pStyle w:val="BodyNum"/>
      </w:pPr>
      <w:bookmarkStart w:id="185" w:name="_Ref36029839"/>
      <w:r w:rsidRPr="00FD274F">
        <w:t xml:space="preserve">Further information on issues and instruments of concern to </w:t>
      </w:r>
      <w:r w:rsidR="00E029C7">
        <w:t xml:space="preserve">the </w:t>
      </w:r>
      <w:r w:rsidR="00805ED3">
        <w:t xml:space="preserve">SDLC </w:t>
      </w:r>
      <w:r w:rsidRPr="00FD274F">
        <w:t xml:space="preserve">is available on the </w:t>
      </w:r>
      <w:r w:rsidR="00805ED3">
        <w:t xml:space="preserve">SDLC </w:t>
      </w:r>
      <w:r w:rsidRPr="00FD274F">
        <w:t>websi</w:t>
      </w:r>
      <w:r w:rsidRPr="003E69AE">
        <w:t>te</w:t>
      </w:r>
      <w:r w:rsidR="004F138B" w:rsidRPr="003E69AE">
        <w:rPr>
          <w:rStyle w:val="FootnoteReference"/>
        </w:rPr>
        <w:footnoteReference w:id="26"/>
      </w:r>
      <w:r w:rsidR="00FC7415" w:rsidRPr="003E69AE">
        <w:t>.</w:t>
      </w:r>
      <w:bookmarkEnd w:id="185"/>
    </w:p>
    <w:p w14:paraId="036CE02F" w14:textId="77777777" w:rsidR="00727ED5" w:rsidRPr="00FD274F" w:rsidRDefault="00727ED5" w:rsidP="004855B6">
      <w:pPr>
        <w:pStyle w:val="Head4"/>
      </w:pPr>
      <w:bookmarkStart w:id="186" w:name="_Toc112918827"/>
      <w:r w:rsidRPr="00FD274F">
        <w:t>Parliamentary Joint Committee on Human Rights requirements</w:t>
      </w:r>
      <w:bookmarkEnd w:id="186"/>
    </w:p>
    <w:p w14:paraId="02E10AEC" w14:textId="5617A16D" w:rsidR="00727ED5" w:rsidRPr="00FD274F" w:rsidRDefault="00727ED5" w:rsidP="0008193D">
      <w:pPr>
        <w:pStyle w:val="BodyNum"/>
      </w:pPr>
      <w:bookmarkStart w:id="187" w:name="_Ref367446541"/>
      <w:r w:rsidRPr="00FD274F">
        <w:t xml:space="preserve">The Parliamentary Joint Committee on Human Rights reviews each </w:t>
      </w:r>
      <w:r w:rsidR="00281F7E" w:rsidRPr="00FD274F">
        <w:t xml:space="preserve">legislative </w:t>
      </w:r>
      <w:r w:rsidRPr="00FD274F">
        <w:t xml:space="preserve">instrument that is tabled in the Parliament for human rights compatibility in accordance with the </w:t>
      </w:r>
      <w:hyperlink r:id="rId438" w:history="1">
        <w:r w:rsidR="00BF1327" w:rsidRPr="003E69AE">
          <w:rPr>
            <w:rStyle w:val="Hyperlink"/>
            <w:i/>
          </w:rPr>
          <w:t>Human Rights (Parliamentary Scrutiny) Act 2011</w:t>
        </w:r>
      </w:hyperlink>
      <w:r w:rsidRPr="003E69AE">
        <w:t>.</w:t>
      </w:r>
      <w:bookmarkEnd w:id="187"/>
    </w:p>
    <w:p w14:paraId="0E6CBAC8" w14:textId="77777777" w:rsidR="00727ED5" w:rsidRPr="00FD274F" w:rsidRDefault="00727ED5" w:rsidP="0008193D">
      <w:pPr>
        <w:pStyle w:val="BodyNum"/>
      </w:pPr>
      <w:r w:rsidRPr="00FD274F">
        <w:t>The committee views statements of compatibility as essential to the consideration of human rights in the legislative process, and expects statements to set out the necessary information in a way that allows the committee to undertake its scrutiny task efficiently. The committee expects statements</w:t>
      </w:r>
      <w:r w:rsidR="00595FCC" w:rsidRPr="00FD274F">
        <w:t xml:space="preserve"> of compatibility</w:t>
      </w:r>
      <w:r w:rsidRPr="00FD274F">
        <w:t xml:space="preserve"> to be able to be read as stand</w:t>
      </w:r>
      <w:r w:rsidR="009C4251">
        <w:noBreakHyphen/>
      </w:r>
      <w:r w:rsidRPr="00FD274F">
        <w:t>alone documents.</w:t>
      </w:r>
    </w:p>
    <w:p w14:paraId="7C46433A" w14:textId="77777777" w:rsidR="00727ED5" w:rsidRPr="00FD274F" w:rsidRDefault="00727ED5" w:rsidP="0008193D">
      <w:pPr>
        <w:pStyle w:val="BodyNum"/>
      </w:pPr>
      <w:r w:rsidRPr="00FD274F">
        <w:t>If the rule</w:t>
      </w:r>
      <w:r w:rsidR="009C4251">
        <w:noBreakHyphen/>
      </w:r>
      <w:r w:rsidRPr="00FD274F">
        <w:t>maker considers that no rights are engaged, the committee expects that reasons should be given, if possible, to support that conclusion. This is particularly important where such a conclusion may not be self</w:t>
      </w:r>
      <w:r w:rsidR="009C4251">
        <w:noBreakHyphen/>
      </w:r>
      <w:r w:rsidRPr="00FD274F">
        <w:t>evident from the description</w:t>
      </w:r>
      <w:r w:rsidR="00E06893">
        <w:t xml:space="preserve"> of the instrument’s objective.</w:t>
      </w:r>
    </w:p>
    <w:p w14:paraId="2E8DFE3C" w14:textId="77777777" w:rsidR="00727ED5" w:rsidRPr="00FD274F" w:rsidRDefault="00727ED5" w:rsidP="0008193D">
      <w:pPr>
        <w:pStyle w:val="BodyNum"/>
      </w:pPr>
      <w:bookmarkStart w:id="188" w:name="_Ref369889299"/>
      <w:r w:rsidRPr="00FD274F">
        <w:t>If human rights are limited by a legislative instrument, the committee prefers statements of compatibility to follow the sequence of steps set out in the assessment tool and associated guidance developed by AG</w:t>
      </w:r>
      <w:r w:rsidRPr="003E69AE">
        <w:t>D</w:t>
      </w:r>
      <w:r w:rsidR="004F138B" w:rsidRPr="003E69AE">
        <w:rPr>
          <w:rStyle w:val="FootnoteReference"/>
        </w:rPr>
        <w:footnoteReference w:id="27"/>
      </w:r>
      <w:r w:rsidR="00FC7415" w:rsidRPr="003E69AE">
        <w:t>.</w:t>
      </w:r>
      <w:r w:rsidRPr="003E69AE">
        <w:t xml:space="preserve"> S</w:t>
      </w:r>
      <w:r w:rsidRPr="00FD274F">
        <w:t>tatements should provide information on:</w:t>
      </w:r>
      <w:bookmarkEnd w:id="188"/>
    </w:p>
    <w:p w14:paraId="185F0882" w14:textId="77777777" w:rsidR="00727ED5" w:rsidRPr="00FD274F" w:rsidRDefault="00727ED5" w:rsidP="0008193D">
      <w:pPr>
        <w:pStyle w:val="BodyPara"/>
      </w:pPr>
      <w:r w:rsidRPr="00FD274F">
        <w:t>whether and how the limitation is aimed at achieving a legitimate objective; and</w:t>
      </w:r>
    </w:p>
    <w:p w14:paraId="10D62C5C" w14:textId="77777777" w:rsidR="00727ED5" w:rsidRPr="00FD274F" w:rsidRDefault="00727ED5" w:rsidP="0008193D">
      <w:pPr>
        <w:pStyle w:val="BodyPara"/>
      </w:pPr>
      <w:r w:rsidRPr="00FD274F">
        <w:t>whether and how there is a rational connection between the li</w:t>
      </w:r>
      <w:r w:rsidR="00E06893">
        <w:t>mitation and the objective; and</w:t>
      </w:r>
    </w:p>
    <w:p w14:paraId="037083B1" w14:textId="77777777" w:rsidR="00727ED5" w:rsidRPr="00FD274F" w:rsidRDefault="00727ED5" w:rsidP="0008193D">
      <w:pPr>
        <w:pStyle w:val="BodyPara"/>
      </w:pPr>
      <w:r w:rsidRPr="00FD274F">
        <w:t>whether and how the limitation is reasonable, necessary, and proportionate.</w:t>
      </w:r>
    </w:p>
    <w:p w14:paraId="0E78CE9B" w14:textId="77777777" w:rsidR="00727ED5" w:rsidRPr="00FD274F" w:rsidRDefault="00727ED5" w:rsidP="0008193D">
      <w:pPr>
        <w:pStyle w:val="BodyNum"/>
      </w:pPr>
      <w:r w:rsidRPr="00FD274F">
        <w:t>Further guidance on issues and instruments of concern to the committee is available on the committee</w:t>
      </w:r>
      <w:r w:rsidR="003E3BD9" w:rsidRPr="00FD274F">
        <w:t>’s</w:t>
      </w:r>
      <w:r w:rsidRPr="00FD274F">
        <w:t xml:space="preserve"> webs</w:t>
      </w:r>
      <w:r w:rsidRPr="003E69AE">
        <w:t>ite</w:t>
      </w:r>
      <w:r w:rsidRPr="003E69AE">
        <w:rPr>
          <w:rStyle w:val="FootnoteReference"/>
        </w:rPr>
        <w:footnoteReference w:id="28"/>
      </w:r>
      <w:r w:rsidR="00FC7415" w:rsidRPr="003E69AE">
        <w:t>.</w:t>
      </w:r>
    </w:p>
    <w:p w14:paraId="4B9AD7B7" w14:textId="77777777" w:rsidR="00727ED5" w:rsidRPr="00FD274F" w:rsidRDefault="00727ED5" w:rsidP="004855B6">
      <w:pPr>
        <w:pStyle w:val="Head4"/>
      </w:pPr>
      <w:bookmarkStart w:id="189" w:name="_Toc112918828"/>
      <w:r w:rsidRPr="00FD274F">
        <w:t>Previous ministerial or parliamentary undertakings</w:t>
      </w:r>
      <w:bookmarkEnd w:id="189"/>
    </w:p>
    <w:p w14:paraId="0E52654B" w14:textId="77777777" w:rsidR="00727ED5" w:rsidRPr="00FD274F" w:rsidRDefault="00727ED5" w:rsidP="0008193D">
      <w:pPr>
        <w:pStyle w:val="BodyNum"/>
      </w:pPr>
      <w:bookmarkStart w:id="190" w:name="_Ref369786506"/>
      <w:r w:rsidRPr="00FD274F">
        <w:t>A Minister or rule</w:t>
      </w:r>
      <w:r w:rsidR="009C4251">
        <w:noBreakHyphen/>
      </w:r>
      <w:r w:rsidRPr="00FD274F">
        <w:t>maker may, on occasion, give an undertaking to the Parliament or a committee of the Parliament to review or change how an instrument operates, or to change drafting, consultation or other practices before making a similar instrument. If such an undertaking is relevant to a new instrument, the undertaking should be acknowledged and its implementation discussed in the explanatory statement for the new instrument.</w:t>
      </w:r>
      <w:bookmarkEnd w:id="190"/>
    </w:p>
    <w:p w14:paraId="0A04B19C" w14:textId="77777777" w:rsidR="00727ED5" w:rsidRPr="00FD274F" w:rsidRDefault="00727ED5" w:rsidP="004855B6">
      <w:pPr>
        <w:pStyle w:val="Head4"/>
      </w:pPr>
      <w:bookmarkStart w:id="191" w:name="_Toc112918829"/>
      <w:r w:rsidRPr="00FD274F">
        <w:lastRenderedPageBreak/>
        <w:t>If an instrument or provision is very similar in substance to one made recently</w:t>
      </w:r>
      <w:bookmarkEnd w:id="191"/>
    </w:p>
    <w:p w14:paraId="711E6C76" w14:textId="21719118" w:rsidR="00727ED5" w:rsidRPr="00B2122D" w:rsidRDefault="007E1D05" w:rsidP="0008193D">
      <w:pPr>
        <w:pStyle w:val="BodyNum"/>
      </w:pPr>
      <w:bookmarkStart w:id="192" w:name="_Ref384355454"/>
      <w:r w:rsidRPr="00FD274F">
        <w:t>T</w:t>
      </w:r>
      <w:r w:rsidRPr="003E69AE">
        <w:t xml:space="preserve">he </w:t>
      </w:r>
      <w:hyperlink r:id="rId439" w:history="1">
        <w:r w:rsidR="00E25493" w:rsidRPr="003E69AE">
          <w:rPr>
            <w:rStyle w:val="Hyperlink"/>
          </w:rPr>
          <w:t>LA</w:t>
        </w:r>
      </w:hyperlink>
      <w:r w:rsidR="00727ED5" w:rsidRPr="003E69AE">
        <w:t xml:space="preserve"> im</w:t>
      </w:r>
      <w:r w:rsidR="00727ED5" w:rsidRPr="00FD274F">
        <w:t>poses significant restrictions on remaking an instrument or provision before</w:t>
      </w:r>
      <w:r w:rsidR="00595FCC" w:rsidRPr="00FD274F">
        <w:t>,</w:t>
      </w:r>
      <w:r w:rsidR="00727ED5" w:rsidRPr="00FD274F">
        <w:t xml:space="preserve"> and for a period after</w:t>
      </w:r>
      <w:r w:rsidR="00595FCC" w:rsidRPr="00FD274F">
        <w:t>,</w:t>
      </w:r>
      <w:r w:rsidR="00727ED5" w:rsidRPr="00FD274F">
        <w:t xml:space="preserve"> tabling. Consequently, if an instrument or provision is being remade while restrictions apply or shortly after they e</w:t>
      </w:r>
      <w:r w:rsidR="00595FCC" w:rsidRPr="00FD274F">
        <w:t>nd</w:t>
      </w:r>
      <w:r w:rsidR="00727ED5" w:rsidRPr="00FD274F">
        <w:t xml:space="preserve">, the explanatory statement </w:t>
      </w:r>
      <w:r w:rsidR="00595FCC" w:rsidRPr="00FD274F">
        <w:t>should</w:t>
      </w:r>
      <w:r w:rsidR="00727ED5" w:rsidRPr="00FD274F">
        <w:t xml:space="preserve"> acknowledge the restrictions and explain why they do not apply (se</w:t>
      </w:r>
      <w:r w:rsidR="00727ED5" w:rsidRPr="00B2122D">
        <w:t xml:space="preserve">e paragraphs </w:t>
      </w:r>
      <w:r w:rsidR="009B5BC0" w:rsidRPr="003E69AE">
        <w:fldChar w:fldCharType="begin"/>
      </w:r>
      <w:r w:rsidR="009B5BC0" w:rsidRPr="00B2122D">
        <w:instrText xml:space="preserve"> REF _Ref383697445 \r \h </w:instrText>
      </w:r>
      <w:r w:rsidR="00BF3019">
        <w:rPr>
          <w:highlight w:val="yellow"/>
        </w:rPr>
        <w:instrText xml:space="preserve"> \* MERGEFORMAT </w:instrText>
      </w:r>
      <w:r w:rsidR="009B5BC0" w:rsidRPr="003E69AE">
        <w:fldChar w:fldCharType="separate"/>
      </w:r>
      <w:r w:rsidR="003E1B43" w:rsidRPr="00B2122D">
        <w:t>319</w:t>
      </w:r>
      <w:r w:rsidR="009B5BC0" w:rsidRPr="003E69AE">
        <w:fldChar w:fldCharType="end"/>
      </w:r>
      <w:r w:rsidR="00FC7415" w:rsidRPr="00B2122D">
        <w:t xml:space="preserve"> to </w:t>
      </w:r>
      <w:r w:rsidR="009B5BC0" w:rsidRPr="003E69AE">
        <w:fldChar w:fldCharType="begin"/>
      </w:r>
      <w:r w:rsidR="009B5BC0" w:rsidRPr="00B2122D">
        <w:instrText xml:space="preserve"> REF _Ref384355195 \r \h </w:instrText>
      </w:r>
      <w:r w:rsidR="00BF3019">
        <w:rPr>
          <w:highlight w:val="yellow"/>
        </w:rPr>
        <w:instrText xml:space="preserve"> \* MERGEFORMAT </w:instrText>
      </w:r>
      <w:r w:rsidR="009B5BC0" w:rsidRPr="003E69AE">
        <w:fldChar w:fldCharType="separate"/>
      </w:r>
      <w:r w:rsidR="003E1B43" w:rsidRPr="00B2122D">
        <w:t>327</w:t>
      </w:r>
      <w:r w:rsidR="009B5BC0" w:rsidRPr="003E69AE">
        <w:fldChar w:fldCharType="end"/>
      </w:r>
      <w:r w:rsidR="00727ED5" w:rsidRPr="00B2122D">
        <w:t xml:space="preserve"> for more detail).</w:t>
      </w:r>
      <w:bookmarkEnd w:id="192"/>
    </w:p>
    <w:p w14:paraId="3733CCF3" w14:textId="77777777" w:rsidR="00727ED5" w:rsidRPr="00FD274F" w:rsidRDefault="00727ED5" w:rsidP="004855B6">
      <w:pPr>
        <w:pStyle w:val="Head3"/>
      </w:pPr>
      <w:bookmarkStart w:id="193" w:name="_Toc112918830"/>
      <w:r w:rsidRPr="00FD274F">
        <w:t>Consequences of failure to provide explanatory statements on time</w:t>
      </w:r>
      <w:bookmarkEnd w:id="193"/>
    </w:p>
    <w:p w14:paraId="594A5746" w14:textId="261E48B2" w:rsidR="00CD3815" w:rsidRPr="00EC7C33" w:rsidRDefault="00727ED5" w:rsidP="0008193D">
      <w:pPr>
        <w:pStyle w:val="BodyNum"/>
      </w:pPr>
      <w:bookmarkStart w:id="194" w:name="_Ref29483756"/>
      <w:bookmarkStart w:id="195" w:name="_Ref367446337"/>
      <w:r w:rsidRPr="00FD274F">
        <w:t xml:space="preserve">An explanatory statement for a legislative instrument must be lodged with </w:t>
      </w:r>
      <w:proofErr w:type="spellStart"/>
      <w:r w:rsidRPr="00FD274F">
        <w:t>OPC</w:t>
      </w:r>
      <w:proofErr w:type="spellEnd"/>
      <w:r w:rsidRPr="00FD274F">
        <w:t xml:space="preserve"> for registration at the same time as, or as soon as practicable after, the legislative instrument</w:t>
      </w:r>
      <w:r w:rsidR="00FD4E8C" w:rsidRPr="00FD274F">
        <w:t xml:space="preserve"> that it explains</w:t>
      </w:r>
      <w:r w:rsidRPr="00FD274F">
        <w:t xml:space="preserve"> </w:t>
      </w:r>
      <w:r w:rsidRPr="00EC7C33">
        <w:t>(</w:t>
      </w:r>
      <w:hyperlink r:id="rId440" w:history="1">
        <w:hyperlink r:id="rId441" w:history="1">
          <w:hyperlink r:id="rId442" w:history="1">
            <w:r w:rsidR="004F5980" w:rsidRPr="00EC7C33">
              <w:rPr>
                <w:rStyle w:val="Hyperlink"/>
              </w:rPr>
              <w:t>LA</w:t>
            </w:r>
          </w:hyperlink>
          <w:r w:rsidR="004F5980" w:rsidRPr="00EC7C33">
            <w:rPr>
              <w:rStyle w:val="Hyperlink"/>
            </w:rPr>
            <w:t xml:space="preserve"> </w:t>
          </w:r>
        </w:hyperlink>
      </w:hyperlink>
      <w:r w:rsidRPr="00EC7C33">
        <w:t xml:space="preserve">s </w:t>
      </w:r>
      <w:r w:rsidR="007E1D05" w:rsidRPr="00EC7C33">
        <w:t>15G(4)(a)</w:t>
      </w:r>
      <w:r w:rsidRPr="00EC7C33">
        <w:t>). A</w:t>
      </w:r>
      <w:r w:rsidRPr="00FD274F">
        <w:t>lthough a failure to lodge the explanatory statement as required does not affect the validity or enforceability of the registered instrume</w:t>
      </w:r>
      <w:r w:rsidRPr="00EC7C33">
        <w:t>nt (</w:t>
      </w:r>
      <w:hyperlink r:id="rId443" w:history="1">
        <w:hyperlink r:id="rId444" w:history="1">
          <w:hyperlink r:id="rId445" w:history="1">
            <w:r w:rsidR="004F5980" w:rsidRPr="00EC7C33">
              <w:rPr>
                <w:rStyle w:val="Hyperlink"/>
              </w:rPr>
              <w:t>LA</w:t>
            </w:r>
          </w:hyperlink>
          <w:r w:rsidR="004F5980" w:rsidRPr="00EC7C33">
            <w:rPr>
              <w:rStyle w:val="Hyperlink"/>
            </w:rPr>
            <w:t xml:space="preserve"> </w:t>
          </w:r>
        </w:hyperlink>
      </w:hyperlink>
      <w:r w:rsidRPr="00EC7C33">
        <w:t xml:space="preserve">s </w:t>
      </w:r>
      <w:r w:rsidR="00FD4E8C" w:rsidRPr="00EC7C33">
        <w:t>15K(2)</w:t>
      </w:r>
      <w:r w:rsidR="00CD3815" w:rsidRPr="00EC7C33">
        <w:t>)</w:t>
      </w:r>
      <w:r w:rsidRPr="00EC7C33">
        <w:t>, the rule</w:t>
      </w:r>
      <w:r w:rsidR="009C4251" w:rsidRPr="00EC7C33">
        <w:noBreakHyphen/>
      </w:r>
      <w:r w:rsidR="00CD3815" w:rsidRPr="00EC7C33">
        <w:t>maker:</w:t>
      </w:r>
      <w:bookmarkEnd w:id="194"/>
    </w:p>
    <w:p w14:paraId="1402FFD5" w14:textId="77777777" w:rsidR="00727ED5" w:rsidRPr="00FD274F" w:rsidRDefault="00727ED5" w:rsidP="00CD3815">
      <w:pPr>
        <w:pStyle w:val="BodyPara"/>
      </w:pPr>
      <w:r w:rsidRPr="00FD274F">
        <w:t xml:space="preserve">remains under a statutory obligation to lodge the explanatory statement with </w:t>
      </w:r>
      <w:proofErr w:type="spellStart"/>
      <w:r w:rsidRPr="00FD274F">
        <w:t>OPC</w:t>
      </w:r>
      <w:proofErr w:type="spellEnd"/>
      <w:r w:rsidRPr="00FD274F">
        <w:t xml:space="preserve"> for registration</w:t>
      </w:r>
      <w:bookmarkEnd w:id="195"/>
      <w:r w:rsidR="00E06893">
        <w:t>; and</w:t>
      </w:r>
    </w:p>
    <w:p w14:paraId="521D5B54" w14:textId="193B4AAA" w:rsidR="00CD3815" w:rsidRPr="00FD274F" w:rsidRDefault="00CD3815" w:rsidP="0008193D">
      <w:pPr>
        <w:pStyle w:val="BodyPara"/>
      </w:pPr>
      <w:r w:rsidRPr="00FD274F">
        <w:t xml:space="preserve">must </w:t>
      </w:r>
      <w:r w:rsidR="00CE2573" w:rsidRPr="00FD274F">
        <w:t>arrange</w:t>
      </w:r>
      <w:r w:rsidRPr="00FD274F">
        <w:t xml:space="preserve"> for a written explanation to be tabled in the Parliament if the explanatory statement for an instrument is not lodged before the instrument is delivered by </w:t>
      </w:r>
      <w:proofErr w:type="spellStart"/>
      <w:r w:rsidRPr="00FD274F">
        <w:t>OPC</w:t>
      </w:r>
      <w:proofErr w:type="spellEnd"/>
      <w:r w:rsidRPr="00FD274F">
        <w:t xml:space="preserve"> for t</w:t>
      </w:r>
      <w:r w:rsidRPr="00EC7C33">
        <w:t xml:space="preserve">abling </w:t>
      </w:r>
      <w:r w:rsidR="00727ED5" w:rsidRPr="00EC7C33">
        <w:t>(</w:t>
      </w:r>
      <w:hyperlink r:id="rId446" w:history="1">
        <w:hyperlink r:id="rId447" w:history="1">
          <w:hyperlink r:id="rId448" w:history="1">
            <w:r w:rsidR="004F5980" w:rsidRPr="00EC7C33">
              <w:rPr>
                <w:rStyle w:val="Hyperlink"/>
              </w:rPr>
              <w:t>LA</w:t>
            </w:r>
          </w:hyperlink>
          <w:r w:rsidR="004F5980" w:rsidRPr="00EC7C33">
            <w:rPr>
              <w:rStyle w:val="Hyperlink"/>
            </w:rPr>
            <w:t xml:space="preserve"> </w:t>
          </w:r>
        </w:hyperlink>
      </w:hyperlink>
      <w:r w:rsidR="00727ED5" w:rsidRPr="00EC7C33">
        <w:t>s 39(</w:t>
      </w:r>
      <w:r w:rsidR="00FD4E8C" w:rsidRPr="00EC7C33">
        <w:t>3</w:t>
      </w:r>
      <w:r w:rsidR="00E06893" w:rsidRPr="00EC7C33">
        <w:t>)); a</w:t>
      </w:r>
      <w:r w:rsidR="00E06893">
        <w:t>nd</w:t>
      </w:r>
    </w:p>
    <w:p w14:paraId="4B459442" w14:textId="77777777" w:rsidR="00727ED5" w:rsidRPr="00FD274F" w:rsidRDefault="00CD3815" w:rsidP="0008193D">
      <w:pPr>
        <w:pStyle w:val="BodyPara"/>
      </w:pPr>
      <w:r w:rsidRPr="00FD274F">
        <w:t xml:space="preserve">should expect </w:t>
      </w:r>
      <w:r w:rsidR="00727ED5" w:rsidRPr="00FD274F">
        <w:t>adverse comment from relevant parliamentary committees if this happens.</w:t>
      </w:r>
    </w:p>
    <w:p w14:paraId="475593A6" w14:textId="77777777" w:rsidR="00727ED5" w:rsidRPr="00FD274F" w:rsidRDefault="00727ED5" w:rsidP="004855B6">
      <w:pPr>
        <w:pStyle w:val="Head3"/>
      </w:pPr>
      <w:bookmarkStart w:id="196" w:name="_Toc112918831"/>
      <w:r w:rsidRPr="00FD274F">
        <w:t>If there is a significant error or omission in an explanatory statement</w:t>
      </w:r>
      <w:bookmarkEnd w:id="196"/>
    </w:p>
    <w:p w14:paraId="390E21D2" w14:textId="77777777" w:rsidR="004B6DB1" w:rsidRPr="00FD274F" w:rsidRDefault="00727ED5" w:rsidP="0008193D">
      <w:pPr>
        <w:pStyle w:val="BodyNum"/>
      </w:pPr>
      <w:bookmarkStart w:id="197" w:name="_Ref29483854"/>
      <w:bookmarkStart w:id="198" w:name="_Ref378065259"/>
      <w:r w:rsidRPr="00FD274F">
        <w:t xml:space="preserve">If there is a significant error or omission in </w:t>
      </w:r>
      <w:r w:rsidR="004B6DB1" w:rsidRPr="00FD274F">
        <w:t xml:space="preserve">the initial explanatory statement provided for an instrument, </w:t>
      </w:r>
      <w:r w:rsidR="00CD3815" w:rsidRPr="00FD274F">
        <w:t>the</w:t>
      </w:r>
      <w:r w:rsidR="004B6DB1" w:rsidRPr="00FD274F">
        <w:t>re are things an agency or ru</w:t>
      </w:r>
      <w:r w:rsidR="00295A2F" w:rsidRPr="00FD274F">
        <w:t>le</w:t>
      </w:r>
      <w:r w:rsidR="009C4251">
        <w:noBreakHyphen/>
      </w:r>
      <w:r w:rsidR="00295A2F" w:rsidRPr="00FD274F">
        <w:t>maker can do to address this.</w:t>
      </w:r>
      <w:bookmarkEnd w:id="197"/>
    </w:p>
    <w:p w14:paraId="6E3438F2" w14:textId="77777777" w:rsidR="00295A2F" w:rsidRPr="00FD274F" w:rsidRDefault="00DE65D7" w:rsidP="00295A2F">
      <w:pPr>
        <w:pStyle w:val="BodyNum"/>
      </w:pPr>
      <w:r>
        <w:t>I</w:t>
      </w:r>
      <w:r w:rsidR="004B6DB1" w:rsidRPr="00FD274F">
        <w:t xml:space="preserve">t may be </w:t>
      </w:r>
      <w:r w:rsidR="005A5DD7" w:rsidRPr="00FD274F">
        <w:t>appropriate for a supplementary or replacement explanatory statement to be lodged and delivered to the Parliament</w:t>
      </w:r>
      <w:r w:rsidR="001524E7">
        <w:t>, even if the instrument is no longer open to disallowance</w:t>
      </w:r>
      <w:r w:rsidR="004B6DB1" w:rsidRPr="00FD274F">
        <w:t xml:space="preserve">. </w:t>
      </w:r>
      <w:r w:rsidR="00295A2F" w:rsidRPr="00FD274F">
        <w:t>As part of this, the agency will need to:</w:t>
      </w:r>
    </w:p>
    <w:p w14:paraId="64799CF0" w14:textId="77777777" w:rsidR="00295A2F" w:rsidRPr="00FD274F" w:rsidRDefault="00295A2F" w:rsidP="00295A2F">
      <w:pPr>
        <w:pStyle w:val="BodyPara"/>
      </w:pPr>
      <w:r w:rsidRPr="00FD274F">
        <w:t>consider which form of statement is most appropriate (a supplementary statement may suffice if the issue is a minor omission);</w:t>
      </w:r>
      <w:r w:rsidR="00B00005" w:rsidRPr="00FD274F">
        <w:t xml:space="preserve"> and</w:t>
      </w:r>
    </w:p>
    <w:p w14:paraId="28869B4D" w14:textId="77777777" w:rsidR="00295A2F" w:rsidRPr="00FD274F" w:rsidRDefault="00295A2F" w:rsidP="00295A2F">
      <w:pPr>
        <w:pStyle w:val="BodyPara"/>
      </w:pPr>
      <w:r w:rsidRPr="00FD274F">
        <w:t>get the rule</w:t>
      </w:r>
      <w:r w:rsidR="009C4251">
        <w:noBreakHyphen/>
      </w:r>
      <w:r w:rsidRPr="00FD274F">
        <w:t xml:space="preserve">maker’s approval </w:t>
      </w:r>
      <w:r w:rsidR="00DE65D7">
        <w:t xml:space="preserve">for </w:t>
      </w:r>
      <w:r w:rsidRPr="00FD274F">
        <w:t xml:space="preserve">the supplementary or </w:t>
      </w:r>
      <w:r w:rsidR="00E06893">
        <w:t>replacement statement; and</w:t>
      </w:r>
    </w:p>
    <w:p w14:paraId="4F0092F7" w14:textId="350BA50E" w:rsidR="00295A2F" w:rsidRPr="00EC7C33" w:rsidRDefault="00295A2F" w:rsidP="00295A2F">
      <w:pPr>
        <w:pStyle w:val="BodyPara"/>
      </w:pPr>
      <w:r w:rsidRPr="00FD274F">
        <w:t xml:space="preserve">lodge the </w:t>
      </w:r>
      <w:r w:rsidR="00DE65D7">
        <w:t>supplementary or replacement</w:t>
      </w:r>
      <w:r w:rsidRPr="00FD274F">
        <w:t xml:space="preserve"> statement online with </w:t>
      </w:r>
      <w:proofErr w:type="spellStart"/>
      <w:r w:rsidRPr="00FD274F">
        <w:t>OPC</w:t>
      </w:r>
      <w:proofErr w:type="spellEnd"/>
      <w:r w:rsidRPr="00FD274F">
        <w:t xml:space="preserve">, so that </w:t>
      </w:r>
      <w:proofErr w:type="spellStart"/>
      <w:r w:rsidRPr="00FD274F">
        <w:t>OPC</w:t>
      </w:r>
      <w:proofErr w:type="spellEnd"/>
      <w:r w:rsidRPr="00FD274F">
        <w:t xml:space="preserve"> can register and deliver </w:t>
      </w:r>
      <w:r w:rsidR="005C76A8">
        <w:t>it</w:t>
      </w:r>
      <w:r w:rsidRPr="00FD274F">
        <w:t xml:space="preserve"> for tabling in accordance with s</w:t>
      </w:r>
      <w:r w:rsidRPr="00EC7C33">
        <w:t xml:space="preserve">ection 39 of the </w:t>
      </w:r>
      <w:hyperlink r:id="rId449" w:history="1">
        <w:hyperlink r:id="rId450" w:history="1">
          <w:hyperlink r:id="rId451" w:history="1">
            <w:r w:rsidR="004F5980" w:rsidRPr="00EC7C33">
              <w:rPr>
                <w:rStyle w:val="Hyperlink"/>
              </w:rPr>
              <w:t>LA</w:t>
            </w:r>
          </w:hyperlink>
        </w:hyperlink>
      </w:hyperlink>
      <w:r w:rsidRPr="00EC7C33">
        <w:t>.</w:t>
      </w:r>
    </w:p>
    <w:p w14:paraId="6412FE32" w14:textId="77777777" w:rsidR="00B00005" w:rsidRDefault="00DE65D7" w:rsidP="00B00005">
      <w:pPr>
        <w:pStyle w:val="BodyNum"/>
      </w:pPr>
      <w:bookmarkStart w:id="199" w:name="_Ref29483856"/>
      <w:r>
        <w:t>I</w:t>
      </w:r>
      <w:r w:rsidR="00A02B3B" w:rsidRPr="00FD274F">
        <w:t xml:space="preserve">f there </w:t>
      </w:r>
      <w:r w:rsidR="00B00005" w:rsidRPr="00FD274F">
        <w:t>are special requirements for a statement to be tabled by a particular date to ensure that an instrument is not disallowed</w:t>
      </w:r>
      <w:r>
        <w:t>, a</w:t>
      </w:r>
      <w:r w:rsidRPr="00FD274F">
        <w:t xml:space="preserve">gencies </w:t>
      </w:r>
      <w:r>
        <w:t xml:space="preserve">are advised to contact </w:t>
      </w:r>
      <w:proofErr w:type="spellStart"/>
      <w:r>
        <w:t>OPC</w:t>
      </w:r>
      <w:proofErr w:type="spellEnd"/>
      <w:r w:rsidR="00B00005" w:rsidRPr="00FD274F">
        <w:t>. Under no circumstances should agencies attempt to lodge statements directly with the Table Offices or scrutiny bodies.</w:t>
      </w:r>
      <w:bookmarkEnd w:id="199"/>
    </w:p>
    <w:p w14:paraId="47AEB6A8" w14:textId="77777777" w:rsidR="00346687" w:rsidRDefault="00346687" w:rsidP="00346687">
      <w:pPr>
        <w:pStyle w:val="Head3"/>
      </w:pPr>
      <w:bookmarkStart w:id="200" w:name="_Toc112918832"/>
      <w:r>
        <w:lastRenderedPageBreak/>
        <w:t>Supporting material</w:t>
      </w:r>
      <w:bookmarkEnd w:id="200"/>
    </w:p>
    <w:p w14:paraId="14A2137D" w14:textId="77777777" w:rsidR="00E527DB" w:rsidRPr="00FD274F" w:rsidRDefault="00E527DB" w:rsidP="00E527DB">
      <w:pPr>
        <w:pStyle w:val="BodyNum"/>
      </w:pPr>
      <w:r>
        <w:t>Any</w:t>
      </w:r>
      <w:r w:rsidRPr="00FD274F">
        <w:t xml:space="preserve"> supporting material </w:t>
      </w:r>
      <w:r w:rsidR="00166377">
        <w:t>that should be made available with an instrument</w:t>
      </w:r>
      <w:r>
        <w:t xml:space="preserve"> should </w:t>
      </w:r>
      <w:r w:rsidRPr="00FD274F">
        <w:t>also be attached (uploaded) to the online lodgement form. As with instruments</w:t>
      </w:r>
      <w:r>
        <w:t xml:space="preserve"> and explanatory statements</w:t>
      </w:r>
      <w:r w:rsidRPr="00FD274F">
        <w:t>, these documents:</w:t>
      </w:r>
    </w:p>
    <w:p w14:paraId="28D26EB0" w14:textId="1AC7C91A" w:rsidR="00E527DB" w:rsidRDefault="00E527DB" w:rsidP="00E527DB">
      <w:pPr>
        <w:pStyle w:val="BodyPara"/>
      </w:pPr>
      <w:r w:rsidRPr="00FD274F">
        <w:t>must be in .rtf, .doc or .docx format</w:t>
      </w:r>
      <w:r w:rsidR="008F008B">
        <w:t>,</w:t>
      </w:r>
      <w:r w:rsidRPr="00FD274F">
        <w:t xml:space="preserve"> unless the First Parliamentary Counsel has agreed to some other for</w:t>
      </w:r>
      <w:r w:rsidRPr="00EC7C33">
        <w:t xml:space="preserve">mat (see </w:t>
      </w:r>
      <w:hyperlink r:id="rId452" w:history="1">
        <w:r w:rsidRPr="00EC7C33">
          <w:rPr>
            <w:rStyle w:val="Hyperlink"/>
          </w:rPr>
          <w:t>Rule</w:t>
        </w:r>
      </w:hyperlink>
      <w:r w:rsidR="00E06893" w:rsidRPr="00EC7C33">
        <w:t xml:space="preserve"> s 5(3)); a</w:t>
      </w:r>
      <w:r w:rsidR="00E06893">
        <w:t>nd</w:t>
      </w:r>
    </w:p>
    <w:p w14:paraId="608CCB62" w14:textId="77777777" w:rsidR="008F008B" w:rsidRPr="00FD274F" w:rsidRDefault="008F008B" w:rsidP="008F008B">
      <w:pPr>
        <w:pStyle w:val="noteToPara"/>
        <w:ind w:left="1429"/>
      </w:pPr>
      <w:r w:rsidRPr="00FD274F">
        <w:t>Note:</w:t>
      </w:r>
      <w:r w:rsidRPr="00FD274F">
        <w:tab/>
      </w:r>
      <w:r>
        <w:t>Our preferred format is .docx.</w:t>
      </w:r>
    </w:p>
    <w:p w14:paraId="2BED2C55" w14:textId="7D7ABB11" w:rsidR="00E527DB" w:rsidRPr="00FD274F" w:rsidRDefault="00E527DB" w:rsidP="00E527DB">
      <w:pPr>
        <w:pStyle w:val="BodyPara"/>
      </w:pPr>
      <w:r w:rsidRPr="00FD274F">
        <w:t>must not contain macros, fields or other dynamic content that may interfere with the content of the documen</w:t>
      </w:r>
      <w:r w:rsidRPr="00EC7C33">
        <w:t xml:space="preserve">t (see </w:t>
      </w:r>
      <w:hyperlink r:id="rId453" w:history="1">
        <w:r w:rsidRPr="00EC7C33">
          <w:rPr>
            <w:rStyle w:val="Hyperlink"/>
          </w:rPr>
          <w:t>Rule</w:t>
        </w:r>
      </w:hyperlink>
      <w:r w:rsidRPr="00EC7C33">
        <w:t xml:space="preserve"> s 5(4)).</w:t>
      </w:r>
    </w:p>
    <w:bookmarkEnd w:id="198"/>
    <w:p w14:paraId="44CA7CEA" w14:textId="77777777" w:rsidR="00295A2F" w:rsidRPr="00FD274F" w:rsidRDefault="00D345B3" w:rsidP="00DE65D7">
      <w:pPr>
        <w:pStyle w:val="BodyNum"/>
      </w:pPr>
      <w:r w:rsidRPr="00FD274F">
        <w:br w:type="page"/>
      </w:r>
    </w:p>
    <w:p w14:paraId="2726F427" w14:textId="77777777" w:rsidR="00727ED5" w:rsidRPr="00FD274F" w:rsidRDefault="00F434C0" w:rsidP="004855B6">
      <w:pPr>
        <w:pStyle w:val="Head2"/>
      </w:pPr>
      <w:bookmarkStart w:id="201" w:name="_Toc112918833"/>
      <w:r w:rsidRPr="00FD274F">
        <w:lastRenderedPageBreak/>
        <w:t xml:space="preserve">Chapter </w:t>
      </w:r>
      <w:bookmarkStart w:id="202" w:name="Chapter9"/>
      <w:bookmarkEnd w:id="202"/>
      <w:r w:rsidR="00732846" w:rsidRPr="00FD274F">
        <w:t>9</w:t>
      </w:r>
      <w:r w:rsidRPr="00FD274F">
        <w:t>—</w:t>
      </w:r>
      <w:r w:rsidR="00727ED5" w:rsidRPr="00FD274F">
        <w:t xml:space="preserve">Parliamentary scrutiny </w:t>
      </w:r>
      <w:r w:rsidR="0084047D" w:rsidRPr="00FD274F">
        <w:t>(disallowance) processes</w:t>
      </w:r>
      <w:bookmarkEnd w:id="201"/>
    </w:p>
    <w:p w14:paraId="1C713929" w14:textId="77777777" w:rsidR="00727ED5" w:rsidRPr="00FD274F" w:rsidRDefault="00727ED5" w:rsidP="00A128EE">
      <w:pPr>
        <w:pStyle w:val="SundryBoxHeadBold"/>
      </w:pPr>
      <w:r w:rsidRPr="00FD274F">
        <w:t>Main points</w:t>
      </w:r>
    </w:p>
    <w:p w14:paraId="3EAAAE30" w14:textId="77777777" w:rsidR="00727ED5" w:rsidRDefault="00727ED5" w:rsidP="00F75BA9">
      <w:pPr>
        <w:pStyle w:val="SundryBoxBullet"/>
      </w:pPr>
      <w:r w:rsidRPr="00FD274F">
        <w:t>•</w:t>
      </w:r>
      <w:r w:rsidRPr="00FD274F">
        <w:tab/>
        <w:t xml:space="preserve">All </w:t>
      </w:r>
      <w:r w:rsidR="00B30E8A" w:rsidRPr="00FD274F">
        <w:t xml:space="preserve">legislative instruments that are registered </w:t>
      </w:r>
      <w:r w:rsidRPr="00FD274F">
        <w:t xml:space="preserve">must be tabled in each House of </w:t>
      </w:r>
      <w:r w:rsidR="00FC7415" w:rsidRPr="00FD274F">
        <w:t xml:space="preserve">the </w:t>
      </w:r>
      <w:r w:rsidRPr="00FD274F">
        <w:t>Parliament and, unless an exemption applies, they may be disallowed by either House.</w:t>
      </w:r>
    </w:p>
    <w:p w14:paraId="34E94E8A" w14:textId="77777777" w:rsidR="00856975" w:rsidRPr="00FD274F" w:rsidRDefault="00856975" w:rsidP="00F75BA9">
      <w:pPr>
        <w:pStyle w:val="SundryBoxBullet"/>
      </w:pPr>
      <w:r w:rsidRPr="00FD274F">
        <w:t>•</w:t>
      </w:r>
      <w:r w:rsidRPr="00FD274F">
        <w:tab/>
      </w:r>
      <w:r w:rsidR="00355C1C">
        <w:t>If a disallowable legislative instrument is rectified, it must be re</w:t>
      </w:r>
      <w:r w:rsidR="009C4251">
        <w:noBreakHyphen/>
      </w:r>
      <w:r w:rsidR="00355C1C">
        <w:t>tabled in each House of the Par</w:t>
      </w:r>
      <w:r w:rsidR="00234412">
        <w:t>liament and may be subject to a new or extended disallowance period.</w:t>
      </w:r>
    </w:p>
    <w:p w14:paraId="7576DB92" w14:textId="77777777" w:rsidR="00727ED5" w:rsidRPr="00FD274F" w:rsidRDefault="00727ED5" w:rsidP="00F75BA9">
      <w:pPr>
        <w:pStyle w:val="SundryBoxBullet"/>
      </w:pPr>
      <w:r w:rsidRPr="00FD274F">
        <w:t>•</w:t>
      </w:r>
      <w:r w:rsidRPr="00FD274F">
        <w:tab/>
      </w:r>
      <w:proofErr w:type="spellStart"/>
      <w:r w:rsidRPr="00FD274F">
        <w:t>OPC</w:t>
      </w:r>
      <w:proofErr w:type="spellEnd"/>
      <w:r w:rsidRPr="00FD274F">
        <w:t xml:space="preserve"> is responsible for </w:t>
      </w:r>
      <w:r w:rsidR="0032355E" w:rsidRPr="00FD274F">
        <w:t>deliver</w:t>
      </w:r>
      <w:r w:rsidRPr="00FD274F">
        <w:t xml:space="preserve">ing </w:t>
      </w:r>
      <w:r w:rsidR="00B30E8A" w:rsidRPr="00FD274F">
        <w:t xml:space="preserve">legislative </w:t>
      </w:r>
      <w:r w:rsidRPr="00FD274F">
        <w:t xml:space="preserve">instruments and their explanatory statements </w:t>
      </w:r>
      <w:r w:rsidR="0032355E" w:rsidRPr="00FD274F">
        <w:t xml:space="preserve">to the Parliament </w:t>
      </w:r>
      <w:r w:rsidRPr="00FD274F">
        <w:t>for tabling.</w:t>
      </w:r>
    </w:p>
    <w:p w14:paraId="6BD26F44" w14:textId="77777777" w:rsidR="0032355E" w:rsidRPr="00FD274F" w:rsidRDefault="00727ED5" w:rsidP="00F75BA9">
      <w:pPr>
        <w:pStyle w:val="SundryBoxBullet"/>
      </w:pPr>
      <w:r w:rsidRPr="00FD274F">
        <w:t>•</w:t>
      </w:r>
      <w:r w:rsidRPr="00FD274F">
        <w:tab/>
      </w:r>
      <w:r w:rsidR="0032355E" w:rsidRPr="00FD274F">
        <w:t xml:space="preserve">The Parliamentary Table Offices are responsible for tabling </w:t>
      </w:r>
      <w:r w:rsidR="00B30E8A" w:rsidRPr="00FD274F">
        <w:t xml:space="preserve">legislative </w:t>
      </w:r>
      <w:r w:rsidR="0032355E" w:rsidRPr="00FD274F">
        <w:t>instruments and explanatory statements.</w:t>
      </w:r>
    </w:p>
    <w:p w14:paraId="03036E08" w14:textId="77777777" w:rsidR="00727ED5" w:rsidRPr="00FD274F" w:rsidRDefault="0032355E" w:rsidP="00F75BA9">
      <w:pPr>
        <w:pStyle w:val="SundryBoxBullet"/>
      </w:pPr>
      <w:r w:rsidRPr="00FD274F">
        <w:t>•</w:t>
      </w:r>
      <w:r w:rsidRPr="00FD274F">
        <w:tab/>
      </w:r>
      <w:r w:rsidR="00727ED5" w:rsidRPr="00FD274F">
        <w:t>The parliamentary sit</w:t>
      </w:r>
      <w:r w:rsidR="00B30E8A" w:rsidRPr="00FD274F">
        <w:t>ting schedule determines when a legislative</w:t>
      </w:r>
      <w:r w:rsidR="00727ED5" w:rsidRPr="00FD274F">
        <w:t xml:space="preserve"> instrument can be tabled and how long it is open to disallowance</w:t>
      </w:r>
      <w:r w:rsidRPr="00FD274F">
        <w:t xml:space="preserve"> (if applicable)</w:t>
      </w:r>
      <w:r w:rsidR="00727ED5" w:rsidRPr="00FD274F">
        <w:t>.</w:t>
      </w:r>
    </w:p>
    <w:p w14:paraId="35A0D2CB" w14:textId="77777777" w:rsidR="00727ED5" w:rsidRPr="00FD274F" w:rsidRDefault="00727ED5" w:rsidP="00F75BA9">
      <w:pPr>
        <w:pStyle w:val="SundryBoxBullet"/>
      </w:pPr>
      <w:r w:rsidRPr="00FD274F">
        <w:t>•</w:t>
      </w:r>
      <w:r w:rsidRPr="00FD274F">
        <w:tab/>
        <w:t xml:space="preserve">If </w:t>
      </w:r>
      <w:r w:rsidR="00242B00">
        <w:t xml:space="preserve">a </w:t>
      </w:r>
      <w:r w:rsidRPr="00FD274F">
        <w:t xml:space="preserve">notice of motion to disallow is given but is not dealt with within 15 sitting days of </w:t>
      </w:r>
      <w:r w:rsidR="001E06CE">
        <w:t>the giving of that notice</w:t>
      </w:r>
      <w:r w:rsidRPr="00FD274F">
        <w:t>, the</w:t>
      </w:r>
      <w:r w:rsidR="00B30E8A" w:rsidRPr="00FD274F">
        <w:t xml:space="preserve"> legislative</w:t>
      </w:r>
      <w:r w:rsidRPr="00FD274F">
        <w:t xml:space="preserve"> instrument is automatically disallowed.</w:t>
      </w:r>
    </w:p>
    <w:p w14:paraId="75C37DD4" w14:textId="77777777" w:rsidR="00727ED5" w:rsidRPr="00FD274F" w:rsidRDefault="00B30E8A" w:rsidP="00F75BA9">
      <w:pPr>
        <w:pStyle w:val="SundryBoxBullet"/>
      </w:pPr>
      <w:r w:rsidRPr="00FD274F">
        <w:t>•</w:t>
      </w:r>
      <w:r w:rsidRPr="00FD274F">
        <w:tab/>
        <w:t>If a legislative</w:t>
      </w:r>
      <w:r w:rsidR="00727ED5" w:rsidRPr="00FD274F">
        <w:t xml:space="preserve"> instrument is disallowed, or is not tabled within 6 sitting days of registration, it </w:t>
      </w:r>
      <w:r w:rsidR="00F15671">
        <w:t>is repealed</w:t>
      </w:r>
      <w:r w:rsidR="00727ED5" w:rsidRPr="00FD274F">
        <w:t xml:space="preserve"> immediately and any amendment or repeal made by </w:t>
      </w:r>
      <w:r w:rsidRPr="00FD274F">
        <w:t>it i</w:t>
      </w:r>
      <w:r w:rsidR="00727ED5" w:rsidRPr="00FD274F">
        <w:t>s undone.</w:t>
      </w:r>
    </w:p>
    <w:p w14:paraId="67BF14D1" w14:textId="77777777" w:rsidR="00727ED5" w:rsidRDefault="00727ED5" w:rsidP="00F75BA9">
      <w:pPr>
        <w:pStyle w:val="SundryBoxBullet"/>
      </w:pPr>
      <w:r w:rsidRPr="00FD274F">
        <w:t>•</w:t>
      </w:r>
      <w:r w:rsidRPr="00FD274F">
        <w:tab/>
        <w:t>A</w:t>
      </w:r>
      <w:r w:rsidR="00B30E8A" w:rsidRPr="00FD274F">
        <w:t xml:space="preserve"> legislative </w:t>
      </w:r>
      <w:r w:rsidRPr="00FD274F">
        <w:t>instrument that has been registered recently, that is open to disallowance, or that has been disallowed in the last 6 months, generally cannot be remade.</w:t>
      </w:r>
    </w:p>
    <w:p w14:paraId="288E77DC" w14:textId="77777777" w:rsidR="00727ED5" w:rsidRPr="00FD274F" w:rsidRDefault="00727ED5" w:rsidP="004855B6">
      <w:pPr>
        <w:pStyle w:val="Head3"/>
      </w:pPr>
      <w:bookmarkStart w:id="203" w:name="_Toc112918834"/>
      <w:r w:rsidRPr="00FD274F">
        <w:t>Background</w:t>
      </w:r>
      <w:bookmarkEnd w:id="203"/>
    </w:p>
    <w:p w14:paraId="7C98F5E8" w14:textId="77777777" w:rsidR="00727ED5" w:rsidRPr="00FD274F" w:rsidRDefault="007E11F9" w:rsidP="0008193D">
      <w:pPr>
        <w:pStyle w:val="BodyNum"/>
      </w:pPr>
      <w:r w:rsidRPr="00FD274F">
        <w:t xml:space="preserve">Until 2005, </w:t>
      </w:r>
      <w:r w:rsidR="00727ED5" w:rsidRPr="00FD274F">
        <w:t xml:space="preserve">the process for deciding which instruments should be subject to parliamentary scrutiny and disallowance was largely ad hoc. An instrument was disallowable only if its enabling legislation declared it to be </w:t>
      </w:r>
      <w:r w:rsidR="0032355E" w:rsidRPr="00FD274F">
        <w:t xml:space="preserve">a statutory rule or otherwise </w:t>
      </w:r>
      <w:r w:rsidR="00727ED5" w:rsidRPr="00FD274F">
        <w:t xml:space="preserve">disallowable, and a variety of disallowance periods and regimes applied. Individual agencies were responsible for delivering instruments </w:t>
      </w:r>
      <w:r w:rsidR="00242B00">
        <w:t>for tabling if and as required.</w:t>
      </w:r>
    </w:p>
    <w:p w14:paraId="131EADF6" w14:textId="3B26DCCD" w:rsidR="00727ED5" w:rsidRPr="00FD274F" w:rsidRDefault="00FC7415" w:rsidP="0008193D">
      <w:pPr>
        <w:pStyle w:val="BodyNum"/>
      </w:pPr>
      <w:r w:rsidRPr="00EC7C33">
        <w:t xml:space="preserve">Part </w:t>
      </w:r>
      <w:r w:rsidR="00583239" w:rsidRPr="00EC7C33">
        <w:t>2</w:t>
      </w:r>
      <w:r w:rsidRPr="00EC7C33">
        <w:t xml:space="preserve"> of </w:t>
      </w:r>
      <w:r w:rsidR="007E11F9" w:rsidRPr="00EC7C33">
        <w:t>Chapter 3</w:t>
      </w:r>
      <w:r w:rsidR="00727ED5" w:rsidRPr="00EC7C33">
        <w:t xml:space="preserve"> of the </w:t>
      </w:r>
      <w:hyperlink r:id="rId454" w:history="1">
        <w:hyperlink r:id="rId455" w:history="1">
          <w:hyperlink r:id="rId456" w:history="1">
            <w:hyperlink r:id="rId457" w:history="1">
              <w:r w:rsidR="004F5980" w:rsidRPr="00EC7C33">
                <w:rPr>
                  <w:rStyle w:val="Hyperlink"/>
                </w:rPr>
                <w:t>LA</w:t>
              </w:r>
            </w:hyperlink>
            <w:r w:rsidR="004F5980" w:rsidRPr="00EC7C33">
              <w:rPr>
                <w:rStyle w:val="Hyperlink"/>
              </w:rPr>
              <w:t xml:space="preserve"> </w:t>
            </w:r>
          </w:hyperlink>
        </w:hyperlink>
      </w:hyperlink>
      <w:r w:rsidR="00727ED5" w:rsidRPr="00EC7C33">
        <w:t>e</w:t>
      </w:r>
      <w:r w:rsidR="00727ED5" w:rsidRPr="00FD274F">
        <w:t xml:space="preserve">stablishes, with some exceptions, a single regime for parliamentary scrutiny and disallowance of legislative instruments. </w:t>
      </w:r>
      <w:r w:rsidR="005C7DD1" w:rsidRPr="00FD274F">
        <w:t>In particular</w:t>
      </w:r>
      <w:r w:rsidR="00727ED5" w:rsidRPr="00FD274F">
        <w:t>:</w:t>
      </w:r>
    </w:p>
    <w:p w14:paraId="1B046068" w14:textId="14F2FBC3" w:rsidR="00727ED5" w:rsidRPr="00FD274F" w:rsidRDefault="00727ED5" w:rsidP="0008193D">
      <w:pPr>
        <w:pStyle w:val="BodyPara"/>
      </w:pPr>
      <w:r w:rsidRPr="00FD274F">
        <w:t xml:space="preserve">all </w:t>
      </w:r>
      <w:r w:rsidR="007E11F9" w:rsidRPr="00FD274F">
        <w:t xml:space="preserve">legislative </w:t>
      </w:r>
      <w:r w:rsidRPr="00FD274F">
        <w:t>instruments must be tabled in each House of the Parliament within 6 sitting days of registration to remain in ef</w:t>
      </w:r>
      <w:r w:rsidRPr="00EC7C33">
        <w:t>fect (</w:t>
      </w:r>
      <w:hyperlink r:id="rId458" w:history="1">
        <w:hyperlink r:id="rId459" w:history="1">
          <w:hyperlink r:id="rId460" w:history="1">
            <w:r w:rsidR="004F5980" w:rsidRPr="00EC7C33">
              <w:rPr>
                <w:rStyle w:val="Hyperlink"/>
              </w:rPr>
              <w:t>LA</w:t>
            </w:r>
          </w:hyperlink>
          <w:r w:rsidR="004F5980" w:rsidRPr="00EC7C33">
            <w:rPr>
              <w:rStyle w:val="Hyperlink"/>
            </w:rPr>
            <w:t xml:space="preserve"> </w:t>
          </w:r>
        </w:hyperlink>
      </w:hyperlink>
      <w:r w:rsidRPr="00EC7C33">
        <w:t>s 38); an</w:t>
      </w:r>
      <w:r w:rsidRPr="00FD274F">
        <w:t>d</w:t>
      </w:r>
    </w:p>
    <w:p w14:paraId="11F32570" w14:textId="40F6C075" w:rsidR="00727ED5" w:rsidRPr="00EC7C33" w:rsidRDefault="00727ED5" w:rsidP="0008193D">
      <w:pPr>
        <w:pStyle w:val="BodyPara"/>
        <w:rPr>
          <w:spacing w:val="-2"/>
        </w:rPr>
      </w:pPr>
      <w:r w:rsidRPr="00FD274F">
        <w:rPr>
          <w:spacing w:val="-2"/>
        </w:rPr>
        <w:t xml:space="preserve">all </w:t>
      </w:r>
      <w:r w:rsidR="007E11F9" w:rsidRPr="00FD274F">
        <w:rPr>
          <w:spacing w:val="-2"/>
        </w:rPr>
        <w:t xml:space="preserve">legislative </w:t>
      </w:r>
      <w:r w:rsidRPr="00FD274F">
        <w:rPr>
          <w:spacing w:val="-2"/>
        </w:rPr>
        <w:t xml:space="preserve">instruments are subject to disallowance by either House for a period of </w:t>
      </w:r>
      <w:r w:rsidR="00FB455C">
        <w:rPr>
          <w:spacing w:val="-2"/>
        </w:rPr>
        <w:t>at least</w:t>
      </w:r>
      <w:r w:rsidR="001C16FE">
        <w:rPr>
          <w:spacing w:val="-2"/>
        </w:rPr>
        <w:t xml:space="preserve"> </w:t>
      </w:r>
      <w:r w:rsidRPr="00FD274F">
        <w:rPr>
          <w:spacing w:val="-2"/>
        </w:rPr>
        <w:t>15 sitt</w:t>
      </w:r>
      <w:r w:rsidRPr="00EC7C33">
        <w:rPr>
          <w:spacing w:val="-2"/>
        </w:rPr>
        <w:t>ing days (</w:t>
      </w:r>
      <w:hyperlink r:id="rId461" w:history="1">
        <w:hyperlink r:id="rId462" w:history="1">
          <w:hyperlink r:id="rId463" w:history="1">
            <w:r w:rsidR="004F5980" w:rsidRPr="00EC7C33">
              <w:rPr>
                <w:rStyle w:val="Hyperlink"/>
              </w:rPr>
              <w:t>LA</w:t>
            </w:r>
          </w:hyperlink>
          <w:r w:rsidR="004F5980" w:rsidRPr="00EC7C33">
            <w:rPr>
              <w:rStyle w:val="Hyperlink"/>
            </w:rPr>
            <w:t xml:space="preserve"> </w:t>
          </w:r>
        </w:hyperlink>
      </w:hyperlink>
      <w:r w:rsidRPr="00EC7C33">
        <w:rPr>
          <w:spacing w:val="-2"/>
        </w:rPr>
        <w:t>s 42), u</w:t>
      </w:r>
      <w:r w:rsidRPr="00FD274F">
        <w:rPr>
          <w:spacing w:val="-2"/>
        </w:rPr>
        <w:t>nless an exemption applies (</w:t>
      </w:r>
      <w:hyperlink r:id="rId464" w:history="1">
        <w:hyperlink r:id="rId465" w:history="1">
          <w:hyperlink r:id="rId466" w:history="1">
            <w:r w:rsidR="004F5980" w:rsidRPr="00EC7C33">
              <w:rPr>
                <w:rStyle w:val="Hyperlink"/>
              </w:rPr>
              <w:t>LA</w:t>
            </w:r>
          </w:hyperlink>
          <w:r w:rsidR="004F5980" w:rsidRPr="00EC7C33">
            <w:rPr>
              <w:rStyle w:val="Hyperlink"/>
            </w:rPr>
            <w:t xml:space="preserve"> </w:t>
          </w:r>
        </w:hyperlink>
      </w:hyperlink>
      <w:r w:rsidR="001E06CE" w:rsidRPr="00EC7C33">
        <w:rPr>
          <w:spacing w:val="-2"/>
        </w:rPr>
        <w:t>s</w:t>
      </w:r>
      <w:r w:rsidR="001E06CE" w:rsidRPr="00EC7C33">
        <w:t> </w:t>
      </w:r>
      <w:r w:rsidR="00242B00" w:rsidRPr="00EC7C33">
        <w:rPr>
          <w:spacing w:val="-2"/>
        </w:rPr>
        <w:t>44); and</w:t>
      </w:r>
    </w:p>
    <w:p w14:paraId="37F0013F" w14:textId="7BF6A5B9" w:rsidR="00727ED5" w:rsidRPr="00FD274F" w:rsidRDefault="00727ED5" w:rsidP="0008193D">
      <w:pPr>
        <w:pStyle w:val="BodyPara"/>
      </w:pPr>
      <w:r w:rsidRPr="00FD274F">
        <w:t>a</w:t>
      </w:r>
      <w:r w:rsidR="007E11F9" w:rsidRPr="00FD274F">
        <w:t xml:space="preserve"> legislative </w:t>
      </w:r>
      <w:r w:rsidRPr="00FD274F">
        <w:t>instrument generally cannot be remade pending tabling or for a period after tabli</w:t>
      </w:r>
      <w:r w:rsidRPr="00EC7C33">
        <w:t>ng (</w:t>
      </w:r>
      <w:hyperlink r:id="rId467" w:history="1">
        <w:hyperlink r:id="rId468" w:history="1">
          <w:hyperlink r:id="rId469" w:history="1">
            <w:r w:rsidR="004F5980" w:rsidRPr="00EC7C33">
              <w:rPr>
                <w:rStyle w:val="Hyperlink"/>
              </w:rPr>
              <w:t>LA</w:t>
            </w:r>
          </w:hyperlink>
          <w:r w:rsidR="004F5980" w:rsidRPr="00EC7C33">
            <w:rPr>
              <w:rStyle w:val="Hyperlink"/>
            </w:rPr>
            <w:t xml:space="preserve"> </w:t>
          </w:r>
        </w:hyperlink>
      </w:hyperlink>
      <w:r w:rsidRPr="00EC7C33">
        <w:t>s 46), w</w:t>
      </w:r>
      <w:r w:rsidRPr="00FD274F">
        <w:t xml:space="preserve">hile </w:t>
      </w:r>
      <w:r w:rsidR="00D324C1" w:rsidRPr="00FD274F">
        <w:t>open to disallowanc</w:t>
      </w:r>
      <w:r w:rsidR="00D324C1" w:rsidRPr="00EC7C33">
        <w:t>e (</w:t>
      </w:r>
      <w:hyperlink r:id="rId470" w:history="1">
        <w:hyperlink r:id="rId471" w:history="1">
          <w:hyperlink r:id="rId472" w:history="1">
            <w:r w:rsidR="004F5980" w:rsidRPr="00EC7C33">
              <w:rPr>
                <w:rStyle w:val="Hyperlink"/>
              </w:rPr>
              <w:t>LA</w:t>
            </w:r>
          </w:hyperlink>
          <w:r w:rsidR="004F5980" w:rsidRPr="00EC7C33">
            <w:rPr>
              <w:rStyle w:val="Hyperlink"/>
            </w:rPr>
            <w:t xml:space="preserve"> </w:t>
          </w:r>
        </w:hyperlink>
      </w:hyperlink>
      <w:r w:rsidR="00D324C1" w:rsidRPr="00EC7C33">
        <w:t>s 47)</w:t>
      </w:r>
      <w:r w:rsidR="00D324C1" w:rsidRPr="00FD274F">
        <w:t xml:space="preserve"> or, </w:t>
      </w:r>
      <w:r w:rsidRPr="00FD274F">
        <w:t>if the instrument is disallowed</w:t>
      </w:r>
      <w:r w:rsidR="00D324C1" w:rsidRPr="00FD274F">
        <w:t>,</w:t>
      </w:r>
      <w:r w:rsidRPr="00FD274F">
        <w:t xml:space="preserve"> for 6 m</w:t>
      </w:r>
      <w:r w:rsidR="005C7DD1" w:rsidRPr="00FD274F">
        <w:t>onths</w:t>
      </w:r>
      <w:r w:rsidR="002F1637" w:rsidRPr="00FD274F">
        <w:t xml:space="preserve"> after disallow</w:t>
      </w:r>
      <w:r w:rsidR="002F1637" w:rsidRPr="00EC7C33">
        <w:t>ance (</w:t>
      </w:r>
      <w:hyperlink r:id="rId473" w:history="1">
        <w:hyperlink r:id="rId474" w:history="1">
          <w:hyperlink r:id="rId475" w:history="1">
            <w:r w:rsidR="004F5980" w:rsidRPr="00EC7C33">
              <w:rPr>
                <w:rStyle w:val="Hyperlink"/>
              </w:rPr>
              <w:t>LA</w:t>
            </w:r>
          </w:hyperlink>
          <w:r w:rsidR="004F5980" w:rsidRPr="00EC7C33">
            <w:rPr>
              <w:rStyle w:val="Hyperlink"/>
            </w:rPr>
            <w:t xml:space="preserve"> </w:t>
          </w:r>
        </w:hyperlink>
      </w:hyperlink>
      <w:r w:rsidR="002F1637" w:rsidRPr="00EC7C33">
        <w:t>s 48).</w:t>
      </w:r>
    </w:p>
    <w:p w14:paraId="0D6C9346" w14:textId="081BFAD5" w:rsidR="00727ED5" w:rsidRPr="00EC7C33" w:rsidRDefault="00727ED5" w:rsidP="00F9361C">
      <w:pPr>
        <w:pStyle w:val="BodyNum"/>
        <w:keepNext/>
        <w:keepLines/>
      </w:pPr>
      <w:bookmarkStart w:id="204" w:name="_Ref440451882"/>
      <w:r w:rsidRPr="00FD274F">
        <w:lastRenderedPageBreak/>
        <w:t xml:space="preserve">The Parliament’s sitting schedule is normally released at the start of each Parliament and each year, but extra sittings may be scheduled as needed. The Houses may sit on different days, and a </w:t>
      </w:r>
      <w:r w:rsidRPr="00FD274F">
        <w:rPr>
          <w:b/>
          <w:i/>
        </w:rPr>
        <w:t>sitting day</w:t>
      </w:r>
      <w:r w:rsidRPr="00FD274F">
        <w:t xml:space="preserve"> does not necessarily</w:t>
      </w:r>
      <w:r w:rsidR="002F1637" w:rsidRPr="00FD274F">
        <w:t xml:space="preserve"> </w:t>
      </w:r>
      <w:r w:rsidRPr="00FD274F">
        <w:t>correspond to a calendar day</w:t>
      </w:r>
      <w:r w:rsidR="00F9361C">
        <w:t xml:space="preserve"> </w:t>
      </w:r>
      <w:r w:rsidR="00F9361C" w:rsidRPr="00EC7C33">
        <w:t xml:space="preserve">(see </w:t>
      </w:r>
      <w:hyperlink r:id="rId476" w:history="1">
        <w:hyperlink r:id="rId477" w:history="1">
          <w:r w:rsidR="00F9361C" w:rsidRPr="00EC7C33">
            <w:rPr>
              <w:rStyle w:val="Hyperlink"/>
              <w:i/>
            </w:rPr>
            <w:t>Acts Interpretation Act 1901</w:t>
          </w:r>
        </w:hyperlink>
      </w:hyperlink>
      <w:r w:rsidR="00F9361C" w:rsidRPr="00EC7C33">
        <w:t xml:space="preserve"> s 2M)</w:t>
      </w:r>
      <w:r w:rsidR="000F41A7" w:rsidRPr="00EC7C33">
        <w:t>. F</w:t>
      </w:r>
      <w:r w:rsidRPr="00EC7C33">
        <w:t>or example:</w:t>
      </w:r>
      <w:bookmarkEnd w:id="204"/>
    </w:p>
    <w:p w14:paraId="195A9F8D" w14:textId="77777777" w:rsidR="00727ED5" w:rsidRPr="00FD274F" w:rsidRDefault="00727ED5" w:rsidP="0008193D">
      <w:pPr>
        <w:pStyle w:val="BodyPara"/>
      </w:pPr>
      <w:r w:rsidRPr="00FD274F">
        <w:t>a sitting day may extend beyond a calenda</w:t>
      </w:r>
      <w:r w:rsidR="00242B00">
        <w:t>r day if a House sits late; and</w:t>
      </w:r>
    </w:p>
    <w:p w14:paraId="44A7A3C3" w14:textId="77777777" w:rsidR="0039737A" w:rsidRPr="00CA2E52" w:rsidRDefault="0039737A" w:rsidP="0039737A">
      <w:pPr>
        <w:pStyle w:val="BodyPara"/>
      </w:pPr>
      <w:r w:rsidRPr="00CA2E52">
        <w:t xml:space="preserve">a sitting </w:t>
      </w:r>
      <w:r>
        <w:t xml:space="preserve">without adjournment </w:t>
      </w:r>
      <w:r w:rsidRPr="00CA2E52">
        <w:t>that is suspended and resumes on a later day onl</w:t>
      </w:r>
      <w:r w:rsidR="000F41A7">
        <w:t>y counts as one sitting day.</w:t>
      </w:r>
    </w:p>
    <w:p w14:paraId="6E424AE0" w14:textId="5E04AF1D" w:rsidR="002F1637" w:rsidRPr="00FD274F" w:rsidRDefault="00727ED5" w:rsidP="002F1637">
      <w:pPr>
        <w:pStyle w:val="BodyNum"/>
      </w:pPr>
      <w:r w:rsidRPr="00FD274F">
        <w:t xml:space="preserve">For </w:t>
      </w:r>
      <w:r w:rsidR="002F1637" w:rsidRPr="00FD274F">
        <w:t>the purpose</w:t>
      </w:r>
      <w:r w:rsidR="002F1637" w:rsidRPr="00EC7C33">
        <w:t xml:space="preserve">s of </w:t>
      </w:r>
      <w:r w:rsidR="007E11F9" w:rsidRPr="00EC7C33">
        <w:t>Part 2</w:t>
      </w:r>
      <w:r w:rsidR="002F1637" w:rsidRPr="00EC7C33">
        <w:t xml:space="preserve"> of</w:t>
      </w:r>
      <w:r w:rsidR="00FC7415" w:rsidRPr="00EC7C33">
        <w:t xml:space="preserve"> Chapter 3</w:t>
      </w:r>
      <w:r w:rsidR="002F1637" w:rsidRPr="00EC7C33">
        <w:t xml:space="preserve"> </w:t>
      </w:r>
      <w:r w:rsidR="00583239" w:rsidRPr="00EC7C33">
        <w:t xml:space="preserve">of </w:t>
      </w:r>
      <w:r w:rsidR="002F1637" w:rsidRPr="00EC7C33">
        <w:t xml:space="preserve">the </w:t>
      </w:r>
      <w:hyperlink r:id="rId478" w:history="1">
        <w:hyperlink r:id="rId479" w:history="1">
          <w:hyperlink r:id="rId480" w:history="1">
            <w:r w:rsidR="004F5980" w:rsidRPr="00EC7C33">
              <w:rPr>
                <w:rStyle w:val="Hyperlink"/>
              </w:rPr>
              <w:t>LA</w:t>
            </w:r>
          </w:hyperlink>
        </w:hyperlink>
      </w:hyperlink>
      <w:r w:rsidR="002F1637" w:rsidRPr="00EC7C33">
        <w:t xml:space="preserve">, </w:t>
      </w:r>
      <w:r w:rsidRPr="00EC7C33">
        <w:t>15</w:t>
      </w:r>
      <w:r w:rsidRPr="00FD274F">
        <w:t xml:space="preserve"> sitting days of a House of the Parliament can equate to several months and is calculated from the first sitting day of a House after the sitting day on which the instrument is tabled. Similarly, the 6</w:t>
      </w:r>
      <w:r w:rsidR="009C4251">
        <w:noBreakHyphen/>
      </w:r>
      <w:r w:rsidRPr="00FD274F">
        <w:t>sitting day deadline for the tabling of an instrument is calculated from the first sitting day of a House after t</w:t>
      </w:r>
      <w:r w:rsidR="002F1637" w:rsidRPr="00FD274F">
        <w:t>he day of registration.</w:t>
      </w:r>
    </w:p>
    <w:p w14:paraId="003F67D1" w14:textId="77777777" w:rsidR="00623BAD" w:rsidRPr="00FD274F" w:rsidRDefault="00623BAD" w:rsidP="00623BAD">
      <w:pPr>
        <w:pStyle w:val="Head4"/>
      </w:pPr>
      <w:bookmarkStart w:id="205" w:name="_Toc112918835"/>
      <w:r w:rsidRPr="00FD274F">
        <w:t xml:space="preserve">If </w:t>
      </w:r>
      <w:r w:rsidR="009C4E65" w:rsidRPr="00FD274F">
        <w:t xml:space="preserve">an enabling Act has special requirements for </w:t>
      </w:r>
      <w:r w:rsidRPr="00FD274F">
        <w:t>tabling or disallowance</w:t>
      </w:r>
      <w:bookmarkEnd w:id="205"/>
    </w:p>
    <w:p w14:paraId="1B7E7AE5" w14:textId="55C9F0D2" w:rsidR="00623BAD" w:rsidRPr="00FD274F" w:rsidRDefault="00623BAD" w:rsidP="00850BC0">
      <w:pPr>
        <w:pStyle w:val="BodyNum"/>
      </w:pPr>
      <w:r w:rsidRPr="00FD274F">
        <w:t xml:space="preserve">An instrument’s enabling legislation </w:t>
      </w:r>
      <w:r w:rsidR="005072C0" w:rsidRPr="00FD274F">
        <w:t xml:space="preserve">sometimes </w:t>
      </w:r>
      <w:r w:rsidRPr="00FD274F">
        <w:t>include</w:t>
      </w:r>
      <w:r w:rsidR="005072C0" w:rsidRPr="00FD274F">
        <w:t>s</w:t>
      </w:r>
      <w:r w:rsidRPr="00FD274F">
        <w:t xml:space="preserve"> provisions</w:t>
      </w:r>
      <w:r w:rsidR="009C4E65" w:rsidRPr="00FD274F">
        <w:t xml:space="preserve"> </w:t>
      </w:r>
      <w:r w:rsidRPr="00FD274F">
        <w:t>for the tabling o</w:t>
      </w:r>
      <w:r w:rsidR="00F14307" w:rsidRPr="00FD274F">
        <w:t>r</w:t>
      </w:r>
      <w:r w:rsidRPr="00FD274F">
        <w:t xml:space="preserve"> disallowance of instruments that duplicate or differ from the standard regim</w:t>
      </w:r>
      <w:r w:rsidR="007E11F9" w:rsidRPr="00FD274F">
        <w:t xml:space="preserve">e established by the </w:t>
      </w:r>
      <w:hyperlink r:id="rId481" w:history="1">
        <w:hyperlink r:id="rId482" w:history="1">
          <w:hyperlink r:id="rId483" w:history="1">
            <w:r w:rsidR="00EC7C33" w:rsidRPr="00EC7C33">
              <w:rPr>
                <w:rStyle w:val="Hyperlink"/>
              </w:rPr>
              <w:t>LA</w:t>
            </w:r>
          </w:hyperlink>
        </w:hyperlink>
      </w:hyperlink>
      <w:r w:rsidR="007E11F9" w:rsidRPr="00EC7C33">
        <w:t>.</w:t>
      </w:r>
      <w:r w:rsidR="007E11F9" w:rsidRPr="00FD274F">
        <w:t xml:space="preserve"> The </w:t>
      </w:r>
      <w:hyperlink r:id="rId484" w:history="1">
        <w:hyperlink r:id="rId485" w:history="1">
          <w:hyperlink r:id="rId486" w:history="1">
            <w:r w:rsidR="00EC7C33" w:rsidRPr="00EC7C33">
              <w:rPr>
                <w:rStyle w:val="Hyperlink"/>
              </w:rPr>
              <w:t>LA</w:t>
            </w:r>
          </w:hyperlink>
        </w:hyperlink>
      </w:hyperlink>
      <w:r w:rsidRPr="00EC7C33">
        <w:t xml:space="preserve"> wi</w:t>
      </w:r>
      <w:r w:rsidRPr="00FD274F">
        <w:t xml:space="preserve">ll generally </w:t>
      </w:r>
      <w:r w:rsidR="00A001F1" w:rsidRPr="00FD274F">
        <w:t>displa</w:t>
      </w:r>
      <w:r w:rsidR="003A1103" w:rsidRPr="00FD274F">
        <w:t>ce</w:t>
      </w:r>
      <w:r w:rsidR="00A001F1" w:rsidRPr="00FD274F">
        <w:t xml:space="preserve"> such </w:t>
      </w:r>
      <w:r w:rsidR="009C4E65" w:rsidRPr="00FD274F">
        <w:t xml:space="preserve">special </w:t>
      </w:r>
      <w:r w:rsidRPr="00FD274F">
        <w:t>provisions</w:t>
      </w:r>
      <w:r w:rsidR="00A001F1" w:rsidRPr="00FD274F">
        <w:t>,</w:t>
      </w:r>
      <w:r w:rsidRPr="00FD274F">
        <w:t xml:space="preserve"> unless they:</w:t>
      </w:r>
    </w:p>
    <w:p w14:paraId="5E3D5EFC" w14:textId="3C150CDB" w:rsidR="00623BAD" w:rsidRPr="00FD274F" w:rsidRDefault="00623BAD" w:rsidP="00623BAD">
      <w:pPr>
        <w:pStyle w:val="BodyPara"/>
      </w:pPr>
      <w:r w:rsidRPr="00FD274F">
        <w:t xml:space="preserve">are </w:t>
      </w:r>
      <w:r w:rsidR="00850BC0" w:rsidRPr="00FD274F">
        <w:t xml:space="preserve">preserved by regulations made under </w:t>
      </w:r>
      <w:r w:rsidR="00FC7415" w:rsidRPr="00EC7C33">
        <w:t>sub</w:t>
      </w:r>
      <w:r w:rsidR="00850BC0" w:rsidRPr="00EC7C33">
        <w:t>section 57</w:t>
      </w:r>
      <w:r w:rsidR="00EB22C6" w:rsidRPr="00EC7C33">
        <w:t>(5)</w:t>
      </w:r>
      <w:r w:rsidR="00850BC0" w:rsidRPr="00EC7C33">
        <w:t xml:space="preserve"> of the </w:t>
      </w:r>
      <w:hyperlink r:id="rId487" w:history="1">
        <w:hyperlink r:id="rId488" w:history="1">
          <w:hyperlink r:id="rId489" w:history="1">
            <w:r w:rsidR="004F5980" w:rsidRPr="00EC7C33">
              <w:rPr>
                <w:rStyle w:val="Hyperlink"/>
              </w:rPr>
              <w:t>LA</w:t>
            </w:r>
          </w:hyperlink>
        </w:hyperlink>
      </w:hyperlink>
      <w:r w:rsidR="00EB22C6" w:rsidRPr="00EC7C33">
        <w:t>;</w:t>
      </w:r>
      <w:r w:rsidR="00EB22C6" w:rsidRPr="00FD274F">
        <w:t xml:space="preserve"> </w:t>
      </w:r>
      <w:r w:rsidR="00242B00">
        <w:t>or</w:t>
      </w:r>
    </w:p>
    <w:p w14:paraId="7371CFD2" w14:textId="0E9AF040" w:rsidR="00850BC0" w:rsidRPr="00FD274F" w:rsidRDefault="00EB22C6" w:rsidP="00623BAD">
      <w:pPr>
        <w:pStyle w:val="BodyPara"/>
      </w:pPr>
      <w:r w:rsidRPr="00FD274F">
        <w:t xml:space="preserve">were made after the </w:t>
      </w:r>
      <w:hyperlink r:id="rId490" w:history="1">
        <w:r w:rsidR="00E25493" w:rsidRPr="00EC7C33">
          <w:rPr>
            <w:rStyle w:val="Hyperlink"/>
          </w:rPr>
          <w:t>LA</w:t>
        </w:r>
      </w:hyperlink>
      <w:r w:rsidRPr="00FD274F">
        <w:t xml:space="preserve"> commenced on 1 January 2005.</w:t>
      </w:r>
    </w:p>
    <w:p w14:paraId="703EA92A" w14:textId="68FF6DB0" w:rsidR="00850BC0" w:rsidRPr="00FD274F" w:rsidRDefault="00623BAD" w:rsidP="00623BAD">
      <w:pPr>
        <w:pStyle w:val="BodyNum"/>
      </w:pPr>
      <w:r w:rsidRPr="00FD274F">
        <w:t xml:space="preserve">If a special regime for tabling or disallowance applies, agencies should flag this as a special requirement </w:t>
      </w:r>
      <w:r w:rsidR="00850BC0" w:rsidRPr="00FD274F">
        <w:t>when lodging the instrument for registratio</w:t>
      </w:r>
      <w:r w:rsidRPr="00FD274F">
        <w:t xml:space="preserve">n, and make their own calculations as to deadlines. Agencies should also </w:t>
      </w:r>
      <w:r w:rsidR="000D63D1" w:rsidRPr="00FD274F">
        <w:t xml:space="preserve">consider adopting </w:t>
      </w:r>
      <w:r w:rsidR="000D63D1" w:rsidRPr="00EC7C33">
        <w:t xml:space="preserve">the </w:t>
      </w:r>
      <w:hyperlink r:id="rId491" w:history="1">
        <w:r w:rsidR="00E25493" w:rsidRPr="00EC7C33">
          <w:rPr>
            <w:rStyle w:val="Hyperlink"/>
          </w:rPr>
          <w:t>LA</w:t>
        </w:r>
      </w:hyperlink>
      <w:r w:rsidR="00850BC0" w:rsidRPr="00EC7C33">
        <w:t xml:space="preserve"> s</w:t>
      </w:r>
      <w:r w:rsidR="00850BC0" w:rsidRPr="00FD274F">
        <w:t xml:space="preserve">tandard to avoid making the scrutiny process more complex than it needs to </w:t>
      </w:r>
      <w:r w:rsidR="00850BC0" w:rsidRPr="00EC7C33">
        <w:t>be</w:t>
      </w:r>
      <w:r w:rsidR="00850BC0" w:rsidRPr="00EC7C33">
        <w:rPr>
          <w:rStyle w:val="FootnoteReference"/>
        </w:rPr>
        <w:footnoteReference w:id="29"/>
      </w:r>
      <w:r w:rsidR="00850BC0" w:rsidRPr="00EC7C33">
        <w:t>.</w:t>
      </w:r>
    </w:p>
    <w:p w14:paraId="2EECB675" w14:textId="77777777" w:rsidR="00727ED5" w:rsidRPr="00FD274F" w:rsidRDefault="0076692A" w:rsidP="004855B6">
      <w:pPr>
        <w:pStyle w:val="Head3"/>
      </w:pPr>
      <w:bookmarkStart w:id="206" w:name="_Toc112918836"/>
      <w:r>
        <w:t xml:space="preserve">Responsibility </w:t>
      </w:r>
      <w:r w:rsidR="00727ED5" w:rsidRPr="00FD274F">
        <w:t>for delivering instruments for tabling</w:t>
      </w:r>
      <w:bookmarkEnd w:id="206"/>
    </w:p>
    <w:p w14:paraId="4A206645" w14:textId="4635F458" w:rsidR="00727ED5" w:rsidRPr="00FD274F" w:rsidRDefault="00727ED5" w:rsidP="0008193D">
      <w:pPr>
        <w:pStyle w:val="BodyNum"/>
      </w:pPr>
      <w:proofErr w:type="spellStart"/>
      <w:r w:rsidRPr="00FD274F">
        <w:t>OPC</w:t>
      </w:r>
      <w:proofErr w:type="spellEnd"/>
      <w:r w:rsidRPr="00FD274F">
        <w:t xml:space="preserve"> is responsible for delivering registered instruments for tabling (</w:t>
      </w:r>
      <w:hyperlink r:id="rId492" w:history="1">
        <w:hyperlink r:id="rId493" w:history="1">
          <w:hyperlink r:id="rId494" w:history="1">
            <w:hyperlink r:id="rId495" w:history="1">
              <w:r w:rsidR="004F5980" w:rsidRPr="00EC7C33">
                <w:rPr>
                  <w:rStyle w:val="Hyperlink"/>
                </w:rPr>
                <w:t>LA</w:t>
              </w:r>
            </w:hyperlink>
            <w:r w:rsidR="004F5980" w:rsidRPr="00EC7C33">
              <w:rPr>
                <w:rStyle w:val="Hyperlink"/>
              </w:rPr>
              <w:t xml:space="preserve"> </w:t>
            </w:r>
          </w:hyperlink>
        </w:hyperlink>
      </w:hyperlink>
      <w:r w:rsidRPr="00EC7C33">
        <w:t>s 38(1)),</w:t>
      </w:r>
      <w:r w:rsidRPr="00FD274F">
        <w:t xml:space="preserve"> and generally does so as soon as practicable after they are registered whether or not the Parliament is sitting. As part of this process, </w:t>
      </w:r>
      <w:proofErr w:type="spellStart"/>
      <w:r w:rsidRPr="00FD274F">
        <w:t>OPC</w:t>
      </w:r>
      <w:proofErr w:type="spellEnd"/>
      <w:r w:rsidRPr="00FD274F">
        <w:t>:</w:t>
      </w:r>
    </w:p>
    <w:p w14:paraId="58002EA5" w14:textId="7F59532A" w:rsidR="00727ED5" w:rsidRPr="00FD274F" w:rsidRDefault="0013097A" w:rsidP="0008193D">
      <w:pPr>
        <w:pStyle w:val="BodyPara"/>
      </w:pPr>
      <w:r>
        <w:t>delivers</w:t>
      </w:r>
      <w:r w:rsidR="00727ED5" w:rsidRPr="00FD274F">
        <w:t xml:space="preserve"> </w:t>
      </w:r>
      <w:r w:rsidR="00E15440">
        <w:t>hard copies of each instrument and its explanatory statement</w:t>
      </w:r>
      <w:r w:rsidR="002600D1">
        <w:t>, including any supplem</w:t>
      </w:r>
      <w:r w:rsidR="00066F17">
        <w:t>e</w:t>
      </w:r>
      <w:r w:rsidR="002600D1">
        <w:t>ntary materials such as a Regulatory Impact Statement</w:t>
      </w:r>
      <w:r>
        <w:t>, to the Table Offices</w:t>
      </w:r>
      <w:r w:rsidR="00727ED5" w:rsidRPr="00FD274F">
        <w:t>; and</w:t>
      </w:r>
    </w:p>
    <w:p w14:paraId="19DF76C2" w14:textId="05D740F4" w:rsidR="003D65F8" w:rsidRPr="00FD274F" w:rsidRDefault="00727ED5" w:rsidP="003D65F8">
      <w:pPr>
        <w:pStyle w:val="BodyPara"/>
      </w:pPr>
      <w:r w:rsidRPr="00FD274F">
        <w:t>works wi</w:t>
      </w:r>
      <w:r w:rsidR="00FB455C">
        <w:t xml:space="preserve">th the </w:t>
      </w:r>
      <w:r w:rsidR="001E06CE">
        <w:t>T</w:t>
      </w:r>
      <w:r w:rsidRPr="00FD274F">
        <w:t xml:space="preserve">able </w:t>
      </w:r>
      <w:r w:rsidR="001E06CE">
        <w:t>O</w:t>
      </w:r>
      <w:r w:rsidRPr="00FD274F">
        <w:t xml:space="preserve">ffices to ensure that instruments are tabled </w:t>
      </w:r>
      <w:r w:rsidR="0032355E" w:rsidRPr="00FD274F">
        <w:t>before the relevant deadline</w:t>
      </w:r>
      <w:r w:rsidR="00242B00">
        <w:t>.</w:t>
      </w:r>
    </w:p>
    <w:p w14:paraId="2CDBBA22" w14:textId="1CD818F7" w:rsidR="00007C97" w:rsidRDefault="00007C97" w:rsidP="004B6FF6">
      <w:pPr>
        <w:pStyle w:val="BodyNum"/>
      </w:pPr>
      <w:proofErr w:type="spellStart"/>
      <w:r>
        <w:t>OPC</w:t>
      </w:r>
      <w:proofErr w:type="spellEnd"/>
      <w:r>
        <w:t xml:space="preserve"> is also responsible for delivering rectified disallowable legislative instruments for re</w:t>
      </w:r>
      <w:r w:rsidR="009C4251">
        <w:noBreakHyphen/>
      </w:r>
      <w:r>
        <w:t xml:space="preserve">tabling </w:t>
      </w:r>
      <w:r w:rsidRPr="00FD274F">
        <w:t>(</w:t>
      </w:r>
      <w:r w:rsidR="003800DF">
        <w:t>s</w:t>
      </w:r>
      <w:r w:rsidR="003800DF" w:rsidRPr="007809FB">
        <w:t xml:space="preserve">ee paragraph </w:t>
      </w:r>
      <w:r w:rsidR="003800DF" w:rsidRPr="007809FB">
        <w:fldChar w:fldCharType="begin"/>
      </w:r>
      <w:r w:rsidR="003800DF" w:rsidRPr="007809FB">
        <w:instrText xml:space="preserve"> REF _Ref2948989 \r \h </w:instrText>
      </w:r>
      <w:r w:rsidR="00BF3019">
        <w:rPr>
          <w:highlight w:val="yellow"/>
        </w:rPr>
        <w:instrText xml:space="preserve"> \* MERGEFORMAT </w:instrText>
      </w:r>
      <w:r w:rsidR="003800DF" w:rsidRPr="007809FB">
        <w:fldChar w:fldCharType="separate"/>
      </w:r>
      <w:r w:rsidR="003E1B43" w:rsidRPr="007809FB">
        <w:t>210</w:t>
      </w:r>
      <w:r w:rsidR="003800DF" w:rsidRPr="007809FB">
        <w:fldChar w:fldCharType="end"/>
      </w:r>
      <w:r w:rsidR="003800DF" w:rsidRPr="007809FB">
        <w:t xml:space="preserve"> a</w:t>
      </w:r>
      <w:r w:rsidR="003800DF">
        <w:t xml:space="preserve">nd </w:t>
      </w:r>
      <w:hyperlink r:id="rId496" w:history="1">
        <w:hyperlink r:id="rId497" w:history="1">
          <w:hyperlink r:id="rId498" w:history="1">
            <w:hyperlink r:id="rId499" w:history="1">
              <w:r w:rsidRPr="00EC7C33">
                <w:rPr>
                  <w:rStyle w:val="Hyperlink"/>
                </w:rPr>
                <w:t>LA</w:t>
              </w:r>
            </w:hyperlink>
            <w:r w:rsidRPr="00EC7C33">
              <w:rPr>
                <w:rStyle w:val="Hyperlink"/>
              </w:rPr>
              <w:t xml:space="preserve"> </w:t>
            </w:r>
          </w:hyperlink>
        </w:hyperlink>
      </w:hyperlink>
      <w:r w:rsidRPr="00EC7C33">
        <w:t>s 15DA(2)).</w:t>
      </w:r>
    </w:p>
    <w:p w14:paraId="04807309" w14:textId="77777777" w:rsidR="00342ECB" w:rsidRDefault="00342ECB" w:rsidP="004B6FF6">
      <w:pPr>
        <w:pStyle w:val="BodyNum"/>
      </w:pPr>
      <w:r>
        <w:lastRenderedPageBreak/>
        <w:t>If an agency wants registered documents tabled urgently, or has some other specific tabling requirement, the agency should go through its normal parliamentary liaison channels to make an arrangement with the Table Office</w:t>
      </w:r>
      <w:r w:rsidR="00242B00">
        <w:t>s and relevant scrutiny bodies.</w:t>
      </w:r>
    </w:p>
    <w:p w14:paraId="4EC9DB16" w14:textId="77777777" w:rsidR="004B6FF6" w:rsidRDefault="004B6FF6" w:rsidP="004B6FF6">
      <w:pPr>
        <w:pStyle w:val="BodyNum"/>
      </w:pPr>
      <w:r>
        <w:t>For urgent tabling, please note that:</w:t>
      </w:r>
    </w:p>
    <w:p w14:paraId="30E6CB63" w14:textId="77777777" w:rsidR="004B6FF6" w:rsidRDefault="004B6FF6" w:rsidP="00E72291">
      <w:pPr>
        <w:pStyle w:val="BodyPara"/>
        <w:numPr>
          <w:ilvl w:val="1"/>
          <w:numId w:val="7"/>
        </w:numPr>
      </w:pPr>
      <w:proofErr w:type="spellStart"/>
      <w:r>
        <w:t>OPC</w:t>
      </w:r>
      <w:proofErr w:type="spellEnd"/>
      <w:r>
        <w:t xml:space="preserve"> will work to prepare registered documents and reports for delivery to the </w:t>
      </w:r>
      <w:r w:rsidR="00FB455C">
        <w:t>table o</w:t>
      </w:r>
      <w:r>
        <w:t>ffices as soon as practicable but, particularly for larger documents, consideration for processing time should be taken into account; and</w:t>
      </w:r>
    </w:p>
    <w:p w14:paraId="21155A20" w14:textId="77777777" w:rsidR="004B6FF6" w:rsidRDefault="001E06CE" w:rsidP="00E72291">
      <w:pPr>
        <w:pStyle w:val="BodyPara"/>
        <w:numPr>
          <w:ilvl w:val="1"/>
          <w:numId w:val="7"/>
        </w:numPr>
      </w:pPr>
      <w:r>
        <w:t>w</w:t>
      </w:r>
      <w:r w:rsidR="004B6FF6">
        <w:t>hile agencies are required to negotiate any</w:t>
      </w:r>
      <w:r w:rsidR="00FB455C">
        <w:t xml:space="preserve"> special arrangements with the </w:t>
      </w:r>
      <w:r>
        <w:t>T</w:t>
      </w:r>
      <w:r w:rsidR="004B6FF6">
        <w:t xml:space="preserve">able </w:t>
      </w:r>
      <w:r>
        <w:t>O</w:t>
      </w:r>
      <w:r w:rsidR="004B6FF6">
        <w:t xml:space="preserve">ffices, </w:t>
      </w:r>
      <w:proofErr w:type="spellStart"/>
      <w:r w:rsidR="004B6FF6">
        <w:t>OPC</w:t>
      </w:r>
      <w:proofErr w:type="spellEnd"/>
      <w:r w:rsidR="004B6FF6">
        <w:t xml:space="preserve"> is still responsible for the delivery of re</w:t>
      </w:r>
      <w:r w:rsidR="00242B00">
        <w:t>gistered documents for tabling.</w:t>
      </w:r>
    </w:p>
    <w:p w14:paraId="4B2F4A34" w14:textId="460840B1" w:rsidR="000A6637" w:rsidRPr="00FD274F" w:rsidRDefault="00727ED5" w:rsidP="000A6637">
      <w:pPr>
        <w:pStyle w:val="BodyNum"/>
      </w:pPr>
      <w:r w:rsidRPr="00FD274F">
        <w:t xml:space="preserve">There are strict deadlines for tabling instruments. If a registered instrument is not tabled in a House of the Parliament within 6 sitting days after the day of registration, it </w:t>
      </w:r>
      <w:r w:rsidR="00F15671">
        <w:t>is repealed</w:t>
      </w:r>
      <w:r w:rsidRPr="00FD274F">
        <w:t xml:space="preserve"> immediately after the 6th da</w:t>
      </w:r>
      <w:r w:rsidRPr="00EC7C33">
        <w:t>y (</w:t>
      </w:r>
      <w:hyperlink r:id="rId500" w:history="1">
        <w:hyperlink r:id="rId501" w:history="1">
          <w:hyperlink r:id="rId502" w:history="1">
            <w:hyperlink r:id="rId503" w:history="1">
              <w:r w:rsidR="004F5980" w:rsidRPr="00EC7C33">
                <w:rPr>
                  <w:rStyle w:val="Hyperlink"/>
                </w:rPr>
                <w:t>LA</w:t>
              </w:r>
            </w:hyperlink>
            <w:r w:rsidR="004F5980" w:rsidRPr="00EC7C33">
              <w:rPr>
                <w:rStyle w:val="Hyperlink"/>
              </w:rPr>
              <w:t xml:space="preserve"> </w:t>
            </w:r>
          </w:hyperlink>
        </w:hyperlink>
      </w:hyperlink>
      <w:r w:rsidR="00242B00" w:rsidRPr="00EC7C33">
        <w:t>s 38(3)).</w:t>
      </w:r>
    </w:p>
    <w:p w14:paraId="703E78CA" w14:textId="77777777" w:rsidR="009E01F1" w:rsidRPr="00FD274F" w:rsidRDefault="00727ED5" w:rsidP="00E440CE">
      <w:pPr>
        <w:pStyle w:val="BodyNum"/>
      </w:pPr>
      <w:proofErr w:type="spellStart"/>
      <w:r w:rsidRPr="00FD274F">
        <w:t>OPC</w:t>
      </w:r>
      <w:proofErr w:type="spellEnd"/>
      <w:r w:rsidRPr="00FD274F">
        <w:t xml:space="preserve"> monitors tabling processes and routinely records relevant dates in </w:t>
      </w:r>
      <w:r w:rsidR="000D63D1" w:rsidRPr="00FD274F">
        <w:t xml:space="preserve">the Register </w:t>
      </w:r>
      <w:r w:rsidRPr="00FD274F">
        <w:t>for the information of agency staff and external stakeholders. Tabling information can also be obtained from the Journals of the Senat</w:t>
      </w:r>
      <w:r w:rsidRPr="00EC7C33">
        <w:t>e</w:t>
      </w:r>
      <w:r w:rsidRPr="00EC7C33">
        <w:rPr>
          <w:rStyle w:val="FootnoteReference"/>
        </w:rPr>
        <w:footnoteReference w:id="30"/>
      </w:r>
      <w:r w:rsidRPr="00EC7C33">
        <w:t xml:space="preserve"> a</w:t>
      </w:r>
      <w:r w:rsidRPr="00FD274F">
        <w:t>nd the Votes and Proceedings of the House of Representative</w:t>
      </w:r>
      <w:r w:rsidRPr="00EC7C33">
        <w:t>s</w:t>
      </w:r>
      <w:r w:rsidRPr="00EC7C33">
        <w:rPr>
          <w:rStyle w:val="FootnoteReference"/>
        </w:rPr>
        <w:footnoteReference w:id="31"/>
      </w:r>
      <w:r w:rsidRPr="00EC7C33">
        <w:t>.</w:t>
      </w:r>
    </w:p>
    <w:p w14:paraId="27ACDDA9" w14:textId="77777777" w:rsidR="00727ED5" w:rsidRPr="00FD274F" w:rsidRDefault="00727ED5" w:rsidP="004855B6">
      <w:pPr>
        <w:pStyle w:val="Head4"/>
      </w:pPr>
      <w:bookmarkStart w:id="207" w:name="_Toc112918837"/>
      <w:r w:rsidRPr="00FD274F">
        <w:t>If either House requires more information</w:t>
      </w:r>
      <w:bookmarkEnd w:id="207"/>
    </w:p>
    <w:p w14:paraId="2DC07509" w14:textId="77777777" w:rsidR="00727ED5" w:rsidRPr="00FD274F" w:rsidRDefault="00727ED5" w:rsidP="0008193D">
      <w:pPr>
        <w:pStyle w:val="BodyNum"/>
      </w:pPr>
      <w:bookmarkStart w:id="208" w:name="_Ref435530013"/>
      <w:r w:rsidRPr="00FD274F">
        <w:t>If a House of the Parliament requires more information about an instrument, the matter would normally be raised directly with the responsible Minister. A prompt response is usually enough to resolve factual questions associated with vague or incomplete explanatory material, or access to material incorporated by reference.</w:t>
      </w:r>
      <w:bookmarkEnd w:id="208"/>
    </w:p>
    <w:p w14:paraId="4B56AF8A" w14:textId="77777777" w:rsidR="00727ED5" w:rsidRPr="00FD274F" w:rsidRDefault="00727ED5" w:rsidP="0008193D">
      <w:pPr>
        <w:pStyle w:val="BodyNum"/>
      </w:pPr>
      <w:r w:rsidRPr="00FD274F">
        <w:t xml:space="preserve"> </w:t>
      </w:r>
      <w:bookmarkStart w:id="209" w:name="_Ref435530018"/>
      <w:r w:rsidRPr="00FD274F">
        <w:t xml:space="preserve">If the matter is not dealt with to the satisfaction of a House, that House may escalate </w:t>
      </w:r>
      <w:r w:rsidR="00FB455C">
        <w:t>the matter</w:t>
      </w:r>
      <w:r w:rsidRPr="00FD274F">
        <w:t>, for example, by giving notice of motion to disallow the instrument. Less commonly, a House may also choose:</w:t>
      </w:r>
      <w:bookmarkEnd w:id="209"/>
    </w:p>
    <w:p w14:paraId="57990FBB" w14:textId="1A3C8474" w:rsidR="00727ED5" w:rsidRPr="00FD274F" w:rsidRDefault="00727ED5" w:rsidP="0008193D">
      <w:pPr>
        <w:pStyle w:val="BodyPara"/>
      </w:pPr>
      <w:r w:rsidRPr="00FD274F">
        <w:t>to formally require documents incorporated by reference in a disallowable legislative instrument to be made available for inspe</w:t>
      </w:r>
      <w:r w:rsidRPr="00EC7C33">
        <w:t>ction (</w:t>
      </w:r>
      <w:hyperlink r:id="rId504" w:history="1">
        <w:hyperlink r:id="rId505" w:history="1">
          <w:hyperlink r:id="rId506" w:history="1">
            <w:hyperlink r:id="rId507" w:history="1">
              <w:r w:rsidR="004F5980" w:rsidRPr="00EC7C33">
                <w:rPr>
                  <w:rStyle w:val="Hyperlink"/>
                </w:rPr>
                <w:t>LA</w:t>
              </w:r>
            </w:hyperlink>
            <w:r w:rsidR="004F5980" w:rsidRPr="00EC7C33">
              <w:rPr>
                <w:rStyle w:val="Hyperlink"/>
              </w:rPr>
              <w:t xml:space="preserve"> </w:t>
            </w:r>
          </w:hyperlink>
        </w:hyperlink>
      </w:hyperlink>
      <w:r w:rsidRPr="00EC7C33">
        <w:t>s 41);</w:t>
      </w:r>
      <w:r w:rsidRPr="00FD274F">
        <w:t xml:space="preserve"> or</w:t>
      </w:r>
    </w:p>
    <w:p w14:paraId="25FD6788" w14:textId="77777777" w:rsidR="00727ED5" w:rsidRPr="00FD274F" w:rsidRDefault="00727ED5" w:rsidP="0008193D">
      <w:pPr>
        <w:pStyle w:val="BodyPara"/>
      </w:pPr>
      <w:r w:rsidRPr="00FD274F">
        <w:t>to refer a matter to a committee for investigation; or</w:t>
      </w:r>
    </w:p>
    <w:p w14:paraId="057983C8" w14:textId="77777777" w:rsidR="00727ED5" w:rsidRPr="00FD274F" w:rsidRDefault="00727ED5" w:rsidP="0008193D">
      <w:pPr>
        <w:pStyle w:val="BodyPara"/>
      </w:pPr>
      <w:r w:rsidRPr="00FD274F">
        <w:t>to call witnesses to answer questions at hearings, which may be open or broadcast to the public.</w:t>
      </w:r>
    </w:p>
    <w:p w14:paraId="21C14C0D" w14:textId="77777777" w:rsidR="00727ED5" w:rsidRPr="00FD274F" w:rsidRDefault="00727ED5" w:rsidP="004855B6">
      <w:pPr>
        <w:pStyle w:val="Head4"/>
      </w:pPr>
      <w:bookmarkStart w:id="210" w:name="_Toc112918838"/>
      <w:r w:rsidRPr="00FD274F">
        <w:t>If extra documents need to be tabled or made available</w:t>
      </w:r>
      <w:bookmarkEnd w:id="210"/>
    </w:p>
    <w:p w14:paraId="0F8F51A3" w14:textId="794E80C5" w:rsidR="00727ED5" w:rsidRDefault="00727ED5" w:rsidP="0008193D">
      <w:pPr>
        <w:pStyle w:val="BodyNum"/>
      </w:pPr>
      <w:bookmarkStart w:id="211" w:name="_Ref384719737"/>
      <w:r w:rsidRPr="00FD274F">
        <w:t xml:space="preserve">If a replacement or supplementary explanatory statement is </w:t>
      </w:r>
      <w:r w:rsidR="0032355E" w:rsidRPr="00FD274F">
        <w:t>issued</w:t>
      </w:r>
      <w:r w:rsidRPr="00FD274F">
        <w:t xml:space="preserve">, it needs to </w:t>
      </w:r>
      <w:r w:rsidR="00DA3D31" w:rsidRPr="00FD274F">
        <w:t xml:space="preserve">meet certain requirements and </w:t>
      </w:r>
      <w:r w:rsidR="004A60E3" w:rsidRPr="00FD274F">
        <w:t xml:space="preserve">should </w:t>
      </w:r>
      <w:r w:rsidRPr="00FD274F">
        <w:t xml:space="preserve">be lodged promptly with </w:t>
      </w:r>
      <w:proofErr w:type="spellStart"/>
      <w:r w:rsidRPr="00FD274F">
        <w:t>OPC</w:t>
      </w:r>
      <w:proofErr w:type="spellEnd"/>
      <w:r w:rsidRPr="00FD274F">
        <w:t xml:space="preserve"> for registration and </w:t>
      </w:r>
      <w:r w:rsidR="0032355E" w:rsidRPr="00FD274F">
        <w:t xml:space="preserve">delivery for </w:t>
      </w:r>
      <w:r w:rsidRPr="00FD274F">
        <w:t>tabling (see paragra</w:t>
      </w:r>
      <w:r w:rsidRPr="00F431F8">
        <w:t>ph</w:t>
      </w:r>
      <w:r w:rsidR="00FD5983" w:rsidRPr="00F431F8">
        <w:t>s</w:t>
      </w:r>
      <w:r w:rsidRPr="00F431F8">
        <w:t xml:space="preserve"> </w:t>
      </w:r>
      <w:r w:rsidR="00FD5983" w:rsidRPr="00EC7C33">
        <w:fldChar w:fldCharType="begin"/>
      </w:r>
      <w:r w:rsidR="00FD5983" w:rsidRPr="00F431F8">
        <w:instrText xml:space="preserve"> REF _Ref29483854 \r \h </w:instrText>
      </w:r>
      <w:r w:rsidR="00BF3019">
        <w:rPr>
          <w:highlight w:val="yellow"/>
        </w:rPr>
        <w:instrText xml:space="preserve"> \* MERGEFORMAT </w:instrText>
      </w:r>
      <w:r w:rsidR="00FD5983" w:rsidRPr="00EC7C33">
        <w:fldChar w:fldCharType="separate"/>
      </w:r>
      <w:r w:rsidR="003E1B43" w:rsidRPr="00F431F8">
        <w:t>282</w:t>
      </w:r>
      <w:r w:rsidR="00FD5983" w:rsidRPr="00EC7C33">
        <w:fldChar w:fldCharType="end"/>
      </w:r>
      <w:r w:rsidR="00FD5983" w:rsidRPr="00F431F8">
        <w:t xml:space="preserve"> to </w:t>
      </w:r>
      <w:r w:rsidR="00FD5983" w:rsidRPr="00EC7C33">
        <w:fldChar w:fldCharType="begin"/>
      </w:r>
      <w:r w:rsidR="00FD5983" w:rsidRPr="00F431F8">
        <w:instrText xml:space="preserve"> REF _Ref29483856 \r \h </w:instrText>
      </w:r>
      <w:r w:rsidR="00BF3019">
        <w:rPr>
          <w:highlight w:val="yellow"/>
        </w:rPr>
        <w:instrText xml:space="preserve"> \* MERGEFORMAT </w:instrText>
      </w:r>
      <w:r w:rsidR="00FD5983" w:rsidRPr="00EC7C33">
        <w:fldChar w:fldCharType="separate"/>
      </w:r>
      <w:r w:rsidR="003E1B43" w:rsidRPr="00F431F8">
        <w:t>284</w:t>
      </w:r>
      <w:r w:rsidR="00FD5983" w:rsidRPr="00EC7C33">
        <w:fldChar w:fldCharType="end"/>
      </w:r>
      <w:r w:rsidR="0076692A" w:rsidRPr="00EC7C33">
        <w:rPr>
          <w:b/>
          <w:bCs/>
          <w:lang w:val="en-US"/>
        </w:rPr>
        <w:fldChar w:fldCharType="begin"/>
      </w:r>
      <w:r w:rsidR="0076692A" w:rsidRPr="00EC7C33">
        <w:rPr>
          <w:b/>
          <w:bCs/>
          <w:lang w:val="en-US"/>
        </w:rPr>
        <w:instrText xml:space="preserve"> Error! Reference source not found. </w:instrText>
      </w:r>
      <w:r w:rsidR="0076692A" w:rsidRPr="00EC7C33">
        <w:rPr>
          <w:b/>
          <w:bCs/>
          <w:lang w:val="en-US"/>
        </w:rPr>
        <w:fldChar w:fldCharType="end"/>
      </w:r>
      <w:r w:rsidRPr="00F431F8">
        <w:t>).</w:t>
      </w:r>
      <w:bookmarkEnd w:id="211"/>
    </w:p>
    <w:p w14:paraId="083B9590" w14:textId="77777777" w:rsidR="00727ED5" w:rsidRPr="00FD274F" w:rsidRDefault="00727ED5" w:rsidP="0008193D">
      <w:pPr>
        <w:pStyle w:val="BodyNum"/>
      </w:pPr>
      <w:r w:rsidRPr="00FD274F">
        <w:lastRenderedPageBreak/>
        <w:t xml:space="preserve">Other documents cannot be lodged for tabling through </w:t>
      </w:r>
      <w:proofErr w:type="spellStart"/>
      <w:r w:rsidRPr="00FD274F">
        <w:t>OPC</w:t>
      </w:r>
      <w:proofErr w:type="spellEnd"/>
      <w:r w:rsidRPr="00FD274F">
        <w:t xml:space="preserve">. The relevant agency should prepare and lodge these for tabling in accordance with the current </w:t>
      </w:r>
      <w:r w:rsidR="00195F47" w:rsidRPr="00FD274F">
        <w:t>G</w:t>
      </w:r>
      <w:r w:rsidRPr="00FD274F">
        <w:t xml:space="preserve">uidelines for the </w:t>
      </w:r>
      <w:r w:rsidR="00DE2791" w:rsidRPr="00FD274F">
        <w:t>Presentation</w:t>
      </w:r>
      <w:r w:rsidR="00F14307" w:rsidRPr="00FD274F">
        <w:t xml:space="preserve"> of [</w:t>
      </w:r>
      <w:r w:rsidRPr="00FD274F">
        <w:t>non</w:t>
      </w:r>
      <w:r w:rsidR="009C4251">
        <w:noBreakHyphen/>
      </w:r>
      <w:r w:rsidR="000D63D1" w:rsidRPr="00FD274F">
        <w:t>Register</w:t>
      </w:r>
      <w:r w:rsidR="00F14307" w:rsidRPr="00FD274F">
        <w:t>]</w:t>
      </w:r>
      <w:r w:rsidRPr="00FD274F">
        <w:t xml:space="preserve"> </w:t>
      </w:r>
      <w:r w:rsidR="00195F47" w:rsidRPr="00FD274F">
        <w:t>D</w:t>
      </w:r>
      <w:r w:rsidRPr="00FD274F">
        <w:t>ocuments to the Parliament</w:t>
      </w:r>
      <w:r w:rsidR="004F138B" w:rsidRPr="00FD274F">
        <w:rPr>
          <w:rStyle w:val="FootnoteReference"/>
        </w:rPr>
        <w:footnoteReference w:id="32"/>
      </w:r>
      <w:r w:rsidR="00FC7415" w:rsidRPr="00FD274F">
        <w:t>.</w:t>
      </w:r>
      <w:r w:rsidRPr="00FD274F">
        <w:t xml:space="preserve"> It may also be appropriate to provide additional courtesy copies to relevant scrutiny bodies.</w:t>
      </w:r>
    </w:p>
    <w:p w14:paraId="70E56364" w14:textId="77777777" w:rsidR="00727ED5" w:rsidRPr="00FD274F" w:rsidRDefault="00FB455C" w:rsidP="004855B6">
      <w:pPr>
        <w:pStyle w:val="Head3"/>
      </w:pPr>
      <w:bookmarkStart w:id="212" w:name="_Toc112918839"/>
      <w:r>
        <w:t>Disallowance</w:t>
      </w:r>
      <w:bookmarkEnd w:id="212"/>
    </w:p>
    <w:p w14:paraId="2B22E85E" w14:textId="7BFCA2FC" w:rsidR="00C56C1A" w:rsidRPr="00FD274F" w:rsidRDefault="007E11F9" w:rsidP="00D42B45">
      <w:pPr>
        <w:pStyle w:val="BodyNum"/>
      </w:pPr>
      <w:r w:rsidRPr="00FD274F">
        <w:t xml:space="preserve">Under </w:t>
      </w:r>
      <w:r w:rsidRPr="00EC7C33">
        <w:t xml:space="preserve">the </w:t>
      </w:r>
      <w:hyperlink r:id="rId508" w:history="1">
        <w:r w:rsidR="00E25493" w:rsidRPr="00EC7C33">
          <w:rPr>
            <w:rStyle w:val="Hyperlink"/>
          </w:rPr>
          <w:t>LA</w:t>
        </w:r>
      </w:hyperlink>
      <w:r w:rsidR="00727ED5" w:rsidRPr="00EC7C33">
        <w:t>, all</w:t>
      </w:r>
      <w:r w:rsidR="00727ED5" w:rsidRPr="00FD274F">
        <w:t xml:space="preserve"> new legislative instruments are subject to disallowance by either House of the Parliament for a set period, unless they are explicitly exempted from disallowance. Exemptions may be set out in se</w:t>
      </w:r>
      <w:r w:rsidR="00727ED5" w:rsidRPr="00EC7C33">
        <w:t xml:space="preserve">ction 44 of the </w:t>
      </w:r>
      <w:hyperlink r:id="rId509" w:history="1">
        <w:hyperlink r:id="rId510" w:history="1">
          <w:hyperlink r:id="rId511" w:history="1">
            <w:r w:rsidR="004F5980" w:rsidRPr="00EC7C33">
              <w:rPr>
                <w:rStyle w:val="Hyperlink"/>
              </w:rPr>
              <w:t>LA</w:t>
            </w:r>
          </w:hyperlink>
        </w:hyperlink>
      </w:hyperlink>
      <w:r w:rsidR="00727ED5" w:rsidRPr="00EC7C33">
        <w:t xml:space="preserve">, </w:t>
      </w:r>
      <w:r w:rsidRPr="00EC7C33">
        <w:t>s</w:t>
      </w:r>
      <w:r w:rsidRPr="00FD274F">
        <w:t>ecti</w:t>
      </w:r>
      <w:r w:rsidRPr="00EC7C33">
        <w:t>on</w:t>
      </w:r>
      <w:r w:rsidR="008D5376" w:rsidRPr="00EC7C33">
        <w:t>s</w:t>
      </w:r>
      <w:r w:rsidRPr="00EC7C33">
        <w:t xml:space="preserve"> 9 and 10 of the </w:t>
      </w:r>
      <w:hyperlink r:id="rId512" w:history="1">
        <w:hyperlink r:id="rId513" w:history="1">
          <w:hyperlink r:id="rId514" w:history="1">
            <w:r w:rsidR="00F62728" w:rsidRPr="00EC7C33">
              <w:rPr>
                <w:rStyle w:val="Hyperlink"/>
              </w:rPr>
              <w:t>LEOMR</w:t>
            </w:r>
          </w:hyperlink>
        </w:hyperlink>
      </w:hyperlink>
      <w:r w:rsidRPr="00EC7C33">
        <w:t xml:space="preserve">, </w:t>
      </w:r>
      <w:r w:rsidR="00D42B45" w:rsidRPr="00EC7C33">
        <w:t>or the</w:t>
      </w:r>
      <w:r w:rsidR="00D42B45">
        <w:t xml:space="preserve"> enabling legislation.</w:t>
      </w:r>
    </w:p>
    <w:p w14:paraId="75392D7F" w14:textId="75C954A6" w:rsidR="00727ED5" w:rsidRPr="00FD274F" w:rsidRDefault="00727ED5" w:rsidP="0008193D">
      <w:pPr>
        <w:pStyle w:val="BodyNum"/>
      </w:pPr>
      <w:r w:rsidRPr="00FD274F">
        <w:t xml:space="preserve">Tabling and disallowance requirements that were in force </w:t>
      </w:r>
      <w:r w:rsidR="00804A3B" w:rsidRPr="00FD274F">
        <w:t xml:space="preserve">before </w:t>
      </w:r>
      <w:r w:rsidRPr="00FD274F">
        <w:t xml:space="preserve">1 January 2005 </w:t>
      </w:r>
      <w:r w:rsidR="00804A3B" w:rsidRPr="00FD274F">
        <w:t xml:space="preserve">have been, </w:t>
      </w:r>
      <w:r w:rsidRPr="00FD274F">
        <w:t xml:space="preserve">in almost all cases, superseded by </w:t>
      </w:r>
      <w:r w:rsidR="00FB455C">
        <w:t xml:space="preserve">the operation of </w:t>
      </w:r>
      <w:r w:rsidR="00804A3B" w:rsidRPr="00FD274F">
        <w:t>s</w:t>
      </w:r>
      <w:r w:rsidR="00804A3B" w:rsidRPr="00EC7C33">
        <w:t>ection 5</w:t>
      </w:r>
      <w:r w:rsidR="008C085B" w:rsidRPr="00EC7C33">
        <w:t>7</w:t>
      </w:r>
      <w:r w:rsidR="00804A3B" w:rsidRPr="00EC7C33">
        <w:t xml:space="preserve"> of </w:t>
      </w:r>
      <w:r w:rsidRPr="00EC7C33">
        <w:t xml:space="preserve">the </w:t>
      </w:r>
      <w:hyperlink r:id="rId515" w:history="1">
        <w:hyperlink r:id="rId516" w:history="1">
          <w:hyperlink r:id="rId517" w:history="1">
            <w:r w:rsidR="004F5980" w:rsidRPr="00EC7C33">
              <w:rPr>
                <w:rStyle w:val="Hyperlink"/>
              </w:rPr>
              <w:t>LA</w:t>
            </w:r>
          </w:hyperlink>
        </w:hyperlink>
      </w:hyperlink>
      <w:r w:rsidRPr="00EC7C33">
        <w:t>.</w:t>
      </w:r>
      <w:r w:rsidRPr="00FD274F">
        <w:t xml:space="preserve"> However, earlier provisions continue to </w:t>
      </w:r>
      <w:r w:rsidR="008C085B" w:rsidRPr="00FD274F">
        <w:t>apply</w:t>
      </w:r>
      <w:r w:rsidRPr="00FD274F">
        <w:t xml:space="preserve"> if those provisions:</w:t>
      </w:r>
    </w:p>
    <w:p w14:paraId="2D9348B0" w14:textId="47C15BF7" w:rsidR="00727ED5" w:rsidRPr="00FD274F" w:rsidRDefault="00727ED5" w:rsidP="0008193D">
      <w:pPr>
        <w:pStyle w:val="BodyPara"/>
      </w:pPr>
      <w:r w:rsidRPr="00FD274F">
        <w:t>are preserve</w:t>
      </w:r>
      <w:r w:rsidR="008C085B" w:rsidRPr="00FD274F">
        <w:t>d by regulations made under s</w:t>
      </w:r>
      <w:r w:rsidR="00FC7415" w:rsidRPr="00FD274F">
        <w:t>ubse</w:t>
      </w:r>
      <w:r w:rsidR="00FC7415" w:rsidRPr="00EC7C33">
        <w:t>ction</w:t>
      </w:r>
      <w:r w:rsidR="008C085B" w:rsidRPr="00EC7C33">
        <w:t xml:space="preserve"> 57(5) of the </w:t>
      </w:r>
      <w:hyperlink r:id="rId518" w:history="1">
        <w:r w:rsidR="00E25493" w:rsidRPr="00EC7C33">
          <w:rPr>
            <w:rStyle w:val="Hyperlink"/>
          </w:rPr>
          <w:t>LA</w:t>
        </w:r>
      </w:hyperlink>
      <w:r w:rsidRPr="00EC7C33">
        <w:t>; o</w:t>
      </w:r>
      <w:r w:rsidRPr="00FD274F">
        <w:t>r</w:t>
      </w:r>
    </w:p>
    <w:p w14:paraId="065862FB" w14:textId="77777777" w:rsidR="00727ED5" w:rsidRPr="00FD274F" w:rsidRDefault="00727ED5" w:rsidP="0008193D">
      <w:pPr>
        <w:pStyle w:val="BodyPara"/>
      </w:pPr>
      <w:r w:rsidRPr="00FD274F">
        <w:t>require things to be done before, or at the same time as, a legislative instrument is tabled (e.g. to prepare a report and table it with an instrument).</w:t>
      </w:r>
    </w:p>
    <w:p w14:paraId="07D9DEE6" w14:textId="77777777" w:rsidR="00727ED5" w:rsidRPr="00FD274F" w:rsidRDefault="00727ED5" w:rsidP="004855B6">
      <w:pPr>
        <w:pStyle w:val="Head4"/>
      </w:pPr>
      <w:bookmarkStart w:id="213" w:name="_Toc112918840"/>
      <w:r w:rsidRPr="00FD274F">
        <w:t>What instruments are exempt from disallowance</w:t>
      </w:r>
      <w:bookmarkEnd w:id="213"/>
    </w:p>
    <w:p w14:paraId="4C48DB5F" w14:textId="77777777" w:rsidR="00727ED5" w:rsidRPr="00FD274F" w:rsidRDefault="00727ED5" w:rsidP="0008193D">
      <w:pPr>
        <w:pStyle w:val="BodyNum"/>
      </w:pPr>
      <w:r w:rsidRPr="00FD274F">
        <w:t>When an instrument is lodged for registration, the lodging agency is asked to certify a range of information including whether an exemption from disallowance applies and, if so, what legisl</w:t>
      </w:r>
      <w:r w:rsidR="00242B00">
        <w:t>ation authorises the exemption.</w:t>
      </w:r>
    </w:p>
    <w:p w14:paraId="22149FBC" w14:textId="4E808857" w:rsidR="00727ED5" w:rsidRPr="00FD274F" w:rsidRDefault="00727ED5" w:rsidP="0008193D">
      <w:pPr>
        <w:pStyle w:val="BodyNum"/>
      </w:pPr>
      <w:r w:rsidRPr="00FD274F">
        <w:t>Most exemptions are straightforward and nominate a specific enabling provision such as instruments made unde</w:t>
      </w:r>
      <w:r w:rsidRPr="007809FB">
        <w:t xml:space="preserve">r section 123 of the </w:t>
      </w:r>
      <w:r w:rsidRPr="007809FB">
        <w:rPr>
          <w:i/>
        </w:rPr>
        <w:t>XYZ Act 2012</w:t>
      </w:r>
      <w:r w:rsidRPr="007809FB">
        <w:t>. H</w:t>
      </w:r>
      <w:r w:rsidRPr="00FD274F">
        <w:t>owever, other exemptions are more generic and some can be difficult to apply, particularly if they refer t</w:t>
      </w:r>
      <w:r w:rsidR="00242B00">
        <w:t>o the purpose of an instrument.</w:t>
      </w:r>
    </w:p>
    <w:p w14:paraId="0C40A912" w14:textId="77777777" w:rsidR="00727ED5" w:rsidRPr="00FD274F" w:rsidRDefault="00727ED5" w:rsidP="0008193D">
      <w:pPr>
        <w:pStyle w:val="BodyNum"/>
      </w:pPr>
      <w:r w:rsidRPr="00FD274F">
        <w:t>If there is any doubt about whether an instrument is exempt, the rule</w:t>
      </w:r>
      <w:r w:rsidR="009C4251">
        <w:noBreakHyphen/>
      </w:r>
      <w:r w:rsidRPr="00FD274F">
        <w:t>making agency should get legal advice and consider the potential risks to government policy if an instrument is listed as not subject to disallowance. There could be significant consequences if, for example, an agency claims an instrument is exempt but</w:t>
      </w:r>
      <w:r w:rsidR="00242B00">
        <w:t xml:space="preserve"> the Parliament does not agree.</w:t>
      </w:r>
    </w:p>
    <w:p w14:paraId="27A2CCBD" w14:textId="177C87F8" w:rsidR="00727ED5" w:rsidRPr="00FD274F" w:rsidRDefault="00727ED5" w:rsidP="0008193D">
      <w:pPr>
        <w:pStyle w:val="BodyNum"/>
      </w:pPr>
      <w:r w:rsidRPr="00FD274F">
        <w:t>If a new exemption may be appropriate, for example, because a new class of instrument is being created, the proposal should be discussed in the first instance with AGD (</w:t>
      </w:r>
      <w:hyperlink r:id="rId519" w:history="1">
        <w:r w:rsidR="00AB2784" w:rsidRPr="00FD274F">
          <w:rPr>
            <w:rStyle w:val="Hyperlink"/>
          </w:rPr>
          <w:t>adminlaw@ag.gov.au</w:t>
        </w:r>
      </w:hyperlink>
      <w:r w:rsidR="00D15F08" w:rsidRPr="00FD274F">
        <w:rPr>
          <w:rStyle w:val="Hyperlink"/>
        </w:rPr>
        <w:t xml:space="preserve"> </w:t>
      </w:r>
      <w:r w:rsidR="00D15F08" w:rsidRPr="00FD274F">
        <w:t>or (02) 6141 2736</w:t>
      </w:r>
      <w:r w:rsidRPr="00FD274F">
        <w:t>). The formal policy approval of the responsible Minister and the Attorney</w:t>
      </w:r>
      <w:r w:rsidR="009C4251">
        <w:noBreakHyphen/>
      </w:r>
      <w:r w:rsidRPr="00FD274F">
        <w:t xml:space="preserve">General </w:t>
      </w:r>
      <w:r w:rsidR="00F44E1B" w:rsidRPr="00FD274F">
        <w:t>is required for new exemptions</w:t>
      </w:r>
      <w:r w:rsidRPr="00FD274F">
        <w:t>.</w:t>
      </w:r>
    </w:p>
    <w:p w14:paraId="2B954727" w14:textId="77777777" w:rsidR="00727ED5" w:rsidRPr="00FD274F" w:rsidRDefault="00727ED5" w:rsidP="004855B6">
      <w:pPr>
        <w:pStyle w:val="Head4"/>
      </w:pPr>
      <w:bookmarkStart w:id="214" w:name="_Toc112918841"/>
      <w:r w:rsidRPr="00FD274F">
        <w:t>When instruments are open to disallowance</w:t>
      </w:r>
      <w:bookmarkEnd w:id="214"/>
    </w:p>
    <w:p w14:paraId="18D76A81" w14:textId="77777777" w:rsidR="00727ED5" w:rsidRPr="00FD274F" w:rsidRDefault="00727ED5" w:rsidP="0008193D">
      <w:pPr>
        <w:pStyle w:val="BodyNum"/>
      </w:pPr>
      <w:r w:rsidRPr="00FD274F">
        <w:t>Unless exempt from disallowance</w:t>
      </w:r>
      <w:r w:rsidR="00D803D2" w:rsidRPr="00FD274F">
        <w:t xml:space="preserve"> or subject to a special disallowance regime</w:t>
      </w:r>
      <w:r w:rsidRPr="00FD274F">
        <w:t xml:space="preserve">, legislative instruments are open to disallowance </w:t>
      </w:r>
      <w:r w:rsidR="00F44E1B" w:rsidRPr="00FD274F">
        <w:t xml:space="preserve">in whole or in part </w:t>
      </w:r>
      <w:r w:rsidRPr="00FD274F">
        <w:t xml:space="preserve">for </w:t>
      </w:r>
      <w:r w:rsidR="00FB455C">
        <w:t xml:space="preserve">at least </w:t>
      </w:r>
      <w:r w:rsidRPr="00FD274F">
        <w:t>15 sitting days. This timeframe needs to be calcu</w:t>
      </w:r>
      <w:r w:rsidR="00342ECB">
        <w:t>lated separately for each House</w:t>
      </w:r>
      <w:r w:rsidRPr="00FD274F">
        <w:t xml:space="preserve"> from the first sitting day after th</w:t>
      </w:r>
      <w:r w:rsidR="00242B00">
        <w:t>e day the instrument is tabled.</w:t>
      </w:r>
    </w:p>
    <w:p w14:paraId="1B1D8758" w14:textId="6CA88563" w:rsidR="00727ED5" w:rsidRDefault="00727ED5" w:rsidP="0008193D">
      <w:pPr>
        <w:pStyle w:val="BodyNum"/>
      </w:pPr>
      <w:r w:rsidRPr="00FD274F">
        <w:lastRenderedPageBreak/>
        <w:t xml:space="preserve">If an election is called, the disallowance “clock” for </w:t>
      </w:r>
      <w:r w:rsidR="00F44E1B" w:rsidRPr="00FD274F">
        <w:t>each</w:t>
      </w:r>
      <w:r w:rsidRPr="00FD274F">
        <w:t xml:space="preserve"> House generally stops and then resumes once the House starts sitting again. However, the clock must be re</w:t>
      </w:r>
      <w:r w:rsidR="009C4251">
        <w:noBreakHyphen/>
      </w:r>
      <w:r w:rsidRPr="00FD274F">
        <w:t xml:space="preserve">started if notice of motion to disallow an instrument has been given but not resolved. An affected instrument is </w:t>
      </w:r>
      <w:r w:rsidR="00F87CDA" w:rsidRPr="00FD274F">
        <w:t xml:space="preserve">again </w:t>
      </w:r>
      <w:r w:rsidRPr="00FD274F">
        <w:t xml:space="preserve">open to disallowance for </w:t>
      </w:r>
      <w:r w:rsidR="00F87CDA" w:rsidRPr="00FD274F">
        <w:t xml:space="preserve">the full disallowance period of </w:t>
      </w:r>
      <w:r w:rsidRPr="00FD274F">
        <w:t>15 sitting days once sittings res</w:t>
      </w:r>
      <w:r w:rsidRPr="00EC7C33">
        <w:t>ume (</w:t>
      </w:r>
      <w:hyperlink r:id="rId520" w:history="1">
        <w:hyperlink r:id="rId521" w:history="1">
          <w:hyperlink r:id="rId522" w:history="1">
            <w:hyperlink r:id="rId523" w:history="1">
              <w:r w:rsidR="004F5980" w:rsidRPr="00EC7C33">
                <w:rPr>
                  <w:rStyle w:val="Hyperlink"/>
                </w:rPr>
                <w:t>LA</w:t>
              </w:r>
            </w:hyperlink>
            <w:r w:rsidR="004F5980" w:rsidRPr="00EC7C33">
              <w:rPr>
                <w:rStyle w:val="Hyperlink"/>
              </w:rPr>
              <w:t xml:space="preserve"> </w:t>
            </w:r>
          </w:hyperlink>
        </w:hyperlink>
      </w:hyperlink>
      <w:r w:rsidRPr="00EC7C33">
        <w:t>s 42(3)).</w:t>
      </w:r>
    </w:p>
    <w:p w14:paraId="56DE0273" w14:textId="384B4BD1" w:rsidR="00AA6B42" w:rsidRPr="00FD274F" w:rsidRDefault="00AA6B42" w:rsidP="0008193D">
      <w:pPr>
        <w:pStyle w:val="BodyNum"/>
      </w:pPr>
      <w:r>
        <w:t>If a disallowable legislative instrument is rectified, the instrument must be re</w:t>
      </w:r>
      <w:r w:rsidR="009C4251">
        <w:noBreakHyphen/>
      </w:r>
      <w:r>
        <w:t xml:space="preserve">tabled </w:t>
      </w:r>
      <w:r w:rsidR="00705E35">
        <w:t>which</w:t>
      </w:r>
      <w:r>
        <w:t xml:space="preserve"> may extend an existing</w:t>
      </w:r>
      <w:r w:rsidR="00705E35">
        <w:t>,</w:t>
      </w:r>
      <w:r w:rsidR="001C16FE">
        <w:t xml:space="preserve"> </w:t>
      </w:r>
      <w:r>
        <w:t>or start a new</w:t>
      </w:r>
      <w:r w:rsidR="00705E35">
        <w:t>,</w:t>
      </w:r>
      <w:r>
        <w:t xml:space="preserve"> disallowance period </w:t>
      </w:r>
      <w:r w:rsidRPr="00FD274F">
        <w:t>(</w:t>
      </w:r>
      <w:r w:rsidR="003800DF">
        <w:t>see p</w:t>
      </w:r>
      <w:r w:rsidR="003800DF" w:rsidRPr="007809FB">
        <w:t xml:space="preserve">aragraphs </w:t>
      </w:r>
      <w:r w:rsidR="003800DF" w:rsidRPr="007809FB">
        <w:fldChar w:fldCharType="begin"/>
      </w:r>
      <w:r w:rsidR="003800DF" w:rsidRPr="007809FB">
        <w:instrText xml:space="preserve"> REF _Ref2948989 \r \h </w:instrText>
      </w:r>
      <w:r w:rsidR="00E30D59">
        <w:rPr>
          <w:highlight w:val="yellow"/>
        </w:rPr>
        <w:instrText xml:space="preserve"> \* MERGEFORMAT </w:instrText>
      </w:r>
      <w:r w:rsidR="003800DF" w:rsidRPr="007809FB">
        <w:fldChar w:fldCharType="separate"/>
      </w:r>
      <w:r w:rsidR="003E1B43" w:rsidRPr="007809FB">
        <w:t>210</w:t>
      </w:r>
      <w:r w:rsidR="003800DF" w:rsidRPr="007809FB">
        <w:fldChar w:fldCharType="end"/>
      </w:r>
      <w:r w:rsidR="003800DF" w:rsidRPr="007809FB">
        <w:t xml:space="preserve"> to </w:t>
      </w:r>
      <w:r w:rsidR="003800DF" w:rsidRPr="007809FB">
        <w:fldChar w:fldCharType="begin"/>
      </w:r>
      <w:r w:rsidR="003800DF" w:rsidRPr="007809FB">
        <w:instrText xml:space="preserve"> REF _Ref2949476 \r \h </w:instrText>
      </w:r>
      <w:r w:rsidR="00E30D59">
        <w:rPr>
          <w:highlight w:val="yellow"/>
        </w:rPr>
        <w:instrText xml:space="preserve"> \* MERGEFORMAT </w:instrText>
      </w:r>
      <w:r w:rsidR="003800DF" w:rsidRPr="007809FB">
        <w:fldChar w:fldCharType="separate"/>
      </w:r>
      <w:r w:rsidR="003E1B43" w:rsidRPr="007809FB">
        <w:t>212</w:t>
      </w:r>
      <w:r w:rsidR="003800DF" w:rsidRPr="007809FB">
        <w:fldChar w:fldCharType="end"/>
      </w:r>
      <w:r w:rsidR="003800DF">
        <w:t xml:space="preserve"> an</w:t>
      </w:r>
      <w:r w:rsidR="003800DF" w:rsidRPr="00DF0780">
        <w:t xml:space="preserve">d </w:t>
      </w:r>
      <w:hyperlink r:id="rId524" w:history="1">
        <w:hyperlink r:id="rId525" w:history="1">
          <w:hyperlink r:id="rId526" w:history="1">
            <w:hyperlink r:id="rId527" w:history="1">
              <w:r w:rsidRPr="00DF0780">
                <w:rPr>
                  <w:rStyle w:val="Hyperlink"/>
                </w:rPr>
                <w:t>LA</w:t>
              </w:r>
            </w:hyperlink>
            <w:r w:rsidRPr="00DF0780">
              <w:rPr>
                <w:rStyle w:val="Hyperlink"/>
              </w:rPr>
              <w:t xml:space="preserve"> </w:t>
            </w:r>
          </w:hyperlink>
        </w:hyperlink>
      </w:hyperlink>
      <w:r w:rsidR="003800DF" w:rsidRPr="00DF0780">
        <w:t>s 15DA</w:t>
      </w:r>
      <w:r w:rsidR="00242B00" w:rsidRPr="00DF0780">
        <w:t>)</w:t>
      </w:r>
      <w:r w:rsidR="00242B00">
        <w:t>.</w:t>
      </w:r>
    </w:p>
    <w:p w14:paraId="1E10DA8F" w14:textId="77777777" w:rsidR="00727ED5" w:rsidRPr="00FD274F" w:rsidRDefault="00727ED5" w:rsidP="004855B6">
      <w:pPr>
        <w:pStyle w:val="Head4"/>
      </w:pPr>
      <w:bookmarkStart w:id="215" w:name="_Toc112918842"/>
      <w:r w:rsidRPr="00FD274F">
        <w:t>How notice of motion to disallow may be resolved</w:t>
      </w:r>
      <w:bookmarkEnd w:id="215"/>
    </w:p>
    <w:p w14:paraId="079D5F31" w14:textId="77777777" w:rsidR="00727ED5" w:rsidRPr="00FD274F" w:rsidRDefault="00727ED5" w:rsidP="0008193D">
      <w:pPr>
        <w:pStyle w:val="BodyNum"/>
      </w:pPr>
      <w:r w:rsidRPr="00FD274F">
        <w:t>If a Senator or Member gives notice of motion to disallow an instrument, or a provision of an instrument, the standing orders of both Houses do not allow the motion to be moved on the same day. However, if a matter is controversial, a House may grant leave or suspend standing orders so that the motion is moved, debated and voted on immediately.</w:t>
      </w:r>
    </w:p>
    <w:p w14:paraId="3B5999F7" w14:textId="3300472D" w:rsidR="00727ED5" w:rsidRPr="00FD274F" w:rsidRDefault="00727ED5" w:rsidP="0008193D">
      <w:pPr>
        <w:pStyle w:val="BodyNum"/>
      </w:pPr>
      <w:r w:rsidRPr="00FD274F">
        <w:t xml:space="preserve">A </w:t>
      </w:r>
      <w:r w:rsidR="00281F7E" w:rsidRPr="00FD274F">
        <w:t>notice of motion may be withdrawn</w:t>
      </w:r>
      <w:r w:rsidR="00D517EF" w:rsidRPr="00FD274F">
        <w:t>. Onc</w:t>
      </w:r>
      <w:r w:rsidR="00281F7E" w:rsidRPr="00FD274F">
        <w:t xml:space="preserve">e the motion is moved, it may be </w:t>
      </w:r>
      <w:r w:rsidR="00D517EF" w:rsidRPr="00FD274F">
        <w:t>withdrawn or put to a vote by the House on the day specified in the motion.</w:t>
      </w:r>
      <w:r w:rsidRPr="00FD274F">
        <w:t xml:space="preserve"> In the Senate, standing orders require the Senator who initiated the motion to give notice of intention to withdraw it, and permit another Senator to take over the motion even if the initial period for giving notice has elapsed. The House of Representatives does not have a similar procedure.</w:t>
      </w:r>
    </w:p>
    <w:p w14:paraId="77747749" w14:textId="3D046DBA" w:rsidR="00727ED5" w:rsidRPr="00DF0780" w:rsidRDefault="00727ED5" w:rsidP="0008193D">
      <w:pPr>
        <w:pStyle w:val="BodyNum"/>
      </w:pPr>
      <w:r w:rsidRPr="00FD274F">
        <w:t>If a disallowance motion is not withdrawn, put to a vote or otherwise disposed of</w:t>
      </w:r>
      <w:r w:rsidR="00F068FE" w:rsidRPr="00FD274F">
        <w:t xml:space="preserve"> </w:t>
      </w:r>
      <w:r w:rsidRPr="00FD274F">
        <w:t xml:space="preserve">within 15 sitting days after the </w:t>
      </w:r>
      <w:r w:rsidR="00F44E1B" w:rsidRPr="00FD274F">
        <w:t xml:space="preserve">sitting </w:t>
      </w:r>
      <w:r w:rsidRPr="00FD274F">
        <w:t xml:space="preserve">day that the notice of motion is given, the relevant instrument or provision is taken to have been disallowed at the end of that period </w:t>
      </w:r>
      <w:r w:rsidRPr="00DF0780">
        <w:t>(</w:t>
      </w:r>
      <w:hyperlink r:id="rId528" w:history="1">
        <w:hyperlink r:id="rId529" w:history="1">
          <w:hyperlink r:id="rId530" w:history="1">
            <w:r w:rsidR="004F5980" w:rsidRPr="00DF0780">
              <w:rPr>
                <w:rStyle w:val="Hyperlink"/>
              </w:rPr>
              <w:t>LA</w:t>
            </w:r>
          </w:hyperlink>
        </w:hyperlink>
      </w:hyperlink>
      <w:r w:rsidR="004F5980" w:rsidRPr="00DF0780">
        <w:rPr>
          <w:rStyle w:val="Hyperlink"/>
        </w:rPr>
        <w:t xml:space="preserve"> </w:t>
      </w:r>
      <w:r w:rsidRPr="00DF0780">
        <w:t>s 42(2)).</w:t>
      </w:r>
    </w:p>
    <w:p w14:paraId="4A113490" w14:textId="77777777" w:rsidR="00727ED5" w:rsidRPr="00FD274F" w:rsidRDefault="00727ED5" w:rsidP="00797390">
      <w:pPr>
        <w:pStyle w:val="Head4"/>
      </w:pPr>
      <w:bookmarkStart w:id="216" w:name="_Toc112918843"/>
      <w:r w:rsidRPr="00FD274F">
        <w:t>If notice of motion to disallow has been given</w:t>
      </w:r>
      <w:bookmarkEnd w:id="216"/>
    </w:p>
    <w:p w14:paraId="31A99801" w14:textId="0ECCEC45" w:rsidR="00797390" w:rsidRDefault="00727ED5" w:rsidP="0008193D">
      <w:pPr>
        <w:pStyle w:val="BodyNum"/>
      </w:pPr>
      <w:bookmarkStart w:id="217" w:name="_Ref422756800"/>
      <w:proofErr w:type="spellStart"/>
      <w:r w:rsidRPr="00FD274F">
        <w:t>OPC</w:t>
      </w:r>
      <w:proofErr w:type="spellEnd"/>
      <w:r w:rsidRPr="00FD274F">
        <w:t xml:space="preserve"> monitors parliamentary proceedings and, if notice of motion to disallow is given, will update </w:t>
      </w:r>
      <w:r w:rsidR="000D63D1" w:rsidRPr="00FD274F">
        <w:t>the Register</w:t>
      </w:r>
      <w:r w:rsidRPr="00FD274F">
        <w:t xml:space="preserve"> and alert the lodging agency as necessary. </w:t>
      </w:r>
      <w:r w:rsidR="00856975">
        <w:t xml:space="preserve">Agencies can also track the progress of disallowance motions via </w:t>
      </w:r>
      <w:r w:rsidR="00E029C7">
        <w:t xml:space="preserve">the </w:t>
      </w:r>
      <w:r w:rsidR="00805ED3">
        <w:t xml:space="preserve">SDLC’s </w:t>
      </w:r>
      <w:r w:rsidR="00856975">
        <w:t>Disallowance Al</w:t>
      </w:r>
      <w:r w:rsidR="00856975" w:rsidRPr="00DF0780">
        <w:t>ert</w:t>
      </w:r>
      <w:r w:rsidR="00856975" w:rsidRPr="00DF0780">
        <w:rPr>
          <w:rStyle w:val="FootnoteReference"/>
        </w:rPr>
        <w:footnoteReference w:id="33"/>
      </w:r>
      <w:r w:rsidR="00856975" w:rsidRPr="00DF0780">
        <w:t>.</w:t>
      </w:r>
      <w:r w:rsidR="001C16FE" w:rsidRPr="00DF0780">
        <w:t xml:space="preserve"> </w:t>
      </w:r>
      <w:r w:rsidRPr="00DF0780">
        <w:t>I</w:t>
      </w:r>
      <w:r w:rsidRPr="00FD274F">
        <w:t xml:space="preserve">t is important to take such matters seriously. </w:t>
      </w:r>
    </w:p>
    <w:p w14:paraId="5A5A1CF6" w14:textId="77777777" w:rsidR="00797390" w:rsidRPr="00FD274F" w:rsidRDefault="00797390" w:rsidP="00797390">
      <w:pPr>
        <w:pStyle w:val="BodyNum"/>
        <w:keepNext/>
      </w:pPr>
      <w:r w:rsidRPr="00FD274F">
        <w:t>Consequently, if a House has not yet voted on a disallowance motion, the responsible Minister should be briefed quickly on the issues and options. It may be possible for the responsible Minister to resolve the situation</w:t>
      </w:r>
      <w:r>
        <w:t xml:space="preserve"> </w:t>
      </w:r>
      <w:r w:rsidRPr="00FD274F">
        <w:t>by:</w:t>
      </w:r>
    </w:p>
    <w:p w14:paraId="4E15EE72" w14:textId="77777777" w:rsidR="00797390" w:rsidRPr="00FD274F" w:rsidRDefault="00797390" w:rsidP="00797390">
      <w:pPr>
        <w:pStyle w:val="BodyPara"/>
      </w:pPr>
      <w:r w:rsidRPr="00FD274F">
        <w:t>responding with and, if appropriate, tabling additional information such as a replacement or supplementary explanatory statemen</w:t>
      </w:r>
      <w:r w:rsidRPr="00F431F8">
        <w:t xml:space="preserve">t (see paragraph </w:t>
      </w:r>
      <w:r w:rsidRPr="00DF0780">
        <w:fldChar w:fldCharType="begin"/>
      </w:r>
      <w:r w:rsidRPr="00F431F8">
        <w:instrText xml:space="preserve"> REF _Ref384719737 \r \h </w:instrText>
      </w:r>
      <w:r>
        <w:rPr>
          <w:highlight w:val="yellow"/>
        </w:rPr>
        <w:instrText xml:space="preserve"> \* MERGEFORMAT </w:instrText>
      </w:r>
      <w:r w:rsidRPr="00DF0780">
        <w:fldChar w:fldCharType="separate"/>
      </w:r>
      <w:r w:rsidRPr="00F431F8">
        <w:t>301</w:t>
      </w:r>
      <w:r w:rsidRPr="00DF0780">
        <w:fldChar w:fldCharType="end"/>
      </w:r>
      <w:r w:rsidRPr="00F431F8">
        <w:t>);</w:t>
      </w:r>
      <w:r>
        <w:t xml:space="preserve"> or</w:t>
      </w:r>
    </w:p>
    <w:p w14:paraId="3A696687" w14:textId="77777777" w:rsidR="00797390" w:rsidRPr="00FD274F" w:rsidRDefault="00797390" w:rsidP="00797390">
      <w:pPr>
        <w:pStyle w:val="BodyPara"/>
      </w:pPr>
      <w:r w:rsidRPr="00FD274F">
        <w:t>giving an undertaking to review or change how an instrument operates, or to change drafting, consultation or other practices.</w:t>
      </w:r>
    </w:p>
    <w:p w14:paraId="2582120D" w14:textId="55CFB35F" w:rsidR="00797390" w:rsidRPr="00FD274F" w:rsidRDefault="00797390" w:rsidP="00797390">
      <w:pPr>
        <w:pStyle w:val="BodyNum"/>
      </w:pPr>
      <w:r>
        <w:t>I</w:t>
      </w:r>
      <w:r w:rsidRPr="00FD274F">
        <w:t>f an undertaking is given, agencies should ensure that it is implemented and provide feedback to this effect through, for example, subsequent explanatory statements if relevant. Prompt action should be taken because scrutiny bodies often include details of both new and outstanding undertakings in their peri</w:t>
      </w:r>
      <w:r>
        <w:t>odic reports to the Parliament.</w:t>
      </w:r>
    </w:p>
    <w:p w14:paraId="6926A829" w14:textId="77777777" w:rsidR="00FC5E09" w:rsidRPr="00FD274F" w:rsidRDefault="00FC5E09" w:rsidP="00FC5E09">
      <w:pPr>
        <w:pStyle w:val="BodyNum"/>
      </w:pPr>
      <w:r w:rsidRPr="00FD274F">
        <w:lastRenderedPageBreak/>
        <w:t>Agencies should also prepare for the possibility of disallowance as swift action may be required. For example, it may be necessary to do some or all of the following:</w:t>
      </w:r>
    </w:p>
    <w:p w14:paraId="0B0E2276" w14:textId="77777777" w:rsidR="00FC5E09" w:rsidRPr="00FD274F" w:rsidRDefault="00FC5E09" w:rsidP="00FC5E09">
      <w:pPr>
        <w:pStyle w:val="BodyPara"/>
      </w:pPr>
      <w:r w:rsidRPr="00FD274F">
        <w:t>notify people who rely on the instrument for authority to act (particularly if it is a matter that could go to court or involves public money);</w:t>
      </w:r>
    </w:p>
    <w:p w14:paraId="384CBC1E" w14:textId="77777777" w:rsidR="00FC5E09" w:rsidRPr="00FD274F" w:rsidRDefault="00FC5E09" w:rsidP="00FC5E09">
      <w:pPr>
        <w:pStyle w:val="BodyPara"/>
      </w:pPr>
      <w:r w:rsidRPr="00FD274F">
        <w:t>get legal advice on other legislation that may be revived or amended as a result of the disallowance;</w:t>
      </w:r>
    </w:p>
    <w:p w14:paraId="72D9AE07" w14:textId="77777777" w:rsidR="00FC5E09" w:rsidRPr="00FD274F" w:rsidRDefault="00FC5E09" w:rsidP="00FC5E09">
      <w:pPr>
        <w:pStyle w:val="BodyPara"/>
      </w:pPr>
      <w:r w:rsidRPr="00FD274F">
        <w:t xml:space="preserve">prepare one or more compilations to reflect the revised text of the instrument and any other affected legislation </w:t>
      </w:r>
      <w:r w:rsidRPr="00F431F8">
        <w:t xml:space="preserve">(see </w:t>
      </w:r>
      <w:hyperlink w:anchor="Chapter5" w:history="1">
        <w:r w:rsidRPr="00F431F8">
          <w:rPr>
            <w:rStyle w:val="Hyperlink"/>
          </w:rPr>
          <w:t>Chapter 5</w:t>
        </w:r>
      </w:hyperlink>
      <w:r w:rsidRPr="00F431F8">
        <w:t>).</w:t>
      </w:r>
    </w:p>
    <w:p w14:paraId="1F81103B" w14:textId="5DFABB07" w:rsidR="00797390" w:rsidRPr="00FD274F" w:rsidRDefault="00797390" w:rsidP="00797390">
      <w:pPr>
        <w:pStyle w:val="Head4"/>
      </w:pPr>
      <w:bookmarkStart w:id="218" w:name="_Toc112918844"/>
      <w:r w:rsidRPr="00FD274F">
        <w:t xml:space="preserve">If notice of motion to disallow has </w:t>
      </w:r>
      <w:r>
        <w:t>passed</w:t>
      </w:r>
      <w:bookmarkEnd w:id="218"/>
    </w:p>
    <w:p w14:paraId="111A5AB2" w14:textId="2857216A" w:rsidR="00727ED5" w:rsidRPr="00FD274F" w:rsidRDefault="00727ED5" w:rsidP="0008193D">
      <w:pPr>
        <w:pStyle w:val="BodyNum"/>
      </w:pPr>
      <w:r w:rsidRPr="00FD274F">
        <w:t>If a notice of motion is passed, or taken to have passed, the effect of disallowance is:</w:t>
      </w:r>
      <w:bookmarkEnd w:id="217"/>
    </w:p>
    <w:p w14:paraId="3B162519" w14:textId="17CFD782" w:rsidR="00727ED5" w:rsidRPr="00715EC3" w:rsidRDefault="00727ED5" w:rsidP="0008193D">
      <w:pPr>
        <w:pStyle w:val="BodyPara"/>
      </w:pPr>
      <w:r w:rsidRPr="00FD274F">
        <w:t xml:space="preserve">to repeal the instrument or provision immediately, that is, from the day and time of disallowance </w:t>
      </w:r>
      <w:r w:rsidRPr="00DF0780">
        <w:t>(</w:t>
      </w:r>
      <w:hyperlink r:id="rId531" w:history="1">
        <w:hyperlink r:id="rId532" w:history="1">
          <w:hyperlink r:id="rId533" w:history="1">
            <w:hyperlink r:id="rId534" w:history="1">
              <w:r w:rsidR="004F5980" w:rsidRPr="00DF0780">
                <w:rPr>
                  <w:rStyle w:val="Hyperlink"/>
                </w:rPr>
                <w:t>LA</w:t>
              </w:r>
            </w:hyperlink>
            <w:r w:rsidR="004F5980" w:rsidRPr="00DF0780">
              <w:rPr>
                <w:rStyle w:val="Hyperlink"/>
              </w:rPr>
              <w:t xml:space="preserve"> </w:t>
            </w:r>
          </w:hyperlink>
        </w:hyperlink>
      </w:hyperlink>
      <w:r w:rsidRPr="00DF0780">
        <w:t>s 4</w:t>
      </w:r>
      <w:r w:rsidR="00715EC3" w:rsidRPr="00DF0780">
        <w:t>2</w:t>
      </w:r>
      <w:r w:rsidRPr="00DF0780">
        <w:t>(1)</w:t>
      </w:r>
      <w:r w:rsidR="00715EC3" w:rsidRPr="00DF0780">
        <w:t xml:space="preserve"> and (2)</w:t>
      </w:r>
      <w:r w:rsidR="00242B00" w:rsidRPr="00DF0780">
        <w:t>); an</w:t>
      </w:r>
      <w:r w:rsidR="00242B00">
        <w:t>d</w:t>
      </w:r>
    </w:p>
    <w:p w14:paraId="5B9A0007" w14:textId="1C211EA1" w:rsidR="00727ED5" w:rsidRDefault="00727ED5" w:rsidP="0008193D">
      <w:pPr>
        <w:pStyle w:val="BodyPara"/>
      </w:pPr>
      <w:r w:rsidRPr="00FD274F">
        <w:t xml:space="preserve">to revive any instrument, law or provision repealed by the instrument or provision unless the repealed instrument or provision had </w:t>
      </w:r>
      <w:proofErr w:type="spellStart"/>
      <w:r w:rsidRPr="00FD274F">
        <w:t>sunsetted</w:t>
      </w:r>
      <w:proofErr w:type="spellEnd"/>
      <w:r w:rsidRPr="00FD274F">
        <w:t xml:space="preserve"> under </w:t>
      </w:r>
      <w:r w:rsidR="00A02B3B" w:rsidRPr="00DF0780">
        <w:t>Part</w:t>
      </w:r>
      <w:r w:rsidR="00FC7415" w:rsidRPr="00DF0780">
        <w:t> </w:t>
      </w:r>
      <w:r w:rsidR="00A02B3B" w:rsidRPr="00DF0780">
        <w:t>4</w:t>
      </w:r>
      <w:r w:rsidRPr="00DF0780">
        <w:t xml:space="preserve"> of </w:t>
      </w:r>
      <w:r w:rsidR="00FC7415" w:rsidRPr="00DF0780">
        <w:t xml:space="preserve">Chapter 3 </w:t>
      </w:r>
      <w:r w:rsidR="00583239" w:rsidRPr="00DF0780">
        <w:t xml:space="preserve">of </w:t>
      </w:r>
      <w:r w:rsidRPr="00DF0780">
        <w:t xml:space="preserve">the </w:t>
      </w:r>
      <w:hyperlink r:id="rId535" w:history="1">
        <w:hyperlink r:id="rId536" w:history="1">
          <w:hyperlink r:id="rId537" w:history="1">
            <w:hyperlink r:id="rId538" w:history="1">
              <w:r w:rsidR="004F5980" w:rsidRPr="00DF0780">
                <w:rPr>
                  <w:rStyle w:val="Hyperlink"/>
                </w:rPr>
                <w:t>LA</w:t>
              </w:r>
            </w:hyperlink>
            <w:r w:rsidR="004F5980" w:rsidRPr="00DF0780">
              <w:rPr>
                <w:rStyle w:val="Hyperlink"/>
              </w:rPr>
              <w:t xml:space="preserve"> </w:t>
            </w:r>
          </w:hyperlink>
        </w:hyperlink>
      </w:hyperlink>
      <w:r w:rsidR="00242B00" w:rsidRPr="00DF0780">
        <w:t>(s 45(2) and (3)); and</w:t>
      </w:r>
    </w:p>
    <w:p w14:paraId="3DA0B52B" w14:textId="54AA2D8A" w:rsidR="00797390" w:rsidRPr="00715EC3" w:rsidRDefault="00797390" w:rsidP="0008193D">
      <w:pPr>
        <w:pStyle w:val="BodyPara"/>
      </w:pPr>
      <w:r>
        <w:t xml:space="preserve">to undo the effects of a disallowed amending instrument or provision </w:t>
      </w:r>
      <w:r w:rsidRPr="00FD274F">
        <w:t>immediately, that is, from the day and time of disallowance</w:t>
      </w:r>
      <w:r>
        <w:t xml:space="preserve">. This </w:t>
      </w:r>
      <w:r w:rsidR="00FC5E09">
        <w:t xml:space="preserve">will also </w:t>
      </w:r>
      <w:r>
        <w:t xml:space="preserve">require a compilation to be prepared to show the effect of the disallowance </w:t>
      </w:r>
      <w:r w:rsidR="00FC5E09">
        <w:t>(</w:t>
      </w:r>
      <w:hyperlink r:id="rId539" w:history="1">
        <w:r w:rsidR="00FC5E09" w:rsidRPr="00DF0780">
          <w:rPr>
            <w:rStyle w:val="Hyperlink"/>
          </w:rPr>
          <w:t>LA</w:t>
        </w:r>
      </w:hyperlink>
      <w:r w:rsidR="00FC5E09">
        <w:rPr>
          <w:rStyle w:val="Hyperlink"/>
        </w:rPr>
        <w:t xml:space="preserve"> </w:t>
      </w:r>
      <w:r w:rsidR="00FC5E09" w:rsidRPr="00DF0780">
        <w:t>s </w:t>
      </w:r>
      <w:r w:rsidR="00FC5E09">
        <w:t>15Q</w:t>
      </w:r>
      <w:r w:rsidR="00FC5E09" w:rsidRPr="00DF0780">
        <w:t>(1)</w:t>
      </w:r>
      <w:r w:rsidR="00FC5E09">
        <w:t>(b)).</w:t>
      </w:r>
    </w:p>
    <w:p w14:paraId="3E00057A" w14:textId="0DE7FD9B" w:rsidR="00727ED5" w:rsidRPr="00FD274F" w:rsidRDefault="00727ED5" w:rsidP="0008193D">
      <w:pPr>
        <w:pStyle w:val="BodyPara"/>
      </w:pPr>
      <w:r w:rsidRPr="00FD274F">
        <w:t>to extend the restrictions on remaking the disallowed instrument or provision for 6 months after the day of disallowanc</w:t>
      </w:r>
      <w:r w:rsidRPr="00DF0780">
        <w:t>e (</w:t>
      </w:r>
      <w:hyperlink r:id="rId540" w:history="1">
        <w:hyperlink r:id="rId541" w:history="1">
          <w:hyperlink r:id="rId542" w:history="1">
            <w:hyperlink r:id="rId543" w:history="1">
              <w:r w:rsidR="004F5980" w:rsidRPr="00DF0780">
                <w:rPr>
                  <w:rStyle w:val="Hyperlink"/>
                </w:rPr>
                <w:t>LA</w:t>
              </w:r>
            </w:hyperlink>
            <w:r w:rsidR="004F5980" w:rsidRPr="00DF0780">
              <w:rPr>
                <w:rStyle w:val="Hyperlink"/>
              </w:rPr>
              <w:t xml:space="preserve"> </w:t>
            </w:r>
          </w:hyperlink>
        </w:hyperlink>
      </w:hyperlink>
      <w:r w:rsidRPr="00DF0780">
        <w:t>s 48).</w:t>
      </w:r>
    </w:p>
    <w:p w14:paraId="7ACA81D8" w14:textId="77777777" w:rsidR="00727ED5" w:rsidRPr="00FD274F" w:rsidRDefault="00727ED5" w:rsidP="004855B6">
      <w:pPr>
        <w:pStyle w:val="Head3"/>
      </w:pPr>
      <w:bookmarkStart w:id="219" w:name="_Toc112918845"/>
      <w:r w:rsidRPr="00FD274F">
        <w:t>Restrictions on remaking instruments before and after tabling</w:t>
      </w:r>
      <w:bookmarkEnd w:id="219"/>
    </w:p>
    <w:p w14:paraId="45E428A4" w14:textId="77777777" w:rsidR="00727ED5" w:rsidRPr="00FD274F" w:rsidRDefault="00727ED5" w:rsidP="0008193D">
      <w:pPr>
        <w:pStyle w:val="BodyNum"/>
      </w:pPr>
      <w:bookmarkStart w:id="220" w:name="_Ref383697445"/>
      <w:r w:rsidRPr="00FD274F">
        <w:t xml:space="preserve">Sometimes problems are identified with the text of an instrument soon after it has been lodged for registration. If so, the instrument may be amended or repealed, but </w:t>
      </w:r>
      <w:r w:rsidR="00D517EF" w:rsidRPr="00FD274F">
        <w:t>a</w:t>
      </w:r>
      <w:r w:rsidR="00F14307" w:rsidRPr="00FD274F">
        <w:t xml:space="preserve"> second </w:t>
      </w:r>
      <w:r w:rsidR="00D517EF" w:rsidRPr="00FD274F">
        <w:t xml:space="preserve">instrument </w:t>
      </w:r>
      <w:r w:rsidR="00F14307" w:rsidRPr="00FD274F">
        <w:t xml:space="preserve">that is </w:t>
      </w:r>
      <w:r w:rsidR="00D517EF" w:rsidRPr="00FD274F">
        <w:t>the same in substance as th</w:t>
      </w:r>
      <w:r w:rsidR="00F14307" w:rsidRPr="00FD274F">
        <w:t xml:space="preserve">e first </w:t>
      </w:r>
      <w:r w:rsidR="00D517EF" w:rsidRPr="00FD274F">
        <w:t xml:space="preserve">instrument cannot be </w:t>
      </w:r>
      <w:r w:rsidRPr="00FD274F">
        <w:t>made before</w:t>
      </w:r>
      <w:r w:rsidR="00F14307" w:rsidRPr="00FD274F">
        <w:t xml:space="preserve"> the first instrument is tabled, and for a period after its tabling,</w:t>
      </w:r>
      <w:r w:rsidRPr="00FD274F">
        <w:t xml:space="preserve"> without the Parliament’s approval.</w:t>
      </w:r>
      <w:bookmarkEnd w:id="220"/>
    </w:p>
    <w:p w14:paraId="5CF7E814" w14:textId="02D2116A" w:rsidR="00727ED5" w:rsidRPr="00FD274F" w:rsidRDefault="00727ED5" w:rsidP="0008193D">
      <w:pPr>
        <w:pStyle w:val="BodyNum"/>
      </w:pPr>
      <w:r w:rsidRPr="00FD274F">
        <w:t xml:space="preserve">Irrespective of whether a legislative instrument is disallowable, once it has been registered </w:t>
      </w:r>
      <w:r w:rsidR="00D517EF" w:rsidRPr="00FD274F">
        <w:t>a</w:t>
      </w:r>
      <w:r w:rsidR="00F14307" w:rsidRPr="00FD274F">
        <w:t xml:space="preserve"> second </w:t>
      </w:r>
      <w:r w:rsidR="00D517EF" w:rsidRPr="00FD274F">
        <w:t xml:space="preserve">instrument </w:t>
      </w:r>
      <w:r w:rsidR="00F14307" w:rsidRPr="00FD274F">
        <w:t xml:space="preserve">that is </w:t>
      </w:r>
      <w:r w:rsidR="00D517EF" w:rsidRPr="00FD274F">
        <w:t xml:space="preserve">the same in substance as the </w:t>
      </w:r>
      <w:r w:rsidR="00F14307" w:rsidRPr="00FD274F">
        <w:t xml:space="preserve">first </w:t>
      </w:r>
      <w:r w:rsidR="00D517EF" w:rsidRPr="00FD274F">
        <w:t>instrument cannot be made</w:t>
      </w:r>
      <w:r w:rsidRPr="00FD274F">
        <w:t xml:space="preserve"> </w:t>
      </w:r>
      <w:bookmarkStart w:id="221" w:name="_Ref367446655"/>
      <w:r w:rsidRPr="00FD274F">
        <w:t xml:space="preserve">for a period of 7 calendar days from the following </w:t>
      </w:r>
      <w:r w:rsidRPr="00DF0780">
        <w:t>(</w:t>
      </w:r>
      <w:hyperlink r:id="rId544" w:history="1">
        <w:hyperlink r:id="rId545" w:history="1">
          <w:hyperlink r:id="rId546" w:history="1">
            <w:hyperlink r:id="rId547" w:history="1">
              <w:r w:rsidR="004F5980" w:rsidRPr="00DF0780">
                <w:rPr>
                  <w:rStyle w:val="Hyperlink"/>
                </w:rPr>
                <w:t>LA</w:t>
              </w:r>
            </w:hyperlink>
            <w:r w:rsidR="004F5980" w:rsidRPr="00DF0780">
              <w:rPr>
                <w:rStyle w:val="Hyperlink"/>
              </w:rPr>
              <w:t xml:space="preserve"> </w:t>
            </w:r>
          </w:hyperlink>
        </w:hyperlink>
      </w:hyperlink>
      <w:r w:rsidRPr="00DF0780">
        <w:t>s 46)</w:t>
      </w:r>
      <w:r w:rsidRPr="00FD274F">
        <w:t>:</w:t>
      </w:r>
      <w:bookmarkEnd w:id="221"/>
    </w:p>
    <w:p w14:paraId="2D8F3290" w14:textId="77777777" w:rsidR="00727ED5" w:rsidRPr="00FD274F" w:rsidRDefault="00727ED5" w:rsidP="0008193D">
      <w:pPr>
        <w:pStyle w:val="BodyPara"/>
      </w:pPr>
      <w:r w:rsidRPr="00FD274F">
        <w:t>if it was tabled on the same day in both Houses—the day of tabling;</w:t>
      </w:r>
    </w:p>
    <w:p w14:paraId="69939C58" w14:textId="77777777" w:rsidR="00727ED5" w:rsidRPr="00FD274F" w:rsidRDefault="00727ED5" w:rsidP="0008193D">
      <w:pPr>
        <w:pStyle w:val="BodyPara"/>
      </w:pPr>
      <w:r w:rsidRPr="00FD274F">
        <w:t xml:space="preserve">if it was tabled on different days in both </w:t>
      </w:r>
      <w:r w:rsidR="00242B00">
        <w:t>Houses—the later of those days;</w:t>
      </w:r>
    </w:p>
    <w:p w14:paraId="5EE1DA99" w14:textId="2583122E" w:rsidR="00727ED5" w:rsidRPr="00FD274F" w:rsidRDefault="00727ED5" w:rsidP="0008193D">
      <w:pPr>
        <w:pStyle w:val="BodyPara"/>
      </w:pPr>
      <w:r w:rsidRPr="00FD274F">
        <w:t>if it was not tabled in both Houses—the last day when the instrument could ha</w:t>
      </w:r>
      <w:r w:rsidR="00F14307" w:rsidRPr="00FD274F">
        <w:t xml:space="preserve">ve been tabled under </w:t>
      </w:r>
      <w:r w:rsidR="00F14307" w:rsidRPr="00DF0780">
        <w:t xml:space="preserve">section 38 of the </w:t>
      </w:r>
      <w:hyperlink r:id="rId548" w:history="1">
        <w:hyperlink r:id="rId549" w:history="1">
          <w:hyperlink r:id="rId550" w:history="1">
            <w:r w:rsidR="004F5980" w:rsidRPr="00DF0780">
              <w:rPr>
                <w:rStyle w:val="Hyperlink"/>
              </w:rPr>
              <w:t>LA</w:t>
            </w:r>
          </w:hyperlink>
        </w:hyperlink>
      </w:hyperlink>
      <w:r w:rsidR="00F14307" w:rsidRPr="00DF0780">
        <w:rPr>
          <w:rStyle w:val="Hyperlink"/>
        </w:rPr>
        <w:t>.</w:t>
      </w:r>
    </w:p>
    <w:p w14:paraId="198BF860" w14:textId="343128E4" w:rsidR="00727ED5" w:rsidRPr="00FD274F" w:rsidRDefault="00727ED5" w:rsidP="00CD6FA3">
      <w:pPr>
        <w:pStyle w:val="BodyNum"/>
        <w:keepLines/>
      </w:pPr>
      <w:r w:rsidRPr="00FD274F">
        <w:lastRenderedPageBreak/>
        <w:t xml:space="preserve">If a legislative instrument is disallowable, longer timeframes </w:t>
      </w:r>
      <w:r w:rsidR="003A484E" w:rsidRPr="00FD274F">
        <w:t xml:space="preserve">may </w:t>
      </w:r>
      <w:r w:rsidRPr="00FD274F">
        <w:t xml:space="preserve">apply. </w:t>
      </w:r>
      <w:r w:rsidR="003A484E" w:rsidRPr="00FD274F">
        <w:t>If notice of a motion to disallow is given, an instrument, or a provision of the instrument</w:t>
      </w:r>
      <w:r w:rsidR="00D16547" w:rsidRPr="00FD274F">
        <w:t>,</w:t>
      </w:r>
      <w:r w:rsidR="006818D7" w:rsidRPr="00FD274F">
        <w:t xml:space="preserve"> that is the same in substance as the original instrument or provision cannot be made while the original instrument or provision can be disallowe</w:t>
      </w:r>
      <w:r w:rsidR="006818D7" w:rsidRPr="00DF0780">
        <w:t>d (</w:t>
      </w:r>
      <w:hyperlink r:id="rId551" w:history="1">
        <w:hyperlink r:id="rId552" w:history="1">
          <w:hyperlink r:id="rId553" w:history="1">
            <w:hyperlink r:id="rId554" w:history="1">
              <w:r w:rsidR="004F5980" w:rsidRPr="00DF0780">
                <w:rPr>
                  <w:rStyle w:val="Hyperlink"/>
                </w:rPr>
                <w:t>LA</w:t>
              </w:r>
            </w:hyperlink>
            <w:r w:rsidR="004F5980" w:rsidRPr="00DF0780">
              <w:rPr>
                <w:rStyle w:val="Hyperlink"/>
              </w:rPr>
              <w:t xml:space="preserve"> </w:t>
            </w:r>
          </w:hyperlink>
        </w:hyperlink>
      </w:hyperlink>
      <w:r w:rsidR="006818D7" w:rsidRPr="00DF0780">
        <w:t>s 47).</w:t>
      </w:r>
      <w:r w:rsidR="006818D7" w:rsidRPr="00FD274F">
        <w:t xml:space="preserve"> If the original instrument or provision is disallowed, an instrument or provision the same in substance cannot be made for 6 months after the day of disallo</w:t>
      </w:r>
      <w:r w:rsidR="006818D7" w:rsidRPr="00DF0780">
        <w:t xml:space="preserve">wance </w:t>
      </w:r>
      <w:r w:rsidRPr="00DF0780">
        <w:t>(</w:t>
      </w:r>
      <w:hyperlink r:id="rId555" w:history="1">
        <w:hyperlink r:id="rId556" w:history="1">
          <w:hyperlink r:id="rId557" w:history="1">
            <w:hyperlink r:id="rId558" w:history="1">
              <w:r w:rsidR="004F5980" w:rsidRPr="00DF0780">
                <w:rPr>
                  <w:rStyle w:val="Hyperlink"/>
                </w:rPr>
                <w:t>LA</w:t>
              </w:r>
            </w:hyperlink>
            <w:r w:rsidR="004F5980" w:rsidRPr="00DF0780">
              <w:rPr>
                <w:rStyle w:val="Hyperlink"/>
              </w:rPr>
              <w:t xml:space="preserve"> </w:t>
            </w:r>
          </w:hyperlink>
        </w:hyperlink>
      </w:hyperlink>
      <w:r w:rsidRPr="00DF0780">
        <w:t>s 48).</w:t>
      </w:r>
    </w:p>
    <w:p w14:paraId="29C437B8" w14:textId="77777777" w:rsidR="007D75E4" w:rsidRPr="00FD274F" w:rsidRDefault="00727ED5" w:rsidP="0008193D">
      <w:pPr>
        <w:pStyle w:val="BodyNum"/>
      </w:pPr>
      <w:r w:rsidRPr="00FD274F">
        <w:t xml:space="preserve">It is important to note that the restrictions on remaking are broadly expressed, and focus on whether an instrument or provision is “the same in substance” as an earlier instrument or provision. </w:t>
      </w:r>
      <w:r w:rsidR="007D75E4" w:rsidRPr="00FD274F">
        <w:t xml:space="preserve">This usually requires an assessment of whether it has </w:t>
      </w:r>
      <w:r w:rsidRPr="00FD274F">
        <w:t>“in large measure, though not in all details, the same effect” as an earlier instrument or provision</w:t>
      </w:r>
      <w:r w:rsidR="004F138B" w:rsidRPr="00FD274F">
        <w:rPr>
          <w:rStyle w:val="FootnoteReference"/>
        </w:rPr>
        <w:footnoteReference w:id="34"/>
      </w:r>
      <w:r w:rsidR="007D75E4" w:rsidRPr="00FD274F">
        <w:t>.</w:t>
      </w:r>
    </w:p>
    <w:p w14:paraId="679A5433" w14:textId="63C97AA3" w:rsidR="00727ED5" w:rsidRPr="00FD274F" w:rsidRDefault="00727ED5" w:rsidP="0008193D">
      <w:pPr>
        <w:pStyle w:val="BodyNum"/>
      </w:pPr>
      <w:r w:rsidRPr="00FD274F">
        <w:t xml:space="preserve">It is also important to comply with the restrictions on remaking. An instrument or provision that is remade in breach of these restrictions has no effect, and can never take effect even if it is registered and </w:t>
      </w:r>
      <w:r w:rsidRPr="00DF0780">
        <w:t>tabled (</w:t>
      </w:r>
      <w:hyperlink r:id="rId559" w:history="1">
        <w:hyperlink r:id="rId560" w:history="1">
          <w:hyperlink r:id="rId561" w:history="1">
            <w:r w:rsidR="004F5980" w:rsidRPr="00DF0780">
              <w:rPr>
                <w:rStyle w:val="Hyperlink"/>
              </w:rPr>
              <w:t>LA</w:t>
            </w:r>
          </w:hyperlink>
          <w:r w:rsidR="004F5980" w:rsidRPr="00DF0780">
            <w:rPr>
              <w:rStyle w:val="Hyperlink"/>
            </w:rPr>
            <w:t xml:space="preserve"> </w:t>
          </w:r>
        </w:hyperlink>
      </w:hyperlink>
      <w:r w:rsidRPr="00DF0780">
        <w:t>s 46(3), s 47(3) and s 48(</w:t>
      </w:r>
      <w:r w:rsidR="008D5376" w:rsidRPr="00DF0780">
        <w:t>4</w:t>
      </w:r>
      <w:r w:rsidR="00242B00" w:rsidRPr="00DF0780">
        <w:t>)).</w:t>
      </w:r>
    </w:p>
    <w:p w14:paraId="269D17DF" w14:textId="77777777" w:rsidR="00727ED5" w:rsidRPr="00FD274F" w:rsidRDefault="00727ED5" w:rsidP="0008193D">
      <w:pPr>
        <w:pStyle w:val="BodyNum"/>
      </w:pPr>
      <w:r w:rsidRPr="00FD274F">
        <w:t>Consequently, if there is a compelling need to remake an instrument or provision before these restrictions e</w:t>
      </w:r>
      <w:r w:rsidR="00D16547" w:rsidRPr="00FD274F">
        <w:t>nd</w:t>
      </w:r>
      <w:r w:rsidRPr="00FD274F">
        <w:t xml:space="preserve">, there are only </w:t>
      </w:r>
      <w:r w:rsidR="00FC7415" w:rsidRPr="00FD274F">
        <w:t>two</w:t>
      </w:r>
      <w:r w:rsidR="00A102BB" w:rsidRPr="00FD274F">
        <w:t xml:space="preserve"> </w:t>
      </w:r>
      <w:r w:rsidR="003A484E" w:rsidRPr="00FD274F">
        <w:t xml:space="preserve">practical </w:t>
      </w:r>
      <w:r w:rsidRPr="00FD274F">
        <w:t>options for resolving the situation:</w:t>
      </w:r>
    </w:p>
    <w:p w14:paraId="73A99CB3" w14:textId="77777777" w:rsidR="004862F6" w:rsidRPr="00FD274F" w:rsidRDefault="004862F6" w:rsidP="004862F6">
      <w:pPr>
        <w:pStyle w:val="BodyPara"/>
      </w:pPr>
      <w:r w:rsidRPr="00FD274F">
        <w:t>remake the instrument or provision with changes, so that it is not the same in substance as the earlier instrument or provision, or</w:t>
      </w:r>
    </w:p>
    <w:p w14:paraId="4CED854C" w14:textId="0E04B9E4" w:rsidR="004862F6" w:rsidRPr="00FD274F" w:rsidRDefault="004862F6" w:rsidP="004862F6">
      <w:pPr>
        <w:pStyle w:val="BodyPara"/>
      </w:pPr>
      <w:r w:rsidRPr="00FD274F">
        <w:t xml:space="preserve">seek a resolution by the Parliament approving the remaking of the instrument or provision </w:t>
      </w:r>
      <w:r w:rsidRPr="00DF0780">
        <w:t xml:space="preserve">(see </w:t>
      </w:r>
      <w:hyperlink r:id="rId562" w:history="1">
        <w:hyperlink r:id="rId563" w:history="1">
          <w:hyperlink r:id="rId564" w:history="1">
            <w:hyperlink r:id="rId565" w:history="1">
              <w:r w:rsidRPr="00DF0780">
                <w:rPr>
                  <w:rStyle w:val="Hyperlink"/>
                </w:rPr>
                <w:t>LA</w:t>
              </w:r>
            </w:hyperlink>
            <w:r w:rsidRPr="00DF0780">
              <w:rPr>
                <w:rStyle w:val="Hyperlink"/>
              </w:rPr>
              <w:t xml:space="preserve"> </w:t>
            </w:r>
          </w:hyperlink>
        </w:hyperlink>
      </w:hyperlink>
      <w:r w:rsidRPr="00DF0780">
        <w:t>s 46(1) and s 48(2)).</w:t>
      </w:r>
    </w:p>
    <w:p w14:paraId="4F1FA1A1" w14:textId="77777777" w:rsidR="004862F6" w:rsidRPr="00FD274F" w:rsidRDefault="004862F6" w:rsidP="0008193D">
      <w:pPr>
        <w:pStyle w:val="BodyNum"/>
      </w:pPr>
      <w:bookmarkStart w:id="222" w:name="_Ref384353833"/>
      <w:r w:rsidRPr="00FD274F">
        <w:t xml:space="preserve">In either case, agencies are </w:t>
      </w:r>
      <w:r w:rsidR="00727ED5" w:rsidRPr="00FD274F">
        <w:t>strongly advised to obtain</w:t>
      </w:r>
      <w:r w:rsidRPr="00FD274F">
        <w:t xml:space="preserve"> legal advice on whether </w:t>
      </w:r>
      <w:r w:rsidR="00727ED5" w:rsidRPr="00FD274F">
        <w:t>the</w:t>
      </w:r>
      <w:r w:rsidRPr="00FD274F">
        <w:t xml:space="preserve"> proposed</w:t>
      </w:r>
      <w:r w:rsidR="00727ED5" w:rsidRPr="00FD274F">
        <w:t xml:space="preserve"> </w:t>
      </w:r>
      <w:r w:rsidRPr="00FD274F">
        <w:t xml:space="preserve">new </w:t>
      </w:r>
      <w:r w:rsidR="00727ED5" w:rsidRPr="00FD274F">
        <w:t>instrument or provision is the same in substance as the e</w:t>
      </w:r>
      <w:r w:rsidR="007D75E4" w:rsidRPr="00FD274F">
        <w:t xml:space="preserve">arlier </w:t>
      </w:r>
      <w:r w:rsidRPr="00FD274F">
        <w:t xml:space="preserve">one. Also, </w:t>
      </w:r>
      <w:r w:rsidR="007D44FE">
        <w:t xml:space="preserve">agencies are advised </w:t>
      </w:r>
      <w:r w:rsidRPr="00FD274F">
        <w:t>to consider the possibility that the Parliament may disallow the new instrument or provision based on a broader view of the concept than that adopted by the courts to date.</w:t>
      </w:r>
    </w:p>
    <w:p w14:paraId="0B888258" w14:textId="77777777" w:rsidR="00727ED5" w:rsidRPr="00FD274F" w:rsidRDefault="00727ED5" w:rsidP="0008193D">
      <w:pPr>
        <w:pStyle w:val="BodyNum"/>
      </w:pPr>
      <w:r w:rsidRPr="00FD274F">
        <w:t>If a Parliamentary reso</w:t>
      </w:r>
      <w:r w:rsidR="00D16547" w:rsidRPr="00FD274F">
        <w:t>lution for remaking is obtained</w:t>
      </w:r>
      <w:r w:rsidRPr="00FD274F">
        <w:t xml:space="preserve"> and an instrument or provision is remade, </w:t>
      </w:r>
      <w:r w:rsidR="00D16547" w:rsidRPr="00FD274F">
        <w:t>the</w:t>
      </w:r>
      <w:r w:rsidRPr="00FD274F">
        <w:t xml:space="preserve"> resolution date and other details </w:t>
      </w:r>
      <w:r w:rsidR="00D16547" w:rsidRPr="00FD274F">
        <w:t>should be</w:t>
      </w:r>
      <w:r w:rsidRPr="00FD274F">
        <w:t xml:space="preserve"> noted in the explanatory statement. This will ensure that the details are readily available</w:t>
      </w:r>
      <w:r w:rsidR="00D16547" w:rsidRPr="00FD274F">
        <w:t xml:space="preserve"> if</w:t>
      </w:r>
      <w:r w:rsidRPr="00FD274F">
        <w:t xml:space="preserve"> the validity of remaking </w:t>
      </w:r>
      <w:r w:rsidR="00FC7415" w:rsidRPr="00FD274F">
        <w:t>is</w:t>
      </w:r>
      <w:r w:rsidRPr="00FD274F">
        <w:t xml:space="preserve"> questioned at any point in the future.</w:t>
      </w:r>
      <w:bookmarkEnd w:id="222"/>
    </w:p>
    <w:p w14:paraId="0EFD302E" w14:textId="77777777" w:rsidR="00727ED5" w:rsidRPr="00FD274F" w:rsidRDefault="00727ED5" w:rsidP="0008193D">
      <w:pPr>
        <w:pStyle w:val="BodyNum"/>
      </w:pPr>
      <w:bookmarkStart w:id="223" w:name="_Ref384355195"/>
      <w:r w:rsidRPr="00FD274F">
        <w:t>Similarly, if a decision is taken to remake an instrument or provision shortly after the restrictions have e</w:t>
      </w:r>
      <w:r w:rsidR="00D16547" w:rsidRPr="00FD274F">
        <w:t>nded</w:t>
      </w:r>
      <w:r w:rsidRPr="00FD274F">
        <w:t xml:space="preserve">, </w:t>
      </w:r>
      <w:r w:rsidR="00D16547" w:rsidRPr="00FD274F">
        <w:t>the</w:t>
      </w:r>
      <w:r w:rsidRPr="00FD274F">
        <w:t xml:space="preserve"> relevant date calculations </w:t>
      </w:r>
      <w:r w:rsidR="00D16547" w:rsidRPr="00FD274F">
        <w:t xml:space="preserve">should be included </w:t>
      </w:r>
      <w:r w:rsidRPr="00FD274F">
        <w:t>in the explanatory statement. This is particularly important if the</w:t>
      </w:r>
      <w:r w:rsidR="00D16547" w:rsidRPr="00FD274F">
        <w:t xml:space="preserve"> new instrument is disallowable</w:t>
      </w:r>
      <w:r w:rsidRPr="00FD274F">
        <w:t xml:space="preserve"> or the earlier instrument was disallowed.</w:t>
      </w:r>
      <w:bookmarkEnd w:id="223"/>
    </w:p>
    <w:p w14:paraId="222E0FC2" w14:textId="77777777" w:rsidR="00E6705D" w:rsidRPr="00FD274F" w:rsidRDefault="00E6705D">
      <w:pPr>
        <w:spacing w:line="240" w:lineRule="auto"/>
        <w:rPr>
          <w:rFonts w:ascii="Arial" w:eastAsia="Times New Roman" w:hAnsi="Arial" w:cs="Times New Roman"/>
          <w:b/>
          <w:kern w:val="28"/>
          <w:sz w:val="28"/>
          <w:lang w:eastAsia="en-AU"/>
        </w:rPr>
      </w:pPr>
      <w:r w:rsidRPr="00FD274F">
        <w:br w:type="page"/>
      </w:r>
    </w:p>
    <w:p w14:paraId="5C1F3E0C" w14:textId="77777777" w:rsidR="00727ED5" w:rsidRPr="00FD274F" w:rsidRDefault="00F434C0" w:rsidP="004855B6">
      <w:pPr>
        <w:pStyle w:val="Head2"/>
      </w:pPr>
      <w:bookmarkStart w:id="224" w:name="_Toc112918846"/>
      <w:bookmarkStart w:id="225" w:name="Chapter10"/>
      <w:r w:rsidRPr="00FD274F">
        <w:lastRenderedPageBreak/>
        <w:t xml:space="preserve">Chapter </w:t>
      </w:r>
      <w:r w:rsidR="00732846" w:rsidRPr="00FD274F">
        <w:t>10</w:t>
      </w:r>
      <w:r w:rsidRPr="00FD274F">
        <w:t>—</w:t>
      </w:r>
      <w:r w:rsidR="00727ED5" w:rsidRPr="00FD274F">
        <w:t>Sunsetting</w:t>
      </w:r>
      <w:bookmarkEnd w:id="224"/>
    </w:p>
    <w:bookmarkEnd w:id="225"/>
    <w:p w14:paraId="359C3185" w14:textId="77777777" w:rsidR="00727ED5" w:rsidRPr="00FD274F" w:rsidRDefault="00727ED5" w:rsidP="00A128EE">
      <w:pPr>
        <w:pStyle w:val="SundryBoxHeadBold"/>
      </w:pPr>
      <w:r w:rsidRPr="00FD274F">
        <w:t>Main points</w:t>
      </w:r>
    </w:p>
    <w:p w14:paraId="44248904" w14:textId="665C19F8" w:rsidR="00727ED5" w:rsidRPr="00FD274F" w:rsidRDefault="00727ED5" w:rsidP="00F75BA9">
      <w:pPr>
        <w:pStyle w:val="SundryBoxBullet"/>
      </w:pPr>
      <w:r w:rsidRPr="00FD274F">
        <w:t>•</w:t>
      </w:r>
      <w:r w:rsidRPr="00FD274F">
        <w:tab/>
        <w:t>Many legislative instruments are auto</w:t>
      </w:r>
      <w:r w:rsidRPr="00474C8A">
        <w:t xml:space="preserve">matically repealed after 10 years—this process is known as sunsetting and is governed by </w:t>
      </w:r>
      <w:r w:rsidR="00A02B3B" w:rsidRPr="00474C8A">
        <w:t>Part 4</w:t>
      </w:r>
      <w:r w:rsidRPr="00474C8A">
        <w:t xml:space="preserve"> of</w:t>
      </w:r>
      <w:r w:rsidR="00FC7415" w:rsidRPr="00474C8A">
        <w:t xml:space="preserve"> Chapter 3 of</w:t>
      </w:r>
      <w:r w:rsidRPr="00474C8A">
        <w:t xml:space="preserve"> the </w:t>
      </w:r>
      <w:hyperlink r:id="rId566" w:history="1">
        <w:r w:rsidR="00342ECB" w:rsidRPr="00474C8A">
          <w:rPr>
            <w:rStyle w:val="Hyperlink"/>
          </w:rPr>
          <w:t>LA</w:t>
        </w:r>
      </w:hyperlink>
      <w:r w:rsidR="00242B00" w:rsidRPr="00474C8A">
        <w:t>.</w:t>
      </w:r>
    </w:p>
    <w:p w14:paraId="48A94627" w14:textId="77777777" w:rsidR="00727ED5" w:rsidRPr="00FD274F" w:rsidRDefault="00727ED5" w:rsidP="00F75BA9">
      <w:pPr>
        <w:pStyle w:val="SundryBoxBullet"/>
      </w:pPr>
      <w:r w:rsidRPr="00FD274F">
        <w:t>•</w:t>
      </w:r>
      <w:r w:rsidRPr="00FD274F">
        <w:tab/>
        <w:t xml:space="preserve">Early action on sunsetting is more likely to achieve a smooth process and </w:t>
      </w:r>
      <w:r w:rsidR="00E94C94" w:rsidRPr="00FD274F">
        <w:t xml:space="preserve">a </w:t>
      </w:r>
      <w:r w:rsidRPr="00FD274F">
        <w:t>better outcome than leaving things until the last minute.</w:t>
      </w:r>
    </w:p>
    <w:p w14:paraId="20F52EFF" w14:textId="77777777" w:rsidR="00727ED5" w:rsidRPr="00FD274F" w:rsidRDefault="00727ED5" w:rsidP="00F75BA9">
      <w:pPr>
        <w:pStyle w:val="SundryBoxBullet"/>
      </w:pPr>
      <w:r w:rsidRPr="00FD274F">
        <w:t>•</w:t>
      </w:r>
      <w:r w:rsidRPr="00FD274F">
        <w:tab/>
        <w:t>Sunset dates can only be deferred or rolled over in limited circumstances, and this requires the consent of the Attorney</w:t>
      </w:r>
      <w:r w:rsidR="009C4251">
        <w:noBreakHyphen/>
      </w:r>
      <w:r w:rsidRPr="00FD274F">
        <w:t>General, the Parliament or both.</w:t>
      </w:r>
    </w:p>
    <w:p w14:paraId="7918A488" w14:textId="59B42C59" w:rsidR="00727ED5" w:rsidRPr="00FD274F" w:rsidRDefault="00727ED5" w:rsidP="00F75BA9">
      <w:pPr>
        <w:pStyle w:val="SundryBoxBullet"/>
      </w:pPr>
      <w:r w:rsidRPr="00FD274F">
        <w:t>•</w:t>
      </w:r>
      <w:r w:rsidRPr="00FD274F">
        <w:tab/>
        <w:t>In many cases, a replacement instrument will need to be made and registered before an instrument sunsets to ensure continuity of the law.</w:t>
      </w:r>
    </w:p>
    <w:p w14:paraId="416CE294" w14:textId="77777777" w:rsidR="00727ED5" w:rsidRPr="00FD274F" w:rsidRDefault="00727ED5" w:rsidP="004855B6">
      <w:pPr>
        <w:pStyle w:val="Head3"/>
      </w:pPr>
      <w:bookmarkStart w:id="226" w:name="_Toc112918847"/>
      <w:r w:rsidRPr="00FD274F">
        <w:t>Background</w:t>
      </w:r>
      <w:bookmarkEnd w:id="226"/>
    </w:p>
    <w:p w14:paraId="093D1445" w14:textId="765D3D7F" w:rsidR="00727ED5" w:rsidRPr="00FD274F" w:rsidRDefault="00FC7415" w:rsidP="0008193D">
      <w:pPr>
        <w:pStyle w:val="BodyNum"/>
      </w:pPr>
      <w:r w:rsidRPr="00FD274F">
        <w:t>This c</w:t>
      </w:r>
      <w:r w:rsidR="00727ED5" w:rsidRPr="00FD274F">
        <w:t xml:space="preserve">hapter describes the framework for </w:t>
      </w:r>
      <w:r w:rsidR="00A02B3B" w:rsidRPr="00FD274F">
        <w:t xml:space="preserve">sunsetting established by </w:t>
      </w:r>
      <w:r w:rsidR="00A02B3B" w:rsidRPr="00474C8A">
        <w:t xml:space="preserve">the </w:t>
      </w:r>
      <w:hyperlink r:id="rId567" w:history="1">
        <w:r w:rsidR="00E25493" w:rsidRPr="00474C8A">
          <w:rPr>
            <w:rStyle w:val="Hyperlink"/>
          </w:rPr>
          <w:t>LA</w:t>
        </w:r>
      </w:hyperlink>
      <w:r w:rsidR="00727ED5" w:rsidRPr="00474C8A">
        <w:t>,</w:t>
      </w:r>
      <w:r w:rsidR="00727ED5" w:rsidRPr="00FD274F">
        <w:t xml:space="preserve"> and highlights key considerations in the drafting and registration of instruments. </w:t>
      </w:r>
      <w:r w:rsidRPr="00FD274F">
        <w:t xml:space="preserve">It </w:t>
      </w:r>
      <w:r w:rsidR="00727ED5" w:rsidRPr="00FD274F">
        <w:t>shou</w:t>
      </w:r>
      <w:r w:rsidR="00242B00">
        <w:t>ld be read in conjunction with:</w:t>
      </w:r>
    </w:p>
    <w:p w14:paraId="073F6001" w14:textId="77777777" w:rsidR="00727ED5" w:rsidRDefault="00FD5F93" w:rsidP="0008193D">
      <w:pPr>
        <w:pStyle w:val="BodyPara"/>
      </w:pPr>
      <w:r w:rsidRPr="00FD274F">
        <w:t>the A</w:t>
      </w:r>
      <w:r w:rsidRPr="00474C8A">
        <w:t>GD Guide to M</w:t>
      </w:r>
      <w:r w:rsidR="00727ED5" w:rsidRPr="00474C8A">
        <w:t xml:space="preserve">anaging </w:t>
      </w:r>
      <w:r w:rsidRPr="00474C8A">
        <w:t>S</w:t>
      </w:r>
      <w:r w:rsidR="00727ED5" w:rsidRPr="00474C8A">
        <w:t xml:space="preserve">unsetting of </w:t>
      </w:r>
      <w:r w:rsidRPr="00474C8A">
        <w:t>L</w:t>
      </w:r>
      <w:r w:rsidR="00727ED5" w:rsidRPr="00474C8A">
        <w:t xml:space="preserve">egislative </w:t>
      </w:r>
      <w:r w:rsidRPr="00474C8A">
        <w:t>I</w:t>
      </w:r>
      <w:r w:rsidR="00727ED5" w:rsidRPr="00474C8A">
        <w:t>nstruments</w:t>
      </w:r>
      <w:r w:rsidR="00727ED5" w:rsidRPr="00474C8A">
        <w:rPr>
          <w:rStyle w:val="FootnoteReference"/>
        </w:rPr>
        <w:footnoteReference w:id="35"/>
      </w:r>
      <w:r w:rsidR="00727ED5" w:rsidRPr="00474C8A">
        <w:t>; a</w:t>
      </w:r>
      <w:r w:rsidR="00727ED5" w:rsidRPr="00FD274F">
        <w:t>nd</w:t>
      </w:r>
    </w:p>
    <w:p w14:paraId="2552BE09" w14:textId="77777777" w:rsidR="008C5194" w:rsidRPr="00FD274F" w:rsidRDefault="00F60400" w:rsidP="0008193D">
      <w:pPr>
        <w:pStyle w:val="BodyPara"/>
      </w:pPr>
      <w:r w:rsidRPr="00474C8A">
        <w:t>t</w:t>
      </w:r>
      <w:r w:rsidR="008C5194" w:rsidRPr="00474C8A">
        <w:t>he Sunsetting Checklist</w:t>
      </w:r>
      <w:r w:rsidR="00553A4A" w:rsidRPr="00474C8A">
        <w:t xml:space="preserve"> in Appendix A of this Handbook;</w:t>
      </w:r>
      <w:r w:rsidR="00553A4A">
        <w:t xml:space="preserve"> and</w:t>
      </w:r>
    </w:p>
    <w:p w14:paraId="72513788" w14:textId="77777777" w:rsidR="00727ED5" w:rsidRPr="00FD274F" w:rsidRDefault="00727ED5" w:rsidP="0008193D">
      <w:pPr>
        <w:pStyle w:val="BodyPara"/>
      </w:pPr>
      <w:r w:rsidRPr="00FD274F">
        <w:t>the Austra</w:t>
      </w:r>
      <w:r w:rsidRPr="00474C8A">
        <w:t>lian Government’s deregulation policies.</w:t>
      </w:r>
    </w:p>
    <w:p w14:paraId="30CC5B90" w14:textId="77777777" w:rsidR="00727ED5" w:rsidRPr="00FD274F" w:rsidRDefault="00727ED5" w:rsidP="0008193D">
      <w:pPr>
        <w:pStyle w:val="BodyNum"/>
      </w:pPr>
      <w:r w:rsidRPr="00FD274F">
        <w:t xml:space="preserve">The automatic repeal or sunsetting of older legislative instruments presents a unique opportunity for the Australian Government to reduce red tape, deliver clearer laws, and align existing legislation </w:t>
      </w:r>
      <w:r w:rsidR="00242B00">
        <w:t>with current government policy.</w:t>
      </w:r>
    </w:p>
    <w:p w14:paraId="2AE1603B" w14:textId="33E8129E" w:rsidR="00727ED5" w:rsidRPr="00FD274F" w:rsidRDefault="00727ED5" w:rsidP="0008193D">
      <w:pPr>
        <w:pStyle w:val="BodyNum"/>
      </w:pPr>
      <w:r w:rsidRPr="00FD274F">
        <w:t>Sunsetting may, at first, require some agencies to change the way they manage their legislation but it is an important process. Its purpose is to “ensure that legislative instruments are kept up</w:t>
      </w:r>
      <w:r w:rsidR="009C4251">
        <w:noBreakHyphen/>
      </w:r>
      <w:r w:rsidRPr="00FD274F">
        <w:t>to</w:t>
      </w:r>
      <w:r w:rsidR="009C4251">
        <w:noBreakHyphen/>
      </w:r>
      <w:r w:rsidRPr="00FD274F">
        <w:t>date and only remain in force for as long as they are needed</w:t>
      </w:r>
      <w:r w:rsidRPr="00474C8A">
        <w:t>” (</w:t>
      </w:r>
      <w:hyperlink r:id="rId568" w:history="1">
        <w:hyperlink r:id="rId569" w:history="1">
          <w:hyperlink r:id="rId570" w:history="1">
            <w:hyperlink r:id="rId571" w:history="1">
              <w:r w:rsidR="004F5980" w:rsidRPr="00474C8A">
                <w:rPr>
                  <w:rStyle w:val="Hyperlink"/>
                </w:rPr>
                <w:t>LA</w:t>
              </w:r>
            </w:hyperlink>
            <w:r w:rsidR="004F5980" w:rsidRPr="00474C8A">
              <w:rPr>
                <w:rStyle w:val="Hyperlink"/>
              </w:rPr>
              <w:t xml:space="preserve"> </w:t>
            </w:r>
          </w:hyperlink>
        </w:hyperlink>
      </w:hyperlink>
      <w:r w:rsidR="00242B00" w:rsidRPr="00474C8A">
        <w:t>s 49).</w:t>
      </w:r>
    </w:p>
    <w:p w14:paraId="233584C3" w14:textId="46067F08" w:rsidR="00727ED5" w:rsidRPr="00FD274F" w:rsidRDefault="00727ED5" w:rsidP="0008193D">
      <w:pPr>
        <w:pStyle w:val="BodyNum"/>
      </w:pPr>
      <w:r w:rsidRPr="00FD274F">
        <w:t>As a general guide, agencies should plan ahead and</w:t>
      </w:r>
      <w:r w:rsidR="00242B00">
        <w:t>,</w:t>
      </w:r>
      <w:r w:rsidRPr="00FD274F">
        <w:t xml:space="preserve"> if appropriate</w:t>
      </w:r>
      <w:r w:rsidR="00242B00">
        <w:t>,</w:t>
      </w:r>
      <w:r w:rsidRPr="00FD274F">
        <w:t xml:space="preserve"> negotiate minor changes to sunset dates. If an instrument is no longer required, it should be repealed (see </w:t>
      </w:r>
      <w:r w:rsidRPr="00307FAD">
        <w:t xml:space="preserve">paragraph </w:t>
      </w:r>
      <w:r w:rsidRPr="00474C8A">
        <w:fldChar w:fldCharType="begin"/>
      </w:r>
      <w:r w:rsidRPr="00307FAD">
        <w:instrText xml:space="preserve"> REF _Ref367446866 \w \h </w:instrText>
      </w:r>
      <w:r w:rsidR="00F308D0" w:rsidRPr="00307FAD">
        <w:instrText xml:space="preserve"> \* MERGEFORMAT </w:instrText>
      </w:r>
      <w:r w:rsidRPr="00474C8A">
        <w:fldChar w:fldCharType="separate"/>
      </w:r>
      <w:r w:rsidR="003E1B43" w:rsidRPr="00307FAD">
        <w:t>221</w:t>
      </w:r>
      <w:r w:rsidRPr="00474C8A">
        <w:fldChar w:fldCharType="end"/>
      </w:r>
      <w:r w:rsidR="00BD78C5" w:rsidRPr="00307FAD">
        <w:t>)</w:t>
      </w:r>
      <w:r w:rsidRPr="00307FAD">
        <w:t>. Othe</w:t>
      </w:r>
      <w:r w:rsidRPr="00FD274F">
        <w:t xml:space="preserve">rwise the instrument should be reviewed </w:t>
      </w:r>
      <w:r w:rsidRPr="00E10ECD">
        <w:t xml:space="preserve">(see paragraph </w:t>
      </w:r>
      <w:r w:rsidR="009B5BC0" w:rsidRPr="00474C8A">
        <w:fldChar w:fldCharType="begin"/>
      </w:r>
      <w:r w:rsidR="009B5BC0" w:rsidRPr="00E10ECD">
        <w:instrText xml:space="preserve"> REF _Ref378066686 \r \h </w:instrText>
      </w:r>
      <w:r w:rsidR="00E30D59">
        <w:rPr>
          <w:highlight w:val="yellow"/>
        </w:rPr>
        <w:instrText xml:space="preserve"> \* MERGEFORMAT </w:instrText>
      </w:r>
      <w:r w:rsidR="009B5BC0" w:rsidRPr="00474C8A">
        <w:fldChar w:fldCharType="separate"/>
      </w:r>
      <w:r w:rsidR="003E1B43" w:rsidRPr="00E10ECD">
        <w:t>349</w:t>
      </w:r>
      <w:r w:rsidR="009B5BC0" w:rsidRPr="00474C8A">
        <w:fldChar w:fldCharType="end"/>
      </w:r>
      <w:r w:rsidRPr="00E10ECD">
        <w:t>). If</w:t>
      </w:r>
      <w:r w:rsidRPr="00FD274F">
        <w:t xml:space="preserve"> the review establishes that the instrument is still required, the instrument should be:</w:t>
      </w:r>
    </w:p>
    <w:p w14:paraId="5732F1B3" w14:textId="0244330C" w:rsidR="00727ED5" w:rsidRPr="00FD274F" w:rsidRDefault="00234412" w:rsidP="0008193D">
      <w:pPr>
        <w:pStyle w:val="BodyPara"/>
      </w:pPr>
      <w:r>
        <w:t>replaced</w:t>
      </w:r>
      <w:r w:rsidR="00727ED5" w:rsidRPr="00FD274F">
        <w:t xml:space="preserve"> and reg</w:t>
      </w:r>
      <w:r>
        <w:t>istered before the instrument’s scheduled sunsetting date</w:t>
      </w:r>
      <w:r w:rsidR="00727ED5" w:rsidRPr="00FD274F">
        <w:t xml:space="preserve"> to ensure continuity of the </w:t>
      </w:r>
      <w:r w:rsidR="00727ED5" w:rsidRPr="00E10ECD">
        <w:t xml:space="preserve">law (see paragraph </w:t>
      </w:r>
      <w:r w:rsidR="00F535BC" w:rsidRPr="00474C8A">
        <w:fldChar w:fldCharType="begin"/>
      </w:r>
      <w:r w:rsidR="00F535BC" w:rsidRPr="00E10ECD">
        <w:instrText xml:space="preserve"> REF _Ref435534951 \r \h </w:instrText>
      </w:r>
      <w:r w:rsidR="00E30D59">
        <w:rPr>
          <w:highlight w:val="yellow"/>
        </w:rPr>
        <w:instrText xml:space="preserve"> \* MERGEFORMAT </w:instrText>
      </w:r>
      <w:r w:rsidR="00F535BC" w:rsidRPr="00474C8A">
        <w:fldChar w:fldCharType="separate"/>
      </w:r>
      <w:r w:rsidR="003E1B43" w:rsidRPr="00E10ECD">
        <w:t>369</w:t>
      </w:r>
      <w:r w:rsidR="00F535BC" w:rsidRPr="00474C8A">
        <w:fldChar w:fldCharType="end"/>
      </w:r>
      <w:r w:rsidR="00727ED5" w:rsidRPr="00E10ECD">
        <w:t>);</w:t>
      </w:r>
      <w:r w:rsidR="00727ED5" w:rsidRPr="00FD274F">
        <w:t xml:space="preserve"> or</w:t>
      </w:r>
    </w:p>
    <w:p w14:paraId="586F3718" w14:textId="0D66FE5F" w:rsidR="00727ED5" w:rsidRPr="00FD274F" w:rsidRDefault="00727ED5" w:rsidP="0008193D">
      <w:pPr>
        <w:pStyle w:val="BodyPara"/>
      </w:pPr>
      <w:r w:rsidRPr="00FD274F">
        <w:t xml:space="preserve">rolled over (if appropriate, see </w:t>
      </w:r>
      <w:r w:rsidRPr="00E10ECD">
        <w:t xml:space="preserve">paragraph </w:t>
      </w:r>
      <w:r w:rsidR="00F535BC" w:rsidRPr="00474C8A">
        <w:fldChar w:fldCharType="begin"/>
      </w:r>
      <w:r w:rsidR="00F535BC" w:rsidRPr="00E10ECD">
        <w:instrText xml:space="preserve"> REF _Ref367447300 \r \h </w:instrText>
      </w:r>
      <w:r w:rsidR="00E30D59">
        <w:rPr>
          <w:highlight w:val="yellow"/>
        </w:rPr>
        <w:instrText xml:space="preserve"> \* MERGEFORMAT </w:instrText>
      </w:r>
      <w:r w:rsidR="00F535BC" w:rsidRPr="00474C8A">
        <w:fldChar w:fldCharType="separate"/>
      </w:r>
      <w:r w:rsidR="003E1B43" w:rsidRPr="00E10ECD">
        <w:t>360</w:t>
      </w:r>
      <w:r w:rsidR="00F535BC" w:rsidRPr="00474C8A">
        <w:fldChar w:fldCharType="end"/>
      </w:r>
      <w:r w:rsidRPr="00E10ECD">
        <w:t>).</w:t>
      </w:r>
    </w:p>
    <w:p w14:paraId="3DA1701B" w14:textId="77777777" w:rsidR="00727ED5" w:rsidRPr="00FD274F" w:rsidRDefault="00727ED5" w:rsidP="00CD6FA3">
      <w:pPr>
        <w:pStyle w:val="BodyNum"/>
        <w:keepLines/>
      </w:pPr>
      <w:r w:rsidRPr="00FD274F">
        <w:lastRenderedPageBreak/>
        <w:t>Agencies should prepare for sunsetting well in advance of an instrument’s sunset date as the process of reviewing an instrument, and acting on review recommendations, can be lengthy. The process may also attract significant Parliamentary and public scrutiny, even</w:t>
      </w:r>
      <w:r w:rsidR="00242B00">
        <w:t xml:space="preserve"> if no changes are recommended.</w:t>
      </w:r>
    </w:p>
    <w:p w14:paraId="75569439" w14:textId="4FF3AADF" w:rsidR="00727ED5" w:rsidRPr="00FD274F" w:rsidRDefault="00727ED5" w:rsidP="0008193D">
      <w:pPr>
        <w:pStyle w:val="BodyNum"/>
      </w:pPr>
      <w:r w:rsidRPr="00FD274F">
        <w:t xml:space="preserve">For further guidance on preparation for sunsetting and the risks of inaction, see the </w:t>
      </w:r>
      <w:r w:rsidRPr="00474C8A">
        <w:t xml:space="preserve">AGD Guide to </w:t>
      </w:r>
      <w:r w:rsidR="00FD5F93" w:rsidRPr="00474C8A">
        <w:t>Managing S</w:t>
      </w:r>
      <w:r w:rsidRPr="00474C8A">
        <w:t xml:space="preserve">unsetting of </w:t>
      </w:r>
      <w:r w:rsidR="00FD5F93" w:rsidRPr="00474C8A">
        <w:t>L</w:t>
      </w:r>
      <w:r w:rsidRPr="00474C8A">
        <w:t>egislative</w:t>
      </w:r>
      <w:r w:rsidR="00FD5F93" w:rsidRPr="00474C8A">
        <w:t xml:space="preserve"> I</w:t>
      </w:r>
      <w:r w:rsidRPr="00474C8A">
        <w:t>nstruments</w:t>
      </w:r>
      <w:r w:rsidRPr="00474C8A">
        <w:rPr>
          <w:rStyle w:val="FootnoteReference"/>
        </w:rPr>
        <w:footnoteReference w:id="36"/>
      </w:r>
      <w:r w:rsidRPr="00474C8A">
        <w:t xml:space="preserve"> o</w:t>
      </w:r>
      <w:r w:rsidRPr="00FD274F">
        <w:t>r contact AGD (</w:t>
      </w:r>
      <w:hyperlink r:id="rId572" w:history="1">
        <w:r w:rsidRPr="00FD274F">
          <w:rPr>
            <w:rStyle w:val="Hyperlink"/>
          </w:rPr>
          <w:t>sunsetting@ag.gov.au</w:t>
        </w:r>
      </w:hyperlink>
      <w:r w:rsidRPr="00FD274F">
        <w:t xml:space="preserve"> or (02) 6141</w:t>
      </w:r>
      <w:r w:rsidR="00AB2784" w:rsidRPr="00FD274F">
        <w:t xml:space="preserve"> 2736</w:t>
      </w:r>
      <w:r w:rsidR="00242B00">
        <w:t>).</w:t>
      </w:r>
    </w:p>
    <w:p w14:paraId="15813570" w14:textId="77777777" w:rsidR="00727ED5" w:rsidRPr="00FD274F" w:rsidRDefault="00727ED5" w:rsidP="004855B6">
      <w:pPr>
        <w:pStyle w:val="Head3"/>
      </w:pPr>
      <w:bookmarkStart w:id="227" w:name="_Toc112918848"/>
      <w:r w:rsidRPr="00FD274F">
        <w:t>How sunsetting works</w:t>
      </w:r>
      <w:bookmarkEnd w:id="227"/>
    </w:p>
    <w:p w14:paraId="18EBBE5D" w14:textId="343D8417" w:rsidR="00727ED5" w:rsidRPr="00FD274F" w:rsidRDefault="00A02B3B" w:rsidP="0008193D">
      <w:pPr>
        <w:pStyle w:val="BodyNum"/>
      </w:pPr>
      <w:r w:rsidRPr="00C55DA3">
        <w:t>Part 4</w:t>
      </w:r>
      <w:r w:rsidR="00727ED5" w:rsidRPr="00C55DA3">
        <w:t xml:space="preserve"> of </w:t>
      </w:r>
      <w:r w:rsidR="00FC7415" w:rsidRPr="00C55DA3">
        <w:t xml:space="preserve">Chapter 3 of </w:t>
      </w:r>
      <w:r w:rsidR="00727ED5" w:rsidRPr="00C55DA3">
        <w:t xml:space="preserve">the </w:t>
      </w:r>
      <w:hyperlink r:id="rId573" w:history="1">
        <w:hyperlink r:id="rId574" w:history="1">
          <w:hyperlink r:id="rId575" w:history="1">
            <w:r w:rsidR="004F5980" w:rsidRPr="00C55DA3">
              <w:rPr>
                <w:rStyle w:val="Hyperlink"/>
              </w:rPr>
              <w:t>LA</w:t>
            </w:r>
          </w:hyperlink>
          <w:r w:rsidR="004F5980" w:rsidRPr="00C55DA3">
            <w:rPr>
              <w:rStyle w:val="Hyperlink"/>
            </w:rPr>
            <w:t xml:space="preserve"> </w:t>
          </w:r>
        </w:hyperlink>
      </w:hyperlink>
      <w:r w:rsidR="00727ED5" w:rsidRPr="00C55DA3">
        <w:t>pr</w:t>
      </w:r>
      <w:r w:rsidR="00727ED5" w:rsidRPr="00FD274F">
        <w:t>ovides for:</w:t>
      </w:r>
    </w:p>
    <w:p w14:paraId="26F2C3DD" w14:textId="77777777" w:rsidR="00727ED5" w:rsidRPr="00FD274F" w:rsidRDefault="00727ED5" w:rsidP="0008193D">
      <w:pPr>
        <w:pStyle w:val="BodyPara"/>
      </w:pPr>
      <w:r w:rsidRPr="00FD274F">
        <w:t>regulations and other legislative instruments to sunset on predictable dates, either</w:t>
      </w:r>
      <w:r w:rsidR="00B831D6" w:rsidRPr="00FD274F">
        <w:t xml:space="preserve"> 1 April or 1 October each year</w:t>
      </w:r>
      <w:r w:rsidR="00242B00">
        <w:t>; and</w:t>
      </w:r>
    </w:p>
    <w:p w14:paraId="4A50B31A" w14:textId="77777777" w:rsidR="00727ED5" w:rsidRPr="00FD274F" w:rsidRDefault="00727ED5" w:rsidP="0008193D">
      <w:pPr>
        <w:pStyle w:val="BodyPara"/>
      </w:pPr>
      <w:r w:rsidRPr="00FD274F">
        <w:t>a list of sunsetting instruments to be tabled 18 months before each sunset date.</w:t>
      </w:r>
    </w:p>
    <w:p w14:paraId="14F3C0AB" w14:textId="4FAC9F2A" w:rsidR="00727ED5" w:rsidRPr="00FD274F" w:rsidRDefault="00727ED5" w:rsidP="0008193D">
      <w:pPr>
        <w:pStyle w:val="BodyNum"/>
      </w:pPr>
      <w:r w:rsidRPr="00FD274F">
        <w:t>Although</w:t>
      </w:r>
      <w:r w:rsidR="00BE45D0" w:rsidRPr="00FD274F">
        <w:t xml:space="preserve"> </w:t>
      </w:r>
      <w:r w:rsidR="00234412">
        <w:t>there are mechanisms for postponing an instrument’s scheduled sunsetting date, or permanently exempting it from sunsetting, these options are only available</w:t>
      </w:r>
      <w:r w:rsidRPr="00FD274F">
        <w:t xml:space="preserve"> in limited circumstances. Further guidance on such matters is pr</w:t>
      </w:r>
      <w:r w:rsidRPr="008C5E45">
        <w:t xml:space="preserve">ovided in paragraphs </w:t>
      </w:r>
      <w:r w:rsidR="009B5BC0" w:rsidRPr="00C55DA3">
        <w:fldChar w:fldCharType="begin"/>
      </w:r>
      <w:r w:rsidR="009B5BC0" w:rsidRPr="008C5E45">
        <w:instrText xml:space="preserve"> REF _Ref384723553 \r \h </w:instrText>
      </w:r>
      <w:r w:rsidR="00E30D59">
        <w:rPr>
          <w:highlight w:val="yellow"/>
        </w:rPr>
        <w:instrText xml:space="preserve"> \* MERGEFORMAT </w:instrText>
      </w:r>
      <w:r w:rsidR="009B5BC0" w:rsidRPr="00C55DA3">
        <w:fldChar w:fldCharType="separate"/>
      </w:r>
      <w:r w:rsidR="003E1B43" w:rsidRPr="008C5E45">
        <w:t>337</w:t>
      </w:r>
      <w:r w:rsidR="009B5BC0" w:rsidRPr="00C55DA3">
        <w:fldChar w:fldCharType="end"/>
      </w:r>
      <w:r w:rsidRPr="008C5E45">
        <w:t xml:space="preserve">, </w:t>
      </w:r>
      <w:r w:rsidR="009B5BC0" w:rsidRPr="00C55DA3">
        <w:fldChar w:fldCharType="begin"/>
      </w:r>
      <w:r w:rsidR="009B5BC0" w:rsidRPr="008C5E45">
        <w:instrText xml:space="preserve"> REF _Ref384350103 \r \h </w:instrText>
      </w:r>
      <w:r w:rsidR="00E30D59">
        <w:rPr>
          <w:highlight w:val="yellow"/>
        </w:rPr>
        <w:instrText xml:space="preserve"> \* MERGEFORMAT </w:instrText>
      </w:r>
      <w:r w:rsidR="009B5BC0" w:rsidRPr="00C55DA3">
        <w:fldChar w:fldCharType="separate"/>
      </w:r>
      <w:r w:rsidR="003E1B43" w:rsidRPr="008C5E45">
        <w:t>352</w:t>
      </w:r>
      <w:r w:rsidR="009B5BC0" w:rsidRPr="00C55DA3">
        <w:fldChar w:fldCharType="end"/>
      </w:r>
      <w:r w:rsidRPr="008C5E45">
        <w:t xml:space="preserve"> and </w:t>
      </w:r>
      <w:r w:rsidR="009B5BC0" w:rsidRPr="00C55DA3">
        <w:fldChar w:fldCharType="begin"/>
      </w:r>
      <w:r w:rsidR="009B5BC0" w:rsidRPr="008C5E45">
        <w:instrText xml:space="preserve"> REF _Ref367447300 \r \h </w:instrText>
      </w:r>
      <w:r w:rsidR="00E30D59">
        <w:rPr>
          <w:highlight w:val="yellow"/>
        </w:rPr>
        <w:instrText xml:space="preserve"> \* MERGEFORMAT </w:instrText>
      </w:r>
      <w:r w:rsidR="009B5BC0" w:rsidRPr="00C55DA3">
        <w:fldChar w:fldCharType="separate"/>
      </w:r>
      <w:r w:rsidR="003E1B43" w:rsidRPr="008C5E45">
        <w:t>360</w:t>
      </w:r>
      <w:r w:rsidR="009B5BC0" w:rsidRPr="00C55DA3">
        <w:fldChar w:fldCharType="end"/>
      </w:r>
      <w:r w:rsidR="00242B00" w:rsidRPr="008C5E45">
        <w:t>.</w:t>
      </w:r>
    </w:p>
    <w:p w14:paraId="663319E4" w14:textId="65AF4540" w:rsidR="005009ED" w:rsidRPr="00FD274F" w:rsidRDefault="00727ED5" w:rsidP="005009ED">
      <w:pPr>
        <w:pStyle w:val="BodyNum"/>
      </w:pPr>
      <w:r w:rsidRPr="00FD274F">
        <w:t>Even if a legislative instrument is exempt from sunsetting, it may still need to be reviewed periodically to comply with specific statutory obligations in the enabling legislation and with the Australian Government’s best practice regulation requirements.</w:t>
      </w:r>
      <w:r w:rsidR="00BC65E8" w:rsidRPr="00FD274F">
        <w:t xml:space="preserve"> For more information about these requirements, please contact </w:t>
      </w:r>
      <w:proofErr w:type="spellStart"/>
      <w:r w:rsidR="005009ED" w:rsidRPr="00FD274F">
        <w:t>OBPR</w:t>
      </w:r>
      <w:proofErr w:type="spellEnd"/>
      <w:r w:rsidR="005009ED" w:rsidRPr="00FD274F">
        <w:t xml:space="preserve"> (</w:t>
      </w:r>
      <w:hyperlink r:id="rId576" w:history="1">
        <w:r w:rsidR="00222067" w:rsidRPr="00FD274F">
          <w:rPr>
            <w:rStyle w:val="Hyperlink"/>
          </w:rPr>
          <w:t>helpdesk</w:t>
        </w:r>
        <w:r w:rsidR="009C4251">
          <w:rPr>
            <w:rStyle w:val="Hyperlink"/>
          </w:rPr>
          <w:noBreakHyphen/>
        </w:r>
        <w:r w:rsidR="00222067" w:rsidRPr="00FD274F">
          <w:rPr>
            <w:rStyle w:val="Hyperlink"/>
          </w:rPr>
          <w:t>obpr@pmc.gov.au</w:t>
        </w:r>
      </w:hyperlink>
      <w:r w:rsidR="005009ED" w:rsidRPr="00FD274F">
        <w:rPr>
          <w:rStyle w:val="Hyperlink"/>
        </w:rPr>
        <w:t xml:space="preserve"> </w:t>
      </w:r>
      <w:r w:rsidR="005009ED" w:rsidRPr="00FD274F">
        <w:t>or (</w:t>
      </w:r>
      <w:r w:rsidR="00CA2A17" w:rsidRPr="00FD274F">
        <w:t>02) </w:t>
      </w:r>
      <w:r w:rsidR="005009ED" w:rsidRPr="00FD274F">
        <w:t>6271 6270).</w:t>
      </w:r>
    </w:p>
    <w:p w14:paraId="51751B64" w14:textId="77777777" w:rsidR="00727ED5" w:rsidRPr="00FD274F" w:rsidRDefault="00727ED5" w:rsidP="004855B6">
      <w:pPr>
        <w:pStyle w:val="Head4"/>
      </w:pPr>
      <w:bookmarkStart w:id="228" w:name="_Toc112918849"/>
      <w:r w:rsidRPr="00FD274F">
        <w:t>What instruments are exempt from sunsetting</w:t>
      </w:r>
      <w:bookmarkEnd w:id="228"/>
    </w:p>
    <w:p w14:paraId="14A8A3D2" w14:textId="53E5CC62" w:rsidR="00727ED5" w:rsidRPr="00FD274F" w:rsidRDefault="008D5376" w:rsidP="0008193D">
      <w:pPr>
        <w:pStyle w:val="BodyNum"/>
      </w:pPr>
      <w:bookmarkStart w:id="229" w:name="_Ref384723553"/>
      <w:r w:rsidRPr="00FD274F">
        <w:t>Under th</w:t>
      </w:r>
      <w:r w:rsidRPr="00C55DA3">
        <w:t xml:space="preserve">e </w:t>
      </w:r>
      <w:hyperlink r:id="rId577" w:history="1">
        <w:r w:rsidR="00E25493" w:rsidRPr="00C55DA3">
          <w:rPr>
            <w:rStyle w:val="Hyperlink"/>
          </w:rPr>
          <w:t>LA</w:t>
        </w:r>
      </w:hyperlink>
      <w:r w:rsidR="00727ED5" w:rsidRPr="00C55DA3">
        <w:t>,</w:t>
      </w:r>
      <w:r w:rsidR="00727ED5" w:rsidRPr="00FD274F">
        <w:t xml:space="preserve"> all legislative instruments are subject to sunsetting unless they are exempt from sunsetting. Exemptions may be set out in se</w:t>
      </w:r>
      <w:r w:rsidR="00727ED5" w:rsidRPr="00C55DA3">
        <w:t xml:space="preserve">ction 54 of the </w:t>
      </w:r>
      <w:hyperlink r:id="rId578" w:history="1">
        <w:hyperlink r:id="rId579" w:history="1">
          <w:hyperlink r:id="rId580" w:history="1">
            <w:r w:rsidR="004F5980" w:rsidRPr="00C55DA3">
              <w:rPr>
                <w:rStyle w:val="Hyperlink"/>
              </w:rPr>
              <w:t>LA</w:t>
            </w:r>
          </w:hyperlink>
        </w:hyperlink>
      </w:hyperlink>
      <w:r w:rsidR="00727ED5" w:rsidRPr="00C55DA3">
        <w:t>,</w:t>
      </w:r>
      <w:r w:rsidR="00727ED5" w:rsidRPr="00FD274F">
        <w:t xml:space="preserve"> </w:t>
      </w:r>
      <w:r w:rsidR="00A02B3B" w:rsidRPr="00FD274F">
        <w:t>sectio</w:t>
      </w:r>
      <w:r w:rsidR="00A02B3B" w:rsidRPr="00C55DA3">
        <w:t xml:space="preserve">ns 11 and 12 of the </w:t>
      </w:r>
      <w:hyperlink r:id="rId581" w:history="1">
        <w:hyperlink r:id="rId582" w:history="1">
          <w:hyperlink r:id="rId583" w:history="1">
            <w:r w:rsidR="00F62728" w:rsidRPr="00C55DA3">
              <w:rPr>
                <w:rStyle w:val="Hyperlink"/>
              </w:rPr>
              <w:t>LEOMR</w:t>
            </w:r>
          </w:hyperlink>
        </w:hyperlink>
      </w:hyperlink>
      <w:r w:rsidR="00234412" w:rsidRPr="00C55DA3">
        <w:t xml:space="preserve"> or, in v</w:t>
      </w:r>
      <w:r w:rsidR="00234412">
        <w:t xml:space="preserve">ery limited cases, </w:t>
      </w:r>
      <w:r w:rsidR="00727ED5" w:rsidRPr="00FD274F">
        <w:t>the enabling legislation.</w:t>
      </w:r>
      <w:bookmarkEnd w:id="229"/>
    </w:p>
    <w:p w14:paraId="24A1769F" w14:textId="77777777" w:rsidR="00727ED5" w:rsidRPr="00FD274F" w:rsidRDefault="00727ED5" w:rsidP="0008193D">
      <w:pPr>
        <w:pStyle w:val="BodyNum"/>
      </w:pPr>
      <w:r w:rsidRPr="00FD274F">
        <w:t>When an instrument is lodged for registration, the lodging agency is asked to certify a range of information including whether an exemption from sunsetting applies and, if so, what legisl</w:t>
      </w:r>
      <w:r w:rsidR="00242B00">
        <w:t>ation authorises the exemption.</w:t>
      </w:r>
    </w:p>
    <w:p w14:paraId="6150889A" w14:textId="33FB48D3" w:rsidR="00727ED5" w:rsidRPr="00FD274F" w:rsidRDefault="00727ED5" w:rsidP="0008193D">
      <w:pPr>
        <w:pStyle w:val="BodyNum"/>
      </w:pPr>
      <w:r w:rsidRPr="00FD274F">
        <w:t xml:space="preserve">Most exemptions are straightforward </w:t>
      </w:r>
      <w:r w:rsidR="00BD78C5" w:rsidRPr="00FD274F">
        <w:t xml:space="preserve">and </w:t>
      </w:r>
      <w:r w:rsidRPr="00FD274F">
        <w:t xml:space="preserve">nominate a specific enabling provision such as instruments </w:t>
      </w:r>
      <w:r w:rsidRPr="007809FB">
        <w:t xml:space="preserve">made under section 123 of the </w:t>
      </w:r>
      <w:r w:rsidRPr="007809FB">
        <w:rPr>
          <w:i/>
        </w:rPr>
        <w:t>XYZ Act 2013</w:t>
      </w:r>
      <w:r w:rsidRPr="007809FB">
        <w:t>. Ho</w:t>
      </w:r>
      <w:r w:rsidRPr="00FD274F">
        <w:t>wever, other exemptions are more generic and some can be difficult to apply, particularly if they refer t</w:t>
      </w:r>
      <w:r w:rsidR="00242B00">
        <w:t>o the purpose of an instrument.</w:t>
      </w:r>
    </w:p>
    <w:p w14:paraId="699569CA" w14:textId="77777777" w:rsidR="00727ED5" w:rsidRPr="00FD274F" w:rsidRDefault="00727ED5" w:rsidP="0008193D">
      <w:pPr>
        <w:pStyle w:val="BodyNum"/>
      </w:pPr>
      <w:r w:rsidRPr="00FD274F">
        <w:t>If there is any doubt about whether an instrument is exempt from sunsetting, the rule</w:t>
      </w:r>
      <w:r w:rsidR="009C4251">
        <w:noBreakHyphen/>
      </w:r>
      <w:r w:rsidRPr="00FD274F">
        <w:t xml:space="preserve">making agency should </w:t>
      </w:r>
      <w:r w:rsidR="006623ED" w:rsidRPr="00FD274F">
        <w:t>seek</w:t>
      </w:r>
      <w:r w:rsidRPr="00FD274F">
        <w:t xml:space="preserve"> legal advice and consider the potential risks to government policy if the instrument is not listed for sunsetting. There will be significant legal and other consequences if, for example, an agency claims that an instrument is exempt but a court later finds that the instrument was not exempt and has </w:t>
      </w:r>
      <w:proofErr w:type="spellStart"/>
      <w:r w:rsidRPr="00FD274F">
        <w:t>sunsetted</w:t>
      </w:r>
      <w:proofErr w:type="spellEnd"/>
      <w:r w:rsidRPr="00FD274F">
        <w:t>.</w:t>
      </w:r>
    </w:p>
    <w:p w14:paraId="24084F2A" w14:textId="10008397" w:rsidR="00727ED5" w:rsidRPr="00FD274F" w:rsidRDefault="00727ED5" w:rsidP="0008193D">
      <w:pPr>
        <w:pStyle w:val="BodyNum"/>
      </w:pPr>
      <w:r w:rsidRPr="00FD274F">
        <w:lastRenderedPageBreak/>
        <w:t>The formal policy approval of both the responsible Minister and the Attorney</w:t>
      </w:r>
      <w:r w:rsidR="009C4251">
        <w:noBreakHyphen/>
      </w:r>
      <w:r w:rsidRPr="00FD274F">
        <w:t>General is required to create a new exemption from sunsetting. Proposals for a new exemption should be discussed in the first instance with AGD (</w:t>
      </w:r>
      <w:hyperlink r:id="rId584" w:history="1">
        <w:r w:rsidR="00AB2784" w:rsidRPr="00FD274F">
          <w:rPr>
            <w:rStyle w:val="Hyperlink"/>
          </w:rPr>
          <w:t>adminlaw@ag.gov.au</w:t>
        </w:r>
      </w:hyperlink>
      <w:r w:rsidR="00AB2784" w:rsidRPr="00FD274F">
        <w:rPr>
          <w:rStyle w:val="Hyperlink"/>
        </w:rPr>
        <w:t xml:space="preserve"> </w:t>
      </w:r>
      <w:r w:rsidRPr="00FD274F">
        <w:t xml:space="preserve">or </w:t>
      </w:r>
      <w:r w:rsidR="00CA2A17" w:rsidRPr="00FD274F">
        <w:t>(02) 6141</w:t>
      </w:r>
      <w:r w:rsidR="00AB2784" w:rsidRPr="00FD274F">
        <w:t xml:space="preserve"> 2736</w:t>
      </w:r>
      <w:r w:rsidR="00CA2A17" w:rsidRPr="00FD274F">
        <w:t>).</w:t>
      </w:r>
    </w:p>
    <w:p w14:paraId="6DD1BD7F" w14:textId="77777777" w:rsidR="00727ED5" w:rsidRPr="00FD274F" w:rsidRDefault="00727ED5" w:rsidP="004855B6">
      <w:pPr>
        <w:pStyle w:val="Head4"/>
      </w:pPr>
      <w:bookmarkStart w:id="230" w:name="_Toc112918850"/>
      <w:r w:rsidRPr="00FD274F">
        <w:t>When instruments sunset</w:t>
      </w:r>
      <w:bookmarkEnd w:id="230"/>
    </w:p>
    <w:p w14:paraId="225F96AB" w14:textId="1ABD022F" w:rsidR="00727ED5" w:rsidRPr="00FD274F" w:rsidRDefault="0075000D" w:rsidP="0008193D">
      <w:pPr>
        <w:pStyle w:val="BodyNum"/>
      </w:pPr>
      <w:r w:rsidRPr="00FD274F">
        <w:t>A</w:t>
      </w:r>
      <w:r w:rsidR="00E468E4" w:rsidRPr="00FD274F">
        <w:t>ll legislative instruments sun</w:t>
      </w:r>
      <w:r w:rsidR="00727ED5" w:rsidRPr="00FD274F">
        <w:t xml:space="preserve">set on the first 1 April or 1 October falling on or after the 10th anniversary of </w:t>
      </w:r>
      <w:r w:rsidR="00E468E4" w:rsidRPr="00FD274F">
        <w:t xml:space="preserve">their </w:t>
      </w:r>
      <w:r w:rsidR="00727ED5" w:rsidRPr="00C55DA3">
        <w:t>r</w:t>
      </w:r>
      <w:r w:rsidR="000D63D1" w:rsidRPr="00C55DA3">
        <w:t>egistration</w:t>
      </w:r>
      <w:r w:rsidRPr="00C55DA3">
        <w:t xml:space="preserve"> (</w:t>
      </w:r>
      <w:hyperlink r:id="rId585" w:history="1">
        <w:hyperlink r:id="rId586" w:history="1">
          <w:hyperlink r:id="rId587" w:history="1">
            <w:r w:rsidR="004F5980" w:rsidRPr="00C55DA3">
              <w:rPr>
                <w:rStyle w:val="Hyperlink"/>
              </w:rPr>
              <w:t>LA</w:t>
            </w:r>
          </w:hyperlink>
          <w:r w:rsidR="004F5980" w:rsidRPr="00C55DA3">
            <w:rPr>
              <w:rStyle w:val="Hyperlink"/>
            </w:rPr>
            <w:t xml:space="preserve"> </w:t>
          </w:r>
        </w:hyperlink>
      </w:hyperlink>
      <w:r w:rsidRPr="00C55DA3">
        <w:t>s 50(1)), unl</w:t>
      </w:r>
      <w:r w:rsidRPr="00FD274F">
        <w:t>ess their enabling legislation provides otherwise</w:t>
      </w:r>
      <w:r w:rsidR="00727ED5" w:rsidRPr="00FD274F">
        <w:t>. To illustrate:</w:t>
      </w:r>
      <w:r w:rsidR="00727ED5" w:rsidRPr="00FD274F">
        <w:br/>
      </w: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384"/>
        <w:gridCol w:w="3846"/>
      </w:tblGrid>
      <w:tr w:rsidR="00727ED5" w:rsidRPr="00FD274F" w14:paraId="5B738C01" w14:textId="77777777" w:rsidTr="00D86DC9">
        <w:trPr>
          <w:tblHeader/>
        </w:trPr>
        <w:tc>
          <w:tcPr>
            <w:tcW w:w="3384" w:type="dxa"/>
            <w:tcBorders>
              <w:top w:val="single" w:sz="12" w:space="0" w:color="auto"/>
              <w:bottom w:val="single" w:sz="12" w:space="0" w:color="auto"/>
            </w:tcBorders>
            <w:shd w:val="clear" w:color="auto" w:fill="auto"/>
          </w:tcPr>
          <w:p w14:paraId="4823D664" w14:textId="77777777" w:rsidR="00727ED5" w:rsidRPr="00FD274F" w:rsidRDefault="00727ED5" w:rsidP="00746A03">
            <w:pPr>
              <w:pStyle w:val="TableHeading"/>
              <w:keepLines/>
            </w:pPr>
            <w:r w:rsidRPr="00FD274F">
              <w:t>Date of registration</w:t>
            </w:r>
          </w:p>
        </w:tc>
        <w:tc>
          <w:tcPr>
            <w:tcW w:w="3846" w:type="dxa"/>
            <w:tcBorders>
              <w:top w:val="single" w:sz="12" w:space="0" w:color="auto"/>
              <w:bottom w:val="single" w:sz="12" w:space="0" w:color="auto"/>
            </w:tcBorders>
            <w:shd w:val="clear" w:color="auto" w:fill="auto"/>
          </w:tcPr>
          <w:p w14:paraId="21E4A3FB" w14:textId="77777777" w:rsidR="00727ED5" w:rsidRPr="00FD274F" w:rsidRDefault="00242B00" w:rsidP="00746A03">
            <w:pPr>
              <w:pStyle w:val="TableHeading"/>
              <w:keepLines/>
            </w:pPr>
            <w:r>
              <w:t>Default sunsetting date</w:t>
            </w:r>
          </w:p>
        </w:tc>
      </w:tr>
      <w:tr w:rsidR="00727ED5" w:rsidRPr="00FD274F" w14:paraId="5D0015BC" w14:textId="77777777" w:rsidTr="00D86DC9">
        <w:tc>
          <w:tcPr>
            <w:tcW w:w="3384" w:type="dxa"/>
            <w:tcBorders>
              <w:top w:val="single" w:sz="12" w:space="0" w:color="auto"/>
            </w:tcBorders>
            <w:shd w:val="clear" w:color="auto" w:fill="auto"/>
          </w:tcPr>
          <w:p w14:paraId="7ACEE890" w14:textId="77777777" w:rsidR="00727ED5" w:rsidRPr="00FD274F" w:rsidRDefault="00727ED5" w:rsidP="00746A03">
            <w:pPr>
              <w:pStyle w:val="Tabletext"/>
              <w:keepNext/>
              <w:keepLines/>
            </w:pPr>
            <w:r w:rsidRPr="00FD274F">
              <w:t>31 March 20</w:t>
            </w:r>
            <w:r w:rsidR="001C16FE">
              <w:t>1</w:t>
            </w:r>
            <w:r w:rsidRPr="00FD274F">
              <w:t>5</w:t>
            </w:r>
          </w:p>
        </w:tc>
        <w:tc>
          <w:tcPr>
            <w:tcW w:w="3846" w:type="dxa"/>
            <w:tcBorders>
              <w:top w:val="single" w:sz="12" w:space="0" w:color="auto"/>
            </w:tcBorders>
            <w:shd w:val="clear" w:color="auto" w:fill="auto"/>
          </w:tcPr>
          <w:p w14:paraId="6EBCD339" w14:textId="77777777" w:rsidR="00727ED5" w:rsidRPr="00FD274F" w:rsidRDefault="00727ED5" w:rsidP="00746A03">
            <w:pPr>
              <w:pStyle w:val="Tabletext"/>
              <w:keepNext/>
              <w:keepLines/>
            </w:pPr>
            <w:r w:rsidRPr="00FD274F">
              <w:t>1 April 20</w:t>
            </w:r>
            <w:r w:rsidR="001C16FE">
              <w:t>2</w:t>
            </w:r>
            <w:r w:rsidRPr="00FD274F">
              <w:t>5</w:t>
            </w:r>
          </w:p>
        </w:tc>
      </w:tr>
      <w:tr w:rsidR="00727ED5" w:rsidRPr="00FD274F" w14:paraId="7367DACC" w14:textId="77777777" w:rsidTr="00D86DC9">
        <w:tc>
          <w:tcPr>
            <w:tcW w:w="3384" w:type="dxa"/>
            <w:tcBorders>
              <w:bottom w:val="single" w:sz="4" w:space="0" w:color="auto"/>
            </w:tcBorders>
            <w:shd w:val="clear" w:color="auto" w:fill="auto"/>
          </w:tcPr>
          <w:p w14:paraId="674EBA04" w14:textId="77777777" w:rsidR="00727ED5" w:rsidRPr="00FD274F" w:rsidRDefault="00727ED5" w:rsidP="00746A03">
            <w:pPr>
              <w:pStyle w:val="Tabletext"/>
              <w:keepNext/>
              <w:keepLines/>
            </w:pPr>
            <w:r w:rsidRPr="00FD274F">
              <w:t>1 April 20</w:t>
            </w:r>
            <w:r w:rsidR="001C16FE">
              <w:t>1</w:t>
            </w:r>
            <w:r w:rsidRPr="00FD274F">
              <w:t>5</w:t>
            </w:r>
          </w:p>
        </w:tc>
        <w:tc>
          <w:tcPr>
            <w:tcW w:w="3846" w:type="dxa"/>
            <w:tcBorders>
              <w:bottom w:val="single" w:sz="4" w:space="0" w:color="auto"/>
            </w:tcBorders>
            <w:shd w:val="clear" w:color="auto" w:fill="auto"/>
          </w:tcPr>
          <w:p w14:paraId="52431ACC" w14:textId="77777777" w:rsidR="00727ED5" w:rsidRPr="00FD274F" w:rsidRDefault="00727ED5" w:rsidP="00746A03">
            <w:pPr>
              <w:pStyle w:val="Tabletext"/>
              <w:keepNext/>
              <w:keepLines/>
            </w:pPr>
            <w:r w:rsidRPr="00FD274F">
              <w:t>1 April 20</w:t>
            </w:r>
            <w:r w:rsidR="001C16FE">
              <w:t>2</w:t>
            </w:r>
            <w:r w:rsidRPr="00FD274F">
              <w:t>5</w:t>
            </w:r>
          </w:p>
        </w:tc>
      </w:tr>
      <w:tr w:rsidR="00727ED5" w:rsidRPr="00FD274F" w14:paraId="055E40E9" w14:textId="77777777" w:rsidTr="00D86DC9">
        <w:tc>
          <w:tcPr>
            <w:tcW w:w="3384" w:type="dxa"/>
            <w:tcBorders>
              <w:bottom w:val="single" w:sz="12" w:space="0" w:color="auto"/>
            </w:tcBorders>
            <w:shd w:val="clear" w:color="auto" w:fill="auto"/>
          </w:tcPr>
          <w:p w14:paraId="7241CA61" w14:textId="77777777" w:rsidR="00727ED5" w:rsidRPr="00FD274F" w:rsidRDefault="00727ED5" w:rsidP="00746A03">
            <w:pPr>
              <w:pStyle w:val="Tabletext"/>
              <w:keepNext/>
              <w:keepLines/>
            </w:pPr>
            <w:r w:rsidRPr="00FD274F">
              <w:t>2 April 20</w:t>
            </w:r>
            <w:r w:rsidR="001C16FE">
              <w:t>1</w:t>
            </w:r>
            <w:r w:rsidRPr="00FD274F">
              <w:t>5</w:t>
            </w:r>
          </w:p>
        </w:tc>
        <w:tc>
          <w:tcPr>
            <w:tcW w:w="3846" w:type="dxa"/>
            <w:tcBorders>
              <w:bottom w:val="single" w:sz="12" w:space="0" w:color="auto"/>
            </w:tcBorders>
            <w:shd w:val="clear" w:color="auto" w:fill="auto"/>
          </w:tcPr>
          <w:p w14:paraId="60FDD842" w14:textId="77777777" w:rsidR="00727ED5" w:rsidRPr="00FD274F" w:rsidRDefault="00727ED5" w:rsidP="00746A03">
            <w:pPr>
              <w:pStyle w:val="Tabletext"/>
              <w:keepNext/>
              <w:keepLines/>
            </w:pPr>
            <w:r w:rsidRPr="00FD274F">
              <w:t>1 October 20</w:t>
            </w:r>
            <w:r w:rsidR="001C16FE">
              <w:t>2</w:t>
            </w:r>
            <w:r w:rsidRPr="00FD274F">
              <w:t>5</w:t>
            </w:r>
          </w:p>
        </w:tc>
      </w:tr>
    </w:tbl>
    <w:p w14:paraId="0BECD176" w14:textId="77777777" w:rsidR="00727ED5" w:rsidRPr="00FD274F" w:rsidRDefault="00553A4A" w:rsidP="004855B6">
      <w:pPr>
        <w:pStyle w:val="Head4"/>
      </w:pPr>
      <w:bookmarkStart w:id="231" w:name="_Toc112918851"/>
      <w:r>
        <w:t>A</w:t>
      </w:r>
      <w:r w:rsidR="00727ED5" w:rsidRPr="00FD274F">
        <w:t>dvance notice of sunsetting</w:t>
      </w:r>
      <w:bookmarkEnd w:id="231"/>
    </w:p>
    <w:p w14:paraId="172C52CB" w14:textId="707A4C1F" w:rsidR="00727ED5" w:rsidRPr="00FD274F" w:rsidRDefault="00727ED5" w:rsidP="00727ED5">
      <w:pPr>
        <w:pStyle w:val="BodyNum"/>
      </w:pPr>
      <w:r w:rsidRPr="00FD274F">
        <w:t>The Attorney</w:t>
      </w:r>
      <w:r w:rsidR="009C4251">
        <w:noBreakHyphen/>
      </w:r>
      <w:r w:rsidRPr="00FD274F">
        <w:t xml:space="preserve">General is required to table a list of all the instruments due to sunset on a given sunset date. The list </w:t>
      </w:r>
      <w:r w:rsidRPr="00C55DA3">
        <w:t>must be tabled in each House of the Parliament on the first sitting day within 18 months before that date (</w:t>
      </w:r>
      <w:hyperlink r:id="rId588" w:history="1">
        <w:hyperlink r:id="rId589" w:history="1">
          <w:hyperlink r:id="rId590" w:history="1">
            <w:hyperlink r:id="rId591" w:history="1">
              <w:r w:rsidR="004F5980" w:rsidRPr="00C55DA3">
                <w:rPr>
                  <w:rStyle w:val="Hyperlink"/>
                </w:rPr>
                <w:t>LA</w:t>
              </w:r>
            </w:hyperlink>
            <w:r w:rsidR="004F5980" w:rsidRPr="00C55DA3">
              <w:rPr>
                <w:rStyle w:val="Hyperlink"/>
              </w:rPr>
              <w:t xml:space="preserve"> </w:t>
            </w:r>
          </w:hyperlink>
        </w:hyperlink>
      </w:hyperlink>
      <w:r w:rsidRPr="00C55DA3">
        <w:t>s 52). Th</w:t>
      </w:r>
      <w:r w:rsidRPr="00FD274F">
        <w:t xml:space="preserve">e exact date of tabling will vary, but </w:t>
      </w:r>
      <w:r w:rsidR="00162672" w:rsidRPr="00FD274F">
        <w:t xml:space="preserve">some of </w:t>
      </w:r>
      <w:r w:rsidR="00242B00">
        <w:t>the key dates are as follows:</w:t>
      </w:r>
      <w:r w:rsidR="00D72C8E">
        <w:br/>
      </w: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384"/>
        <w:gridCol w:w="3846"/>
      </w:tblGrid>
      <w:tr w:rsidR="00727ED5" w:rsidRPr="00FD274F" w14:paraId="0545F1A6" w14:textId="77777777" w:rsidTr="00D86DC9">
        <w:trPr>
          <w:tblHeader/>
        </w:trPr>
        <w:tc>
          <w:tcPr>
            <w:tcW w:w="3384" w:type="dxa"/>
            <w:tcBorders>
              <w:top w:val="single" w:sz="12" w:space="0" w:color="auto"/>
              <w:bottom w:val="single" w:sz="12" w:space="0" w:color="auto"/>
            </w:tcBorders>
          </w:tcPr>
          <w:p w14:paraId="1A70EEB2" w14:textId="77777777" w:rsidR="00727ED5" w:rsidRPr="00FD274F" w:rsidRDefault="00727ED5" w:rsidP="00746A03">
            <w:pPr>
              <w:pStyle w:val="TableHeading"/>
            </w:pPr>
            <w:r w:rsidRPr="00FD274F">
              <w:t>Sunsetting date</w:t>
            </w:r>
          </w:p>
        </w:tc>
        <w:tc>
          <w:tcPr>
            <w:tcW w:w="3846" w:type="dxa"/>
            <w:tcBorders>
              <w:top w:val="single" w:sz="12" w:space="0" w:color="auto"/>
              <w:bottom w:val="single" w:sz="12" w:space="0" w:color="auto"/>
            </w:tcBorders>
            <w:shd w:val="clear" w:color="auto" w:fill="auto"/>
          </w:tcPr>
          <w:p w14:paraId="7981D7EF" w14:textId="77777777" w:rsidR="00727ED5" w:rsidRPr="00FD274F" w:rsidRDefault="00727ED5" w:rsidP="00746A03">
            <w:pPr>
              <w:pStyle w:val="TableHeading"/>
            </w:pPr>
            <w:r w:rsidRPr="00FD274F">
              <w:t>List tabling date</w:t>
            </w:r>
          </w:p>
        </w:tc>
      </w:tr>
      <w:tr w:rsidR="00E468E4" w:rsidRPr="00FD274F" w14:paraId="429DA2BA" w14:textId="77777777" w:rsidTr="00D86DC9">
        <w:tc>
          <w:tcPr>
            <w:tcW w:w="3384" w:type="dxa"/>
            <w:tcBorders>
              <w:top w:val="single" w:sz="12" w:space="0" w:color="auto"/>
            </w:tcBorders>
          </w:tcPr>
          <w:p w14:paraId="675430AA" w14:textId="77777777" w:rsidR="00E468E4" w:rsidRPr="00FD274F" w:rsidRDefault="00E468E4" w:rsidP="00E52DE6">
            <w:pPr>
              <w:pStyle w:val="Tabletext"/>
            </w:pPr>
            <w:r w:rsidRPr="00FD274F">
              <w:t>1 October 20</w:t>
            </w:r>
            <w:r w:rsidR="001C16FE">
              <w:t>2</w:t>
            </w:r>
            <w:r w:rsidRPr="00FD274F">
              <w:t>7</w:t>
            </w:r>
          </w:p>
        </w:tc>
        <w:tc>
          <w:tcPr>
            <w:tcW w:w="3846" w:type="dxa"/>
            <w:tcBorders>
              <w:top w:val="single" w:sz="12" w:space="0" w:color="auto"/>
            </w:tcBorders>
            <w:shd w:val="clear" w:color="auto" w:fill="auto"/>
          </w:tcPr>
          <w:p w14:paraId="23DBCEEA" w14:textId="77777777" w:rsidR="00E468E4" w:rsidRPr="00FD274F" w:rsidRDefault="00E468E4" w:rsidP="00E52DE6">
            <w:pPr>
              <w:pStyle w:val="Tabletext"/>
            </w:pPr>
            <w:r w:rsidRPr="00FD274F">
              <w:t>First sitting day on or after 1 April 20</w:t>
            </w:r>
            <w:r w:rsidR="001C16FE">
              <w:t>2</w:t>
            </w:r>
            <w:r w:rsidRPr="00FD274F">
              <w:t>6</w:t>
            </w:r>
          </w:p>
        </w:tc>
      </w:tr>
      <w:tr w:rsidR="00727ED5" w:rsidRPr="00FD274F" w14:paraId="52F09653" w14:textId="77777777" w:rsidTr="00D86DC9">
        <w:tc>
          <w:tcPr>
            <w:tcW w:w="3384" w:type="dxa"/>
            <w:tcBorders>
              <w:bottom w:val="single" w:sz="4" w:space="0" w:color="auto"/>
            </w:tcBorders>
          </w:tcPr>
          <w:p w14:paraId="34788A7E" w14:textId="77777777" w:rsidR="00727ED5" w:rsidRPr="00FD274F" w:rsidRDefault="00E468E4" w:rsidP="00746A03">
            <w:pPr>
              <w:pStyle w:val="Tabletext"/>
            </w:pPr>
            <w:r w:rsidRPr="00FD274F">
              <w:t>1 April 20</w:t>
            </w:r>
            <w:r w:rsidR="001C16FE">
              <w:t>2</w:t>
            </w:r>
            <w:r w:rsidRPr="00FD274F">
              <w:t>8</w:t>
            </w:r>
          </w:p>
        </w:tc>
        <w:tc>
          <w:tcPr>
            <w:tcW w:w="3846" w:type="dxa"/>
            <w:tcBorders>
              <w:bottom w:val="single" w:sz="4" w:space="0" w:color="auto"/>
            </w:tcBorders>
            <w:shd w:val="clear" w:color="auto" w:fill="auto"/>
          </w:tcPr>
          <w:p w14:paraId="0F65E436" w14:textId="77777777" w:rsidR="00727ED5" w:rsidRPr="00FD274F" w:rsidRDefault="00E468E4" w:rsidP="00E468E4">
            <w:pPr>
              <w:pStyle w:val="Tabletext"/>
            </w:pPr>
            <w:r w:rsidRPr="00FD274F">
              <w:t>First sitting day on or after 1 October 20</w:t>
            </w:r>
            <w:r w:rsidR="001C16FE">
              <w:t>2</w:t>
            </w:r>
            <w:r w:rsidRPr="00FD274F">
              <w:t>6</w:t>
            </w:r>
          </w:p>
        </w:tc>
      </w:tr>
      <w:tr w:rsidR="00727ED5" w:rsidRPr="00FD274F" w14:paraId="30126F59" w14:textId="77777777" w:rsidTr="00D86DC9">
        <w:tc>
          <w:tcPr>
            <w:tcW w:w="3384" w:type="dxa"/>
            <w:tcBorders>
              <w:bottom w:val="single" w:sz="12" w:space="0" w:color="auto"/>
            </w:tcBorders>
          </w:tcPr>
          <w:p w14:paraId="72C3DC85" w14:textId="77777777" w:rsidR="00727ED5" w:rsidRPr="00FD274F" w:rsidRDefault="00BD78C5" w:rsidP="00E468E4">
            <w:pPr>
              <w:pStyle w:val="Tabletext"/>
            </w:pPr>
            <w:r w:rsidRPr="00FD274F">
              <w:t xml:space="preserve">1 </w:t>
            </w:r>
            <w:r w:rsidR="00E468E4" w:rsidRPr="00FD274F">
              <w:t>October</w:t>
            </w:r>
            <w:r w:rsidRPr="00FD274F">
              <w:t xml:space="preserve"> 20</w:t>
            </w:r>
            <w:r w:rsidR="001C16FE">
              <w:t>2</w:t>
            </w:r>
            <w:r w:rsidRPr="00FD274F">
              <w:t>8</w:t>
            </w:r>
          </w:p>
        </w:tc>
        <w:tc>
          <w:tcPr>
            <w:tcW w:w="3846" w:type="dxa"/>
            <w:tcBorders>
              <w:bottom w:val="single" w:sz="12" w:space="0" w:color="auto"/>
            </w:tcBorders>
            <w:shd w:val="clear" w:color="auto" w:fill="auto"/>
          </w:tcPr>
          <w:p w14:paraId="5EEFC982" w14:textId="77777777" w:rsidR="00727ED5" w:rsidRPr="00FD274F" w:rsidRDefault="00727ED5" w:rsidP="00E468E4">
            <w:pPr>
              <w:pStyle w:val="Tabletext"/>
            </w:pPr>
            <w:r w:rsidRPr="00FD274F">
              <w:t>First sittin</w:t>
            </w:r>
            <w:r w:rsidR="00BD78C5" w:rsidRPr="00FD274F">
              <w:t xml:space="preserve">g day on or after 1 </w:t>
            </w:r>
            <w:r w:rsidR="00E468E4" w:rsidRPr="00FD274F">
              <w:t>April 20</w:t>
            </w:r>
            <w:r w:rsidR="001C16FE">
              <w:t>2</w:t>
            </w:r>
            <w:r w:rsidR="00E468E4" w:rsidRPr="00FD274F">
              <w:t>7</w:t>
            </w:r>
          </w:p>
        </w:tc>
      </w:tr>
    </w:tbl>
    <w:p w14:paraId="4E466B1E" w14:textId="1EC733C1" w:rsidR="00393A23" w:rsidRDefault="005009ED" w:rsidP="00CD6FA3">
      <w:pPr>
        <w:pStyle w:val="BodyNum"/>
        <w:keepLines/>
      </w:pPr>
      <w:r w:rsidRPr="00FD274F">
        <w:t>T</w:t>
      </w:r>
      <w:r w:rsidR="00393A23" w:rsidRPr="00FD274F">
        <w:t xml:space="preserve">abled </w:t>
      </w:r>
      <w:r w:rsidRPr="00FD274F">
        <w:t>lists are available</w:t>
      </w:r>
      <w:r w:rsidR="00727ED5" w:rsidRPr="00FD274F">
        <w:t xml:space="preserve"> on the</w:t>
      </w:r>
      <w:r w:rsidR="00E468E4" w:rsidRPr="00FD274F">
        <w:t xml:space="preserve"> Register</w:t>
      </w:r>
      <w:r w:rsidR="004F138B" w:rsidRPr="00FD274F">
        <w:rPr>
          <w:rStyle w:val="FootnoteReference"/>
        </w:rPr>
        <w:footnoteReference w:id="37"/>
      </w:r>
      <w:r w:rsidR="00FC7415" w:rsidRPr="00FD274F">
        <w:t>.</w:t>
      </w:r>
      <w:r w:rsidR="00393A23" w:rsidRPr="00FD274F">
        <w:t xml:space="preserve"> Newly tabled lists are available on the website </w:t>
      </w:r>
      <w:r w:rsidRPr="00FD274F">
        <w:t>as soon as possible after tab</w:t>
      </w:r>
      <w:r w:rsidR="00195F47" w:rsidRPr="00FD274F">
        <w:t>ling in accordance with the current Guidelines for the Presentation of Documents to the Parliamen</w:t>
      </w:r>
      <w:r w:rsidR="00195F47" w:rsidRPr="00FD274F">
        <w:rPr>
          <w:color w:val="000000" w:themeColor="text1"/>
        </w:rPr>
        <w:t>t</w:t>
      </w:r>
      <w:r w:rsidRPr="00FD274F">
        <w:rPr>
          <w:rStyle w:val="FootnoteReference"/>
          <w:color w:val="000000" w:themeColor="text1"/>
        </w:rPr>
        <w:footnoteReference w:id="38"/>
      </w:r>
      <w:r w:rsidR="00FC7415" w:rsidRPr="00FD274F">
        <w:rPr>
          <w:color w:val="000000" w:themeColor="text1"/>
        </w:rPr>
        <w:t>.</w:t>
      </w:r>
      <w:r w:rsidR="00393A23" w:rsidRPr="00FD274F">
        <w:rPr>
          <w:color w:val="000000" w:themeColor="text1"/>
        </w:rPr>
        <w:t xml:space="preserve"> I</w:t>
      </w:r>
      <w:r w:rsidR="00393A23" w:rsidRPr="00FD274F">
        <w:t xml:space="preserve">n accordance </w:t>
      </w:r>
      <w:r w:rsidR="00393A23" w:rsidRPr="00C55DA3">
        <w:t>with subsection 52(3)</w:t>
      </w:r>
      <w:r w:rsidR="00393A23" w:rsidRPr="00FD274F">
        <w:t xml:space="preserve"> of the </w:t>
      </w:r>
      <w:hyperlink r:id="rId592" w:history="1">
        <w:r w:rsidR="00E468E4" w:rsidRPr="00FD274F">
          <w:rPr>
            <w:rStyle w:val="Hyperlink"/>
          </w:rPr>
          <w:t>L</w:t>
        </w:r>
        <w:r w:rsidR="00393A23" w:rsidRPr="00FD274F">
          <w:rPr>
            <w:rStyle w:val="Hyperlink"/>
          </w:rPr>
          <w:t>A</w:t>
        </w:r>
      </w:hyperlink>
      <w:r w:rsidR="00393A23" w:rsidRPr="00FD274F">
        <w:rPr>
          <w:rStyle w:val="Hyperlink"/>
        </w:rPr>
        <w:t>,</w:t>
      </w:r>
      <w:r w:rsidR="00393A23" w:rsidRPr="00FD274F">
        <w:t xml:space="preserve"> </w:t>
      </w:r>
      <w:proofErr w:type="spellStart"/>
      <w:r w:rsidR="00727ED5" w:rsidRPr="00FD274F">
        <w:t>OPC</w:t>
      </w:r>
      <w:proofErr w:type="spellEnd"/>
      <w:r w:rsidR="00727ED5" w:rsidRPr="00FD274F">
        <w:t xml:space="preserve"> also provides the tabled list to each Departmental Secretary for distribution to each rule</w:t>
      </w:r>
      <w:r w:rsidR="009C4251">
        <w:noBreakHyphen/>
      </w:r>
      <w:r w:rsidR="00727ED5" w:rsidRPr="00FD274F">
        <w:t>maker within the portfolio as soon as pra</w:t>
      </w:r>
      <w:r w:rsidRPr="00FD274F">
        <w:t>cticable after the list is tabled.</w:t>
      </w:r>
    </w:p>
    <w:p w14:paraId="7E884A2B" w14:textId="77777777" w:rsidR="00553A4A" w:rsidRPr="00FD274F" w:rsidRDefault="00553A4A" w:rsidP="00393A23">
      <w:pPr>
        <w:pStyle w:val="BodyNum"/>
      </w:pPr>
      <w:proofErr w:type="spellStart"/>
      <w:r>
        <w:t>OPC</w:t>
      </w:r>
      <w:proofErr w:type="spellEnd"/>
      <w:r>
        <w:t xml:space="preserve"> also provides a list of instruments due to sunset in 6 and 12 months to all agency Legislation Liaison Officers. This list is not tabled in each House of the Parliament but is provided for information only. This is so agencies can take into account any changes that have occurred since lists of instruments due to sunset in 18 months were tabled in each House of Parliament</w:t>
      </w:r>
      <w:r w:rsidR="00166377">
        <w:t xml:space="preserve"> and to assist agencies in managing their sunsetting instruments to ensure the timely remaking or repeal of sunsetting instruments</w:t>
      </w:r>
      <w:r>
        <w:t>.</w:t>
      </w:r>
    </w:p>
    <w:p w14:paraId="4D923F84" w14:textId="5B193B91" w:rsidR="00727ED5" w:rsidRPr="00FD274F" w:rsidRDefault="00727ED5" w:rsidP="0008193D">
      <w:pPr>
        <w:pStyle w:val="BodyNum"/>
      </w:pPr>
      <w:r w:rsidRPr="00FD274F">
        <w:t>Up</w:t>
      </w:r>
      <w:r w:rsidR="009C4251">
        <w:noBreakHyphen/>
      </w:r>
      <w:r w:rsidRPr="00FD274F">
        <w:t>to</w:t>
      </w:r>
      <w:r w:rsidR="009C4251">
        <w:noBreakHyphen/>
      </w:r>
      <w:r w:rsidRPr="00FD274F">
        <w:t>date information on all t</w:t>
      </w:r>
      <w:r w:rsidRPr="00FD274F">
        <w:rPr>
          <w:szCs w:val="24"/>
        </w:rPr>
        <w:t>he instruments due to sunset within 18 months</w:t>
      </w:r>
      <w:r w:rsidRPr="00FD274F">
        <w:rPr>
          <w:rStyle w:val="FootnoteReference"/>
          <w:szCs w:val="24"/>
        </w:rPr>
        <w:footnoteReference w:id="39"/>
      </w:r>
      <w:r w:rsidRPr="00FD274F">
        <w:rPr>
          <w:szCs w:val="24"/>
        </w:rPr>
        <w:t xml:space="preserve"> and details of a particular instrument’s current sunset date can be obtained from the </w:t>
      </w:r>
      <w:r w:rsidR="00C33B0F" w:rsidRPr="00FD274F">
        <w:rPr>
          <w:szCs w:val="24"/>
        </w:rPr>
        <w:t xml:space="preserve">Register website. </w:t>
      </w:r>
      <w:r w:rsidRPr="00FD274F">
        <w:rPr>
          <w:szCs w:val="24"/>
        </w:rPr>
        <w:t>Agency</w:t>
      </w:r>
      <w:r w:rsidR="009C4251">
        <w:rPr>
          <w:szCs w:val="24"/>
        </w:rPr>
        <w:noBreakHyphen/>
      </w:r>
      <w:r w:rsidRPr="00FD274F">
        <w:rPr>
          <w:szCs w:val="24"/>
        </w:rPr>
        <w:t xml:space="preserve">specific reports on </w:t>
      </w:r>
      <w:r w:rsidR="008D5376" w:rsidRPr="00FD274F">
        <w:rPr>
          <w:szCs w:val="24"/>
        </w:rPr>
        <w:t xml:space="preserve">instruments that are </w:t>
      </w:r>
      <w:r w:rsidR="004709B2" w:rsidRPr="00FD274F">
        <w:rPr>
          <w:szCs w:val="24"/>
        </w:rPr>
        <w:t xml:space="preserve">not yet repealed </w:t>
      </w:r>
      <w:r w:rsidRPr="00FD274F">
        <w:rPr>
          <w:szCs w:val="24"/>
        </w:rPr>
        <w:t xml:space="preserve">can also be accessed, customised and downloaded to Microsoft Excel through the </w:t>
      </w:r>
      <w:r w:rsidR="00E468E4" w:rsidRPr="00FD274F">
        <w:rPr>
          <w:szCs w:val="24"/>
        </w:rPr>
        <w:t xml:space="preserve">secure </w:t>
      </w:r>
      <w:r w:rsidRPr="00F6707A">
        <w:rPr>
          <w:szCs w:val="24"/>
        </w:rPr>
        <w:t>lodgement facility</w:t>
      </w:r>
      <w:r w:rsidR="00E468E4" w:rsidRPr="00FD274F">
        <w:rPr>
          <w:szCs w:val="24"/>
        </w:rPr>
        <w:t xml:space="preserve"> </w:t>
      </w:r>
      <w:hyperlink r:id="rId593" w:history="1">
        <w:r w:rsidR="00E468E4" w:rsidRPr="00FD274F">
          <w:rPr>
            <w:rStyle w:val="Hyperlink"/>
            <w:szCs w:val="24"/>
            <w:lang w:eastAsia="en-US"/>
          </w:rPr>
          <w:t>https://lodge.legislation.gov.au</w:t>
        </w:r>
      </w:hyperlink>
      <w:r w:rsidR="00242B00">
        <w:rPr>
          <w:color w:val="1F497D"/>
          <w:szCs w:val="24"/>
          <w:lang w:eastAsia="en-US"/>
        </w:rPr>
        <w:t>.</w:t>
      </w:r>
    </w:p>
    <w:p w14:paraId="7E9B9A5E" w14:textId="77777777" w:rsidR="00727ED5" w:rsidRPr="00FD274F" w:rsidRDefault="00727ED5" w:rsidP="004855B6">
      <w:pPr>
        <w:pStyle w:val="Head3"/>
      </w:pPr>
      <w:bookmarkStart w:id="232" w:name="_Toc112918852"/>
      <w:r w:rsidRPr="00FD274F">
        <w:lastRenderedPageBreak/>
        <w:t>What to do about sunsetting</w:t>
      </w:r>
      <w:bookmarkEnd w:id="232"/>
    </w:p>
    <w:p w14:paraId="327E0C2C" w14:textId="44FEFABF" w:rsidR="00727ED5" w:rsidRPr="00FD274F" w:rsidRDefault="00727ED5" w:rsidP="0008193D">
      <w:pPr>
        <w:pStyle w:val="BodyNum"/>
      </w:pPr>
      <w:r w:rsidRPr="00FD274F">
        <w:t>Agencies that take early action on sunsetting are more likely to achieve a smooth process and better outcomes than agencies that leave things until the last minute. Early action is particularly desirable if:</w:t>
      </w:r>
    </w:p>
    <w:p w14:paraId="28A5CFEC" w14:textId="77777777" w:rsidR="00727ED5" w:rsidRPr="00FD274F" w:rsidRDefault="00727ED5" w:rsidP="0008193D">
      <w:pPr>
        <w:pStyle w:val="BodyPara"/>
      </w:pPr>
      <w:r w:rsidRPr="00FD274F">
        <w:t>a change in sunset date may be appropriate e.g. to facilitate a thematic rev</w:t>
      </w:r>
      <w:r w:rsidR="00242B00">
        <w:t>iew of multiple instruments; or</w:t>
      </w:r>
    </w:p>
    <w:p w14:paraId="7C2665B3" w14:textId="77777777" w:rsidR="00727ED5" w:rsidRPr="00FD274F" w:rsidRDefault="00727ED5" w:rsidP="0008193D">
      <w:pPr>
        <w:pStyle w:val="BodyPara"/>
      </w:pPr>
      <w:r w:rsidRPr="00FD274F">
        <w:t>an instrument’s inclusion in a tabled sunsetting list is likely to cause significant parl</w:t>
      </w:r>
      <w:r w:rsidR="00242B00">
        <w:t>iamentary or public concern; or</w:t>
      </w:r>
    </w:p>
    <w:p w14:paraId="6818837A" w14:textId="77777777" w:rsidR="00727ED5" w:rsidRPr="00FD274F" w:rsidRDefault="00727ED5" w:rsidP="0008193D">
      <w:pPr>
        <w:pStyle w:val="BodyPara"/>
      </w:pPr>
      <w:r w:rsidRPr="00FD274F">
        <w:t>a parliamentary rollover or significant policy ch</w:t>
      </w:r>
      <w:r w:rsidR="00242B00">
        <w:t>ange is likely to be sought; or</w:t>
      </w:r>
    </w:p>
    <w:p w14:paraId="0F78DE7A" w14:textId="77777777" w:rsidR="00727ED5" w:rsidRPr="00FD274F" w:rsidRDefault="00727ED5" w:rsidP="0008193D">
      <w:pPr>
        <w:pStyle w:val="BodyPara"/>
      </w:pPr>
      <w:r w:rsidRPr="00FD274F">
        <w:t>an agency is responsible for a large number of sunsetting instruments.</w:t>
      </w:r>
    </w:p>
    <w:p w14:paraId="2AFBAB2A" w14:textId="48BE25D1" w:rsidR="00727ED5" w:rsidRPr="00FD274F" w:rsidRDefault="00727ED5" w:rsidP="0008193D">
      <w:pPr>
        <w:pStyle w:val="BodyNum"/>
      </w:pPr>
      <w:r w:rsidRPr="00FD274F">
        <w:t>Many instruments are “one</w:t>
      </w:r>
      <w:r w:rsidR="009C4251">
        <w:noBreakHyphen/>
      </w:r>
      <w:r w:rsidRPr="00FD274F">
        <w:t>off” instruments that have been created for a particular event or period, or for the sole purpose of doing something to another instrument (e.g. commencing, amending or repealing the other instrument). These instruments are usually easy to identify and may be subject to automatic repeal. If not, they should be repealed once they have done their job. For further guidance on repeal proce</w:t>
      </w:r>
      <w:r w:rsidRPr="008C5E45">
        <w:t xml:space="preserve">sses, see paragraph </w:t>
      </w:r>
      <w:r w:rsidRPr="00C55DA3">
        <w:fldChar w:fldCharType="begin"/>
      </w:r>
      <w:r w:rsidRPr="008C5E45">
        <w:instrText xml:space="preserve"> REF _Ref367446866 \r \h </w:instrText>
      </w:r>
      <w:r w:rsidR="00F308D0" w:rsidRPr="008C5E45">
        <w:instrText xml:space="preserve"> \* MERGEFORMAT </w:instrText>
      </w:r>
      <w:r w:rsidRPr="00C55DA3">
        <w:fldChar w:fldCharType="separate"/>
      </w:r>
      <w:r w:rsidR="003E1B43" w:rsidRPr="008C5E45">
        <w:t>221</w:t>
      </w:r>
      <w:r w:rsidRPr="00C55DA3">
        <w:fldChar w:fldCharType="end"/>
      </w:r>
      <w:r w:rsidRPr="008C5E45">
        <w:t>.</w:t>
      </w:r>
    </w:p>
    <w:p w14:paraId="13E2309E" w14:textId="27A6B3C3" w:rsidR="00727ED5" w:rsidRPr="00FD274F" w:rsidRDefault="00727ED5" w:rsidP="00C27467">
      <w:pPr>
        <w:pStyle w:val="BodyNum"/>
        <w:keepLines/>
      </w:pPr>
      <w:bookmarkStart w:id="233" w:name="_Ref378066686"/>
      <w:r w:rsidRPr="00FD274F">
        <w:t>If an instrument is still required, or if there is doubt about whether it is still required, the rule</w:t>
      </w:r>
      <w:r w:rsidR="009C4251">
        <w:noBreakHyphen/>
      </w:r>
      <w:r w:rsidRPr="00FD274F">
        <w:t>making agency should undertake a more in</w:t>
      </w:r>
      <w:r w:rsidR="009C4251">
        <w:noBreakHyphen/>
      </w:r>
      <w:r w:rsidRPr="00FD274F">
        <w:t xml:space="preserve">depth review of whether the instrument is “fit for purpose”. For further guidance on how to prepare for and review sunsetting instruments, </w:t>
      </w:r>
      <w:r w:rsidR="003A7A27">
        <w:t xml:space="preserve">see the Sunsetting Checklist in Appendix A of this Handbook, </w:t>
      </w:r>
      <w:r w:rsidRPr="00FD274F">
        <w:t xml:space="preserve">the AGD Guide to </w:t>
      </w:r>
      <w:r w:rsidR="00FD5F93" w:rsidRPr="00FD274F">
        <w:t>Managing Sunsetting of L</w:t>
      </w:r>
      <w:r w:rsidRPr="00FD274F">
        <w:t xml:space="preserve">egislative </w:t>
      </w:r>
      <w:r w:rsidR="00FD5F93" w:rsidRPr="00FD274F">
        <w:t>I</w:t>
      </w:r>
      <w:r w:rsidRPr="00FD274F">
        <w:t>nstruments</w:t>
      </w:r>
      <w:r w:rsidRPr="00FD274F">
        <w:rPr>
          <w:rStyle w:val="FootnoteReference"/>
        </w:rPr>
        <w:footnoteReference w:id="40"/>
      </w:r>
      <w:r w:rsidRPr="00FD274F">
        <w:t xml:space="preserve"> or contact AGD (</w:t>
      </w:r>
      <w:hyperlink r:id="rId594" w:history="1">
        <w:r w:rsidRPr="00FD274F">
          <w:rPr>
            <w:rStyle w:val="Hyperlink"/>
          </w:rPr>
          <w:t>sunsetting@ag.gov.au</w:t>
        </w:r>
      </w:hyperlink>
      <w:r w:rsidRPr="00FD274F">
        <w:t xml:space="preserve"> or (02) 6141</w:t>
      </w:r>
      <w:r w:rsidR="00AB2784" w:rsidRPr="00FD274F">
        <w:t xml:space="preserve"> 2736</w:t>
      </w:r>
      <w:r w:rsidRPr="00FD274F">
        <w:t>).</w:t>
      </w:r>
      <w:bookmarkEnd w:id="233"/>
    </w:p>
    <w:p w14:paraId="676FE660" w14:textId="41BDAD66" w:rsidR="00727ED5" w:rsidRPr="00FD274F" w:rsidRDefault="00727ED5" w:rsidP="0008193D">
      <w:pPr>
        <w:pStyle w:val="BodyNum"/>
      </w:pPr>
      <w:r w:rsidRPr="00FD274F">
        <w:t xml:space="preserve">Agencies planning reviews should also have regard to the Australian Government’s best practice regulation requirements. For further guidance on these requirements, </w:t>
      </w:r>
      <w:r w:rsidR="00BC65E8" w:rsidRPr="00FD274F">
        <w:t xml:space="preserve">please contact </w:t>
      </w:r>
      <w:proofErr w:type="spellStart"/>
      <w:r w:rsidR="005009ED" w:rsidRPr="00FD274F">
        <w:t>OBPR</w:t>
      </w:r>
      <w:proofErr w:type="spellEnd"/>
      <w:r w:rsidR="005009ED" w:rsidRPr="00FD274F">
        <w:t xml:space="preserve"> (</w:t>
      </w:r>
      <w:hyperlink r:id="rId595" w:history="1">
        <w:r w:rsidR="00222067" w:rsidRPr="00FD274F">
          <w:rPr>
            <w:rStyle w:val="Hyperlink"/>
          </w:rPr>
          <w:t>helpdesk</w:t>
        </w:r>
        <w:r w:rsidR="009C4251">
          <w:rPr>
            <w:rStyle w:val="Hyperlink"/>
          </w:rPr>
          <w:noBreakHyphen/>
        </w:r>
        <w:r w:rsidR="00222067" w:rsidRPr="00FD274F">
          <w:rPr>
            <w:rStyle w:val="Hyperlink"/>
          </w:rPr>
          <w:t>obpr@pmc.gov.au</w:t>
        </w:r>
      </w:hyperlink>
      <w:r w:rsidR="005009ED" w:rsidRPr="00FD274F">
        <w:rPr>
          <w:rStyle w:val="Hyperlink"/>
        </w:rPr>
        <w:t xml:space="preserve"> </w:t>
      </w:r>
      <w:r w:rsidR="00CA2A17" w:rsidRPr="00FD274F">
        <w:t>or</w:t>
      </w:r>
      <w:r w:rsidR="005009ED" w:rsidRPr="00FD274F">
        <w:t xml:space="preserve"> (02) 6271 6270)</w:t>
      </w:r>
      <w:r w:rsidRPr="00FD274F">
        <w:t>.</w:t>
      </w:r>
    </w:p>
    <w:p w14:paraId="4AE5EDEE" w14:textId="2036AEEE" w:rsidR="00727ED5" w:rsidRPr="008C5E45" w:rsidRDefault="00727ED5" w:rsidP="0008193D">
      <w:pPr>
        <w:pStyle w:val="BodyNum"/>
      </w:pPr>
      <w:r w:rsidRPr="00FD274F">
        <w:t xml:space="preserve">An instrument that is “fit for purpose” can be considered for a parliamentary rollover </w:t>
      </w:r>
      <w:r w:rsidRPr="008C5E45">
        <w:t xml:space="preserve">(see paragraphs </w:t>
      </w:r>
      <w:r w:rsidR="00F535BC" w:rsidRPr="00C55DA3">
        <w:fldChar w:fldCharType="begin"/>
      </w:r>
      <w:r w:rsidR="00F535BC" w:rsidRPr="008C5E45">
        <w:instrText xml:space="preserve"> REF _Ref367447300 \r \h </w:instrText>
      </w:r>
      <w:r w:rsidR="00E30D59">
        <w:rPr>
          <w:highlight w:val="yellow"/>
        </w:rPr>
        <w:instrText xml:space="preserve"> \* MERGEFORMAT </w:instrText>
      </w:r>
      <w:r w:rsidR="00F535BC" w:rsidRPr="00C55DA3">
        <w:fldChar w:fldCharType="separate"/>
      </w:r>
      <w:r w:rsidR="003E1B43" w:rsidRPr="008C5E45">
        <w:t>360</w:t>
      </w:r>
      <w:r w:rsidR="00F535BC" w:rsidRPr="00C55DA3">
        <w:fldChar w:fldCharType="end"/>
      </w:r>
      <w:r w:rsidR="00583239" w:rsidRPr="008C5E45">
        <w:t xml:space="preserve"> to </w:t>
      </w:r>
      <w:r w:rsidR="00F535BC" w:rsidRPr="00C55DA3">
        <w:fldChar w:fldCharType="begin"/>
      </w:r>
      <w:r w:rsidR="00F535BC" w:rsidRPr="008C5E45">
        <w:instrText xml:space="preserve"> REF _Ref29484918 \r \h </w:instrText>
      </w:r>
      <w:r w:rsidR="00E30D59">
        <w:rPr>
          <w:highlight w:val="yellow"/>
        </w:rPr>
        <w:instrText xml:space="preserve"> \* MERGEFORMAT </w:instrText>
      </w:r>
      <w:r w:rsidR="00F535BC" w:rsidRPr="00C55DA3">
        <w:fldChar w:fldCharType="separate"/>
      </w:r>
      <w:r w:rsidR="003E1B43" w:rsidRPr="008C5E45">
        <w:t>367</w:t>
      </w:r>
      <w:r w:rsidR="00F535BC" w:rsidRPr="00C55DA3">
        <w:fldChar w:fldCharType="end"/>
      </w:r>
      <w:r w:rsidRPr="008C5E45">
        <w:t>).</w:t>
      </w:r>
      <w:r w:rsidRPr="00FD274F">
        <w:t xml:space="preserve"> Otherwise, the instrument should be remade (</w:t>
      </w:r>
      <w:r w:rsidRPr="008C5E45">
        <w:t xml:space="preserve">see paragraphs </w:t>
      </w:r>
      <w:r w:rsidR="00F535BC" w:rsidRPr="00C55DA3">
        <w:fldChar w:fldCharType="begin"/>
      </w:r>
      <w:r w:rsidR="00F535BC" w:rsidRPr="008C5E45">
        <w:instrText xml:space="preserve"> REF _Ref29484941 \r \h </w:instrText>
      </w:r>
      <w:r w:rsidR="00E30D59">
        <w:rPr>
          <w:highlight w:val="yellow"/>
        </w:rPr>
        <w:instrText xml:space="preserve"> \* MERGEFORMAT </w:instrText>
      </w:r>
      <w:r w:rsidR="00F535BC" w:rsidRPr="00C55DA3">
        <w:fldChar w:fldCharType="separate"/>
      </w:r>
      <w:r w:rsidR="003E1B43" w:rsidRPr="008C5E45">
        <w:t>368</w:t>
      </w:r>
      <w:r w:rsidR="00F535BC" w:rsidRPr="00C55DA3">
        <w:fldChar w:fldCharType="end"/>
      </w:r>
      <w:r w:rsidR="00FC7415" w:rsidRPr="008C5E45">
        <w:t xml:space="preserve"> to </w:t>
      </w:r>
      <w:r w:rsidR="00F535BC" w:rsidRPr="00C55DA3">
        <w:fldChar w:fldCharType="begin"/>
      </w:r>
      <w:r w:rsidR="00F535BC" w:rsidRPr="008C5E45">
        <w:instrText xml:space="preserve"> REF _Ref378080360 \r \h </w:instrText>
      </w:r>
      <w:r w:rsidR="00E30D59">
        <w:rPr>
          <w:highlight w:val="yellow"/>
        </w:rPr>
        <w:instrText xml:space="preserve"> \* MERGEFORMAT </w:instrText>
      </w:r>
      <w:r w:rsidR="00F535BC" w:rsidRPr="00C55DA3">
        <w:fldChar w:fldCharType="separate"/>
      </w:r>
      <w:r w:rsidR="003E1B43" w:rsidRPr="008C5E45">
        <w:t>380</w:t>
      </w:r>
      <w:r w:rsidR="00F535BC" w:rsidRPr="00C55DA3">
        <w:fldChar w:fldCharType="end"/>
      </w:r>
      <w:r w:rsidRPr="008C5E45">
        <w:t>).</w:t>
      </w:r>
    </w:p>
    <w:p w14:paraId="71E5A35E" w14:textId="77777777" w:rsidR="00727ED5" w:rsidRPr="00FD274F" w:rsidRDefault="00727ED5" w:rsidP="004855B6">
      <w:pPr>
        <w:pStyle w:val="Head3"/>
      </w:pPr>
      <w:bookmarkStart w:id="234" w:name="_Toc112918853"/>
      <w:r w:rsidRPr="00FD274F">
        <w:t>Scope to negotiate minor changes in sunset date</w:t>
      </w:r>
      <w:bookmarkEnd w:id="234"/>
    </w:p>
    <w:p w14:paraId="11B93A2C" w14:textId="1F79084E" w:rsidR="00727ED5" w:rsidRPr="00FD274F" w:rsidRDefault="00E468E4" w:rsidP="00C55DA3">
      <w:pPr>
        <w:pStyle w:val="BodyNum"/>
      </w:pPr>
      <w:bookmarkStart w:id="235" w:name="_Ref384350103"/>
      <w:r w:rsidRPr="00FD274F">
        <w:t>Th</w:t>
      </w:r>
      <w:r w:rsidRPr="00C55DA3">
        <w:t xml:space="preserve">e </w:t>
      </w:r>
      <w:hyperlink r:id="rId596" w:history="1">
        <w:r w:rsidR="00E25493" w:rsidRPr="00C55DA3">
          <w:rPr>
            <w:rStyle w:val="Hyperlink"/>
          </w:rPr>
          <w:t>LA</w:t>
        </w:r>
      </w:hyperlink>
      <w:r w:rsidR="00727ED5" w:rsidRPr="00C55DA3">
        <w:t xml:space="preserve"> re</w:t>
      </w:r>
      <w:r w:rsidR="00727ED5" w:rsidRPr="00FD274F">
        <w:t>cognises that minor changes to default sunset dates may be appropriate in certain circumstances. It authorises the Attorney</w:t>
      </w:r>
      <w:r w:rsidR="009C4251">
        <w:noBreakHyphen/>
      </w:r>
      <w:r w:rsidR="00727ED5" w:rsidRPr="00FD274F">
        <w:t>General</w:t>
      </w:r>
      <w:r w:rsidR="00D86DC9" w:rsidRPr="00FD274F">
        <w:t xml:space="preserve"> to</w:t>
      </w:r>
      <w:r w:rsidR="00727ED5" w:rsidRPr="00FD274F">
        <w:t>:</w:t>
      </w:r>
      <w:bookmarkEnd w:id="235"/>
    </w:p>
    <w:p w14:paraId="09F9688E" w14:textId="77777777" w:rsidR="00727ED5" w:rsidRPr="00FD274F" w:rsidRDefault="00727ED5" w:rsidP="0008193D">
      <w:pPr>
        <w:pStyle w:val="BodyPara"/>
      </w:pPr>
      <w:r w:rsidRPr="00FD274F">
        <w:t xml:space="preserve">align the sunset dates for related instruments to </w:t>
      </w:r>
      <w:r w:rsidR="00242B00">
        <w:t>facilitate thematic review; and</w:t>
      </w:r>
    </w:p>
    <w:p w14:paraId="402CB666" w14:textId="77777777" w:rsidR="00727ED5" w:rsidRPr="00FD274F" w:rsidRDefault="00727ED5" w:rsidP="0008193D">
      <w:pPr>
        <w:pStyle w:val="BodyPara"/>
      </w:pPr>
      <w:r w:rsidRPr="00FD274F">
        <w:t xml:space="preserve">defer sunsetting by up to </w:t>
      </w:r>
      <w:r w:rsidR="00D70677">
        <w:t>24</w:t>
      </w:r>
      <w:r w:rsidRPr="00FD274F">
        <w:t xml:space="preserve"> months if statutory conditions are met.</w:t>
      </w:r>
    </w:p>
    <w:p w14:paraId="0E5E4458" w14:textId="77777777" w:rsidR="00727ED5" w:rsidRPr="00FD274F" w:rsidRDefault="00727ED5" w:rsidP="004855B6">
      <w:pPr>
        <w:pStyle w:val="Head4"/>
      </w:pPr>
      <w:bookmarkStart w:id="236" w:name="_Toc112918854"/>
      <w:r w:rsidRPr="00FD274F">
        <w:lastRenderedPageBreak/>
        <w:t>Declaration of thematic review under section 51A</w:t>
      </w:r>
      <w:r w:rsidR="00E468E4" w:rsidRPr="00FD274F">
        <w:t xml:space="preserve"> of the L</w:t>
      </w:r>
      <w:r w:rsidR="006623ED" w:rsidRPr="00FD274F">
        <w:t>A</w:t>
      </w:r>
      <w:bookmarkEnd w:id="236"/>
    </w:p>
    <w:p w14:paraId="51709CEA" w14:textId="77777777" w:rsidR="00727ED5" w:rsidRPr="00FD274F" w:rsidRDefault="00234412" w:rsidP="0008193D">
      <w:pPr>
        <w:pStyle w:val="BodyNum"/>
      </w:pPr>
      <w:r>
        <w:t>I</w:t>
      </w:r>
      <w:r w:rsidR="00727ED5" w:rsidRPr="00FD274F">
        <w:t>t is possible to align the sunset dates for a group of instruments to facilitate a thematic review. This process may involve bringing forward some dates, and pushing others back by up to 5 years. It is not limited to instruments made under a single Act or administered by a single portfolio—instruments can be grouped on some other basis, such as a particular treaty or industry.</w:t>
      </w:r>
    </w:p>
    <w:p w14:paraId="684098A5" w14:textId="1DA45431" w:rsidR="00727ED5" w:rsidRPr="00FD274F" w:rsidRDefault="00727ED5" w:rsidP="0008193D">
      <w:pPr>
        <w:pStyle w:val="BodyNum"/>
      </w:pPr>
      <w:r w:rsidRPr="00FD274F">
        <w:t>Safeguards have been enacted to ensure that this mechanism is used to support and not undermine the purpose of sunset</w:t>
      </w:r>
      <w:r w:rsidR="00E468E4" w:rsidRPr="00FD274F">
        <w:t>ting. Among other thi</w:t>
      </w:r>
      <w:r w:rsidR="00E468E4" w:rsidRPr="00C55DA3">
        <w:t xml:space="preserve">ngs, the </w:t>
      </w:r>
      <w:hyperlink r:id="rId597" w:history="1">
        <w:r w:rsidR="00C55DA3" w:rsidRPr="00C55DA3">
          <w:rPr>
            <w:rStyle w:val="Hyperlink"/>
          </w:rPr>
          <w:t>LA</w:t>
        </w:r>
      </w:hyperlink>
      <w:r w:rsidRPr="00C55DA3">
        <w:t xml:space="preserve"> requ</w:t>
      </w:r>
      <w:r w:rsidRPr="00FD274F">
        <w:t>ires:</w:t>
      </w:r>
    </w:p>
    <w:p w14:paraId="112CD167" w14:textId="0D99B508" w:rsidR="00727ED5" w:rsidRPr="00DD1ADC" w:rsidRDefault="00727ED5" w:rsidP="0008193D">
      <w:pPr>
        <w:pStyle w:val="BodyPara"/>
      </w:pPr>
      <w:r w:rsidRPr="00FD274F">
        <w:t>the responsible rule</w:t>
      </w:r>
      <w:r w:rsidR="009C4251">
        <w:noBreakHyphen/>
      </w:r>
      <w:r w:rsidRPr="00FD274F">
        <w:t>maker to apply to the Attorney</w:t>
      </w:r>
      <w:r w:rsidR="009C4251">
        <w:noBreakHyphen/>
      </w:r>
      <w:r w:rsidRPr="00FD274F">
        <w:t>General (</w:t>
      </w:r>
      <w:hyperlink r:id="rId598" w:history="1">
        <w:hyperlink r:id="rId599" w:history="1">
          <w:hyperlink r:id="rId600" w:history="1">
            <w:hyperlink r:id="rId601" w:history="1">
              <w:r w:rsidR="004F5980" w:rsidRPr="00DD1ADC">
                <w:rPr>
                  <w:rStyle w:val="Hyperlink"/>
                </w:rPr>
                <w:t>LA</w:t>
              </w:r>
            </w:hyperlink>
            <w:r w:rsidR="004F5980" w:rsidRPr="00DD1ADC">
              <w:rPr>
                <w:rStyle w:val="Hyperlink"/>
              </w:rPr>
              <w:t xml:space="preserve"> </w:t>
            </w:r>
          </w:hyperlink>
        </w:hyperlink>
      </w:hyperlink>
      <w:r w:rsidR="00242B00" w:rsidRPr="00DD1ADC">
        <w:t>s 51A(1)); and</w:t>
      </w:r>
    </w:p>
    <w:p w14:paraId="7F6A1FA0" w14:textId="509539C9" w:rsidR="00727ED5" w:rsidRDefault="00727ED5" w:rsidP="0008193D">
      <w:pPr>
        <w:pStyle w:val="BodyPara"/>
      </w:pPr>
      <w:r w:rsidRPr="00FD274F">
        <w:t>the Attorney</w:t>
      </w:r>
      <w:r w:rsidR="009C4251">
        <w:noBreakHyphen/>
      </w:r>
      <w:r w:rsidRPr="00FD274F">
        <w:t>General to be satisfied that all the instruments to be reviewed are or will be subject to a single revi</w:t>
      </w:r>
      <w:r w:rsidRPr="00DD1ADC">
        <w:t>ew (</w:t>
      </w:r>
      <w:hyperlink r:id="rId602" w:history="1">
        <w:hyperlink r:id="rId603" w:history="1">
          <w:hyperlink r:id="rId604" w:history="1">
            <w:hyperlink r:id="rId605" w:history="1">
              <w:r w:rsidR="004F5980" w:rsidRPr="00DD1ADC">
                <w:rPr>
                  <w:rStyle w:val="Hyperlink"/>
                </w:rPr>
                <w:t>LA</w:t>
              </w:r>
            </w:hyperlink>
            <w:r w:rsidR="004F5980" w:rsidRPr="00DD1ADC">
              <w:rPr>
                <w:rStyle w:val="Hyperlink"/>
              </w:rPr>
              <w:t xml:space="preserve"> </w:t>
            </w:r>
          </w:hyperlink>
        </w:hyperlink>
      </w:hyperlink>
      <w:r w:rsidR="00E737E4" w:rsidRPr="00DD1ADC">
        <w:t>s 51A(1)(a)(ii)); a</w:t>
      </w:r>
      <w:r w:rsidR="00E737E4">
        <w:t>nd</w:t>
      </w:r>
    </w:p>
    <w:p w14:paraId="254C3AB5" w14:textId="69DD2221" w:rsidR="00E737E4" w:rsidRPr="00FD274F" w:rsidRDefault="00297797" w:rsidP="00297797">
      <w:pPr>
        <w:pStyle w:val="BodyPara"/>
      </w:pPr>
      <w:r w:rsidRPr="00FD274F">
        <w:t>the Attorney</w:t>
      </w:r>
      <w:r w:rsidR="009C4251">
        <w:noBreakHyphen/>
      </w:r>
      <w:r w:rsidRPr="00FD274F">
        <w:t>General to be satisfied</w:t>
      </w:r>
      <w:r>
        <w:t xml:space="preserve"> that</w:t>
      </w:r>
      <w:r w:rsidRPr="00FD274F">
        <w:t xml:space="preserve"> </w:t>
      </w:r>
      <w:r w:rsidRPr="00297797">
        <w:t xml:space="preserve">the making of the declaration will facilitate the undertaking of the review </w:t>
      </w:r>
      <w:r>
        <w:t>or</w:t>
      </w:r>
      <w:r w:rsidRPr="00297797">
        <w:t xml:space="preserve"> the implementation of </w:t>
      </w:r>
      <w:r w:rsidR="00CD0A99">
        <w:t>the</w:t>
      </w:r>
      <w:r w:rsidRPr="00297797">
        <w:t xml:space="preserve"> findings </w:t>
      </w:r>
      <w:r w:rsidR="00CD0A99">
        <w:t>of a completed revi</w:t>
      </w:r>
      <w:r w:rsidR="00CD0A99" w:rsidRPr="00DD1ADC">
        <w:t xml:space="preserve">ew </w:t>
      </w:r>
      <w:r w:rsidRPr="00DD1ADC">
        <w:t>(</w:t>
      </w:r>
      <w:hyperlink r:id="rId606" w:history="1">
        <w:hyperlink r:id="rId607" w:history="1">
          <w:hyperlink r:id="rId608" w:history="1">
            <w:hyperlink r:id="rId609" w:history="1">
              <w:r w:rsidRPr="00DD1ADC">
                <w:rPr>
                  <w:rStyle w:val="Hyperlink"/>
                </w:rPr>
                <w:t>LA</w:t>
              </w:r>
            </w:hyperlink>
            <w:r w:rsidRPr="00DD1ADC">
              <w:rPr>
                <w:rStyle w:val="Hyperlink"/>
              </w:rPr>
              <w:t xml:space="preserve"> </w:t>
            </w:r>
          </w:hyperlink>
        </w:hyperlink>
      </w:hyperlink>
      <w:r w:rsidRPr="00DD1ADC">
        <w:t>s 51A(1)(b)); a</w:t>
      </w:r>
      <w:r>
        <w:t>nd</w:t>
      </w:r>
    </w:p>
    <w:p w14:paraId="7874F5B6" w14:textId="5E3C8FDB" w:rsidR="00727ED5" w:rsidRDefault="00727ED5" w:rsidP="0008193D">
      <w:pPr>
        <w:pStyle w:val="BodyPara"/>
      </w:pPr>
      <w:r w:rsidRPr="00FD274F">
        <w:t>the Attorney</w:t>
      </w:r>
      <w:r w:rsidR="009C4251">
        <w:noBreakHyphen/>
      </w:r>
      <w:r w:rsidRPr="00FD274F">
        <w:t>General to make a declaration—this declaration is a legislative instrument that must be registere</w:t>
      </w:r>
      <w:r w:rsidRPr="00DD1ADC">
        <w:t>d (</w:t>
      </w:r>
      <w:hyperlink r:id="rId610" w:history="1">
        <w:hyperlink r:id="rId611" w:history="1">
          <w:hyperlink r:id="rId612" w:history="1">
            <w:r w:rsidR="004F5980" w:rsidRPr="00DD1ADC">
              <w:rPr>
                <w:rStyle w:val="Hyperlink"/>
              </w:rPr>
              <w:t>LA</w:t>
            </w:r>
          </w:hyperlink>
          <w:r w:rsidR="004F5980" w:rsidRPr="00DD1ADC">
            <w:rPr>
              <w:rStyle w:val="Hyperlink"/>
            </w:rPr>
            <w:t xml:space="preserve"> </w:t>
          </w:r>
        </w:hyperlink>
      </w:hyperlink>
      <w:r w:rsidRPr="00DD1ADC">
        <w:t>s 51A(1))</w:t>
      </w:r>
      <w:r w:rsidR="00CD0A99" w:rsidRPr="00DD1ADC">
        <w:t xml:space="preserve"> an</w:t>
      </w:r>
      <w:r w:rsidR="00CD0A99">
        <w:t>d</w:t>
      </w:r>
      <w:r w:rsidR="0053727B">
        <w:t xml:space="preserve"> is subject to disallowance.</w:t>
      </w:r>
    </w:p>
    <w:p w14:paraId="3A033DA8" w14:textId="77777777" w:rsidR="00A10378" w:rsidRPr="00FD274F" w:rsidRDefault="00727ED5" w:rsidP="00A10378">
      <w:pPr>
        <w:pStyle w:val="BodyNum"/>
        <w:keepLines/>
      </w:pPr>
      <w:r w:rsidRPr="00FD274F">
        <w:t>A declaration of thematic review cannot revive an instru</w:t>
      </w:r>
      <w:r w:rsidR="00F746C5" w:rsidRPr="00FD274F">
        <w:t xml:space="preserve">ment that has already </w:t>
      </w:r>
      <w:proofErr w:type="spellStart"/>
      <w:r w:rsidR="00F746C5" w:rsidRPr="00FD274F">
        <w:t>sunsetted</w:t>
      </w:r>
      <w:proofErr w:type="spellEnd"/>
      <w:r w:rsidR="00F746C5" w:rsidRPr="00FD274F">
        <w:t>. Also,</w:t>
      </w:r>
      <w:r w:rsidRPr="00FD274F">
        <w:t xml:space="preserve"> if a declaration is disallowed, any instrument named in the declaration that has passed its previous sunset date is repe</w:t>
      </w:r>
      <w:r w:rsidR="00A10378">
        <w:t>aled</w:t>
      </w:r>
      <w:r w:rsidRPr="00FD274F">
        <w:t>. Consequently, any application for a declaration should be made well in advance of the earliest sunset date.</w:t>
      </w:r>
    </w:p>
    <w:p w14:paraId="2961174C" w14:textId="5467BEEA" w:rsidR="00727ED5" w:rsidRPr="00FD274F" w:rsidRDefault="00727ED5" w:rsidP="0008193D">
      <w:pPr>
        <w:pStyle w:val="BodyNum"/>
      </w:pPr>
      <w:r w:rsidRPr="00FD274F">
        <w:t>For practical guidance on and assistance wi</w:t>
      </w:r>
      <w:r w:rsidRPr="00DD1ADC">
        <w:t>th s</w:t>
      </w:r>
      <w:r w:rsidR="00D86DC9" w:rsidRPr="00DD1ADC">
        <w:t>ection</w:t>
      </w:r>
      <w:r w:rsidRPr="00DD1ADC">
        <w:t xml:space="preserve"> 51A applica</w:t>
      </w:r>
      <w:r w:rsidRPr="00FD274F">
        <w:t xml:space="preserve">tions, see the AGD Guide to </w:t>
      </w:r>
      <w:r w:rsidR="00FD5F93" w:rsidRPr="00FD274F">
        <w:t>M</w:t>
      </w:r>
      <w:r w:rsidRPr="00FD274F">
        <w:t xml:space="preserve">anaging </w:t>
      </w:r>
      <w:r w:rsidR="00FD5F93" w:rsidRPr="00FD274F">
        <w:t>S</w:t>
      </w:r>
      <w:r w:rsidRPr="00FD274F">
        <w:t xml:space="preserve">unsetting of </w:t>
      </w:r>
      <w:r w:rsidR="00FD5F93" w:rsidRPr="00FD274F">
        <w:t>L</w:t>
      </w:r>
      <w:r w:rsidRPr="00FD274F">
        <w:t xml:space="preserve">egislative </w:t>
      </w:r>
      <w:r w:rsidR="00FD5F93" w:rsidRPr="00FD274F">
        <w:t>I</w:t>
      </w:r>
      <w:r w:rsidRPr="00FD274F">
        <w:t>nstruments</w:t>
      </w:r>
      <w:r w:rsidRPr="00FD274F">
        <w:rPr>
          <w:rStyle w:val="FootnoteReference"/>
        </w:rPr>
        <w:footnoteReference w:id="41"/>
      </w:r>
      <w:r w:rsidRPr="00FD274F">
        <w:rPr>
          <w:i/>
        </w:rPr>
        <w:t xml:space="preserve"> </w:t>
      </w:r>
      <w:r w:rsidR="00CA2A17" w:rsidRPr="00FD274F">
        <w:t xml:space="preserve">or contact AGD </w:t>
      </w:r>
      <w:r w:rsidR="006623ED" w:rsidRPr="00FD274F">
        <w:t>(</w:t>
      </w:r>
      <w:hyperlink r:id="rId613" w:history="1">
        <w:r w:rsidRPr="00FD274F">
          <w:rPr>
            <w:rStyle w:val="Hyperlink"/>
          </w:rPr>
          <w:t>sunsetting@ag.gov.au</w:t>
        </w:r>
      </w:hyperlink>
      <w:r w:rsidR="00CA2A17" w:rsidRPr="00FD274F">
        <w:t xml:space="preserve"> or (02) 6141</w:t>
      </w:r>
      <w:r w:rsidR="00AB2784" w:rsidRPr="00FD274F">
        <w:t xml:space="preserve"> 2736</w:t>
      </w:r>
      <w:r w:rsidR="00CA2A17" w:rsidRPr="00FD274F">
        <w:t>).</w:t>
      </w:r>
    </w:p>
    <w:p w14:paraId="0CC77A1B" w14:textId="77777777" w:rsidR="00727ED5" w:rsidRPr="00FD274F" w:rsidRDefault="00727ED5" w:rsidP="004855B6">
      <w:pPr>
        <w:pStyle w:val="Head4"/>
      </w:pPr>
      <w:bookmarkStart w:id="237" w:name="_Toc112918855"/>
      <w:r w:rsidRPr="00FD274F">
        <w:t>Attorney</w:t>
      </w:r>
      <w:r w:rsidR="009C4251">
        <w:noBreakHyphen/>
      </w:r>
      <w:r w:rsidRPr="00FD274F">
        <w:t>General’s certificate under section 51</w:t>
      </w:r>
      <w:r w:rsidR="006623ED" w:rsidRPr="00FD274F">
        <w:t xml:space="preserve"> of the</w:t>
      </w:r>
      <w:r w:rsidR="001E5C10" w:rsidRPr="00FD274F">
        <w:t xml:space="preserve"> L</w:t>
      </w:r>
      <w:r w:rsidR="006623ED" w:rsidRPr="00FD274F">
        <w:t>A</w:t>
      </w:r>
      <w:bookmarkEnd w:id="237"/>
    </w:p>
    <w:p w14:paraId="5BA419D3" w14:textId="0614C81F" w:rsidR="00727ED5" w:rsidRPr="00DA4D19" w:rsidRDefault="00727ED5" w:rsidP="00FF0B83">
      <w:pPr>
        <w:pStyle w:val="BodyNum"/>
        <w:keepNext/>
      </w:pPr>
      <w:bookmarkStart w:id="238" w:name="_Ref367446626"/>
      <w:r w:rsidRPr="00DA4D19">
        <w:t>If the Attorney</w:t>
      </w:r>
      <w:r w:rsidR="009C4251">
        <w:noBreakHyphen/>
      </w:r>
      <w:r w:rsidRPr="00DA4D19">
        <w:t>General is satisfied that the statutory conditi</w:t>
      </w:r>
      <w:r w:rsidRPr="00DD1ADC">
        <w:t xml:space="preserve">ons in section 51 of the </w:t>
      </w:r>
      <w:hyperlink r:id="rId614" w:history="1">
        <w:hyperlink r:id="rId615" w:history="1">
          <w:hyperlink r:id="rId616" w:history="1">
            <w:r w:rsidR="004F5980" w:rsidRPr="00DD1ADC">
              <w:rPr>
                <w:rStyle w:val="Hyperlink"/>
              </w:rPr>
              <w:t>LA</w:t>
            </w:r>
          </w:hyperlink>
          <w:r w:rsidR="004F5980" w:rsidRPr="00DD1ADC">
            <w:rPr>
              <w:rStyle w:val="Hyperlink"/>
            </w:rPr>
            <w:t xml:space="preserve"> </w:t>
          </w:r>
        </w:hyperlink>
      </w:hyperlink>
      <w:r w:rsidRPr="00DD1ADC">
        <w:t>are met,</w:t>
      </w:r>
      <w:r w:rsidRPr="00DA4D19">
        <w:t xml:space="preserve"> an instrument’s sunset date can be deferred for either 6</w:t>
      </w:r>
      <w:r w:rsidR="00D70677" w:rsidRPr="00DA4D19">
        <w:t xml:space="preserve">, </w:t>
      </w:r>
      <w:r w:rsidRPr="00DA4D19">
        <w:t>12</w:t>
      </w:r>
      <w:r w:rsidR="00D70677" w:rsidRPr="00DA4D19">
        <w:t>, 18 or 24</w:t>
      </w:r>
      <w:r w:rsidRPr="00DA4D19">
        <w:t xml:space="preserve"> months by means of a certificate made under that section. In terms of process</w:t>
      </w:r>
      <w:r w:rsidRPr="00DD1ADC">
        <w:t xml:space="preserve">, the </w:t>
      </w:r>
      <w:hyperlink r:id="rId617" w:history="1">
        <w:r w:rsidR="00E25493" w:rsidRPr="00DD1ADC">
          <w:rPr>
            <w:rStyle w:val="Hyperlink"/>
          </w:rPr>
          <w:t>LA</w:t>
        </w:r>
      </w:hyperlink>
      <w:r w:rsidRPr="00DD1ADC">
        <w:t xml:space="preserve"> r</w:t>
      </w:r>
      <w:r w:rsidRPr="00DA4D19">
        <w:t>equires:</w:t>
      </w:r>
      <w:bookmarkEnd w:id="238"/>
    </w:p>
    <w:p w14:paraId="417FA073" w14:textId="77777777" w:rsidR="00727ED5" w:rsidRPr="00DA4D19" w:rsidRDefault="00727ED5" w:rsidP="0008193D">
      <w:pPr>
        <w:pStyle w:val="BodyPara"/>
      </w:pPr>
      <w:r w:rsidRPr="00DA4D19">
        <w:t>the responsible rule</w:t>
      </w:r>
      <w:r w:rsidR="009C4251">
        <w:noBreakHyphen/>
      </w:r>
      <w:r w:rsidRPr="00DA4D19">
        <w:t>maker to apply to the Attorney</w:t>
      </w:r>
      <w:r w:rsidR="009C4251">
        <w:noBreakHyphen/>
      </w:r>
      <w:r w:rsidRPr="00DA4D19">
        <w:t>General in writing; and</w:t>
      </w:r>
    </w:p>
    <w:p w14:paraId="583B2BBA" w14:textId="77777777" w:rsidR="00727ED5" w:rsidRPr="00DA4D19" w:rsidRDefault="00727ED5" w:rsidP="0008193D">
      <w:pPr>
        <w:pStyle w:val="BodyPara"/>
      </w:pPr>
      <w:r w:rsidRPr="00DA4D19">
        <w:t>the Attorney</w:t>
      </w:r>
      <w:r w:rsidR="009C4251">
        <w:noBreakHyphen/>
      </w:r>
      <w:r w:rsidRPr="00DA4D19">
        <w:t>General to be satisfied that the instrument meet</w:t>
      </w:r>
      <w:r w:rsidR="005E43E4">
        <w:t>s the statutory conditions; and</w:t>
      </w:r>
    </w:p>
    <w:p w14:paraId="71095123" w14:textId="421AF957" w:rsidR="00DA4D19" w:rsidRDefault="00727ED5" w:rsidP="00D65BA8">
      <w:pPr>
        <w:pStyle w:val="BodyPara"/>
      </w:pPr>
      <w:r w:rsidRPr="00D65BA8">
        <w:t>the Attorney</w:t>
      </w:r>
      <w:r w:rsidR="009C4251">
        <w:noBreakHyphen/>
      </w:r>
      <w:r w:rsidRPr="00D65BA8">
        <w:t>General to make a certificate that must be regi</w:t>
      </w:r>
      <w:r w:rsidRPr="00DD1ADC">
        <w:t>stered (</w:t>
      </w:r>
      <w:hyperlink r:id="rId618" w:history="1">
        <w:hyperlink r:id="rId619" w:history="1">
          <w:hyperlink r:id="rId620" w:history="1">
            <w:r w:rsidR="004F5980" w:rsidRPr="00DD1ADC">
              <w:rPr>
                <w:rStyle w:val="Hyperlink"/>
              </w:rPr>
              <w:t>LA</w:t>
            </w:r>
          </w:hyperlink>
          <w:r w:rsidR="004F5980" w:rsidRPr="00DD1ADC">
            <w:rPr>
              <w:rStyle w:val="Hyperlink"/>
            </w:rPr>
            <w:t xml:space="preserve"> </w:t>
          </w:r>
        </w:hyperlink>
      </w:hyperlink>
      <w:r w:rsidRPr="00DD1ADC">
        <w:t>s</w:t>
      </w:r>
      <w:r w:rsidR="005E43E4" w:rsidRPr="00DD1ADC">
        <w:t> </w:t>
      </w:r>
      <w:r w:rsidRPr="00DD1ADC">
        <w:t>51(</w:t>
      </w:r>
      <w:r w:rsidRPr="00D65BA8">
        <w:t>3))</w:t>
      </w:r>
      <w:r w:rsidR="00D65BA8" w:rsidRPr="00D65BA8">
        <w:t>—</w:t>
      </w:r>
      <w:r w:rsidR="00BF3B83" w:rsidRPr="00D65BA8">
        <w:t xml:space="preserve">a certificate </w:t>
      </w:r>
      <w:r w:rsidR="00202588">
        <w:t xml:space="preserve">of </w:t>
      </w:r>
      <w:r w:rsidR="00D65BA8">
        <w:t xml:space="preserve">deferral </w:t>
      </w:r>
      <w:r w:rsidR="00202588">
        <w:t>for</w:t>
      </w:r>
      <w:r w:rsidR="00D65BA8">
        <w:t xml:space="preserve"> </w:t>
      </w:r>
      <w:r w:rsidR="00BF3B83" w:rsidRPr="00D65BA8">
        <w:t>6 or 12 month</w:t>
      </w:r>
      <w:r w:rsidR="00D65BA8">
        <w:t>s</w:t>
      </w:r>
      <w:r w:rsidR="00BF3B83" w:rsidRPr="00D65BA8">
        <w:t xml:space="preserve"> is exempt from disallowance </w:t>
      </w:r>
      <w:r w:rsidR="00BF3B83" w:rsidRPr="00DD1ADC">
        <w:t>(</w:t>
      </w:r>
      <w:hyperlink r:id="rId621" w:history="1">
        <w:hyperlink r:id="rId622" w:history="1">
          <w:hyperlink r:id="rId623" w:history="1">
            <w:r w:rsidR="00BF3B83" w:rsidRPr="00DD1ADC">
              <w:rPr>
                <w:rStyle w:val="Hyperlink"/>
              </w:rPr>
              <w:t>LA</w:t>
            </w:r>
          </w:hyperlink>
          <w:r w:rsidR="00BF3B83" w:rsidRPr="00DD1ADC">
            <w:rPr>
              <w:rStyle w:val="Hyperlink"/>
            </w:rPr>
            <w:t xml:space="preserve"> </w:t>
          </w:r>
        </w:hyperlink>
      </w:hyperlink>
      <w:r w:rsidR="00BF3B83" w:rsidRPr="00DD1ADC">
        <w:t>s 51(4))</w:t>
      </w:r>
      <w:r w:rsidR="00242B00" w:rsidRPr="00DD1ADC">
        <w:t>; an</w:t>
      </w:r>
      <w:r w:rsidR="00242B00">
        <w:t>d</w:t>
      </w:r>
    </w:p>
    <w:p w14:paraId="0D7AB25D" w14:textId="77777777" w:rsidR="00202588" w:rsidRPr="00D65BA8" w:rsidRDefault="00202588" w:rsidP="00202588">
      <w:pPr>
        <w:pStyle w:val="BodyPara"/>
      </w:pPr>
      <w:r>
        <w:lastRenderedPageBreak/>
        <w:t>t</w:t>
      </w:r>
      <w:r w:rsidRPr="00202588">
        <w:t xml:space="preserve">he explanatory statement for </w:t>
      </w:r>
      <w:r>
        <w:t>the</w:t>
      </w:r>
      <w:r w:rsidRPr="00202588">
        <w:t xml:space="preserve"> certificate</w:t>
      </w:r>
      <w:r>
        <w:t xml:space="preserve"> </w:t>
      </w:r>
      <w:r w:rsidRPr="00202588">
        <w:t>must include a statement of reasons for the issue of the certificate.</w:t>
      </w:r>
    </w:p>
    <w:p w14:paraId="37195CFF" w14:textId="77777777" w:rsidR="00727ED5" w:rsidRPr="00FD274F" w:rsidRDefault="00727ED5" w:rsidP="0008193D">
      <w:pPr>
        <w:pStyle w:val="BodyNum"/>
      </w:pPr>
      <w:r w:rsidRPr="00FB5D3D">
        <w:t xml:space="preserve">A certificate cannot revive an instrument that has already </w:t>
      </w:r>
      <w:proofErr w:type="spellStart"/>
      <w:r w:rsidRPr="00FB5D3D">
        <w:t>sunsetted</w:t>
      </w:r>
      <w:proofErr w:type="spellEnd"/>
      <w:r w:rsidRPr="00FB5D3D">
        <w:t xml:space="preserve">, </w:t>
      </w:r>
      <w:r w:rsidR="006623ED" w:rsidRPr="00FB5D3D">
        <w:t>so it must be</w:t>
      </w:r>
      <w:r w:rsidR="006623ED" w:rsidRPr="00FD274F">
        <w:t xml:space="preserve"> </w:t>
      </w:r>
      <w:r w:rsidRPr="00FD274F">
        <w:t>prep</w:t>
      </w:r>
      <w:r w:rsidR="000D63D1" w:rsidRPr="00FD274F">
        <w:t>ared, signed, and registered</w:t>
      </w:r>
      <w:r w:rsidRPr="00FD274F">
        <w:t xml:space="preserve"> before the releva</w:t>
      </w:r>
      <w:r w:rsidR="00242B00">
        <w:t>nt sunset date to be effective.</w:t>
      </w:r>
    </w:p>
    <w:p w14:paraId="631179DA" w14:textId="1FDC45CA" w:rsidR="00727ED5" w:rsidRPr="00FD274F" w:rsidRDefault="00727ED5" w:rsidP="0008193D">
      <w:pPr>
        <w:pStyle w:val="BodyNum"/>
      </w:pPr>
      <w:r w:rsidRPr="00FD274F">
        <w:t xml:space="preserve">For practical guidance on and assistance with applications for </w:t>
      </w:r>
      <w:r w:rsidRPr="00DD1ADC">
        <w:t>section 51 certific</w:t>
      </w:r>
      <w:r w:rsidRPr="00FD274F">
        <w:t>ate</w:t>
      </w:r>
      <w:r w:rsidR="00F746C5" w:rsidRPr="00FD274F">
        <w:t>s</w:t>
      </w:r>
      <w:r w:rsidRPr="00FD274F">
        <w:t>, see the AGD Guide to Managing Sunsetting Instruments</w:t>
      </w:r>
      <w:r w:rsidRPr="00FD274F">
        <w:rPr>
          <w:rStyle w:val="FootnoteReference"/>
        </w:rPr>
        <w:footnoteReference w:id="42"/>
      </w:r>
      <w:r w:rsidR="00CA2A17" w:rsidRPr="00FD274F">
        <w:t xml:space="preserve"> or contact AGD (</w:t>
      </w:r>
      <w:hyperlink r:id="rId624" w:history="1">
        <w:r w:rsidRPr="00FD274F">
          <w:rPr>
            <w:rStyle w:val="Hyperlink"/>
          </w:rPr>
          <w:t>sunsetting@ag.gov.au</w:t>
        </w:r>
      </w:hyperlink>
      <w:r w:rsidR="00CA2A17" w:rsidRPr="00FD274F">
        <w:t xml:space="preserve"> or </w:t>
      </w:r>
      <w:r w:rsidRPr="00FD274F">
        <w:t>(02) 6141</w:t>
      </w:r>
      <w:r w:rsidR="00AB2784" w:rsidRPr="00FD274F">
        <w:t xml:space="preserve"> 2736</w:t>
      </w:r>
      <w:r w:rsidR="00242B00">
        <w:t>).</w:t>
      </w:r>
    </w:p>
    <w:p w14:paraId="307C8A85" w14:textId="77777777" w:rsidR="00727ED5" w:rsidRPr="00FD274F" w:rsidRDefault="00727ED5" w:rsidP="004855B6">
      <w:pPr>
        <w:pStyle w:val="Head3"/>
      </w:pPr>
      <w:bookmarkStart w:id="239" w:name="_Toc112918856"/>
      <w:r w:rsidRPr="00FD274F">
        <w:t xml:space="preserve">Parliamentary </w:t>
      </w:r>
      <w:r w:rsidR="00636215">
        <w:t>“</w:t>
      </w:r>
      <w:r w:rsidRPr="00FD274F">
        <w:t>rollovers</w:t>
      </w:r>
      <w:r w:rsidR="00636215">
        <w:t>”</w:t>
      </w:r>
      <w:bookmarkEnd w:id="239"/>
    </w:p>
    <w:p w14:paraId="34DAE07E" w14:textId="23BF3789" w:rsidR="00727ED5" w:rsidRPr="00DD1ADC" w:rsidRDefault="00727ED5" w:rsidP="00B77183">
      <w:pPr>
        <w:pStyle w:val="BodyNum"/>
      </w:pPr>
      <w:bookmarkStart w:id="240" w:name="_Ref367447300"/>
      <w:r w:rsidRPr="00FB5D3D">
        <w:t xml:space="preserve">If an instrument is </w:t>
      </w:r>
      <w:r w:rsidR="00B77183" w:rsidRPr="00FB5D3D">
        <w:t>mentione</w:t>
      </w:r>
      <w:r w:rsidR="00B77183" w:rsidRPr="00DD1ADC">
        <w:t xml:space="preserve">d in a section 51 </w:t>
      </w:r>
      <w:r w:rsidR="00636215" w:rsidRPr="00DD1ADC">
        <w:t xml:space="preserve">deferral </w:t>
      </w:r>
      <w:r w:rsidR="00B77183" w:rsidRPr="00DD1ADC">
        <w:t>certif</w:t>
      </w:r>
      <w:r w:rsidR="00B77183" w:rsidRPr="00FB5D3D">
        <w:t>icate laid before a House of the Parliament in accordance with se</w:t>
      </w:r>
      <w:r w:rsidR="00B77183" w:rsidRPr="00DD1ADC">
        <w:t xml:space="preserve">ction 38 of the </w:t>
      </w:r>
      <w:hyperlink r:id="rId625" w:history="1">
        <w:r w:rsidR="00B77183" w:rsidRPr="00DD1ADC">
          <w:rPr>
            <w:rStyle w:val="Hyperlink"/>
          </w:rPr>
          <w:t>LA</w:t>
        </w:r>
      </w:hyperlink>
      <w:r w:rsidR="00B77183" w:rsidRPr="00DD1ADC">
        <w:rPr>
          <w:rStyle w:val="Hyperlink"/>
        </w:rPr>
        <w:t xml:space="preserve"> </w:t>
      </w:r>
      <w:r w:rsidR="00B77183" w:rsidRPr="00DD1ADC">
        <w:t>or i</w:t>
      </w:r>
      <w:r w:rsidR="00B77183" w:rsidRPr="00FB5D3D">
        <w:t xml:space="preserve">n a </w:t>
      </w:r>
      <w:r w:rsidR="00636215">
        <w:t xml:space="preserve">sunsetting </w:t>
      </w:r>
      <w:r w:rsidR="00B77183" w:rsidRPr="00FB5D3D">
        <w:t xml:space="preserve">list laid before a House of the Parliament under </w:t>
      </w:r>
      <w:r w:rsidR="00B77183" w:rsidRPr="00DD1ADC">
        <w:t>section 52</w:t>
      </w:r>
      <w:r w:rsidR="00DE2DC2" w:rsidRPr="00DD1ADC">
        <w:t>,</w:t>
      </w:r>
      <w:r w:rsidR="00DE2DC2" w:rsidRPr="00DD1ADC">
        <w:rPr>
          <w:rStyle w:val="Hyperlink"/>
        </w:rPr>
        <w:t xml:space="preserve"> </w:t>
      </w:r>
      <w:r w:rsidRPr="00DD1ADC">
        <w:t>eit</w:t>
      </w:r>
      <w:r w:rsidRPr="00FB5D3D">
        <w:t>her House of the Parliamen</w:t>
      </w:r>
      <w:r w:rsidR="00D86DC9" w:rsidRPr="00FB5D3D">
        <w:t>t may pass a resolution</w:t>
      </w:r>
      <w:r w:rsidR="00DA7588" w:rsidRPr="00FB5D3D">
        <w:t xml:space="preserve"> at any time before </w:t>
      </w:r>
      <w:r w:rsidR="00FB5D3D">
        <w:t>the repeal</w:t>
      </w:r>
      <w:r w:rsidR="00DA7588" w:rsidRPr="00FB5D3D">
        <w:t xml:space="preserve"> day</w:t>
      </w:r>
      <w:r w:rsidR="00636215">
        <w:t xml:space="preserve"> that the instrument should continue in for</w:t>
      </w:r>
      <w:r w:rsidR="00636215" w:rsidRPr="00DD1ADC">
        <w:t>ce</w:t>
      </w:r>
      <w:r w:rsidRPr="00DD1ADC">
        <w:t xml:space="preserve"> (</w:t>
      </w:r>
      <w:hyperlink r:id="rId626" w:history="1">
        <w:hyperlink r:id="rId627" w:history="1">
          <w:hyperlink r:id="rId628" w:history="1">
            <w:r w:rsidR="004F5980" w:rsidRPr="00DD1ADC">
              <w:rPr>
                <w:rStyle w:val="Hyperlink"/>
              </w:rPr>
              <w:t>LA</w:t>
            </w:r>
          </w:hyperlink>
          <w:r w:rsidR="004F5980" w:rsidRPr="00DD1ADC">
            <w:rPr>
              <w:rStyle w:val="Hyperlink"/>
            </w:rPr>
            <w:t xml:space="preserve"> </w:t>
          </w:r>
        </w:hyperlink>
      </w:hyperlink>
      <w:r w:rsidRPr="00DD1ADC">
        <w:t>s 53(1)).</w:t>
      </w:r>
      <w:bookmarkEnd w:id="240"/>
    </w:p>
    <w:p w14:paraId="4BE302E3" w14:textId="77777777" w:rsidR="00727ED5" w:rsidRPr="00FD274F" w:rsidRDefault="00727ED5" w:rsidP="0008193D">
      <w:pPr>
        <w:pStyle w:val="BodyNum"/>
      </w:pPr>
      <w:r w:rsidRPr="00FD274F">
        <w:t xml:space="preserve">If </w:t>
      </w:r>
      <w:r w:rsidR="000D3185">
        <w:t xml:space="preserve">a </w:t>
      </w:r>
      <w:r w:rsidRPr="00FD274F">
        <w:t>resolution is passed, the instrument’s sunset date is deferred for 10 years. There is no requirement to remake, register or table an instrument that has been rolled over and, having already been the subject of parliamentary scrutiny, the instrument is not subject to further scrutiny in the form of disallowance.</w:t>
      </w:r>
    </w:p>
    <w:p w14:paraId="5EF29262" w14:textId="77777777" w:rsidR="00727ED5" w:rsidRPr="00FD274F" w:rsidRDefault="00727ED5" w:rsidP="00C27467">
      <w:pPr>
        <w:pStyle w:val="BodyNum"/>
        <w:keepLines/>
      </w:pPr>
      <w:r w:rsidRPr="00FD274F">
        <w:t xml:space="preserve">If the vote </w:t>
      </w:r>
      <w:r w:rsidR="001E06CE">
        <w:t xml:space="preserve">on the proposed roll over </w:t>
      </w:r>
      <w:r w:rsidRPr="00FD274F">
        <w:t xml:space="preserve">is in the negative, or if no vote is taken </w:t>
      </w:r>
      <w:r w:rsidR="001E06CE">
        <w:t>prior to the instrument’s scheduled sunsetting date</w:t>
      </w:r>
      <w:r w:rsidRPr="00FD274F">
        <w:t>, nothing changes and urgent action is required to prepare, make and register a replacement instrument before the existing instrument sunsets. As part of that process, changes to the substance of the instrument may be desirable or important (particularly if the replacement will be subject to disallowance).</w:t>
      </w:r>
    </w:p>
    <w:p w14:paraId="1AE6A43A" w14:textId="77777777" w:rsidR="00727ED5" w:rsidRPr="00FD274F" w:rsidRDefault="00727ED5" w:rsidP="004855B6">
      <w:pPr>
        <w:pStyle w:val="Head4"/>
      </w:pPr>
      <w:bookmarkStart w:id="241" w:name="_Toc112918857"/>
      <w:r w:rsidRPr="00FD274F">
        <w:t>If notice of private rollover motion is given</w:t>
      </w:r>
      <w:bookmarkEnd w:id="241"/>
    </w:p>
    <w:p w14:paraId="1D370AC2" w14:textId="77777777" w:rsidR="00AB2784" w:rsidRPr="00FD274F" w:rsidRDefault="00727ED5" w:rsidP="0097224E">
      <w:pPr>
        <w:pStyle w:val="BodyNum"/>
      </w:pPr>
      <w:proofErr w:type="spellStart"/>
      <w:r w:rsidRPr="00FD274F">
        <w:t>OPC</w:t>
      </w:r>
      <w:proofErr w:type="spellEnd"/>
      <w:r w:rsidRPr="00FD274F">
        <w:t xml:space="preserve"> monitors parliamentary proceedings and will notify agencies as soon as practicable if an instrument is subject to a motion for a</w:t>
      </w:r>
      <w:r w:rsidR="000B039C" w:rsidRPr="00FD274F">
        <w:t xml:space="preserve"> rollover by a Private Member.</w:t>
      </w:r>
    </w:p>
    <w:p w14:paraId="63A4651A" w14:textId="77777777" w:rsidR="00727ED5" w:rsidRPr="00FD274F" w:rsidRDefault="00727ED5" w:rsidP="0097224E">
      <w:pPr>
        <w:pStyle w:val="Head4"/>
      </w:pPr>
      <w:bookmarkStart w:id="242" w:name="_Toc112918858"/>
      <w:r w:rsidRPr="00FD274F">
        <w:t>When government rollover motion may be appropriate</w:t>
      </w:r>
      <w:bookmarkEnd w:id="242"/>
    </w:p>
    <w:p w14:paraId="34C7923A" w14:textId="23500357" w:rsidR="00727ED5" w:rsidRPr="00FD274F" w:rsidRDefault="00727ED5" w:rsidP="00FF0B83">
      <w:pPr>
        <w:pStyle w:val="BodyNum"/>
        <w:keepLines/>
      </w:pPr>
      <w:r w:rsidRPr="00FD274F">
        <w:t xml:space="preserve">Only Senators and Members </w:t>
      </w:r>
      <w:r w:rsidR="001E06CE">
        <w:t xml:space="preserve">of Parliament </w:t>
      </w:r>
      <w:r w:rsidRPr="00FD274F">
        <w:t>can move for a rollover un</w:t>
      </w:r>
      <w:r w:rsidRPr="00DD1ADC">
        <w:t xml:space="preserve">der section 53 of the </w:t>
      </w:r>
      <w:hyperlink r:id="rId629" w:history="1">
        <w:hyperlink r:id="rId630" w:history="1">
          <w:hyperlink r:id="rId631" w:history="1">
            <w:r w:rsidR="004F5980" w:rsidRPr="00DD1ADC">
              <w:rPr>
                <w:rStyle w:val="Hyperlink"/>
              </w:rPr>
              <w:t>LA</w:t>
            </w:r>
          </w:hyperlink>
        </w:hyperlink>
      </w:hyperlink>
      <w:r w:rsidRPr="00DD1ADC">
        <w:t>. Conseq</w:t>
      </w:r>
      <w:r w:rsidRPr="00FD274F">
        <w:t>uently, unless the rule</w:t>
      </w:r>
      <w:r w:rsidR="009C4251">
        <w:noBreakHyphen/>
      </w:r>
      <w:r w:rsidRPr="00FD274F">
        <w:t>maker is a Minister, it will be necessary for the rule</w:t>
      </w:r>
      <w:r w:rsidR="009C4251">
        <w:noBreakHyphen/>
      </w:r>
      <w:r w:rsidRPr="00FD274F">
        <w:t xml:space="preserve">maker </w:t>
      </w:r>
      <w:r w:rsidR="001E06CE">
        <w:t xml:space="preserve">(for example, the Secretary of a Department or statutory body) </w:t>
      </w:r>
      <w:r w:rsidRPr="00FD274F">
        <w:t>to make the case for a rollover to the responsible Minister. This should be done well in advance of the deadline for rollover motions, because:</w:t>
      </w:r>
    </w:p>
    <w:p w14:paraId="6741979B" w14:textId="5B36C27B" w:rsidR="00727ED5" w:rsidRPr="00FD274F" w:rsidRDefault="00727ED5" w:rsidP="0008193D">
      <w:pPr>
        <w:pStyle w:val="BodyPara"/>
      </w:pPr>
      <w:r w:rsidRPr="00FD274F">
        <w:t xml:space="preserve">consultation with government </w:t>
      </w:r>
      <w:r w:rsidR="00183A06" w:rsidRPr="00FD274F">
        <w:t xml:space="preserve">and other stakeholders </w:t>
      </w:r>
      <w:r w:rsidRPr="00FD274F">
        <w:t xml:space="preserve">may be </w:t>
      </w:r>
      <w:r w:rsidR="00183A06" w:rsidRPr="00FD274F">
        <w:t>necessary or desirable (s</w:t>
      </w:r>
      <w:r w:rsidR="00183A06" w:rsidRPr="00FA2355">
        <w:t xml:space="preserve">ee paragraph </w:t>
      </w:r>
      <w:r w:rsidR="00F535BC" w:rsidRPr="00DD1ADC">
        <w:fldChar w:fldCharType="begin"/>
      </w:r>
      <w:r w:rsidR="00F535BC" w:rsidRPr="00FA2355">
        <w:instrText xml:space="preserve"> REF _Ref453330210 \r \h </w:instrText>
      </w:r>
      <w:r w:rsidR="00E30D59">
        <w:rPr>
          <w:highlight w:val="yellow"/>
        </w:rPr>
        <w:instrText xml:space="preserve"> \* MERGEFORMAT </w:instrText>
      </w:r>
      <w:r w:rsidR="00F535BC" w:rsidRPr="00DD1ADC">
        <w:fldChar w:fldCharType="separate"/>
      </w:r>
      <w:r w:rsidR="00430C30">
        <w:t>366</w:t>
      </w:r>
      <w:r w:rsidR="00F535BC" w:rsidRPr="00DD1ADC">
        <w:fldChar w:fldCharType="end"/>
      </w:r>
      <w:r w:rsidR="00183A06" w:rsidRPr="00FA2355">
        <w:t>); a</w:t>
      </w:r>
      <w:r w:rsidR="00183A06" w:rsidRPr="00FD274F">
        <w:t>nd</w:t>
      </w:r>
    </w:p>
    <w:p w14:paraId="5A61FBA9" w14:textId="77777777" w:rsidR="00183A06" w:rsidRPr="00FD274F" w:rsidRDefault="00183A06" w:rsidP="00183A06">
      <w:pPr>
        <w:pStyle w:val="BodyPara"/>
      </w:pPr>
      <w:r w:rsidRPr="00FD274F">
        <w:t>both the parliamentary sitting schedule and order of business can be subject to change without notice.</w:t>
      </w:r>
    </w:p>
    <w:p w14:paraId="7C0060E0" w14:textId="77777777" w:rsidR="00AB2784" w:rsidRPr="00FD274F" w:rsidRDefault="00183A06" w:rsidP="00AB2784">
      <w:pPr>
        <w:pStyle w:val="BodyNum"/>
      </w:pPr>
      <w:bookmarkStart w:id="243" w:name="_Ref453330210"/>
      <w:bookmarkStart w:id="244" w:name="_Ref378080485"/>
      <w:r w:rsidRPr="00FD274F">
        <w:lastRenderedPageBreak/>
        <w:t>A</w:t>
      </w:r>
      <w:r w:rsidR="00727ED5" w:rsidRPr="00FD274F">
        <w:t xml:space="preserve">gencies </w:t>
      </w:r>
      <w:r w:rsidRPr="00FD274F">
        <w:t>considering a rollover motion should c</w:t>
      </w:r>
      <w:r w:rsidR="00727ED5" w:rsidRPr="00FD274F">
        <w:t xml:space="preserve">onsult AGD before </w:t>
      </w:r>
      <w:r w:rsidRPr="00FD274F">
        <w:t xml:space="preserve">proceeding </w:t>
      </w:r>
      <w:r w:rsidR="00727ED5" w:rsidRPr="00FD274F">
        <w:t xml:space="preserve">to ensure that current policy and process requirements have been met. </w:t>
      </w:r>
      <w:r w:rsidR="00AB2784" w:rsidRPr="00FD274F">
        <w:t>Agencies should also recognise that a rollover may not reduce overall workload compared with re</w:t>
      </w:r>
      <w:r w:rsidR="001E06CE">
        <w:t>placing</w:t>
      </w:r>
      <w:r w:rsidR="00AB2784" w:rsidRPr="00FD274F">
        <w:t xml:space="preserve"> an instr</w:t>
      </w:r>
      <w:r w:rsidRPr="00FD274F">
        <w:t>u</w:t>
      </w:r>
      <w:r w:rsidR="00AB2784" w:rsidRPr="00FD274F">
        <w:t>ment. There could be significant workload and other consequences if, for example:</w:t>
      </w:r>
      <w:bookmarkEnd w:id="243"/>
    </w:p>
    <w:p w14:paraId="35917374" w14:textId="77777777" w:rsidR="00AB2784" w:rsidRPr="00FD274F" w:rsidRDefault="00AB2784" w:rsidP="00AB2784">
      <w:pPr>
        <w:pStyle w:val="BodyPara"/>
      </w:pPr>
      <w:r w:rsidRPr="00FD274F">
        <w:t>a motion is controversia</w:t>
      </w:r>
      <w:r w:rsidR="00242B00">
        <w:t>l and referred to committee; or</w:t>
      </w:r>
    </w:p>
    <w:p w14:paraId="2806E935" w14:textId="77777777" w:rsidR="00AB2784" w:rsidRPr="00FD274F" w:rsidRDefault="00AB2784" w:rsidP="00AB2784">
      <w:pPr>
        <w:pStyle w:val="BodyPara"/>
      </w:pPr>
      <w:r w:rsidRPr="00FD274F">
        <w:t>public uncertainty about the instrument generates campaign correspondence; or</w:t>
      </w:r>
    </w:p>
    <w:p w14:paraId="2C2D5558" w14:textId="77777777" w:rsidR="00AB2784" w:rsidRPr="00FD274F" w:rsidRDefault="00AB2784" w:rsidP="00AB2784">
      <w:pPr>
        <w:pStyle w:val="BodyPara"/>
      </w:pPr>
      <w:r w:rsidRPr="00FD274F">
        <w:t xml:space="preserve">a motion is unsuccessful and the instrument has to be </w:t>
      </w:r>
      <w:r w:rsidR="001E06CE">
        <w:t>replaced within short timeframes</w:t>
      </w:r>
      <w:r w:rsidR="00242B00">
        <w:t>.</w:t>
      </w:r>
    </w:p>
    <w:p w14:paraId="622FE88F" w14:textId="5285CECF" w:rsidR="00727ED5" w:rsidRPr="00FD274F" w:rsidRDefault="00727ED5" w:rsidP="0008193D">
      <w:pPr>
        <w:pStyle w:val="BodyNum"/>
      </w:pPr>
      <w:r w:rsidRPr="00FD274F">
        <w:t>For further guidance on this matter, see the AGD Guide to Managing Sunsetting Instruments</w:t>
      </w:r>
      <w:r w:rsidRPr="00FD274F">
        <w:rPr>
          <w:rStyle w:val="FootnoteReference"/>
        </w:rPr>
        <w:footnoteReference w:id="43"/>
      </w:r>
      <w:r w:rsidRPr="00FD274F">
        <w:t xml:space="preserve"> or contact AGD (</w:t>
      </w:r>
      <w:hyperlink r:id="rId632" w:history="1">
        <w:r w:rsidRPr="00FD274F">
          <w:rPr>
            <w:rStyle w:val="Hyperlink"/>
          </w:rPr>
          <w:t>sunsetting@ag.gov.au</w:t>
        </w:r>
      </w:hyperlink>
      <w:r w:rsidRPr="00FD274F">
        <w:t xml:space="preserve"> or (02) 6141</w:t>
      </w:r>
      <w:r w:rsidR="00AB2784" w:rsidRPr="00FD274F">
        <w:t xml:space="preserve"> 2736</w:t>
      </w:r>
      <w:r w:rsidRPr="00FD274F">
        <w:t>).</w:t>
      </w:r>
      <w:bookmarkEnd w:id="244"/>
    </w:p>
    <w:p w14:paraId="62F99CC0" w14:textId="77777777" w:rsidR="00727ED5" w:rsidRPr="00FD274F" w:rsidRDefault="00727ED5" w:rsidP="004855B6">
      <w:pPr>
        <w:pStyle w:val="Head4"/>
      </w:pPr>
      <w:bookmarkStart w:id="245" w:name="_Toc112918859"/>
      <w:r w:rsidRPr="00FD274F">
        <w:t>Tabling of documents for rollover purposes</w:t>
      </w:r>
      <w:bookmarkEnd w:id="245"/>
    </w:p>
    <w:p w14:paraId="1CFF53AF" w14:textId="77777777" w:rsidR="00727ED5" w:rsidRPr="00FD274F" w:rsidRDefault="00727ED5" w:rsidP="0008193D">
      <w:pPr>
        <w:pStyle w:val="BodyNum"/>
      </w:pPr>
      <w:bookmarkStart w:id="246" w:name="_Ref29484918"/>
      <w:bookmarkStart w:id="247" w:name="_Ref378080491"/>
      <w:r w:rsidRPr="00FD274F">
        <w:t>If a document need</w:t>
      </w:r>
      <w:r w:rsidR="00DB6B52" w:rsidRPr="00FD274F">
        <w:t>s</w:t>
      </w:r>
      <w:r w:rsidRPr="00FD274F">
        <w:t xml:space="preserve"> to be tabled in </w:t>
      </w:r>
      <w:r w:rsidR="00183A06" w:rsidRPr="00FD274F">
        <w:t xml:space="preserve">anticipation or support of a </w:t>
      </w:r>
      <w:r w:rsidRPr="00FD274F">
        <w:t xml:space="preserve">rollover motion, it cannot be lodged for tabling through </w:t>
      </w:r>
      <w:proofErr w:type="spellStart"/>
      <w:r w:rsidRPr="00FD274F">
        <w:t>OPC</w:t>
      </w:r>
      <w:proofErr w:type="spellEnd"/>
      <w:r w:rsidRPr="00FD274F">
        <w:t xml:space="preserve">. The relevant agency will need to prepare and lodge it in accordance with the current </w:t>
      </w:r>
      <w:r w:rsidR="00195F47" w:rsidRPr="00FD274F">
        <w:t>G</w:t>
      </w:r>
      <w:r w:rsidRPr="00FD274F">
        <w:t xml:space="preserve">uidelines for the </w:t>
      </w:r>
      <w:r w:rsidR="00195F47" w:rsidRPr="00FD274F">
        <w:t>P</w:t>
      </w:r>
      <w:r w:rsidR="00365E38" w:rsidRPr="00FD274F">
        <w:t>resentation of [</w:t>
      </w:r>
      <w:r w:rsidRPr="00FD274F">
        <w:t>non</w:t>
      </w:r>
      <w:r w:rsidR="009C4251">
        <w:noBreakHyphen/>
      </w:r>
      <w:r w:rsidR="000D63D1" w:rsidRPr="00FD274F">
        <w:t>Register</w:t>
      </w:r>
      <w:r w:rsidR="00365E38" w:rsidRPr="00FD274F">
        <w:t>]</w:t>
      </w:r>
      <w:r w:rsidRPr="00FD274F">
        <w:t xml:space="preserve"> </w:t>
      </w:r>
      <w:r w:rsidR="00195F47" w:rsidRPr="00FD274F">
        <w:t>D</w:t>
      </w:r>
      <w:r w:rsidRPr="00FD274F">
        <w:t>ocuments to the Parliament</w:t>
      </w:r>
      <w:r w:rsidR="004F138B" w:rsidRPr="00FD274F">
        <w:rPr>
          <w:rStyle w:val="FootnoteReference"/>
        </w:rPr>
        <w:footnoteReference w:id="44"/>
      </w:r>
      <w:r w:rsidR="00FC7415" w:rsidRPr="00FD274F">
        <w:t>.</w:t>
      </w:r>
      <w:r w:rsidRPr="00FD274F">
        <w:t xml:space="preserve"> It may also be appropriate to provide additional courtesy copies to relevant scrutiny bodies.</w:t>
      </w:r>
      <w:bookmarkEnd w:id="246"/>
    </w:p>
    <w:p w14:paraId="0A3A2390" w14:textId="77777777" w:rsidR="00727ED5" w:rsidRPr="00FD274F" w:rsidRDefault="00727ED5" w:rsidP="004855B6">
      <w:pPr>
        <w:pStyle w:val="Head3"/>
      </w:pPr>
      <w:bookmarkStart w:id="248" w:name="_Toc112918860"/>
      <w:bookmarkEnd w:id="247"/>
      <w:r w:rsidRPr="00FD274F">
        <w:t>Re</w:t>
      </w:r>
      <w:r w:rsidR="001E06CE">
        <w:t>placement</w:t>
      </w:r>
      <w:r w:rsidRPr="00FD274F">
        <w:t xml:space="preserve"> of sunsetting instruments</w:t>
      </w:r>
      <w:r w:rsidR="008D05AF" w:rsidRPr="00FD274F">
        <w:t xml:space="preserve"> (if required)</w:t>
      </w:r>
      <w:bookmarkEnd w:id="248"/>
    </w:p>
    <w:p w14:paraId="73730D9F" w14:textId="77777777" w:rsidR="00727ED5" w:rsidRPr="00FD274F" w:rsidRDefault="00727ED5" w:rsidP="0008193D">
      <w:pPr>
        <w:pStyle w:val="BodyNum"/>
      </w:pPr>
      <w:bookmarkStart w:id="249" w:name="_Ref29484941"/>
      <w:bookmarkStart w:id="250" w:name="_Ref367447316"/>
      <w:r w:rsidRPr="00FD274F">
        <w:t>A rule</w:t>
      </w:r>
      <w:r w:rsidR="009C4251">
        <w:noBreakHyphen/>
      </w:r>
      <w:r w:rsidRPr="00FD274F">
        <w:t xml:space="preserve">maker who is authorised to make a particular instrument can repeal and remake it, no </w:t>
      </w:r>
      <w:r w:rsidR="001861AE" w:rsidRPr="00FD274F">
        <w:t>matter who originally made it. Merely a</w:t>
      </w:r>
      <w:r w:rsidRPr="00FD274F">
        <w:t>mending an instrument does not</w:t>
      </w:r>
      <w:r w:rsidR="001861AE" w:rsidRPr="00FD274F">
        <w:t xml:space="preserve"> </w:t>
      </w:r>
      <w:r w:rsidR="00242B00">
        <w:t>reset its sunsetting “clock”.</w:t>
      </w:r>
      <w:bookmarkEnd w:id="249"/>
    </w:p>
    <w:p w14:paraId="1FDE8373" w14:textId="15E25E31" w:rsidR="00727ED5" w:rsidRPr="00FD274F" w:rsidRDefault="00727ED5" w:rsidP="00E663AE">
      <w:pPr>
        <w:pStyle w:val="BodyNum"/>
      </w:pPr>
      <w:bookmarkStart w:id="251" w:name="_Ref435534951"/>
      <w:r w:rsidRPr="00FD274F">
        <w:t xml:space="preserve">To ensure continuity of the law, a new (replacement) instrument must be made and registered before any existing instrument sunsets. </w:t>
      </w:r>
      <w:r w:rsidR="00E663AE" w:rsidRPr="00FD274F">
        <w:t>Failure to get a replacement instrument made and registered by the sunset date can have significant legal and other conseque</w:t>
      </w:r>
      <w:r w:rsidR="00E663AE" w:rsidRPr="00FA2355">
        <w:t xml:space="preserve">nces </w:t>
      </w:r>
      <w:r w:rsidRPr="00FA2355">
        <w:t>(see paragraph</w:t>
      </w:r>
      <w:r w:rsidR="00EA3D29" w:rsidRPr="00FA2355">
        <w:t>s</w:t>
      </w:r>
      <w:r w:rsidRPr="00FA2355">
        <w:t xml:space="preserve"> </w:t>
      </w:r>
      <w:r w:rsidR="008D5376" w:rsidRPr="00FD6A45">
        <w:rPr>
          <w:highlight w:val="yellow"/>
        </w:rPr>
        <w:fldChar w:fldCharType="begin"/>
      </w:r>
      <w:r w:rsidR="008D5376" w:rsidRPr="00FA2355">
        <w:instrText xml:space="preserve"> REF _Ref444692813 \r \h </w:instrText>
      </w:r>
      <w:r w:rsidR="00F308D0" w:rsidRPr="00FA2355">
        <w:instrText xml:space="preserve"> \* MERGEFORMAT </w:instrText>
      </w:r>
      <w:r w:rsidR="008D5376" w:rsidRPr="00FD6A45">
        <w:rPr>
          <w:highlight w:val="yellow"/>
        </w:rPr>
      </w:r>
      <w:r w:rsidR="008D5376" w:rsidRPr="00FD6A45">
        <w:rPr>
          <w:highlight w:val="yellow"/>
        </w:rPr>
        <w:fldChar w:fldCharType="separate"/>
      </w:r>
      <w:r w:rsidR="003E1B43" w:rsidRPr="00FA2355">
        <w:t>71</w:t>
      </w:r>
      <w:r w:rsidR="008D5376" w:rsidRPr="00FD6A45">
        <w:rPr>
          <w:highlight w:val="yellow"/>
        </w:rPr>
        <w:fldChar w:fldCharType="end"/>
      </w:r>
      <w:r w:rsidR="00EA3D29" w:rsidRPr="00FA2355">
        <w:t xml:space="preserve"> </w:t>
      </w:r>
      <w:r w:rsidR="009735CD">
        <w:t>to</w:t>
      </w:r>
      <w:r w:rsidR="00EA3D29" w:rsidRPr="00FA2355">
        <w:t xml:space="preserve"> </w:t>
      </w:r>
      <w:r w:rsidR="00A85BA9">
        <w:fldChar w:fldCharType="begin"/>
      </w:r>
      <w:r w:rsidR="00A85BA9">
        <w:instrText xml:space="preserve"> REF _Ref112918881 \r \h </w:instrText>
      </w:r>
      <w:r w:rsidR="00A85BA9">
        <w:fldChar w:fldCharType="separate"/>
      </w:r>
      <w:r w:rsidR="00A85BA9">
        <w:t>76</w:t>
      </w:r>
      <w:r w:rsidR="00A85BA9">
        <w:fldChar w:fldCharType="end"/>
      </w:r>
      <w:r w:rsidRPr="00FD274F">
        <w:t>).</w:t>
      </w:r>
      <w:bookmarkEnd w:id="251"/>
    </w:p>
    <w:p w14:paraId="3665A1D4" w14:textId="77777777" w:rsidR="00727ED5" w:rsidRPr="00FD274F" w:rsidRDefault="00727ED5" w:rsidP="0008193D">
      <w:pPr>
        <w:pStyle w:val="BodyNum"/>
      </w:pPr>
      <w:r w:rsidRPr="00FD274F">
        <w:t xml:space="preserve">In the case of disallowable instruments, a much earlier date of registration is recommended to reduce the potential risks and consequences of disallowance. Disallowance of a replacement instrument or provision may temporarily revive a previous instrument, but cannot prevent that instrument sunsetting or revive an instrument that has </w:t>
      </w:r>
      <w:r w:rsidR="00E00010" w:rsidRPr="00FD274F">
        <w:t xml:space="preserve">already </w:t>
      </w:r>
      <w:proofErr w:type="spellStart"/>
      <w:r w:rsidRPr="00FD274F">
        <w:t>sunsetted</w:t>
      </w:r>
      <w:proofErr w:type="spellEnd"/>
      <w:r w:rsidRPr="00FD274F">
        <w:t>.</w:t>
      </w:r>
    </w:p>
    <w:p w14:paraId="73FE0DB1" w14:textId="77777777" w:rsidR="00594D1B" w:rsidRPr="00FD274F" w:rsidRDefault="00247899" w:rsidP="000B73E8">
      <w:pPr>
        <w:pStyle w:val="BodyNum"/>
      </w:pPr>
      <w:r w:rsidRPr="00FD274F">
        <w:t>It may be tempting</w:t>
      </w:r>
      <w:r w:rsidR="008E6599" w:rsidRPr="00FD274F">
        <w:t xml:space="preserve"> </w:t>
      </w:r>
      <w:r w:rsidR="00594D1B" w:rsidRPr="00FD274F">
        <w:t xml:space="preserve">for agencies </w:t>
      </w:r>
      <w:r w:rsidR="008E6599" w:rsidRPr="00FD274F">
        <w:t xml:space="preserve">to assume that </w:t>
      </w:r>
      <w:r w:rsidR="00E00010" w:rsidRPr="00FD274F">
        <w:t xml:space="preserve">the process of </w:t>
      </w:r>
      <w:r w:rsidR="008E6599" w:rsidRPr="00FD274F">
        <w:t>preparing a new instrument to replace a sunsetting instrument will not take very long because necessary provisio</w:t>
      </w:r>
      <w:r w:rsidR="000B73E8" w:rsidRPr="00FD274F">
        <w:t xml:space="preserve">ns already exist. </w:t>
      </w:r>
      <w:r w:rsidR="00594D1B" w:rsidRPr="00FD274F">
        <w:t xml:space="preserve">However, it is </w:t>
      </w:r>
      <w:proofErr w:type="spellStart"/>
      <w:r w:rsidR="00594D1B" w:rsidRPr="00FD274F">
        <w:t>OPC’s</w:t>
      </w:r>
      <w:proofErr w:type="spellEnd"/>
      <w:r w:rsidR="00594D1B" w:rsidRPr="00FD274F">
        <w:t xml:space="preserve"> experience that significant time and care is needed to ensure that:</w:t>
      </w:r>
    </w:p>
    <w:p w14:paraId="74602AAC" w14:textId="21FFA75F" w:rsidR="00E00010" w:rsidRPr="00FD274F" w:rsidRDefault="00941E8D" w:rsidP="00941E8D">
      <w:pPr>
        <w:pStyle w:val="BodyPara"/>
      </w:pPr>
      <w:r w:rsidRPr="00FD274F">
        <w:t>the new instrument</w:t>
      </w:r>
      <w:r w:rsidR="00473017" w:rsidRPr="00FD274F">
        <w:t xml:space="preserve"> is legally effective, clear and intelligible to anticipated users </w:t>
      </w:r>
      <w:r w:rsidRPr="00FA2355">
        <w:t xml:space="preserve">(see </w:t>
      </w:r>
      <w:r w:rsidR="00473017" w:rsidRPr="00FA2355">
        <w:t xml:space="preserve">paragraphs </w:t>
      </w:r>
      <w:r w:rsidR="00F535BC" w:rsidRPr="00FD6A45">
        <w:rPr>
          <w:highlight w:val="yellow"/>
        </w:rPr>
        <w:fldChar w:fldCharType="begin"/>
      </w:r>
      <w:r w:rsidR="00F535BC" w:rsidRPr="00FA2355">
        <w:instrText xml:space="preserve"> REF _Ref472357689 \r \h </w:instrText>
      </w:r>
      <w:r w:rsidR="00E30D59">
        <w:rPr>
          <w:highlight w:val="yellow"/>
        </w:rPr>
        <w:instrText xml:space="preserve"> \* MERGEFORMAT </w:instrText>
      </w:r>
      <w:r w:rsidR="00F535BC" w:rsidRPr="00FD6A45">
        <w:rPr>
          <w:highlight w:val="yellow"/>
        </w:rPr>
      </w:r>
      <w:r w:rsidR="00F535BC" w:rsidRPr="00FD6A45">
        <w:rPr>
          <w:highlight w:val="yellow"/>
        </w:rPr>
        <w:fldChar w:fldCharType="separate"/>
      </w:r>
      <w:r w:rsidR="003E1B43" w:rsidRPr="00FA2355">
        <w:t>372</w:t>
      </w:r>
      <w:r w:rsidR="00F535BC" w:rsidRPr="00FD6A45">
        <w:rPr>
          <w:highlight w:val="yellow"/>
        </w:rPr>
        <w:fldChar w:fldCharType="end"/>
      </w:r>
      <w:r w:rsidR="00583239" w:rsidRPr="00FA2355">
        <w:t xml:space="preserve"> to </w:t>
      </w:r>
      <w:r w:rsidR="00F535BC" w:rsidRPr="00FD6A45">
        <w:rPr>
          <w:highlight w:val="yellow"/>
        </w:rPr>
        <w:fldChar w:fldCharType="begin"/>
      </w:r>
      <w:r w:rsidR="00F535BC" w:rsidRPr="00FA2355">
        <w:instrText xml:space="preserve"> REF _Ref378080360 \r \h </w:instrText>
      </w:r>
      <w:r w:rsidR="00E30D59">
        <w:rPr>
          <w:highlight w:val="yellow"/>
        </w:rPr>
        <w:instrText xml:space="preserve"> \* MERGEFORMAT </w:instrText>
      </w:r>
      <w:r w:rsidR="00F535BC" w:rsidRPr="00FD6A45">
        <w:rPr>
          <w:highlight w:val="yellow"/>
        </w:rPr>
      </w:r>
      <w:r w:rsidR="00F535BC" w:rsidRPr="00FD6A45">
        <w:rPr>
          <w:highlight w:val="yellow"/>
        </w:rPr>
        <w:fldChar w:fldCharType="separate"/>
      </w:r>
      <w:r w:rsidR="003E1B43" w:rsidRPr="00FA2355">
        <w:t>380</w:t>
      </w:r>
      <w:r w:rsidR="00F535BC" w:rsidRPr="00FD6A45">
        <w:rPr>
          <w:highlight w:val="yellow"/>
        </w:rPr>
        <w:fldChar w:fldCharType="end"/>
      </w:r>
      <w:r w:rsidRPr="00FA2355">
        <w:t>)</w:t>
      </w:r>
      <w:r w:rsidR="00242B00" w:rsidRPr="00FA2355">
        <w:t>; a</w:t>
      </w:r>
      <w:r w:rsidR="00242B00">
        <w:t>nd</w:t>
      </w:r>
    </w:p>
    <w:p w14:paraId="2851ED90" w14:textId="67C4AAA5" w:rsidR="00473017" w:rsidRPr="00FD274F" w:rsidRDefault="00473017" w:rsidP="00E00010">
      <w:pPr>
        <w:pStyle w:val="BodyPara"/>
      </w:pPr>
      <w:r w:rsidRPr="00FD274F">
        <w:lastRenderedPageBreak/>
        <w:t>consultation, regulatory impact and other process requirements are met (see </w:t>
      </w:r>
      <w:hyperlink w:anchor="Chapter7" w:history="1">
        <w:r w:rsidRPr="00FA2355">
          <w:rPr>
            <w:rStyle w:val="Hyperlink"/>
          </w:rPr>
          <w:t>Chapter 7</w:t>
        </w:r>
      </w:hyperlink>
      <w:r w:rsidR="00242B00" w:rsidRPr="00FA2355">
        <w:t>); a</w:t>
      </w:r>
      <w:r w:rsidR="00242B00">
        <w:t>nd</w:t>
      </w:r>
    </w:p>
    <w:p w14:paraId="6A13887F" w14:textId="10DE79AC" w:rsidR="008E6599" w:rsidRPr="00FD274F" w:rsidRDefault="00941E8D" w:rsidP="00473017">
      <w:pPr>
        <w:pStyle w:val="BodyPara"/>
      </w:pPr>
      <w:r w:rsidRPr="00FD274F">
        <w:t xml:space="preserve">the explanatory statement for the instrument meets current legislative and Parliamentary standards (see </w:t>
      </w:r>
      <w:hyperlink w:anchor="Chapter8" w:history="1">
        <w:r w:rsidRPr="00FA2355">
          <w:rPr>
            <w:rStyle w:val="Hyperlink"/>
          </w:rPr>
          <w:t xml:space="preserve">Chapter </w:t>
        </w:r>
        <w:r w:rsidR="00473017" w:rsidRPr="00FA2355">
          <w:rPr>
            <w:rStyle w:val="Hyperlink"/>
          </w:rPr>
          <w:t>8</w:t>
        </w:r>
      </w:hyperlink>
      <w:r w:rsidR="00473017" w:rsidRPr="00FA2355">
        <w:t>)</w:t>
      </w:r>
      <w:bookmarkEnd w:id="250"/>
      <w:r w:rsidR="00473017" w:rsidRPr="00FA2355">
        <w:t>.</w:t>
      </w:r>
    </w:p>
    <w:p w14:paraId="0A687284" w14:textId="77777777" w:rsidR="008E6599" w:rsidRPr="00FD274F" w:rsidRDefault="008E6599" w:rsidP="008E6599">
      <w:pPr>
        <w:pStyle w:val="Head4"/>
      </w:pPr>
      <w:bookmarkStart w:id="252" w:name="_Toc112918861"/>
      <w:r w:rsidRPr="00FD274F">
        <w:t>Drafting of replacement instruments</w:t>
      </w:r>
      <w:bookmarkEnd w:id="252"/>
    </w:p>
    <w:p w14:paraId="63FDE786" w14:textId="77777777" w:rsidR="008E6599" w:rsidRPr="00FD274F" w:rsidRDefault="008E6599" w:rsidP="008E6599">
      <w:pPr>
        <w:pStyle w:val="BodyNum"/>
      </w:pPr>
      <w:bookmarkStart w:id="253" w:name="_Ref472357689"/>
      <w:r w:rsidRPr="00FD274F">
        <w:t xml:space="preserve">If an agency intends to use </w:t>
      </w:r>
      <w:proofErr w:type="spellStart"/>
      <w:r w:rsidRPr="00FD274F">
        <w:t>OPC’s</w:t>
      </w:r>
      <w:proofErr w:type="spellEnd"/>
      <w:r w:rsidRPr="00FD274F">
        <w:t xml:space="preserve"> drafting services to draft a replacement for a particular instrument, </w:t>
      </w:r>
      <w:proofErr w:type="spellStart"/>
      <w:r w:rsidRPr="00FD274F">
        <w:t>OPC</w:t>
      </w:r>
      <w:proofErr w:type="spellEnd"/>
      <w:r w:rsidRPr="00FD274F">
        <w:t xml:space="preserve"> would appreciate early instructions that:</w:t>
      </w:r>
      <w:bookmarkEnd w:id="253"/>
    </w:p>
    <w:p w14:paraId="1EA7FB04" w14:textId="77777777" w:rsidR="008E6599" w:rsidRPr="00FD274F" w:rsidRDefault="008E6599" w:rsidP="008E6599">
      <w:pPr>
        <w:pStyle w:val="BodyPara"/>
      </w:pPr>
      <w:r w:rsidRPr="00FD274F">
        <w:t>outline the preferred timing, including whether an exposure draft is required to assist consultation; and</w:t>
      </w:r>
    </w:p>
    <w:p w14:paraId="2D557B2E" w14:textId="77777777" w:rsidR="008E6599" w:rsidRPr="00FD274F" w:rsidRDefault="008E6599" w:rsidP="008E6599">
      <w:pPr>
        <w:pStyle w:val="BodyPara"/>
      </w:pPr>
      <w:r w:rsidRPr="00FD274F">
        <w:t>deal with any policy or other changes that are needed (such as deleti</w:t>
      </w:r>
      <w:r w:rsidR="00242B00">
        <w:t>on of unwanted provisions); and</w:t>
      </w:r>
    </w:p>
    <w:p w14:paraId="43636C6D" w14:textId="77777777" w:rsidR="008E6599" w:rsidRPr="00FD274F" w:rsidRDefault="008E6599" w:rsidP="008E6599">
      <w:pPr>
        <w:pStyle w:val="BodyPara"/>
      </w:pPr>
      <w:r w:rsidRPr="00FD274F">
        <w:t>confirm that the rest of the instrument is to remain the same in substance—</w:t>
      </w:r>
      <w:proofErr w:type="spellStart"/>
      <w:r w:rsidRPr="00FD274F">
        <w:t>OPC</w:t>
      </w:r>
      <w:proofErr w:type="spellEnd"/>
      <w:r w:rsidRPr="00FD274F">
        <w:t xml:space="preserve"> will modernise it without detailed instructions, if and as needed, in consultation with the agency.</w:t>
      </w:r>
    </w:p>
    <w:p w14:paraId="58436DD5" w14:textId="77777777" w:rsidR="00247899" w:rsidRPr="00FD274F" w:rsidRDefault="00247899" w:rsidP="00247899">
      <w:pPr>
        <w:pStyle w:val="BodyNum"/>
        <w:spacing w:before="200"/>
      </w:pPr>
      <w:r w:rsidRPr="00FD274F">
        <w:t>Irrespective of who drafts it, a new instrument intended to replace a sunsetting instrument needs to contain the following to avoid confusion about what is intended and what is in force:</w:t>
      </w:r>
    </w:p>
    <w:p w14:paraId="2DD97539" w14:textId="77777777" w:rsidR="00247899" w:rsidRPr="00FD274F" w:rsidRDefault="00247899" w:rsidP="00247899">
      <w:pPr>
        <w:pStyle w:val="BodyPara"/>
      </w:pPr>
      <w:r w:rsidRPr="00FD274F">
        <w:t>a new, unique name (e.g. the</w:t>
      </w:r>
      <w:r w:rsidRPr="00FD274F">
        <w:rPr>
          <w:i/>
        </w:rPr>
        <w:t xml:space="preserve"> Widgets Determination 20</w:t>
      </w:r>
      <w:r w:rsidR="001C16FE">
        <w:rPr>
          <w:i/>
        </w:rPr>
        <w:t>2</w:t>
      </w:r>
      <w:r w:rsidRPr="00FD274F">
        <w:rPr>
          <w:i/>
        </w:rPr>
        <w:t>7</w:t>
      </w:r>
      <w:r w:rsidRPr="00FD274F">
        <w:t xml:space="preserve"> whe</w:t>
      </w:r>
      <w:r w:rsidR="00242B00">
        <w:t>re 20</w:t>
      </w:r>
      <w:r w:rsidR="001C16FE">
        <w:t>2</w:t>
      </w:r>
      <w:r w:rsidR="00242B00">
        <w:t>7 is the year of making);</w:t>
      </w:r>
    </w:p>
    <w:p w14:paraId="0A72D451" w14:textId="77777777" w:rsidR="00247899" w:rsidRPr="00FD274F" w:rsidRDefault="00247899" w:rsidP="00247899">
      <w:pPr>
        <w:pStyle w:val="BodyPara"/>
      </w:pPr>
      <w:r w:rsidRPr="00FD274F">
        <w:t>an express provision that states when the new instrument is to commence;</w:t>
      </w:r>
    </w:p>
    <w:p w14:paraId="7247DB46" w14:textId="77777777" w:rsidR="00247899" w:rsidRPr="00FD274F" w:rsidRDefault="00247899" w:rsidP="00247899">
      <w:pPr>
        <w:pStyle w:val="BodyPara"/>
      </w:pPr>
      <w:r w:rsidRPr="00FD274F">
        <w:t>an express provision that clearly identifies and repeals the sunsetting instrument or instruments (use of t</w:t>
      </w:r>
      <w:r w:rsidR="00242B00">
        <w:t>he word “repeal” is important);</w:t>
      </w:r>
    </w:p>
    <w:p w14:paraId="49B400F1" w14:textId="77777777" w:rsidR="00247899" w:rsidRPr="00FD274F" w:rsidRDefault="00247899" w:rsidP="00247899">
      <w:pPr>
        <w:pStyle w:val="BodyPara"/>
      </w:pPr>
      <w:r w:rsidRPr="00FD274F">
        <w:t>transitional provisions, if and as needed to transition things from being done under the sunsetting in</w:t>
      </w:r>
      <w:r w:rsidR="00242B00">
        <w:t>strument to the new instrument.</w:t>
      </w:r>
    </w:p>
    <w:p w14:paraId="199508C7" w14:textId="77777777" w:rsidR="00247899" w:rsidRPr="00FD274F" w:rsidRDefault="00247899" w:rsidP="00FF0B83">
      <w:pPr>
        <w:pStyle w:val="BodyNum"/>
        <w:keepLines/>
        <w:spacing w:before="200"/>
      </w:pPr>
      <w:r w:rsidRPr="00FD274F">
        <w:t>Other changes</w:t>
      </w:r>
      <w:r w:rsidR="00E00010" w:rsidRPr="00FD274F">
        <w:t xml:space="preserve"> </w:t>
      </w:r>
      <w:r w:rsidRPr="00FD274F">
        <w:t>may</w:t>
      </w:r>
      <w:r w:rsidR="00E00010" w:rsidRPr="00FD274F">
        <w:t xml:space="preserve"> also</w:t>
      </w:r>
      <w:r w:rsidRPr="00FD274F">
        <w:t xml:space="preserve"> be necessary</w:t>
      </w:r>
      <w:r w:rsidR="00473017" w:rsidRPr="00FD274F">
        <w:t xml:space="preserve"> to meet current drafting and publishing standards</w:t>
      </w:r>
      <w:r w:rsidRPr="00FD274F">
        <w:t xml:space="preserve">. </w:t>
      </w:r>
      <w:r w:rsidR="000D0C5E">
        <w:t>The person drafting the instrument</w:t>
      </w:r>
      <w:r w:rsidRPr="00FD274F">
        <w:t xml:space="preserve"> </w:t>
      </w:r>
      <w:r w:rsidR="005C76A8">
        <w:t xml:space="preserve">should </w:t>
      </w:r>
      <w:r w:rsidR="00E00010" w:rsidRPr="00FD274F">
        <w:t xml:space="preserve">check </w:t>
      </w:r>
      <w:r w:rsidR="000B73E8" w:rsidRPr="00FD274F">
        <w:t>that</w:t>
      </w:r>
      <w:r w:rsidR="00E00010" w:rsidRPr="00FD274F">
        <w:t xml:space="preserve"> each provision in the new instrument </w:t>
      </w:r>
      <w:r w:rsidRPr="00FD274F">
        <w:t xml:space="preserve">is supported by a </w:t>
      </w:r>
      <w:r w:rsidR="000B73E8" w:rsidRPr="00FD274F">
        <w:t xml:space="preserve">head of </w:t>
      </w:r>
      <w:r w:rsidRPr="00FD274F">
        <w:t>power in current law</w:t>
      </w:r>
      <w:r w:rsidR="000B73E8" w:rsidRPr="00FD274F">
        <w:t xml:space="preserve">, and </w:t>
      </w:r>
      <w:r w:rsidR="00594D1B" w:rsidRPr="00FD274F">
        <w:t xml:space="preserve">should </w:t>
      </w:r>
      <w:r w:rsidR="000B73E8" w:rsidRPr="00FD274F">
        <w:t xml:space="preserve">consider carefully </w:t>
      </w:r>
      <w:r w:rsidRPr="00FD274F">
        <w:t xml:space="preserve">any legal opinions that go to the effect or validity of </w:t>
      </w:r>
      <w:r w:rsidR="000B73E8" w:rsidRPr="00FD274F">
        <w:t xml:space="preserve">existing </w:t>
      </w:r>
      <w:r w:rsidRPr="00FD274F">
        <w:t>provisions</w:t>
      </w:r>
      <w:r w:rsidR="00594D1B" w:rsidRPr="00FD274F">
        <w:t>. C</w:t>
      </w:r>
      <w:r w:rsidR="000B73E8" w:rsidRPr="00FD274F">
        <w:t xml:space="preserve">are is </w:t>
      </w:r>
      <w:r w:rsidR="00594D1B" w:rsidRPr="00FD274F">
        <w:t xml:space="preserve">also </w:t>
      </w:r>
      <w:r w:rsidRPr="00FD274F">
        <w:t>needed if a sunsetting instrument:</w:t>
      </w:r>
    </w:p>
    <w:p w14:paraId="057E6B00" w14:textId="77777777" w:rsidR="00247899" w:rsidRPr="00FD274F" w:rsidRDefault="00247899" w:rsidP="00247899">
      <w:pPr>
        <w:pStyle w:val="BodyPara"/>
      </w:pPr>
      <w:r w:rsidRPr="00FD274F">
        <w:t>has enabled the making of another instrument that is still in force; or</w:t>
      </w:r>
    </w:p>
    <w:p w14:paraId="5DDB9506" w14:textId="77777777" w:rsidR="00247899" w:rsidRPr="00FD274F" w:rsidRDefault="00247899" w:rsidP="00247899">
      <w:pPr>
        <w:pStyle w:val="BodyPara"/>
      </w:pPr>
      <w:r w:rsidRPr="00FD274F">
        <w:t xml:space="preserve">incorporates documents other than </w:t>
      </w:r>
      <w:r w:rsidR="005778A9" w:rsidRPr="00FD274F">
        <w:t xml:space="preserve">Commonwealth </w:t>
      </w:r>
      <w:r w:rsidRPr="00FD274F">
        <w:t>Acts</w:t>
      </w:r>
      <w:r w:rsidR="005778A9" w:rsidRPr="00FD274F">
        <w:t xml:space="preserve"> or </w:t>
      </w:r>
      <w:r w:rsidR="00A6753B" w:rsidRPr="00FD274F">
        <w:t xml:space="preserve">disallowable legislative </w:t>
      </w:r>
      <w:r w:rsidR="00242B00">
        <w:t>instruments by reference; or</w:t>
      </w:r>
    </w:p>
    <w:p w14:paraId="4BF0DF98" w14:textId="77777777" w:rsidR="00247899" w:rsidRPr="00FD274F" w:rsidRDefault="00247899" w:rsidP="00247899">
      <w:pPr>
        <w:pStyle w:val="BodyPara"/>
      </w:pPr>
      <w:r w:rsidRPr="00FD274F">
        <w:t>is cited in other l</w:t>
      </w:r>
      <w:r w:rsidR="00242B00">
        <w:t>egislation that is in force; or</w:t>
      </w:r>
    </w:p>
    <w:p w14:paraId="72BEB0F1" w14:textId="77777777" w:rsidR="00247899" w:rsidRPr="00FD274F" w:rsidRDefault="00247899" w:rsidP="00247899">
      <w:pPr>
        <w:pStyle w:val="BodyPara"/>
      </w:pPr>
      <w:r w:rsidRPr="00FD274F">
        <w:t xml:space="preserve">deals with </w:t>
      </w:r>
      <w:r w:rsidR="00A6753B" w:rsidRPr="00FD274F">
        <w:t xml:space="preserve">a </w:t>
      </w:r>
      <w:r w:rsidRPr="00FD274F">
        <w:t>criminal offence</w:t>
      </w:r>
      <w:r w:rsidR="00A6753B" w:rsidRPr="00FD274F">
        <w:t>, civil penalty or related enforcement issue</w:t>
      </w:r>
      <w:r w:rsidRPr="00FD274F">
        <w:t>; or</w:t>
      </w:r>
    </w:p>
    <w:p w14:paraId="18970EE1" w14:textId="77777777" w:rsidR="008E6599" w:rsidRPr="00FD274F" w:rsidRDefault="00247899" w:rsidP="008E6599">
      <w:pPr>
        <w:pStyle w:val="BodyPara"/>
      </w:pPr>
      <w:r w:rsidRPr="00FD274F">
        <w:t>contains gender</w:t>
      </w:r>
      <w:r w:rsidR="009C4251">
        <w:noBreakHyphen/>
      </w:r>
      <w:r w:rsidRPr="00FD274F">
        <w:t>specific language.</w:t>
      </w:r>
    </w:p>
    <w:p w14:paraId="762294FE" w14:textId="297714A2" w:rsidR="00473017" w:rsidRPr="00FD274F" w:rsidRDefault="00473017" w:rsidP="00473017">
      <w:pPr>
        <w:pStyle w:val="BodyNum"/>
      </w:pPr>
      <w:r w:rsidRPr="00FD274F">
        <w:lastRenderedPageBreak/>
        <w:t>Further information on drafting issues is provided i</w:t>
      </w:r>
      <w:r w:rsidRPr="007869D8">
        <w:t xml:space="preserve">n </w:t>
      </w:r>
      <w:hyperlink w:anchor="Chapter3" w:history="1">
        <w:r w:rsidRPr="007869D8">
          <w:rPr>
            <w:rStyle w:val="Hyperlink"/>
          </w:rPr>
          <w:t>Chapter 3</w:t>
        </w:r>
      </w:hyperlink>
      <w:r w:rsidRPr="00FD274F">
        <w:t>.</w:t>
      </w:r>
    </w:p>
    <w:p w14:paraId="27BACA83" w14:textId="77777777" w:rsidR="00727ED5" w:rsidRPr="00FD274F" w:rsidRDefault="00247899" w:rsidP="004855B6">
      <w:pPr>
        <w:pStyle w:val="Head4"/>
      </w:pPr>
      <w:bookmarkStart w:id="254" w:name="_Toc112918862"/>
      <w:r w:rsidRPr="00FD274F">
        <w:t xml:space="preserve">Scope to </w:t>
      </w:r>
      <w:r w:rsidR="001E06CE">
        <w:t>remake</w:t>
      </w:r>
      <w:r w:rsidRPr="00FD274F">
        <w:t xml:space="preserve"> </w:t>
      </w:r>
      <w:r w:rsidR="00727ED5" w:rsidRPr="00FD274F">
        <w:t xml:space="preserve">instruments </w:t>
      </w:r>
      <w:r w:rsidR="0075000D" w:rsidRPr="00FD274F">
        <w:t xml:space="preserve">in bulk </w:t>
      </w:r>
      <w:r w:rsidR="00727ED5" w:rsidRPr="00FD274F">
        <w:t>by reference</w:t>
      </w:r>
      <w:bookmarkEnd w:id="254"/>
    </w:p>
    <w:p w14:paraId="43F7CF58" w14:textId="77777777" w:rsidR="00727ED5" w:rsidRPr="00FD274F" w:rsidRDefault="00727ED5" w:rsidP="0008193D">
      <w:pPr>
        <w:pStyle w:val="BodyNum"/>
      </w:pPr>
      <w:r w:rsidRPr="00FD274F">
        <w:t xml:space="preserve">It may be possible to remake instruments by reference, that is, without spelling out the full text of each replacement instrument. However, </w:t>
      </w:r>
      <w:r w:rsidR="00DB6026">
        <w:t xml:space="preserve">there is no known precedent for this and </w:t>
      </w:r>
      <w:r w:rsidRPr="00FD274F">
        <w:t>this approach has significant legal and practical limitations. It is only likely to be appropriate if the instruments to be remade:</w:t>
      </w:r>
    </w:p>
    <w:p w14:paraId="14DA2EF3" w14:textId="77777777" w:rsidR="00727ED5" w:rsidRPr="00FD274F" w:rsidRDefault="00727ED5" w:rsidP="0008193D">
      <w:pPr>
        <w:pStyle w:val="BodyPara"/>
      </w:pPr>
      <w:r w:rsidRPr="00FD274F">
        <w:t>are not likely to be of interest to the Parliament (e.g. because of their technical content);</w:t>
      </w:r>
      <w:r w:rsidR="00BF3C6A" w:rsidRPr="00FD274F">
        <w:t xml:space="preserve"> and</w:t>
      </w:r>
    </w:p>
    <w:p w14:paraId="1147DACD" w14:textId="77777777" w:rsidR="00727ED5" w:rsidRPr="00FD274F" w:rsidRDefault="00727ED5" w:rsidP="0008193D">
      <w:pPr>
        <w:pStyle w:val="BodyPara"/>
      </w:pPr>
      <w:r w:rsidRPr="00FD274F">
        <w:t xml:space="preserve">are available on </w:t>
      </w:r>
      <w:r w:rsidR="000D63D1" w:rsidRPr="00FD274F">
        <w:t>the Register</w:t>
      </w:r>
      <w:r w:rsidRPr="00FD274F">
        <w:t xml:space="preserve"> “as amended” without a</w:t>
      </w:r>
      <w:r w:rsidR="00242B00">
        <w:t>ny misdescribed amendments; and</w:t>
      </w:r>
    </w:p>
    <w:p w14:paraId="0CA198A2" w14:textId="77777777" w:rsidR="00727ED5" w:rsidRPr="00FD274F" w:rsidRDefault="00727ED5" w:rsidP="0008193D">
      <w:pPr>
        <w:pStyle w:val="BodyPara"/>
      </w:pPr>
      <w:r w:rsidRPr="00FD274F">
        <w:t>do not need to be amended substantially as part of the remaking processes.</w:t>
      </w:r>
    </w:p>
    <w:p w14:paraId="2E692E22" w14:textId="77777777" w:rsidR="00727ED5" w:rsidRPr="00FD274F" w:rsidRDefault="00727ED5" w:rsidP="0008193D">
      <w:pPr>
        <w:pStyle w:val="BodyNum"/>
      </w:pPr>
      <w:r w:rsidRPr="00FD274F">
        <w:t>It should be noted that it is generally not possible for a single rule</w:t>
      </w:r>
      <w:r w:rsidR="009C4251">
        <w:noBreakHyphen/>
      </w:r>
      <w:r w:rsidRPr="00FD274F">
        <w:t>maker such as a Minister to make a single instrument that remakes every instrument in a portfolio. In the absence of statutory authority, a Minister cannot, for example:</w:t>
      </w:r>
    </w:p>
    <w:p w14:paraId="141B996F" w14:textId="77777777" w:rsidR="00727ED5" w:rsidRPr="00FD274F" w:rsidRDefault="00727ED5" w:rsidP="0008193D">
      <w:pPr>
        <w:pStyle w:val="BodyPara"/>
      </w:pPr>
      <w:r w:rsidRPr="00FD274F">
        <w:t>amend, repeal, or repeal and re</w:t>
      </w:r>
      <w:r w:rsidR="001E06CE">
        <w:t>place</w:t>
      </w:r>
      <w:r w:rsidRPr="00FD274F">
        <w:t>, a regulation or other instrument made by the Governor</w:t>
      </w:r>
      <w:r w:rsidR="009C4251">
        <w:noBreakHyphen/>
      </w:r>
      <w:r w:rsidRPr="00FD274F">
        <w:t>General or other rule</w:t>
      </w:r>
      <w:r w:rsidR="009C4251">
        <w:noBreakHyphen/>
      </w:r>
      <w:r w:rsidRPr="00FD274F">
        <w:t xml:space="preserve">maker; </w:t>
      </w:r>
      <w:r w:rsidR="00EA22D2" w:rsidRPr="00FD274F">
        <w:t>or</w:t>
      </w:r>
    </w:p>
    <w:p w14:paraId="01D9EAF4" w14:textId="77777777" w:rsidR="00727ED5" w:rsidRPr="00FD274F" w:rsidRDefault="00727ED5" w:rsidP="0008193D">
      <w:pPr>
        <w:pStyle w:val="BodyPara"/>
      </w:pPr>
      <w:r w:rsidRPr="00FD274F">
        <w:t>repeal and re</w:t>
      </w:r>
      <w:r w:rsidR="001E06CE">
        <w:t>place</w:t>
      </w:r>
      <w:r w:rsidRPr="00FD274F">
        <w:t xml:space="preserve"> one type of instrument (such as a guideline) using another type of instrument (such as a determination).</w:t>
      </w:r>
    </w:p>
    <w:p w14:paraId="20174BE3" w14:textId="77777777" w:rsidR="00727ED5" w:rsidRPr="00FD274F" w:rsidRDefault="00727ED5" w:rsidP="0008193D">
      <w:pPr>
        <w:pStyle w:val="BodyNum"/>
      </w:pPr>
      <w:r w:rsidRPr="00FD274F">
        <w:t>Even with instruments of the same type, separate re</w:t>
      </w:r>
      <w:r w:rsidR="001E06CE">
        <w:t>placement</w:t>
      </w:r>
      <w:r w:rsidRPr="00FD274F">
        <w:t xml:space="preserve"> instruments may be required for disallowable and non</w:t>
      </w:r>
      <w:r w:rsidR="009C4251">
        <w:noBreakHyphen/>
      </w:r>
      <w:r w:rsidRPr="00FD274F">
        <w:t>disallowable instruments to avoid making non</w:t>
      </w:r>
      <w:r w:rsidR="009C4251">
        <w:noBreakHyphen/>
      </w:r>
      <w:r w:rsidR="00097ECE" w:rsidRPr="00FD274F">
        <w:t>disallowable</w:t>
      </w:r>
      <w:r w:rsidRPr="00FD274F">
        <w:t xml:space="preserve"> instr</w:t>
      </w:r>
      <w:r w:rsidR="00242B00">
        <w:t>uments subject to disallowance.</w:t>
      </w:r>
    </w:p>
    <w:p w14:paraId="38C7149E" w14:textId="77777777" w:rsidR="00727ED5" w:rsidRPr="00FD274F" w:rsidRDefault="00727ED5" w:rsidP="00FF0B83">
      <w:pPr>
        <w:pStyle w:val="BodyNum"/>
        <w:keepLines/>
      </w:pPr>
      <w:r w:rsidRPr="00FD274F">
        <w:t>Although it may be possible to remake instruments by reference with very minor changes, expert drafting will be required to minimise the risk of unintended consequences if anything more substantial is proposed. This may be particularly important if, for example, the instrument to be remade:</w:t>
      </w:r>
    </w:p>
    <w:p w14:paraId="486EB103" w14:textId="77777777" w:rsidR="00727ED5" w:rsidRPr="00FD274F" w:rsidRDefault="00727ED5" w:rsidP="0008193D">
      <w:pPr>
        <w:pStyle w:val="BodyPara"/>
      </w:pPr>
      <w:r w:rsidRPr="00FD274F">
        <w:t>contains saving or transitional provisions; or</w:t>
      </w:r>
    </w:p>
    <w:p w14:paraId="5989A218" w14:textId="77777777" w:rsidR="00727ED5" w:rsidRPr="00FD274F" w:rsidRDefault="00727ED5" w:rsidP="0008193D">
      <w:pPr>
        <w:pStyle w:val="BodyPara"/>
      </w:pPr>
      <w:r w:rsidRPr="00FD274F">
        <w:t>has been amended but no up</w:t>
      </w:r>
      <w:r w:rsidR="009C4251">
        <w:noBreakHyphen/>
      </w:r>
      <w:r w:rsidRPr="00FD274F">
        <w:t>to</w:t>
      </w:r>
      <w:r w:rsidR="009C4251">
        <w:noBreakHyphen/>
      </w:r>
      <w:r w:rsidRPr="00FD274F">
        <w:t xml:space="preserve">date compilation has been registered </w:t>
      </w:r>
      <w:r w:rsidR="00242B00">
        <w:t>showing the text as amended; or</w:t>
      </w:r>
    </w:p>
    <w:p w14:paraId="101C630A" w14:textId="77777777" w:rsidR="00727ED5" w:rsidRPr="00FD274F" w:rsidRDefault="00727ED5" w:rsidP="0008193D">
      <w:pPr>
        <w:pStyle w:val="BodyPara"/>
      </w:pPr>
      <w:r w:rsidRPr="00FD274F">
        <w:t>needs to be amended retrospectively, with changes applied to the instrument before its date of remaking.</w:t>
      </w:r>
    </w:p>
    <w:p w14:paraId="2C1034D3" w14:textId="77777777" w:rsidR="00727ED5" w:rsidRPr="00FD274F" w:rsidRDefault="00727ED5" w:rsidP="0008193D">
      <w:pPr>
        <w:pStyle w:val="BodyNum"/>
      </w:pPr>
      <w:bookmarkStart w:id="255" w:name="_Ref378080360"/>
      <w:r w:rsidRPr="00FD274F">
        <w:t>Each re</w:t>
      </w:r>
      <w:r w:rsidR="00E51F3B">
        <w:t>placement</w:t>
      </w:r>
      <w:r w:rsidRPr="00FD274F">
        <w:t xml:space="preserve"> instrument must be registered before the relevant sunset date with an explanatory statement that meets all of the requirements for explanatory statements. In addition, a compilation of </w:t>
      </w:r>
      <w:r w:rsidR="00E51F3B">
        <w:t>any</w:t>
      </w:r>
      <w:r w:rsidRPr="00FD274F">
        <w:t xml:space="preserve"> instrument that has been amended </w:t>
      </w:r>
      <w:r w:rsidR="00E51F3B">
        <w:t xml:space="preserve">by the replacement instrument </w:t>
      </w:r>
      <w:r w:rsidRPr="00FD274F">
        <w:t>will also need t</w:t>
      </w:r>
      <w:r w:rsidR="000D63D1" w:rsidRPr="00FD274F">
        <w:t>o be prepared and registered</w:t>
      </w:r>
      <w:r w:rsidRPr="00FD274F">
        <w:t xml:space="preserve"> as soon as practicable after the instrument is remade.</w:t>
      </w:r>
      <w:bookmarkEnd w:id="255"/>
    </w:p>
    <w:p w14:paraId="04C7535B" w14:textId="77777777" w:rsidR="00727ED5" w:rsidRPr="00FD274F" w:rsidRDefault="00727ED5" w:rsidP="004855B6">
      <w:pPr>
        <w:pStyle w:val="Head3"/>
      </w:pPr>
      <w:bookmarkStart w:id="256" w:name="_Toc112918863"/>
      <w:r w:rsidRPr="00FD274F">
        <w:lastRenderedPageBreak/>
        <w:t xml:space="preserve">If an instrument cannot be </w:t>
      </w:r>
      <w:r w:rsidR="00E51F3B">
        <w:t>replaced</w:t>
      </w:r>
      <w:r w:rsidRPr="00FD274F">
        <w:t xml:space="preserve"> before it sunsets</w:t>
      </w:r>
      <w:bookmarkEnd w:id="256"/>
    </w:p>
    <w:p w14:paraId="6DD56F38" w14:textId="77777777" w:rsidR="00727ED5" w:rsidRPr="00FD274F" w:rsidRDefault="00727ED5" w:rsidP="0008193D">
      <w:pPr>
        <w:pStyle w:val="BodyNum"/>
      </w:pPr>
      <w:r w:rsidRPr="00FD274F">
        <w:t>If an instrument cannot be re</w:t>
      </w:r>
      <w:r w:rsidR="00E51F3B">
        <w:t>placed</w:t>
      </w:r>
      <w:r w:rsidRPr="00FD274F">
        <w:t xml:space="preserve"> before it sunsets, there are only </w:t>
      </w:r>
      <w:r w:rsidR="00FC7415" w:rsidRPr="00FD274F">
        <w:t>three</w:t>
      </w:r>
      <w:r w:rsidRPr="00FD274F">
        <w:t xml:space="preserve"> options for ensuring or restoring continuity of the law.</w:t>
      </w:r>
    </w:p>
    <w:p w14:paraId="3018BB25" w14:textId="585F5C73" w:rsidR="00727ED5" w:rsidRPr="00FD274F" w:rsidRDefault="00727ED5" w:rsidP="0008193D">
      <w:pPr>
        <w:pStyle w:val="BodyNum"/>
      </w:pPr>
      <w:r w:rsidRPr="00FD274F">
        <w:t>First, if an urgent and unavoidable issue emerges before the sunset date that prevents an instrument being remade, it may be possible to obtain a 6</w:t>
      </w:r>
      <w:r w:rsidR="00D42B45">
        <w:t>, 12</w:t>
      </w:r>
      <w:r w:rsidR="00242B00">
        <w:t>,</w:t>
      </w:r>
      <w:r w:rsidR="00D42B45">
        <w:t xml:space="preserve"> 18 or 24</w:t>
      </w:r>
      <w:r w:rsidRPr="00FD274F">
        <w:t xml:space="preserve"> month deferral of its sunset date by </w:t>
      </w:r>
      <w:r w:rsidR="00E51F3B">
        <w:t xml:space="preserve">the issuing of </w:t>
      </w:r>
      <w:r w:rsidRPr="00FD274F">
        <w:t>an Attorney</w:t>
      </w:r>
      <w:r w:rsidR="009C4251">
        <w:noBreakHyphen/>
      </w:r>
      <w:r w:rsidRPr="00FD274F">
        <w:t xml:space="preserve">General’s certificate under </w:t>
      </w:r>
      <w:r w:rsidRPr="00DD1ADC">
        <w:t xml:space="preserve">section 51 of the </w:t>
      </w:r>
      <w:hyperlink r:id="rId633" w:history="1">
        <w:hyperlink r:id="rId634" w:history="1">
          <w:hyperlink r:id="rId635" w:history="1">
            <w:r w:rsidR="004F5980" w:rsidRPr="00DD1ADC">
              <w:rPr>
                <w:rStyle w:val="Hyperlink"/>
              </w:rPr>
              <w:t>LA</w:t>
            </w:r>
          </w:hyperlink>
        </w:hyperlink>
      </w:hyperlink>
      <w:r w:rsidRPr="00DD1ADC">
        <w:t>.</w:t>
      </w:r>
      <w:r w:rsidRPr="00FD274F">
        <w:t xml:space="preserve"> For further guidance on section 51 certifica</w:t>
      </w:r>
      <w:r w:rsidRPr="007869D8">
        <w:t xml:space="preserve">tes, see paragraph </w:t>
      </w:r>
      <w:r w:rsidR="009B5BC0" w:rsidRPr="00FD6A45">
        <w:rPr>
          <w:highlight w:val="yellow"/>
        </w:rPr>
        <w:fldChar w:fldCharType="begin"/>
      </w:r>
      <w:r w:rsidR="009B5BC0" w:rsidRPr="007869D8">
        <w:instrText xml:space="preserve"> REF _Ref367446626 \r \h </w:instrText>
      </w:r>
      <w:r w:rsidR="00E30D59">
        <w:rPr>
          <w:highlight w:val="yellow"/>
        </w:rPr>
        <w:instrText xml:space="preserve"> \* MERGEFORMAT </w:instrText>
      </w:r>
      <w:r w:rsidR="009B5BC0" w:rsidRPr="00FD6A45">
        <w:rPr>
          <w:highlight w:val="yellow"/>
        </w:rPr>
      </w:r>
      <w:r w:rsidR="009B5BC0" w:rsidRPr="00FD6A45">
        <w:rPr>
          <w:highlight w:val="yellow"/>
        </w:rPr>
        <w:fldChar w:fldCharType="separate"/>
      </w:r>
      <w:r w:rsidR="003E1B43" w:rsidRPr="007869D8">
        <w:t>357</w:t>
      </w:r>
      <w:r w:rsidR="009B5BC0" w:rsidRPr="00FD6A45">
        <w:rPr>
          <w:highlight w:val="yellow"/>
        </w:rPr>
        <w:fldChar w:fldCharType="end"/>
      </w:r>
      <w:r w:rsidR="00242B00" w:rsidRPr="007869D8">
        <w:t>.</w:t>
      </w:r>
    </w:p>
    <w:p w14:paraId="3FD04166" w14:textId="2FBAA96C" w:rsidR="000C6BC2" w:rsidRPr="00FD274F" w:rsidRDefault="00727ED5" w:rsidP="000C6BC2">
      <w:pPr>
        <w:pStyle w:val="BodyNum"/>
      </w:pPr>
      <w:r w:rsidRPr="00FD274F">
        <w:t xml:space="preserve">Second, if the original instrument has </w:t>
      </w:r>
      <w:proofErr w:type="spellStart"/>
      <w:r w:rsidRPr="00FD274F">
        <w:t>sunsetted</w:t>
      </w:r>
      <w:proofErr w:type="spellEnd"/>
      <w:r w:rsidRPr="00FD274F">
        <w:t xml:space="preserve">, </w:t>
      </w:r>
      <w:r w:rsidR="00510F78" w:rsidRPr="00FD274F">
        <w:t xml:space="preserve">a </w:t>
      </w:r>
      <w:r w:rsidRPr="00FD274F">
        <w:t xml:space="preserve">replacement instrument should be </w:t>
      </w:r>
      <w:r w:rsidR="00510F78" w:rsidRPr="00FD274F">
        <w:t>made as soon as practicable. It might be possible to backdate the commencement to the relevant sunset date</w:t>
      </w:r>
      <w:r w:rsidR="00510F78" w:rsidRPr="007869D8">
        <w:t>, bu</w:t>
      </w:r>
      <w:r w:rsidR="00510F78" w:rsidRPr="00FD274F">
        <w:t xml:space="preserve">t please seek legal advice before attempting </w:t>
      </w:r>
      <w:r w:rsidR="00316167">
        <w:t xml:space="preserve">to commence </w:t>
      </w:r>
      <w:r w:rsidR="00E51F3B">
        <w:t xml:space="preserve">or apply </w:t>
      </w:r>
      <w:r w:rsidR="00316167">
        <w:t>an instrument retrospectively</w:t>
      </w:r>
      <w:r w:rsidR="007869D8" w:rsidRPr="00FD274F">
        <w:t xml:space="preserve"> </w:t>
      </w:r>
      <w:r w:rsidR="007869D8" w:rsidRPr="007869D8">
        <w:t xml:space="preserve">(see paragraph </w:t>
      </w:r>
      <w:r w:rsidR="009735CD">
        <w:fldChar w:fldCharType="begin"/>
      </w:r>
      <w:r w:rsidR="009735CD">
        <w:instrText xml:space="preserve"> REF _Ref112862478 \r \h </w:instrText>
      </w:r>
      <w:r w:rsidR="009735CD">
        <w:fldChar w:fldCharType="separate"/>
      </w:r>
      <w:r w:rsidR="009735CD">
        <w:t>72</w:t>
      </w:r>
      <w:r w:rsidR="009735CD">
        <w:fldChar w:fldCharType="end"/>
      </w:r>
      <w:r w:rsidR="007869D8" w:rsidRPr="007869D8">
        <w:t>)</w:t>
      </w:r>
      <w:r w:rsidR="000C6BC2" w:rsidRPr="00FD274F">
        <w:t xml:space="preserve">. Note also </w:t>
      </w:r>
      <w:r w:rsidR="00510F78" w:rsidRPr="00FD274F">
        <w:t>that</w:t>
      </w:r>
      <w:r w:rsidR="000C6BC2" w:rsidRPr="00FD274F">
        <w:t xml:space="preserve"> </w:t>
      </w:r>
      <w:r w:rsidR="00510F78" w:rsidRPr="00FD274F">
        <w:t xml:space="preserve">retrospectivity </w:t>
      </w:r>
      <w:r w:rsidRPr="00FD274F">
        <w:t xml:space="preserve">may attract adverse comment from bodies </w:t>
      </w:r>
      <w:r w:rsidR="00097ECE" w:rsidRPr="00FD274F">
        <w:t>such as</w:t>
      </w:r>
      <w:r w:rsidRPr="00FD274F">
        <w:t xml:space="preserve"> </w:t>
      </w:r>
      <w:r w:rsidR="00E029C7">
        <w:t xml:space="preserve">the </w:t>
      </w:r>
      <w:r w:rsidR="00805ED3">
        <w:t>SDLC</w:t>
      </w:r>
      <w:r w:rsidR="000C6BC2" w:rsidRPr="00FD274F">
        <w:rPr>
          <w:color w:val="000000" w:themeColor="text1"/>
        </w:rPr>
        <w:t>).</w:t>
      </w:r>
    </w:p>
    <w:p w14:paraId="3369C06B" w14:textId="77777777" w:rsidR="00727ED5" w:rsidRPr="00FD274F" w:rsidRDefault="00727ED5" w:rsidP="0008193D">
      <w:pPr>
        <w:pStyle w:val="BodyNum"/>
      </w:pPr>
      <w:r w:rsidRPr="00FD274F">
        <w:t xml:space="preserve">Finally, if a replacement instrument cannot be made retrospectively, an Act of the Parliament </w:t>
      </w:r>
      <w:r w:rsidR="001861AE" w:rsidRPr="00FD274F">
        <w:t>may be required to remedy the situation</w:t>
      </w:r>
      <w:r w:rsidRPr="00FD274F">
        <w:t>. However, this should only be considered if all other op</w:t>
      </w:r>
      <w:r w:rsidRPr="00FD274F">
        <w:rPr>
          <w:color w:val="000000" w:themeColor="text1"/>
        </w:rPr>
        <w:t>tions have been exhausted. For more information on what is involved, see the Legislation Handbook</w:t>
      </w:r>
      <w:r w:rsidR="004F138B" w:rsidRPr="00FD274F">
        <w:rPr>
          <w:rStyle w:val="FootnoteReference"/>
          <w:color w:val="000000" w:themeColor="text1"/>
        </w:rPr>
        <w:footnoteReference w:id="45"/>
      </w:r>
      <w:r w:rsidR="00FC7415" w:rsidRPr="00FD274F">
        <w:rPr>
          <w:color w:val="000000" w:themeColor="text1"/>
        </w:rPr>
        <w:t>.</w:t>
      </w:r>
    </w:p>
    <w:p w14:paraId="7B07A4F4" w14:textId="7C533FBE" w:rsidR="00727ED5" w:rsidRPr="00FD274F" w:rsidRDefault="00727ED5" w:rsidP="00BC647B">
      <w:pPr>
        <w:pStyle w:val="BodyNum"/>
      </w:pPr>
      <w:r w:rsidRPr="00FD274F">
        <w:t xml:space="preserve">For assistance with any of these options, please contact </w:t>
      </w:r>
      <w:proofErr w:type="spellStart"/>
      <w:r w:rsidRPr="00DD1ADC">
        <w:t>OPC</w:t>
      </w:r>
      <w:proofErr w:type="spellEnd"/>
      <w:r w:rsidR="00F068FE" w:rsidRPr="00DD1ADC">
        <w:t xml:space="preserve"> </w:t>
      </w:r>
      <w:r w:rsidR="000A7624" w:rsidRPr="00DD1ADC">
        <w:t xml:space="preserve">by email </w:t>
      </w:r>
      <w:r w:rsidR="00D72C8E" w:rsidRPr="00DD1ADC">
        <w:t xml:space="preserve">at </w:t>
      </w:r>
      <w:hyperlink r:id="rId636" w:history="1">
        <w:r w:rsidRPr="00DD1ADC">
          <w:rPr>
            <w:rStyle w:val="Hyperlink"/>
          </w:rPr>
          <w:t>instrument.instructions@opc.gov.au</w:t>
        </w:r>
      </w:hyperlink>
      <w:r w:rsidR="00810525" w:rsidRPr="00DD1ADC">
        <w:t xml:space="preserve"> o</w:t>
      </w:r>
      <w:r w:rsidR="00810525" w:rsidRPr="00FD274F">
        <w:t xml:space="preserve">r contact </w:t>
      </w:r>
      <w:proofErr w:type="spellStart"/>
      <w:r w:rsidR="001C16FE">
        <w:t>OPC’</w:t>
      </w:r>
      <w:r w:rsidR="001C16FE" w:rsidRPr="00DD1ADC">
        <w:t>s</w:t>
      </w:r>
      <w:proofErr w:type="spellEnd"/>
      <w:r w:rsidR="001C16FE" w:rsidRPr="00DD1ADC">
        <w:t xml:space="preserve"> </w:t>
      </w:r>
      <w:r w:rsidR="00810525" w:rsidRPr="00DD1ADC">
        <w:t>.</w:t>
      </w:r>
    </w:p>
    <w:p w14:paraId="6F502DE8" w14:textId="77777777" w:rsidR="00553A4A" w:rsidRDefault="00727ED5" w:rsidP="00553A4A">
      <w:pPr>
        <w:pStyle w:val="Head2"/>
      </w:pPr>
      <w:r w:rsidRPr="00FD274F">
        <w:br w:type="page"/>
      </w:r>
      <w:bookmarkStart w:id="257" w:name="_Toc112918864"/>
      <w:r w:rsidR="00553A4A">
        <w:lastRenderedPageBreak/>
        <w:t>Appendix A—Sunsetting Checklist</w:t>
      </w:r>
      <w:bookmarkEnd w:id="257"/>
    </w:p>
    <w:p w14:paraId="71FE147D" w14:textId="77777777" w:rsidR="00553A4A" w:rsidRPr="00D67E97" w:rsidRDefault="00553A4A" w:rsidP="00E72291">
      <w:pPr>
        <w:pStyle w:val="BodyNum"/>
        <w:numPr>
          <w:ilvl w:val="0"/>
          <w:numId w:val="6"/>
        </w:numPr>
        <w:ind w:left="709" w:hanging="709"/>
        <w:rPr>
          <w:sz w:val="28"/>
          <w:szCs w:val="26"/>
        </w:rPr>
      </w:pPr>
      <w:r w:rsidRPr="00D67E97">
        <w:rPr>
          <w:sz w:val="28"/>
          <w:szCs w:val="26"/>
        </w:rPr>
        <w:t>Does the instrument pass the fit</w:t>
      </w:r>
      <w:r w:rsidR="009C4251">
        <w:rPr>
          <w:sz w:val="28"/>
          <w:szCs w:val="26"/>
        </w:rPr>
        <w:noBreakHyphen/>
      </w:r>
      <w:r w:rsidRPr="00D67E97">
        <w:rPr>
          <w:sz w:val="28"/>
          <w:szCs w:val="26"/>
        </w:rPr>
        <w:t>for</w:t>
      </w:r>
      <w:r w:rsidR="009C4251">
        <w:rPr>
          <w:sz w:val="28"/>
          <w:szCs w:val="26"/>
        </w:rPr>
        <w:noBreakHyphen/>
      </w:r>
      <w:r w:rsidRPr="00D67E97">
        <w:rPr>
          <w:sz w:val="28"/>
          <w:szCs w:val="26"/>
        </w:rPr>
        <w:t>purpose test (see the AGD Guide to Managing Sunsetting of Legislative Instruments)?</w:t>
      </w:r>
    </w:p>
    <w:p w14:paraId="3B64FF50" w14:textId="77777777" w:rsidR="00553A4A" w:rsidRPr="00D67E97" w:rsidRDefault="00553A4A" w:rsidP="00E72291">
      <w:pPr>
        <w:pStyle w:val="BodyNum"/>
        <w:numPr>
          <w:ilvl w:val="0"/>
          <w:numId w:val="6"/>
        </w:numPr>
        <w:ind w:left="709" w:hanging="709"/>
        <w:rPr>
          <w:sz w:val="28"/>
          <w:szCs w:val="26"/>
        </w:rPr>
      </w:pPr>
      <w:r w:rsidRPr="00D67E97">
        <w:rPr>
          <w:sz w:val="28"/>
          <w:szCs w:val="26"/>
        </w:rPr>
        <w:t>Is the policy of each provision still necessary and appropriate?</w:t>
      </w:r>
    </w:p>
    <w:p w14:paraId="2CA37C4D" w14:textId="77777777" w:rsidR="00553A4A" w:rsidRPr="002940F0" w:rsidRDefault="00553A4A" w:rsidP="00E72291">
      <w:pPr>
        <w:pStyle w:val="BodyNum"/>
        <w:numPr>
          <w:ilvl w:val="0"/>
          <w:numId w:val="6"/>
        </w:numPr>
        <w:ind w:left="709" w:hanging="709"/>
        <w:rPr>
          <w:sz w:val="26"/>
          <w:szCs w:val="26"/>
        </w:rPr>
      </w:pPr>
      <w:r w:rsidRPr="00D67E97">
        <w:rPr>
          <w:sz w:val="28"/>
          <w:szCs w:val="26"/>
        </w:rPr>
        <w:t>Is each provision of the instrument supported by an appropriate head of power in the enabling legislation?</w:t>
      </w:r>
      <w:r w:rsidRPr="00D67E97">
        <w:rPr>
          <w:sz w:val="28"/>
          <w:szCs w:val="26"/>
        </w:rPr>
        <w:br/>
      </w:r>
      <w:r w:rsidRPr="00D67E97">
        <w:rPr>
          <w:sz w:val="22"/>
          <w:szCs w:val="22"/>
        </w:rPr>
        <w:t xml:space="preserve">The instrument might not explicitly refer to the head of power under which the provision is made. If so, you might need to speak to a drafter in </w:t>
      </w:r>
      <w:proofErr w:type="spellStart"/>
      <w:r w:rsidRPr="00D67E97">
        <w:rPr>
          <w:sz w:val="22"/>
          <w:szCs w:val="22"/>
        </w:rPr>
        <w:t>OPC</w:t>
      </w:r>
      <w:proofErr w:type="spellEnd"/>
      <w:r w:rsidRPr="00D67E97">
        <w:rPr>
          <w:sz w:val="22"/>
          <w:szCs w:val="22"/>
        </w:rPr>
        <w:t xml:space="preserve"> or seek legal advice.</w:t>
      </w:r>
    </w:p>
    <w:p w14:paraId="16E46074" w14:textId="77777777" w:rsidR="00553A4A" w:rsidRPr="00D67E97" w:rsidRDefault="00553A4A" w:rsidP="00E72291">
      <w:pPr>
        <w:pStyle w:val="BodyNum"/>
        <w:numPr>
          <w:ilvl w:val="0"/>
          <w:numId w:val="6"/>
        </w:numPr>
        <w:ind w:left="709" w:hanging="709"/>
        <w:rPr>
          <w:sz w:val="28"/>
          <w:szCs w:val="26"/>
        </w:rPr>
      </w:pPr>
      <w:r w:rsidRPr="00D67E97">
        <w:rPr>
          <w:sz w:val="28"/>
          <w:szCs w:val="26"/>
        </w:rPr>
        <w:t>Are all references in the instrument to the following still appropriate and correct:</w:t>
      </w:r>
    </w:p>
    <w:p w14:paraId="52550ABF" w14:textId="77777777" w:rsidR="00553A4A" w:rsidRPr="00D67E97" w:rsidRDefault="00553A4A" w:rsidP="00E72291">
      <w:pPr>
        <w:pStyle w:val="BodyNum"/>
        <w:numPr>
          <w:ilvl w:val="1"/>
          <w:numId w:val="5"/>
        </w:numPr>
        <w:spacing w:before="120"/>
        <w:rPr>
          <w:sz w:val="28"/>
          <w:szCs w:val="26"/>
        </w:rPr>
      </w:pPr>
      <w:r w:rsidRPr="00D67E97">
        <w:rPr>
          <w:sz w:val="28"/>
          <w:szCs w:val="26"/>
        </w:rPr>
        <w:t>references to laws or other instruments;</w:t>
      </w:r>
    </w:p>
    <w:p w14:paraId="238A1B9A" w14:textId="77777777" w:rsidR="00553A4A" w:rsidRPr="00D67E97" w:rsidRDefault="00553A4A" w:rsidP="00E72291">
      <w:pPr>
        <w:pStyle w:val="BodyNum"/>
        <w:numPr>
          <w:ilvl w:val="1"/>
          <w:numId w:val="5"/>
        </w:numPr>
        <w:spacing w:before="120"/>
        <w:rPr>
          <w:sz w:val="28"/>
          <w:szCs w:val="26"/>
        </w:rPr>
      </w:pPr>
      <w:r w:rsidRPr="00D67E97">
        <w:rPr>
          <w:sz w:val="28"/>
          <w:szCs w:val="26"/>
        </w:rPr>
        <w:t>references to persons, organisations or bodies.</w:t>
      </w:r>
    </w:p>
    <w:p w14:paraId="0451B119" w14:textId="77777777" w:rsidR="00553A4A" w:rsidRPr="00D67E97" w:rsidRDefault="00553A4A" w:rsidP="00553A4A">
      <w:pPr>
        <w:pStyle w:val="Body"/>
        <w:spacing w:before="120"/>
        <w:ind w:left="709"/>
        <w:rPr>
          <w:sz w:val="22"/>
          <w:szCs w:val="26"/>
        </w:rPr>
      </w:pPr>
      <w:r w:rsidRPr="00D67E97">
        <w:rPr>
          <w:sz w:val="22"/>
          <w:szCs w:val="26"/>
        </w:rPr>
        <w:t>This might require checking those references in the laws of the Commonwealth, a State or a Territory, or in instruments made by another person, organisation or body.</w:t>
      </w:r>
    </w:p>
    <w:p w14:paraId="4D03D0DE" w14:textId="77777777" w:rsidR="00553A4A" w:rsidRPr="00553A4A" w:rsidRDefault="00553A4A" w:rsidP="00E72291">
      <w:pPr>
        <w:pStyle w:val="BodyNum"/>
        <w:numPr>
          <w:ilvl w:val="0"/>
          <w:numId w:val="6"/>
        </w:numPr>
        <w:ind w:left="709" w:hanging="709"/>
        <w:rPr>
          <w:sz w:val="28"/>
          <w:szCs w:val="26"/>
        </w:rPr>
      </w:pPr>
      <w:r w:rsidRPr="00553A4A">
        <w:rPr>
          <w:sz w:val="28"/>
          <w:szCs w:val="26"/>
        </w:rPr>
        <w:t xml:space="preserve">Does each provision of the instrument meet </w:t>
      </w:r>
      <w:proofErr w:type="spellStart"/>
      <w:r w:rsidRPr="00553A4A">
        <w:rPr>
          <w:sz w:val="28"/>
          <w:szCs w:val="26"/>
        </w:rPr>
        <w:t>OPC</w:t>
      </w:r>
      <w:proofErr w:type="spellEnd"/>
      <w:r w:rsidRPr="00553A4A">
        <w:rPr>
          <w:sz w:val="28"/>
          <w:szCs w:val="26"/>
        </w:rPr>
        <w:t xml:space="preserve"> drafting and publishing standards?</w:t>
      </w:r>
    </w:p>
    <w:p w14:paraId="2670A4C0" w14:textId="77777777" w:rsidR="00553A4A" w:rsidRPr="00553A4A" w:rsidRDefault="00553A4A" w:rsidP="00E72291">
      <w:pPr>
        <w:pStyle w:val="BodyNum"/>
        <w:numPr>
          <w:ilvl w:val="0"/>
          <w:numId w:val="6"/>
        </w:numPr>
        <w:ind w:left="709" w:hanging="709"/>
        <w:rPr>
          <w:sz w:val="28"/>
          <w:szCs w:val="26"/>
        </w:rPr>
      </w:pPr>
      <w:r w:rsidRPr="00553A4A">
        <w:rPr>
          <w:sz w:val="28"/>
          <w:szCs w:val="26"/>
        </w:rPr>
        <w:t>Are any application, transitional or savings issues raised by repealing the instrument?</w:t>
      </w:r>
    </w:p>
    <w:p w14:paraId="4A6D13E5" w14:textId="77777777" w:rsidR="00553A4A" w:rsidRPr="00553A4A" w:rsidRDefault="00553A4A" w:rsidP="00E72291">
      <w:pPr>
        <w:pStyle w:val="BodyNum"/>
        <w:numPr>
          <w:ilvl w:val="0"/>
          <w:numId w:val="6"/>
        </w:numPr>
        <w:ind w:left="709" w:hanging="709"/>
        <w:rPr>
          <w:sz w:val="28"/>
          <w:szCs w:val="26"/>
        </w:rPr>
      </w:pPr>
      <w:r w:rsidRPr="00553A4A">
        <w:rPr>
          <w:sz w:val="28"/>
          <w:szCs w:val="26"/>
        </w:rPr>
        <w:t xml:space="preserve">If the instrument is not to be </w:t>
      </w:r>
      <w:r w:rsidR="00E51F3B">
        <w:rPr>
          <w:sz w:val="28"/>
          <w:szCs w:val="26"/>
        </w:rPr>
        <w:t>replaced</w:t>
      </w:r>
      <w:r w:rsidRPr="00553A4A">
        <w:rPr>
          <w:sz w:val="28"/>
          <w:szCs w:val="26"/>
        </w:rPr>
        <w:t>, has the instrument been repealed?</w:t>
      </w:r>
    </w:p>
    <w:p w14:paraId="55A1103B" w14:textId="77777777" w:rsidR="00553A4A" w:rsidRPr="00553A4A" w:rsidRDefault="00553A4A" w:rsidP="00E72291">
      <w:pPr>
        <w:pStyle w:val="BodyNum"/>
        <w:numPr>
          <w:ilvl w:val="0"/>
          <w:numId w:val="6"/>
        </w:numPr>
        <w:ind w:left="709" w:hanging="709"/>
        <w:rPr>
          <w:sz w:val="28"/>
          <w:szCs w:val="26"/>
        </w:rPr>
      </w:pPr>
      <w:r w:rsidRPr="00553A4A">
        <w:rPr>
          <w:sz w:val="28"/>
          <w:szCs w:val="26"/>
        </w:rPr>
        <w:t xml:space="preserve">If the instrument is to be </w:t>
      </w:r>
      <w:r w:rsidR="00E51F3B">
        <w:rPr>
          <w:sz w:val="28"/>
          <w:szCs w:val="26"/>
        </w:rPr>
        <w:t>replaced</w:t>
      </w:r>
      <w:r w:rsidRPr="00553A4A">
        <w:rPr>
          <w:sz w:val="28"/>
          <w:szCs w:val="26"/>
        </w:rPr>
        <w:t>, have all prerequisites required by the enabling legislation before making the new instrument been complied with?</w:t>
      </w:r>
    </w:p>
    <w:p w14:paraId="1EF891AF" w14:textId="77777777" w:rsidR="00553A4A" w:rsidRPr="00553A4A" w:rsidRDefault="00553A4A" w:rsidP="00E72291">
      <w:pPr>
        <w:pStyle w:val="BodyNum"/>
        <w:numPr>
          <w:ilvl w:val="0"/>
          <w:numId w:val="6"/>
        </w:numPr>
        <w:ind w:left="709" w:hanging="709"/>
        <w:rPr>
          <w:sz w:val="28"/>
          <w:szCs w:val="26"/>
        </w:rPr>
      </w:pPr>
      <w:r w:rsidRPr="00553A4A">
        <w:rPr>
          <w:sz w:val="28"/>
          <w:szCs w:val="26"/>
        </w:rPr>
        <w:t xml:space="preserve">If the instrument is to be </w:t>
      </w:r>
      <w:r w:rsidR="00E51F3B">
        <w:rPr>
          <w:sz w:val="28"/>
          <w:szCs w:val="26"/>
        </w:rPr>
        <w:t>replaced</w:t>
      </w:r>
      <w:r w:rsidRPr="00553A4A">
        <w:rPr>
          <w:sz w:val="28"/>
          <w:szCs w:val="26"/>
        </w:rPr>
        <w:t>, does the new instrument have a unique name, and a commencement provision?</w:t>
      </w:r>
    </w:p>
    <w:p w14:paraId="40F9AFC8" w14:textId="77777777" w:rsidR="00553A4A" w:rsidRPr="00553A4A" w:rsidRDefault="00553A4A" w:rsidP="00E72291">
      <w:pPr>
        <w:pStyle w:val="BodyNum"/>
        <w:numPr>
          <w:ilvl w:val="0"/>
          <w:numId w:val="6"/>
        </w:numPr>
        <w:ind w:left="709" w:hanging="709"/>
        <w:rPr>
          <w:sz w:val="28"/>
          <w:szCs w:val="26"/>
        </w:rPr>
      </w:pPr>
      <w:r w:rsidRPr="00553A4A">
        <w:rPr>
          <w:sz w:val="28"/>
          <w:szCs w:val="26"/>
        </w:rPr>
        <w:t>Have you considered the power to make any instruments that are made under the legislative instrument, and the character of those instruments?</w:t>
      </w:r>
    </w:p>
    <w:p w14:paraId="45D950E4" w14:textId="77777777" w:rsidR="00553A4A" w:rsidRPr="00553A4A" w:rsidRDefault="00553A4A" w:rsidP="00E72291">
      <w:pPr>
        <w:pStyle w:val="BodyNum"/>
        <w:numPr>
          <w:ilvl w:val="0"/>
          <w:numId w:val="6"/>
        </w:numPr>
        <w:ind w:left="709" w:hanging="709"/>
        <w:rPr>
          <w:sz w:val="28"/>
          <w:szCs w:val="26"/>
        </w:rPr>
      </w:pPr>
      <w:r w:rsidRPr="00553A4A">
        <w:rPr>
          <w:sz w:val="28"/>
          <w:szCs w:val="26"/>
        </w:rPr>
        <w:t>Are any consequential amendments required to any other instruments because the instrument is to sunset or be re</w:t>
      </w:r>
      <w:r w:rsidR="00E51F3B">
        <w:rPr>
          <w:sz w:val="28"/>
          <w:szCs w:val="26"/>
        </w:rPr>
        <w:t>placed</w:t>
      </w:r>
      <w:r w:rsidRPr="00553A4A">
        <w:rPr>
          <w:sz w:val="28"/>
          <w:szCs w:val="26"/>
        </w:rPr>
        <w:t>?</w:t>
      </w:r>
    </w:p>
    <w:p w14:paraId="3D010E60" w14:textId="77777777" w:rsidR="00553A4A" w:rsidRPr="00553A4A" w:rsidRDefault="00553A4A" w:rsidP="00553A4A"/>
    <w:p w14:paraId="6C9140A7" w14:textId="77777777" w:rsidR="00553A4A" w:rsidRDefault="00553A4A">
      <w:pPr>
        <w:spacing w:line="240" w:lineRule="auto"/>
        <w:rPr>
          <w:rFonts w:eastAsia="Times New Roman" w:cs="Times New Roman"/>
          <w:sz w:val="24"/>
          <w:lang w:eastAsia="en-AU"/>
        </w:rPr>
      </w:pPr>
      <w:r>
        <w:br w:type="page"/>
      </w:r>
    </w:p>
    <w:p w14:paraId="1B6A4753" w14:textId="77777777" w:rsidR="00727ED5" w:rsidRPr="00FD274F" w:rsidRDefault="00727ED5" w:rsidP="004855B6">
      <w:pPr>
        <w:pStyle w:val="Head2"/>
      </w:pPr>
      <w:bookmarkStart w:id="258" w:name="_Toc112918865"/>
      <w:r w:rsidRPr="00FD274F">
        <w:lastRenderedPageBreak/>
        <w:t>Further reading</w:t>
      </w:r>
      <w:bookmarkEnd w:id="258"/>
    </w:p>
    <w:p w14:paraId="573EE9FB" w14:textId="77777777" w:rsidR="00727ED5" w:rsidRPr="00FD274F" w:rsidRDefault="00727ED5" w:rsidP="004855B6">
      <w:pPr>
        <w:pStyle w:val="Head3"/>
      </w:pPr>
      <w:bookmarkStart w:id="259" w:name="_Toc112918866"/>
      <w:r w:rsidRPr="002F14DE">
        <w:t>Key legislation</w:t>
      </w:r>
      <w:bookmarkEnd w:id="259"/>
    </w:p>
    <w:p w14:paraId="23A3302E" w14:textId="5662FA10" w:rsidR="00E94C94" w:rsidRPr="00FD274F" w:rsidRDefault="00002BA2" w:rsidP="00F23FE8">
      <w:pPr>
        <w:pStyle w:val="Body"/>
        <w:spacing w:before="120"/>
        <w:contextualSpacing/>
        <w:rPr>
          <w:i/>
          <w:color w:val="0000FF"/>
        </w:rPr>
      </w:pPr>
      <w:hyperlink r:id="rId637" w:history="1">
        <w:hyperlink r:id="rId638" w:history="1">
          <w:r w:rsidR="00197826" w:rsidRPr="00FD274F">
            <w:rPr>
              <w:rStyle w:val="Hyperlink"/>
              <w:i/>
            </w:rPr>
            <w:t>Acts Interpretation Act 1901</w:t>
          </w:r>
        </w:hyperlink>
      </w:hyperlink>
      <w:r w:rsidR="00F23FE8">
        <w:rPr>
          <w:rStyle w:val="Hyperlink"/>
          <w:i/>
        </w:rPr>
        <w:br/>
      </w:r>
      <w:hyperlink r:id="rId639" w:history="1">
        <w:r w:rsidR="00000A2E" w:rsidRPr="00FD274F">
          <w:rPr>
            <w:rStyle w:val="Hyperlink"/>
            <w:i/>
          </w:rPr>
          <w:t>Legislation Act 2003</w:t>
        </w:r>
      </w:hyperlink>
      <w:r w:rsidR="00F23FE8">
        <w:rPr>
          <w:rStyle w:val="Hyperlink"/>
          <w:i/>
        </w:rPr>
        <w:br/>
      </w:r>
      <w:hyperlink r:id="rId640" w:history="1">
        <w:r w:rsidR="00E94C94" w:rsidRPr="00FD274F">
          <w:rPr>
            <w:rStyle w:val="Hyperlink"/>
            <w:i/>
          </w:rPr>
          <w:t>Legislation (Exemptions and Other Matters) Regulation 2015</w:t>
        </w:r>
      </w:hyperlink>
      <w:r w:rsidR="00E94C94" w:rsidRPr="00FD274F">
        <w:rPr>
          <w:rStyle w:val="Hyperlink"/>
          <w:i/>
        </w:rPr>
        <w:br/>
      </w:r>
      <w:hyperlink r:id="rId641" w:history="1">
        <w:r w:rsidR="00E94C94" w:rsidRPr="00FD274F">
          <w:rPr>
            <w:rStyle w:val="Hyperlink"/>
            <w:i/>
          </w:rPr>
          <w:t>Legislation Rule 2016</w:t>
        </w:r>
      </w:hyperlink>
    </w:p>
    <w:p w14:paraId="467C2110" w14:textId="77777777" w:rsidR="00727ED5" w:rsidRPr="00FD274F" w:rsidRDefault="00727ED5" w:rsidP="004855B6">
      <w:pPr>
        <w:pStyle w:val="Head3"/>
        <w:spacing w:before="360"/>
      </w:pPr>
      <w:bookmarkStart w:id="260" w:name="_Toc112918867"/>
      <w:r w:rsidRPr="002F14DE">
        <w:t>Guidance material</w:t>
      </w:r>
      <w:bookmarkEnd w:id="260"/>
    </w:p>
    <w:p w14:paraId="230D402D" w14:textId="2E201FD0" w:rsidR="001212DB" w:rsidRPr="00FD274F" w:rsidRDefault="001212DB" w:rsidP="00727ED5">
      <w:pPr>
        <w:pStyle w:val="Body"/>
        <w:spacing w:before="120"/>
        <w:rPr>
          <w:rStyle w:val="Hyperlink"/>
          <w:color w:val="auto"/>
        </w:rPr>
      </w:pPr>
      <w:r w:rsidRPr="00FD274F">
        <w:t>AGD guidance on human righ</w:t>
      </w:r>
      <w:r w:rsidR="00F23FE8">
        <w:t>ts scrutiny</w:t>
      </w:r>
      <w:r w:rsidR="00F23FE8">
        <w:br/>
      </w:r>
      <w:hyperlink r:id="rId642" w:history="1">
        <w:r w:rsidRPr="00FD274F">
          <w:rPr>
            <w:rStyle w:val="Hyperlink"/>
          </w:rPr>
          <w:t>http://www.ag.gov.au/RightsAndProtections/HumanRights/Human</w:t>
        </w:r>
        <w:r w:rsidR="009C4251">
          <w:rPr>
            <w:rStyle w:val="Hyperlink"/>
          </w:rPr>
          <w:noBreakHyphen/>
        </w:r>
        <w:r w:rsidRPr="00FD274F">
          <w:rPr>
            <w:rStyle w:val="Hyperlink"/>
          </w:rPr>
          <w:t>rights</w:t>
        </w:r>
        <w:r w:rsidR="009C4251">
          <w:rPr>
            <w:rStyle w:val="Hyperlink"/>
          </w:rPr>
          <w:noBreakHyphen/>
        </w:r>
        <w:r w:rsidRPr="00FD274F">
          <w:rPr>
            <w:rStyle w:val="Hyperlink"/>
          </w:rPr>
          <w:t>scrutiny/Pages/default.aspx</w:t>
        </w:r>
      </w:hyperlink>
    </w:p>
    <w:p w14:paraId="4E63BE43" w14:textId="21714CE6" w:rsidR="00727ED5" w:rsidRPr="00FD274F" w:rsidRDefault="00727ED5" w:rsidP="00727ED5">
      <w:pPr>
        <w:pStyle w:val="Body"/>
        <w:spacing w:before="120"/>
        <w:rPr>
          <w:rStyle w:val="Hyperlink"/>
        </w:rPr>
      </w:pPr>
      <w:r w:rsidRPr="00FD274F">
        <w:rPr>
          <w:spacing w:val="-6"/>
        </w:rPr>
        <w:t>AGD Guide to Framing Commonwealth Offences, Infringements Notices and Enforcement Powers</w:t>
      </w:r>
      <w:r w:rsidRPr="00FD274F">
        <w:br/>
      </w:r>
      <w:hyperlink r:id="rId643" w:history="1">
        <w:r w:rsidRPr="00FD274F">
          <w:rPr>
            <w:rStyle w:val="Hyperlink"/>
          </w:rPr>
          <w:t>http://www.ag.gov.au/Publications/Pages/GuidetoFramingCommonwealthOffencesInfringementNoticesandEnforcementPowers.aspx</w:t>
        </w:r>
      </w:hyperlink>
    </w:p>
    <w:p w14:paraId="6386E7DB" w14:textId="129FE155" w:rsidR="00B56F20" w:rsidRPr="00FD274F" w:rsidRDefault="00727ED5" w:rsidP="00727ED5">
      <w:pPr>
        <w:pStyle w:val="Body"/>
        <w:spacing w:before="120"/>
        <w:rPr>
          <w:rStyle w:val="Hyperlink"/>
          <w:szCs w:val="24"/>
        </w:rPr>
      </w:pPr>
      <w:r w:rsidRPr="00FD274F">
        <w:rPr>
          <w:szCs w:val="24"/>
        </w:rPr>
        <w:t xml:space="preserve">AGD Guide to </w:t>
      </w:r>
      <w:r w:rsidR="00FD5F93" w:rsidRPr="00FD274F">
        <w:rPr>
          <w:szCs w:val="24"/>
        </w:rPr>
        <w:t>M</w:t>
      </w:r>
      <w:r w:rsidRPr="00FD274F">
        <w:rPr>
          <w:szCs w:val="24"/>
        </w:rPr>
        <w:t xml:space="preserve">anaging </w:t>
      </w:r>
      <w:r w:rsidR="00FD5F93" w:rsidRPr="00FD274F">
        <w:rPr>
          <w:szCs w:val="24"/>
        </w:rPr>
        <w:t>Sunsetting of Legislative I</w:t>
      </w:r>
      <w:r w:rsidRPr="00FD274F">
        <w:rPr>
          <w:szCs w:val="24"/>
        </w:rPr>
        <w:t xml:space="preserve">nstruments </w:t>
      </w:r>
      <w:r w:rsidRPr="00FD274F">
        <w:rPr>
          <w:szCs w:val="24"/>
        </w:rPr>
        <w:br/>
      </w:r>
      <w:hyperlink r:id="rId644" w:history="1">
        <w:r w:rsidR="00AC4BC7" w:rsidRPr="00FD274F">
          <w:rPr>
            <w:rStyle w:val="Hyperlink"/>
            <w:szCs w:val="24"/>
          </w:rPr>
          <w:t>https://www.ag.gov.au/LegalSystem/AdministrativeLaw/Pages/LegislationAct2003.aspx</w:t>
        </w:r>
      </w:hyperlink>
    </w:p>
    <w:p w14:paraId="49799C64" w14:textId="1A944230" w:rsidR="00BC65E8" w:rsidRPr="00013845" w:rsidRDefault="00BC65E8" w:rsidP="00727ED5">
      <w:pPr>
        <w:pStyle w:val="Body"/>
        <w:spacing w:before="120"/>
      </w:pPr>
      <w:r w:rsidRPr="00013845">
        <w:t>The Australian Government Guide to Regulation</w:t>
      </w:r>
      <w:r w:rsidRPr="00013845">
        <w:br/>
      </w:r>
      <w:hyperlink r:id="rId645" w:history="1">
        <w:r w:rsidR="00574CB5" w:rsidRPr="00013845">
          <w:rPr>
            <w:rStyle w:val="Hyperlink"/>
          </w:rPr>
          <w:t>https://www.policyhub.gov.au/resources/australian-government-guide-regulation</w:t>
        </w:r>
      </w:hyperlink>
    </w:p>
    <w:p w14:paraId="59718E61" w14:textId="44BBE9C7" w:rsidR="00195F47" w:rsidRPr="00433C0A" w:rsidRDefault="00727ED5" w:rsidP="00727ED5">
      <w:pPr>
        <w:pStyle w:val="Body"/>
        <w:spacing w:before="120"/>
        <w:rPr>
          <w:spacing w:val="-6"/>
          <w:sz w:val="36"/>
        </w:rPr>
      </w:pPr>
      <w:r w:rsidRPr="00574CB5">
        <w:t>Federal Executive Council Handbook</w:t>
      </w:r>
      <w:r w:rsidRPr="00574CB5">
        <w:rPr>
          <w:rStyle w:val="Hyperlink"/>
          <w:highlight w:val="green"/>
        </w:rPr>
        <w:br/>
      </w:r>
      <w:hyperlink r:id="rId646" w:history="1">
        <w:r w:rsidR="00574CB5" w:rsidRPr="00433C0A">
          <w:rPr>
            <w:rStyle w:val="Hyperlink"/>
          </w:rPr>
          <w:t>https://www.pmc.gov.au/resource-centre/government/federal-exec-council-handbook</w:t>
        </w:r>
      </w:hyperlink>
    </w:p>
    <w:p w14:paraId="74700836" w14:textId="780455ED" w:rsidR="00FA2FB1" w:rsidRPr="00433C0A" w:rsidRDefault="00727ED5" w:rsidP="00727ED5">
      <w:pPr>
        <w:pStyle w:val="Body"/>
        <w:spacing w:before="120"/>
      </w:pPr>
      <w:r w:rsidRPr="00433C0A">
        <w:t>Guidelines for the Presentation of Documents to the Parliament</w:t>
      </w:r>
      <w:r w:rsidRPr="00433C0A">
        <w:br/>
      </w:r>
      <w:hyperlink r:id="rId647" w:history="1">
        <w:r w:rsidR="00574CB5" w:rsidRPr="00433C0A">
          <w:rPr>
            <w:rStyle w:val="Hyperlink"/>
          </w:rPr>
          <w:t>https://www.pmc.gov.au/sites/default/files/publications/pmc-tabling-guidelines.pdf</w:t>
        </w:r>
      </w:hyperlink>
    </w:p>
    <w:p w14:paraId="08F7EBD1" w14:textId="59614EBF" w:rsidR="00727ED5" w:rsidRPr="00FD274F" w:rsidRDefault="00727ED5" w:rsidP="00727ED5">
      <w:pPr>
        <w:pStyle w:val="Body"/>
        <w:spacing w:before="120"/>
        <w:rPr>
          <w:rStyle w:val="Hyperlink"/>
        </w:rPr>
      </w:pPr>
      <w:r w:rsidRPr="00433C0A">
        <w:t>Legislation Handbook</w:t>
      </w:r>
      <w:r w:rsidRPr="00433C0A">
        <w:br/>
      </w:r>
      <w:hyperlink r:id="rId648" w:history="1">
        <w:r w:rsidR="006B092E" w:rsidRPr="00433C0A">
          <w:rPr>
            <w:rStyle w:val="Hyperlink"/>
            <w:szCs w:val="24"/>
          </w:rPr>
          <w:t>https://www.pmc.gov.au/resource-centre/government/legislation-handbook</w:t>
        </w:r>
      </w:hyperlink>
    </w:p>
    <w:p w14:paraId="2A1E6F7E" w14:textId="0516D3BA" w:rsidR="00727ED5" w:rsidRPr="00FD274F" w:rsidRDefault="00727ED5" w:rsidP="00727ED5">
      <w:pPr>
        <w:pStyle w:val="Body"/>
        <w:spacing w:before="120"/>
        <w:rPr>
          <w:rStyle w:val="Hyperlink"/>
        </w:rPr>
      </w:pPr>
      <w:r w:rsidRPr="00FD274F">
        <w:t>Legislation P</w:t>
      </w:r>
      <w:r w:rsidR="00FC7415" w:rsidRPr="00FD274F">
        <w:t>roposal Advice—</w:t>
      </w:r>
      <w:proofErr w:type="spellStart"/>
      <w:r w:rsidR="00FC7415" w:rsidRPr="00FD274F">
        <w:t>OPC</w:t>
      </w:r>
      <w:proofErr w:type="spellEnd"/>
      <w:r w:rsidR="00FC7415" w:rsidRPr="00FD274F">
        <w:t xml:space="preserve"> client advise</w:t>
      </w:r>
      <w:r w:rsidRPr="00FD274F">
        <w:t>rs list</w:t>
      </w:r>
      <w:r w:rsidRPr="00FD274F">
        <w:br/>
      </w:r>
      <w:hyperlink r:id="rId649" w:history="1">
        <w:r w:rsidR="00BC647B">
          <w:rPr>
            <w:rStyle w:val="Hyperlink"/>
          </w:rPr>
          <w:t>https://www.opc.gov.au/drafting</w:t>
        </w:r>
        <w:r w:rsidR="009C4251">
          <w:rPr>
            <w:rStyle w:val="Hyperlink"/>
          </w:rPr>
          <w:noBreakHyphen/>
        </w:r>
        <w:r w:rsidR="00BC647B">
          <w:rPr>
            <w:rStyle w:val="Hyperlink"/>
          </w:rPr>
          <w:t>resources/client</w:t>
        </w:r>
        <w:r w:rsidR="009C4251">
          <w:rPr>
            <w:rStyle w:val="Hyperlink"/>
          </w:rPr>
          <w:noBreakHyphen/>
        </w:r>
        <w:r w:rsidR="00BC647B">
          <w:rPr>
            <w:rStyle w:val="Hyperlink"/>
          </w:rPr>
          <w:t>advisers</w:t>
        </w:r>
      </w:hyperlink>
      <w:r w:rsidR="00AC4BC7" w:rsidRPr="00FD274F">
        <w:t xml:space="preserve"> </w:t>
      </w:r>
    </w:p>
    <w:p w14:paraId="6CA801F2" w14:textId="57C52DFB" w:rsidR="00727ED5" w:rsidRPr="00FD274F" w:rsidRDefault="00727ED5" w:rsidP="00727ED5">
      <w:pPr>
        <w:pStyle w:val="Body"/>
        <w:spacing w:before="120"/>
        <w:rPr>
          <w:rStyle w:val="Hyperlink"/>
        </w:rPr>
      </w:pPr>
      <w:proofErr w:type="spellStart"/>
      <w:r w:rsidRPr="00FD274F">
        <w:t>OPC’s</w:t>
      </w:r>
      <w:proofErr w:type="spellEnd"/>
      <w:r w:rsidRPr="00FD274F">
        <w:t xml:space="preserve"> draftin</w:t>
      </w:r>
      <w:r w:rsidR="00F23FE8">
        <w:t>g services: a guide for clients</w:t>
      </w:r>
      <w:r w:rsidRPr="00FD274F">
        <w:rPr>
          <w:rStyle w:val="Hyperlink"/>
        </w:rPr>
        <w:br/>
      </w:r>
      <w:hyperlink r:id="rId650" w:history="1">
        <w:r w:rsidR="00BC647B">
          <w:rPr>
            <w:rStyle w:val="Hyperlink"/>
          </w:rPr>
          <w:t>https://www.opc.gov.au/drafting</w:t>
        </w:r>
        <w:r w:rsidR="009C4251">
          <w:rPr>
            <w:rStyle w:val="Hyperlink"/>
          </w:rPr>
          <w:noBreakHyphen/>
        </w:r>
        <w:r w:rsidR="00BC647B">
          <w:rPr>
            <w:rStyle w:val="Hyperlink"/>
          </w:rPr>
          <w:t>resources/drafting</w:t>
        </w:r>
        <w:r w:rsidR="009C4251">
          <w:rPr>
            <w:rStyle w:val="Hyperlink"/>
          </w:rPr>
          <w:noBreakHyphen/>
        </w:r>
        <w:r w:rsidR="00BC647B">
          <w:rPr>
            <w:rStyle w:val="Hyperlink"/>
          </w:rPr>
          <w:t>manuals</w:t>
        </w:r>
      </w:hyperlink>
    </w:p>
    <w:p w14:paraId="045FA491" w14:textId="4281E4DA" w:rsidR="00727ED5" w:rsidRPr="00FD274F" w:rsidRDefault="00727ED5" w:rsidP="00727ED5">
      <w:pPr>
        <w:pStyle w:val="Body"/>
        <w:spacing w:before="120"/>
        <w:rPr>
          <w:rStyle w:val="Hyperlink"/>
        </w:rPr>
      </w:pPr>
      <w:proofErr w:type="spellStart"/>
      <w:r w:rsidRPr="00FD274F">
        <w:t>OPC</w:t>
      </w:r>
      <w:proofErr w:type="spellEnd"/>
      <w:r w:rsidRPr="00FD274F">
        <w:t xml:space="preserve"> Drafting Manuals</w:t>
      </w:r>
      <w:r w:rsidRPr="00FD274F">
        <w:rPr>
          <w:rStyle w:val="Hyperlink"/>
        </w:rPr>
        <w:br/>
      </w:r>
      <w:hyperlink r:id="rId651" w:history="1">
        <w:r w:rsidR="00BC647B">
          <w:rPr>
            <w:rStyle w:val="Hyperlink"/>
          </w:rPr>
          <w:t>https://www.opc.gov.au/drafting</w:t>
        </w:r>
        <w:r w:rsidR="009C4251">
          <w:rPr>
            <w:rStyle w:val="Hyperlink"/>
          </w:rPr>
          <w:noBreakHyphen/>
        </w:r>
        <w:r w:rsidR="00BC647B">
          <w:rPr>
            <w:rStyle w:val="Hyperlink"/>
          </w:rPr>
          <w:t>resources/drafting</w:t>
        </w:r>
        <w:r w:rsidR="009C4251">
          <w:rPr>
            <w:rStyle w:val="Hyperlink"/>
          </w:rPr>
          <w:noBreakHyphen/>
        </w:r>
        <w:r w:rsidR="00BC647B">
          <w:rPr>
            <w:rStyle w:val="Hyperlink"/>
          </w:rPr>
          <w:t>manuals</w:t>
        </w:r>
      </w:hyperlink>
      <w:r w:rsidRPr="00FD274F">
        <w:rPr>
          <w:rStyle w:val="Hyperlink"/>
        </w:rPr>
        <w:t xml:space="preserve"> </w:t>
      </w:r>
    </w:p>
    <w:p w14:paraId="643907B2" w14:textId="0C3563E7" w:rsidR="00727ED5" w:rsidRPr="00FD274F" w:rsidRDefault="00727ED5" w:rsidP="00727ED5">
      <w:pPr>
        <w:pStyle w:val="Body"/>
        <w:spacing w:before="120"/>
        <w:rPr>
          <w:rStyle w:val="Hyperlink"/>
        </w:rPr>
      </w:pPr>
      <w:proofErr w:type="spellStart"/>
      <w:r w:rsidRPr="00FD274F">
        <w:t>OPC</w:t>
      </w:r>
      <w:proofErr w:type="spellEnd"/>
      <w:r w:rsidRPr="00FD274F">
        <w:t xml:space="preserve"> Drafting Directions</w:t>
      </w:r>
      <w:r w:rsidRPr="00FD274F">
        <w:rPr>
          <w:rStyle w:val="Hyperlink"/>
        </w:rPr>
        <w:br/>
      </w:r>
      <w:hyperlink r:id="rId652" w:history="1">
        <w:r w:rsidR="00BC647B">
          <w:rPr>
            <w:rStyle w:val="Hyperlink"/>
          </w:rPr>
          <w:t>https://www.opc.gov.au/drafting</w:t>
        </w:r>
        <w:r w:rsidR="009C4251">
          <w:rPr>
            <w:rStyle w:val="Hyperlink"/>
          </w:rPr>
          <w:noBreakHyphen/>
        </w:r>
        <w:r w:rsidR="00BC647B">
          <w:rPr>
            <w:rStyle w:val="Hyperlink"/>
          </w:rPr>
          <w:t>resources/drafting</w:t>
        </w:r>
        <w:r w:rsidR="009C4251">
          <w:rPr>
            <w:rStyle w:val="Hyperlink"/>
          </w:rPr>
          <w:noBreakHyphen/>
        </w:r>
        <w:r w:rsidR="00BC647B">
          <w:rPr>
            <w:rStyle w:val="Hyperlink"/>
          </w:rPr>
          <w:t>directions</w:t>
        </w:r>
      </w:hyperlink>
      <w:r w:rsidRPr="00FD274F">
        <w:rPr>
          <w:rStyle w:val="Hyperlink"/>
        </w:rPr>
        <w:t xml:space="preserve"> </w:t>
      </w:r>
    </w:p>
    <w:p w14:paraId="7AE91A44" w14:textId="77464D30" w:rsidR="001D47C3" w:rsidRPr="00FD274F" w:rsidRDefault="00727ED5" w:rsidP="00727ED5">
      <w:pPr>
        <w:pStyle w:val="Body"/>
        <w:spacing w:before="120"/>
        <w:rPr>
          <w:rStyle w:val="Hyperlink"/>
        </w:rPr>
      </w:pPr>
      <w:r w:rsidRPr="00FD274F">
        <w:t>Parliamentary Joint Committee on Human Rights—</w:t>
      </w:r>
      <w:r w:rsidR="00365E38" w:rsidRPr="00FD274F">
        <w:t>Guidance Notes and Resources</w:t>
      </w:r>
      <w:r w:rsidR="00365E38" w:rsidRPr="00FD274F">
        <w:br/>
      </w:r>
      <w:hyperlink r:id="rId653" w:history="1">
        <w:r w:rsidR="00365E38" w:rsidRPr="00FD274F">
          <w:rPr>
            <w:rStyle w:val="Hyperlink"/>
          </w:rPr>
          <w:t>http://www.aph.gov.au/Parliamentary_Business/Committees/Joint/Human_Rights/Guidance_Notes_and_Resources</w:t>
        </w:r>
      </w:hyperlink>
    </w:p>
    <w:p w14:paraId="5BA1A467" w14:textId="5F0C1416" w:rsidR="004734E3" w:rsidRPr="00FD274F" w:rsidRDefault="00727ED5" w:rsidP="001D47C3">
      <w:pPr>
        <w:pStyle w:val="Body"/>
        <w:spacing w:before="120"/>
        <w:rPr>
          <w:rStyle w:val="Hyperlink"/>
        </w:rPr>
      </w:pPr>
      <w:r w:rsidRPr="00FD274F">
        <w:t xml:space="preserve">Senate Standing Committee </w:t>
      </w:r>
      <w:r w:rsidR="00A16959">
        <w:t>for the Scrutiny of Delegated Legislation</w:t>
      </w:r>
      <w:r w:rsidRPr="00FD274F">
        <w:t>—Committee guidelines</w:t>
      </w:r>
      <w:r w:rsidRPr="00FD274F">
        <w:br/>
      </w:r>
      <w:hyperlink r:id="rId654" w:history="1">
        <w:r w:rsidRPr="00FD274F">
          <w:rPr>
            <w:rStyle w:val="Hyperlink"/>
          </w:rPr>
          <w:t xml:space="preserve">http://www.aph.gov.au/Parliamentary_Business/Committees/Senate/Regulations_and_Ordinances/Guidelines </w:t>
        </w:r>
      </w:hyperlink>
    </w:p>
    <w:p w14:paraId="632CED71" w14:textId="77777777" w:rsidR="00727ED5" w:rsidRPr="00FD274F" w:rsidRDefault="00727ED5" w:rsidP="004734E3">
      <w:pPr>
        <w:pStyle w:val="Head2"/>
      </w:pPr>
      <w:r w:rsidRPr="00FD274F">
        <w:br w:type="page"/>
      </w:r>
      <w:bookmarkStart w:id="261" w:name="_Toc112918868"/>
      <w:r w:rsidRPr="002F14DE">
        <w:lastRenderedPageBreak/>
        <w:t>Useful contacts</w:t>
      </w:r>
      <w:bookmarkEnd w:id="261"/>
    </w:p>
    <w:p w14:paraId="4D9DE2B7" w14:textId="77777777" w:rsidR="00727ED5" w:rsidRPr="00FD274F" w:rsidRDefault="00727ED5" w:rsidP="004734E3">
      <w:pPr>
        <w:pStyle w:val="Head2"/>
        <w:sectPr w:rsidR="00727ED5" w:rsidRPr="00FD274F" w:rsidSect="00590636">
          <w:footerReference w:type="even" r:id="rId655"/>
          <w:footerReference w:type="default" r:id="rId656"/>
          <w:pgSz w:w="11907" w:h="16839" w:code="9"/>
          <w:pgMar w:top="1440" w:right="1440" w:bottom="1418" w:left="1440" w:header="720" w:footer="720" w:gutter="0"/>
          <w:pgNumType w:start="1"/>
          <w:cols w:sep="1" w:space="567"/>
          <w:docGrid w:linePitch="360"/>
        </w:sectPr>
      </w:pPr>
    </w:p>
    <w:p w14:paraId="3D0F5814" w14:textId="77777777" w:rsidR="00727ED5" w:rsidRPr="00FD274F" w:rsidRDefault="00727ED5" w:rsidP="004855B6">
      <w:pPr>
        <w:pStyle w:val="Head3"/>
      </w:pPr>
      <w:bookmarkStart w:id="262" w:name="_Toc112918869"/>
      <w:r w:rsidRPr="00FD274F">
        <w:t>Office of Parliamentary Counsel</w:t>
      </w:r>
      <w:bookmarkEnd w:id="262"/>
    </w:p>
    <w:p w14:paraId="10B2C9B1"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Instrument drafting services</w:t>
      </w:r>
    </w:p>
    <w:p w14:paraId="35F03749" w14:textId="6D6B6E53" w:rsidR="00727ED5" w:rsidRPr="00FD274F" w:rsidRDefault="00002BA2" w:rsidP="00727ED5">
      <w:pPr>
        <w:pStyle w:val="Body"/>
        <w:spacing w:before="120"/>
      </w:pPr>
      <w:hyperlink r:id="rId657" w:history="1">
        <w:r w:rsidR="00727ED5" w:rsidRPr="00FD274F">
          <w:rPr>
            <w:rStyle w:val="Hyperlink"/>
          </w:rPr>
          <w:t>instrument.instructions@opc.gov.au</w:t>
        </w:r>
      </w:hyperlink>
    </w:p>
    <w:p w14:paraId="5B85B6E5" w14:textId="4D745A4A" w:rsidR="00727ED5" w:rsidRPr="00FD274F" w:rsidRDefault="00365E38" w:rsidP="00727ED5">
      <w:pPr>
        <w:pStyle w:val="Body"/>
        <w:spacing w:before="120"/>
      </w:pPr>
      <w:r w:rsidRPr="00FD274F">
        <w:t>o</w:t>
      </w:r>
      <w:r w:rsidR="00466C26" w:rsidRPr="00FD274F">
        <w:t xml:space="preserve">r </w:t>
      </w:r>
      <w:r w:rsidR="00360D0F" w:rsidRPr="00FD274F">
        <w:t xml:space="preserve">please contact </w:t>
      </w:r>
      <w:proofErr w:type="spellStart"/>
      <w:r w:rsidR="00180BA2" w:rsidRPr="00FD274F">
        <w:t>OPC</w:t>
      </w:r>
      <w:r w:rsidR="00134C62">
        <w:t>’s</w:t>
      </w:r>
      <w:proofErr w:type="spellEnd"/>
      <w:r w:rsidR="00180BA2" w:rsidRPr="00FD274F">
        <w:t xml:space="preserve"> instrument</w:t>
      </w:r>
      <w:r w:rsidR="00F23FE8">
        <w:t xml:space="preserve"> client adviser</w:t>
      </w:r>
      <w:r w:rsidR="00134C62">
        <w:t>s</w:t>
      </w:r>
      <w:r w:rsidRPr="00FD274F">
        <w:br/>
        <w:t>(</w:t>
      </w:r>
      <w:hyperlink r:id="rId658" w:history="1">
        <w:r w:rsidR="00BC647B">
          <w:rPr>
            <w:rStyle w:val="Hyperlink"/>
          </w:rPr>
          <w:t>https://www.opc.gov.au/drafting</w:t>
        </w:r>
        <w:r w:rsidR="009C4251">
          <w:rPr>
            <w:rStyle w:val="Hyperlink"/>
          </w:rPr>
          <w:noBreakHyphen/>
        </w:r>
        <w:r w:rsidR="00BC647B">
          <w:rPr>
            <w:rStyle w:val="Hyperlink"/>
          </w:rPr>
          <w:t>resources/client</w:t>
        </w:r>
        <w:r w:rsidR="009C4251">
          <w:rPr>
            <w:rStyle w:val="Hyperlink"/>
          </w:rPr>
          <w:noBreakHyphen/>
        </w:r>
        <w:r w:rsidR="00BC647B">
          <w:rPr>
            <w:rStyle w:val="Hyperlink"/>
          </w:rPr>
          <w:t>advisers</w:t>
        </w:r>
      </w:hyperlink>
      <w:r w:rsidRPr="00FD274F">
        <w:t>)</w:t>
      </w:r>
    </w:p>
    <w:p w14:paraId="33C6650E"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Compilations services</w:t>
      </w:r>
    </w:p>
    <w:p w14:paraId="5D1F9935" w14:textId="606C40AA" w:rsidR="00727ED5" w:rsidRPr="00FD274F" w:rsidRDefault="00002BA2" w:rsidP="00727ED5">
      <w:pPr>
        <w:pStyle w:val="Body"/>
        <w:spacing w:before="120"/>
      </w:pPr>
      <w:hyperlink r:id="rId659" w:history="1">
        <w:hyperlink r:id="rId660" w:history="1">
          <w:r w:rsidR="00D53143" w:rsidRPr="00FD26C8">
            <w:rPr>
              <w:rStyle w:val="Hyperlink"/>
            </w:rPr>
            <w:t>lodge@legislation.gov.au</w:t>
          </w:r>
        </w:hyperlink>
      </w:hyperlink>
      <w:r w:rsidR="00727ED5" w:rsidRPr="00FD274F">
        <w:rPr>
          <w:szCs w:val="24"/>
        </w:rPr>
        <w:br/>
      </w:r>
      <w:r w:rsidR="00727ED5" w:rsidRPr="00FD274F">
        <w:t xml:space="preserve">(02) </w:t>
      </w:r>
      <w:r w:rsidR="00353191" w:rsidRPr="00FD274F">
        <w:t>6120 1</w:t>
      </w:r>
      <w:r w:rsidR="00727ED5" w:rsidRPr="00FD274F">
        <w:t>3</w:t>
      </w:r>
      <w:r w:rsidR="00963B43" w:rsidRPr="00FD274F">
        <w:t>50</w:t>
      </w:r>
    </w:p>
    <w:p w14:paraId="20457F44"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Sunsetting and repeal of instruments</w:t>
      </w:r>
    </w:p>
    <w:p w14:paraId="25301498" w14:textId="33F9B684" w:rsidR="00727ED5" w:rsidRPr="00FD274F" w:rsidRDefault="00002BA2" w:rsidP="00727ED5">
      <w:pPr>
        <w:pStyle w:val="Body"/>
        <w:spacing w:before="120"/>
      </w:pPr>
      <w:hyperlink r:id="rId661" w:history="1">
        <w:r w:rsidR="00727ED5" w:rsidRPr="00FD274F">
          <w:rPr>
            <w:rStyle w:val="Hyperlink"/>
          </w:rPr>
          <w:t>sunsetting@opc.gov.au</w:t>
        </w:r>
      </w:hyperlink>
      <w:r w:rsidR="00727ED5" w:rsidRPr="00FD274F">
        <w:t xml:space="preserve"> </w:t>
      </w:r>
      <w:r w:rsidR="00727ED5" w:rsidRPr="00FD274F">
        <w:br/>
        <w:t xml:space="preserve">(02) </w:t>
      </w:r>
      <w:r w:rsidR="00353191" w:rsidRPr="00FD274F">
        <w:t>6120 1</w:t>
      </w:r>
      <w:r w:rsidR="00727ED5" w:rsidRPr="00FD274F">
        <w:t>3</w:t>
      </w:r>
      <w:r w:rsidR="00EF3C18">
        <w:t>50</w:t>
      </w:r>
    </w:p>
    <w:p w14:paraId="4092CA3C" w14:textId="77777777" w:rsidR="00727ED5" w:rsidRPr="00FD274F" w:rsidRDefault="00831645" w:rsidP="00727ED5">
      <w:pPr>
        <w:pStyle w:val="Body"/>
        <w:spacing w:before="120"/>
        <w:rPr>
          <w:rFonts w:ascii="Arial" w:hAnsi="Arial" w:cs="Arial"/>
          <w:b/>
          <w:sz w:val="22"/>
          <w:szCs w:val="22"/>
        </w:rPr>
      </w:pPr>
      <w:r w:rsidRPr="00FD274F">
        <w:rPr>
          <w:rFonts w:ascii="Arial" w:hAnsi="Arial" w:cs="Arial"/>
          <w:b/>
          <w:sz w:val="22"/>
          <w:szCs w:val="22"/>
        </w:rPr>
        <w:t>Registration</w:t>
      </w:r>
      <w:r w:rsidR="00727ED5" w:rsidRPr="00FD274F">
        <w:rPr>
          <w:rFonts w:ascii="Arial" w:hAnsi="Arial" w:cs="Arial"/>
          <w:b/>
          <w:sz w:val="22"/>
          <w:szCs w:val="22"/>
        </w:rPr>
        <w:t xml:space="preserve"> services and </w:t>
      </w:r>
      <w:r w:rsidR="00FD5F93" w:rsidRPr="00FD274F">
        <w:rPr>
          <w:rFonts w:ascii="Arial" w:hAnsi="Arial" w:cs="Arial"/>
          <w:b/>
          <w:sz w:val="22"/>
          <w:szCs w:val="22"/>
        </w:rPr>
        <w:t>correc</w:t>
      </w:r>
      <w:r w:rsidR="00727ED5" w:rsidRPr="00FD274F">
        <w:rPr>
          <w:rFonts w:ascii="Arial" w:hAnsi="Arial" w:cs="Arial"/>
          <w:b/>
          <w:sz w:val="22"/>
          <w:szCs w:val="22"/>
        </w:rPr>
        <w:t>tion</w:t>
      </w:r>
      <w:r w:rsidRPr="00FD274F">
        <w:rPr>
          <w:rFonts w:ascii="Arial" w:hAnsi="Arial" w:cs="Arial"/>
          <w:b/>
          <w:sz w:val="22"/>
          <w:szCs w:val="22"/>
        </w:rPr>
        <w:t>s</w:t>
      </w:r>
    </w:p>
    <w:p w14:paraId="5A65306B" w14:textId="0DDBA9FE" w:rsidR="00727ED5" w:rsidRPr="00FD274F" w:rsidRDefault="00727ED5" w:rsidP="00727ED5">
      <w:pPr>
        <w:pStyle w:val="Body"/>
        <w:spacing w:before="120"/>
        <w:rPr>
          <w:rStyle w:val="Hyperlink"/>
        </w:rPr>
      </w:pPr>
      <w:r w:rsidRPr="00FD274F">
        <w:t>To lodge documents online, go to:</w:t>
      </w:r>
      <w:r w:rsidRPr="00FD274F">
        <w:br/>
      </w:r>
      <w:hyperlink r:id="rId662" w:history="1">
        <w:r w:rsidR="00667D98">
          <w:rPr>
            <w:rStyle w:val="Hyperlink"/>
          </w:rPr>
          <w:t>https://lodge.legislation.gov.au</w:t>
        </w:r>
      </w:hyperlink>
    </w:p>
    <w:p w14:paraId="76FF63CA" w14:textId="284A6550" w:rsidR="00831645" w:rsidRPr="001E456D" w:rsidRDefault="00831645" w:rsidP="00831645">
      <w:pPr>
        <w:pStyle w:val="Body"/>
        <w:spacing w:before="120"/>
        <w:rPr>
          <w:szCs w:val="24"/>
        </w:rPr>
      </w:pPr>
      <w:r w:rsidRPr="001E456D">
        <w:rPr>
          <w:szCs w:val="24"/>
        </w:rPr>
        <w:t>To arrange a log</w:t>
      </w:r>
      <w:r w:rsidR="009C4251" w:rsidRPr="001E456D">
        <w:rPr>
          <w:szCs w:val="24"/>
        </w:rPr>
        <w:noBreakHyphen/>
      </w:r>
      <w:r w:rsidRPr="001E456D">
        <w:rPr>
          <w:szCs w:val="24"/>
        </w:rPr>
        <w:t>on or get other help:</w:t>
      </w:r>
      <w:r w:rsidRPr="001E456D">
        <w:rPr>
          <w:szCs w:val="24"/>
        </w:rPr>
        <w:br/>
      </w:r>
      <w:hyperlink r:id="rId663" w:history="1">
        <w:r w:rsidR="001E456D" w:rsidRPr="001E456D">
          <w:rPr>
            <w:rStyle w:val="Hyperlink"/>
            <w:rFonts w:eastAsiaTheme="minorHAnsi"/>
            <w:szCs w:val="24"/>
            <w:lang w:eastAsia="en-US"/>
          </w:rPr>
          <w:t>lodge@legislation.gov.au</w:t>
        </w:r>
      </w:hyperlink>
      <w:r w:rsidRPr="001E456D">
        <w:rPr>
          <w:szCs w:val="24"/>
        </w:rPr>
        <w:t xml:space="preserve"> </w:t>
      </w:r>
      <w:r w:rsidRPr="001E456D">
        <w:rPr>
          <w:szCs w:val="24"/>
        </w:rPr>
        <w:br/>
        <w:t xml:space="preserve">(02) 6120 1350 </w:t>
      </w:r>
    </w:p>
    <w:p w14:paraId="45C73720" w14:textId="77777777" w:rsidR="00727ED5" w:rsidRPr="00FD274F" w:rsidRDefault="00727ED5" w:rsidP="004855B6">
      <w:pPr>
        <w:pStyle w:val="Head3"/>
        <w:spacing w:before="120" w:after="0"/>
      </w:pPr>
      <w:bookmarkStart w:id="263" w:name="_Toc112918870"/>
      <w:r w:rsidRPr="00FD274F">
        <w:t>Table Offices</w:t>
      </w:r>
      <w:bookmarkEnd w:id="263"/>
    </w:p>
    <w:p w14:paraId="069AB333" w14:textId="77777777" w:rsidR="00727ED5" w:rsidRPr="00FD274F" w:rsidRDefault="00727ED5" w:rsidP="00727ED5">
      <w:pPr>
        <w:pStyle w:val="Body"/>
        <w:spacing w:before="120"/>
      </w:pPr>
      <w:r w:rsidRPr="00FD274F">
        <w:rPr>
          <w:rFonts w:ascii="Arial" w:hAnsi="Arial" w:cs="Arial"/>
          <w:b/>
          <w:sz w:val="22"/>
          <w:szCs w:val="22"/>
        </w:rPr>
        <w:t>House of Representatives</w:t>
      </w:r>
    </w:p>
    <w:p w14:paraId="77D96691" w14:textId="3F15260D" w:rsidR="00727ED5" w:rsidRPr="00FD274F" w:rsidRDefault="00002BA2" w:rsidP="00727ED5">
      <w:pPr>
        <w:pStyle w:val="Body"/>
        <w:spacing w:before="120"/>
      </w:pPr>
      <w:hyperlink r:id="rId664" w:history="1">
        <w:r w:rsidR="00727ED5" w:rsidRPr="00FD274F">
          <w:rPr>
            <w:rStyle w:val="Hyperlink"/>
          </w:rPr>
          <w:t>table.office.reps@aph.gov.au</w:t>
        </w:r>
      </w:hyperlink>
      <w:r w:rsidR="00727ED5" w:rsidRPr="00FD274F">
        <w:br/>
        <w:t>(02) 6277 4800</w:t>
      </w:r>
    </w:p>
    <w:p w14:paraId="6A40CDF9"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Senate</w:t>
      </w:r>
    </w:p>
    <w:p w14:paraId="532AA8B1" w14:textId="2961A414" w:rsidR="00727ED5" w:rsidRPr="00FD274F" w:rsidRDefault="00002BA2" w:rsidP="00727ED5">
      <w:pPr>
        <w:pStyle w:val="Body"/>
        <w:spacing w:before="120"/>
      </w:pPr>
      <w:hyperlink r:id="rId665" w:history="1">
        <w:r w:rsidR="00727ED5" w:rsidRPr="00FD274F">
          <w:rPr>
            <w:rStyle w:val="Hyperlink"/>
          </w:rPr>
          <w:t>table.legislation.sen@aph.gov.au</w:t>
        </w:r>
      </w:hyperlink>
      <w:r w:rsidR="00727ED5" w:rsidRPr="00FD274F">
        <w:br/>
        <w:t>(02) 6277 3035</w:t>
      </w:r>
    </w:p>
    <w:p w14:paraId="269662F9" w14:textId="77777777" w:rsidR="00727ED5" w:rsidRPr="00FD274F" w:rsidRDefault="00727ED5" w:rsidP="004855B6">
      <w:pPr>
        <w:pStyle w:val="Head3"/>
        <w:spacing w:before="160"/>
      </w:pPr>
      <w:r w:rsidRPr="00FD274F">
        <w:br w:type="column"/>
      </w:r>
      <w:bookmarkStart w:id="264" w:name="_Toc112918871"/>
      <w:r w:rsidRPr="00FD274F">
        <w:t>Attorney</w:t>
      </w:r>
      <w:r w:rsidR="009C4251">
        <w:noBreakHyphen/>
      </w:r>
      <w:r w:rsidRPr="00FD274F">
        <w:t>General’s Department</w:t>
      </w:r>
      <w:bookmarkEnd w:id="264"/>
    </w:p>
    <w:p w14:paraId="725FA7AC"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Exemptions from some or all of the LA</w:t>
      </w:r>
    </w:p>
    <w:p w14:paraId="5AB05AAF" w14:textId="21E06790" w:rsidR="00727ED5" w:rsidRPr="00FD274F" w:rsidRDefault="00002BA2" w:rsidP="00727ED5">
      <w:pPr>
        <w:pStyle w:val="Body"/>
        <w:spacing w:before="120"/>
      </w:pPr>
      <w:hyperlink r:id="rId666" w:history="1">
        <w:r w:rsidR="00AB2784" w:rsidRPr="00FD274F">
          <w:rPr>
            <w:rStyle w:val="Hyperlink"/>
          </w:rPr>
          <w:t>adminlaw@ag.gov.au</w:t>
        </w:r>
      </w:hyperlink>
      <w:r w:rsidR="00727ED5" w:rsidRPr="00FD274F">
        <w:br/>
        <w:t xml:space="preserve">(02) 6141 </w:t>
      </w:r>
      <w:r w:rsidR="00AB2784" w:rsidRPr="00FD274F">
        <w:t>2736</w:t>
      </w:r>
    </w:p>
    <w:p w14:paraId="3A93C650" w14:textId="77777777" w:rsidR="00727ED5" w:rsidRPr="00FD274F" w:rsidRDefault="00466C26" w:rsidP="00727ED5">
      <w:pPr>
        <w:pStyle w:val="Body"/>
        <w:spacing w:before="120"/>
        <w:rPr>
          <w:rFonts w:ascii="Arial" w:hAnsi="Arial" w:cs="Arial"/>
          <w:b/>
          <w:sz w:val="22"/>
          <w:szCs w:val="22"/>
        </w:rPr>
      </w:pPr>
      <w:r w:rsidRPr="00FD274F">
        <w:rPr>
          <w:rFonts w:ascii="Arial" w:hAnsi="Arial" w:cs="Arial"/>
          <w:b/>
          <w:sz w:val="22"/>
          <w:szCs w:val="22"/>
        </w:rPr>
        <w:t>Proposals to defer sunsetting</w:t>
      </w:r>
    </w:p>
    <w:p w14:paraId="522BC3A1" w14:textId="38F1C00D" w:rsidR="00727ED5" w:rsidRPr="00FD274F" w:rsidRDefault="00002BA2" w:rsidP="00727ED5">
      <w:pPr>
        <w:pStyle w:val="Body"/>
        <w:spacing w:before="120"/>
      </w:pPr>
      <w:hyperlink r:id="rId667" w:history="1">
        <w:r w:rsidR="00727ED5" w:rsidRPr="00FD274F">
          <w:rPr>
            <w:rStyle w:val="Hyperlink"/>
          </w:rPr>
          <w:t>sunsetting@ag.gov.au</w:t>
        </w:r>
      </w:hyperlink>
      <w:r w:rsidR="00727ED5" w:rsidRPr="00FD274F">
        <w:br/>
        <w:t>(02) 6141</w:t>
      </w:r>
      <w:r w:rsidR="00AB2784" w:rsidRPr="00FD274F">
        <w:t xml:space="preserve"> 2736</w:t>
      </w:r>
    </w:p>
    <w:p w14:paraId="73FCC5C9"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Human rights compatibility</w:t>
      </w:r>
    </w:p>
    <w:p w14:paraId="433CA91B" w14:textId="2D618A2A" w:rsidR="00727ED5" w:rsidRPr="00FD274F" w:rsidRDefault="00002BA2" w:rsidP="00727ED5">
      <w:pPr>
        <w:pStyle w:val="Body"/>
        <w:spacing w:before="120"/>
      </w:pPr>
      <w:hyperlink r:id="rId668" w:history="1">
        <w:r w:rsidR="00727ED5" w:rsidRPr="00FD274F">
          <w:rPr>
            <w:rStyle w:val="Hyperlink"/>
          </w:rPr>
          <w:t>humanrights@ag.gov.au</w:t>
        </w:r>
      </w:hyperlink>
      <w:r w:rsidR="00727ED5" w:rsidRPr="00FD274F">
        <w:br/>
        <w:t>(02) 6141 6666</w:t>
      </w:r>
    </w:p>
    <w:p w14:paraId="093038AB"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Criminal Law Policy</w:t>
      </w:r>
    </w:p>
    <w:p w14:paraId="19FAB304" w14:textId="3B2EAB83" w:rsidR="00727ED5" w:rsidRPr="00FD274F" w:rsidRDefault="00002BA2" w:rsidP="00727ED5">
      <w:pPr>
        <w:pStyle w:val="Body"/>
        <w:spacing w:before="120"/>
      </w:pPr>
      <w:hyperlink r:id="rId669" w:history="1">
        <w:r w:rsidR="006306BD" w:rsidRPr="006306BD">
          <w:rPr>
            <w:rStyle w:val="Hyperlink"/>
          </w:rPr>
          <w:t>CriminalLaw@ag.gov.au</w:t>
        </w:r>
      </w:hyperlink>
    </w:p>
    <w:p w14:paraId="41B27173" w14:textId="77777777" w:rsidR="00727ED5" w:rsidRPr="00FD274F" w:rsidRDefault="00727ED5" w:rsidP="004855B6">
      <w:pPr>
        <w:pStyle w:val="Head3"/>
        <w:spacing w:after="0"/>
      </w:pPr>
      <w:bookmarkStart w:id="265" w:name="_Toc112918872"/>
      <w:r w:rsidRPr="00FD274F">
        <w:t>Department of the Prime Minister and Cabinet</w:t>
      </w:r>
      <w:bookmarkEnd w:id="265"/>
    </w:p>
    <w:p w14:paraId="75B7302D"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Office of Best Practice Regulation</w:t>
      </w:r>
    </w:p>
    <w:p w14:paraId="0FC021AA" w14:textId="62D4FD6F" w:rsidR="00727ED5" w:rsidRPr="00FD274F" w:rsidRDefault="00002BA2" w:rsidP="00727ED5">
      <w:pPr>
        <w:pStyle w:val="Body"/>
        <w:spacing w:before="120"/>
      </w:pPr>
      <w:hyperlink r:id="rId670" w:history="1">
        <w:r w:rsidR="00222067" w:rsidRPr="00FD274F">
          <w:rPr>
            <w:rStyle w:val="Hyperlink"/>
          </w:rPr>
          <w:t>helpdesk</w:t>
        </w:r>
        <w:r w:rsidR="009C4251">
          <w:rPr>
            <w:rStyle w:val="Hyperlink"/>
          </w:rPr>
          <w:noBreakHyphen/>
        </w:r>
        <w:r w:rsidR="00222067" w:rsidRPr="00FD274F">
          <w:rPr>
            <w:rStyle w:val="Hyperlink"/>
          </w:rPr>
          <w:t>obpr@pmc.gov.au</w:t>
        </w:r>
      </w:hyperlink>
      <w:r w:rsidR="00727ED5" w:rsidRPr="00FD274F">
        <w:rPr>
          <w:rStyle w:val="Hyperlink"/>
        </w:rPr>
        <w:br/>
      </w:r>
      <w:r w:rsidR="00727ED5" w:rsidRPr="00FD274F">
        <w:t>(02) 6271 6270</w:t>
      </w:r>
    </w:p>
    <w:p w14:paraId="58D83F36" w14:textId="77777777" w:rsidR="00727ED5" w:rsidRPr="00FD274F" w:rsidRDefault="00727ED5" w:rsidP="00727ED5">
      <w:pPr>
        <w:pStyle w:val="Body"/>
        <w:spacing w:before="120"/>
      </w:pPr>
      <w:r w:rsidRPr="00FD274F">
        <w:rPr>
          <w:rFonts w:ascii="Arial" w:hAnsi="Arial" w:cs="Arial"/>
          <w:b/>
          <w:sz w:val="22"/>
          <w:szCs w:val="22"/>
        </w:rPr>
        <w:t>Office of Deregulation</w:t>
      </w:r>
    </w:p>
    <w:p w14:paraId="7AFDED41" w14:textId="200B73ED" w:rsidR="00727ED5" w:rsidRPr="00FD274F" w:rsidRDefault="00002BA2" w:rsidP="00727ED5">
      <w:pPr>
        <w:pStyle w:val="Body"/>
        <w:spacing w:before="120"/>
      </w:pPr>
      <w:hyperlink r:id="rId671" w:history="1">
        <w:r w:rsidR="00727ED5" w:rsidRPr="00FD274F">
          <w:rPr>
            <w:rStyle w:val="Hyperlink"/>
          </w:rPr>
          <w:t>officeofderegulation@pmc.gov.au</w:t>
        </w:r>
      </w:hyperlink>
    </w:p>
    <w:p w14:paraId="7A83D35E"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Federal Executive Council Secretariat</w:t>
      </w:r>
    </w:p>
    <w:p w14:paraId="2E50A79F" w14:textId="726B1473" w:rsidR="00727ED5" w:rsidRPr="00FD274F" w:rsidRDefault="00002BA2" w:rsidP="00727ED5">
      <w:pPr>
        <w:pStyle w:val="Body"/>
        <w:spacing w:before="120"/>
      </w:pPr>
      <w:hyperlink r:id="rId672" w:history="1">
        <w:r w:rsidR="00727ED5" w:rsidRPr="00FD274F">
          <w:rPr>
            <w:rStyle w:val="Hyperlink"/>
          </w:rPr>
          <w:t>exco@pmc.gov.au</w:t>
        </w:r>
      </w:hyperlink>
      <w:r w:rsidR="00727ED5" w:rsidRPr="00FD274F">
        <w:br/>
        <w:t>(02) 6271 5779</w:t>
      </w:r>
    </w:p>
    <w:p w14:paraId="673B5CF2"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Tabling of non</w:t>
      </w:r>
      <w:r w:rsidR="009C4251">
        <w:rPr>
          <w:rFonts w:ascii="Arial" w:hAnsi="Arial" w:cs="Arial"/>
          <w:b/>
          <w:sz w:val="22"/>
          <w:szCs w:val="22"/>
        </w:rPr>
        <w:noBreakHyphen/>
      </w:r>
      <w:r w:rsidR="000D63D1" w:rsidRPr="00FD274F">
        <w:rPr>
          <w:rFonts w:ascii="Arial" w:hAnsi="Arial" w:cs="Arial"/>
          <w:b/>
          <w:sz w:val="22"/>
          <w:szCs w:val="22"/>
        </w:rPr>
        <w:t>Register</w:t>
      </w:r>
      <w:r w:rsidRPr="00FD274F">
        <w:rPr>
          <w:rFonts w:ascii="Arial" w:hAnsi="Arial" w:cs="Arial"/>
          <w:b/>
          <w:sz w:val="22"/>
          <w:szCs w:val="22"/>
        </w:rPr>
        <w:t xml:space="preserve"> documents</w:t>
      </w:r>
    </w:p>
    <w:p w14:paraId="6B69961D" w14:textId="10FC7950" w:rsidR="00727ED5" w:rsidRPr="00FD274F" w:rsidRDefault="00002BA2" w:rsidP="00727ED5">
      <w:pPr>
        <w:pStyle w:val="Body"/>
        <w:spacing w:before="120"/>
      </w:pPr>
      <w:hyperlink r:id="rId673" w:history="1">
        <w:r w:rsidR="00727ED5" w:rsidRPr="00FD274F">
          <w:rPr>
            <w:rStyle w:val="Hyperlink"/>
          </w:rPr>
          <w:t>tabling@pmc.gov.au</w:t>
        </w:r>
      </w:hyperlink>
      <w:r w:rsidR="00727ED5" w:rsidRPr="00FD274F">
        <w:br/>
        <w:t>(02) 6277 7212</w:t>
      </w:r>
    </w:p>
    <w:p w14:paraId="4CB0CD72" w14:textId="77777777" w:rsidR="00727ED5" w:rsidRPr="00FD274F" w:rsidRDefault="00727ED5" w:rsidP="004855B6">
      <w:pPr>
        <w:pStyle w:val="Head3"/>
        <w:spacing w:after="0"/>
        <w:rPr>
          <w:rFonts w:cs="Arial"/>
          <w:b w:val="0"/>
          <w:i w:val="0"/>
          <w:szCs w:val="26"/>
        </w:rPr>
      </w:pPr>
      <w:bookmarkStart w:id="266" w:name="_Toc112918873"/>
      <w:r w:rsidRPr="00FD274F">
        <w:t>Parliamentary committees</w:t>
      </w:r>
      <w:bookmarkEnd w:id="266"/>
    </w:p>
    <w:p w14:paraId="35C67272"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Parliamentary Joint Committee on Human Rights</w:t>
      </w:r>
    </w:p>
    <w:p w14:paraId="192145B3" w14:textId="40C6BD84" w:rsidR="00727ED5" w:rsidRPr="00FD274F" w:rsidRDefault="00002BA2" w:rsidP="00727ED5">
      <w:pPr>
        <w:pStyle w:val="Body"/>
        <w:spacing w:before="120"/>
      </w:pPr>
      <w:hyperlink r:id="rId674" w:history="1">
        <w:r w:rsidR="00727ED5" w:rsidRPr="00FD274F">
          <w:rPr>
            <w:rStyle w:val="Hyperlink"/>
          </w:rPr>
          <w:t>human.rights@aph.gov.au</w:t>
        </w:r>
      </w:hyperlink>
      <w:r w:rsidR="00727ED5" w:rsidRPr="00FD274F">
        <w:br/>
        <w:t>(02) 6277 3823</w:t>
      </w:r>
    </w:p>
    <w:p w14:paraId="2C7BA60A"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 xml:space="preserve">Senate Standing Committee </w:t>
      </w:r>
      <w:r w:rsidR="00A16959">
        <w:rPr>
          <w:rFonts w:ascii="Arial" w:hAnsi="Arial" w:cs="Arial"/>
          <w:b/>
          <w:sz w:val="22"/>
          <w:szCs w:val="22"/>
        </w:rPr>
        <w:t>for the Scrutiny of Delegated Legislation</w:t>
      </w:r>
    </w:p>
    <w:p w14:paraId="1E9DA873" w14:textId="77777777" w:rsidR="00306B5E" w:rsidRPr="00FD274F" w:rsidRDefault="00A16959" w:rsidP="002366E2">
      <w:pPr>
        <w:pStyle w:val="Body"/>
        <w:spacing w:before="120"/>
        <w:sectPr w:rsidR="00306B5E" w:rsidRPr="00FD274F" w:rsidSect="00590636">
          <w:footerReference w:type="even" r:id="rId675"/>
          <w:footerReference w:type="default" r:id="rId676"/>
          <w:headerReference w:type="first" r:id="rId677"/>
          <w:footerReference w:type="first" r:id="rId678"/>
          <w:type w:val="continuous"/>
          <w:pgSz w:w="11907" w:h="16839" w:code="9"/>
          <w:pgMar w:top="1440" w:right="1440" w:bottom="1440" w:left="1440" w:header="720" w:footer="567" w:gutter="0"/>
          <w:cols w:num="2" w:sep="1" w:space="567"/>
          <w:docGrid w:linePitch="360"/>
        </w:sectPr>
      </w:pPr>
      <w:r>
        <w:t>sdlc.sen@aph.gov.au</w:t>
      </w:r>
      <w:r w:rsidR="00727ED5" w:rsidRPr="00FD274F">
        <w:br/>
        <w:t>(02) 6277 3066</w:t>
      </w:r>
    </w:p>
    <w:p w14:paraId="2153FCF3" w14:textId="77777777" w:rsidR="00306B5E" w:rsidRPr="00FD274F" w:rsidRDefault="00306B5E" w:rsidP="00306B5E">
      <w:pPr>
        <w:pStyle w:val="Head2"/>
      </w:pPr>
      <w:bookmarkStart w:id="267" w:name="_Toc112918874"/>
      <w:r w:rsidRPr="00FD274F">
        <w:lastRenderedPageBreak/>
        <w:t>Document history</w:t>
      </w:r>
      <w:bookmarkEnd w:id="267"/>
    </w:p>
    <w:p w14:paraId="2E1BC075" w14:textId="77777777" w:rsidR="00F6117F" w:rsidRPr="00FD274F" w:rsidRDefault="00F6117F" w:rsidP="00F6117F">
      <w:pPr>
        <w:pStyle w:val="BodyNum"/>
        <w:numPr>
          <w:ilvl w:val="0"/>
          <w:numId w:val="0"/>
        </w:numPr>
      </w:pPr>
    </w:p>
    <w:tbl>
      <w:tblPr>
        <w:tblW w:w="9027"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3009"/>
        <w:gridCol w:w="3009"/>
        <w:gridCol w:w="3009"/>
      </w:tblGrid>
      <w:tr w:rsidR="00F6117F" w:rsidRPr="00FD274F" w14:paraId="6736A747" w14:textId="77777777" w:rsidTr="00A16959">
        <w:trPr>
          <w:tblHeader/>
        </w:trPr>
        <w:tc>
          <w:tcPr>
            <w:tcW w:w="9027" w:type="dxa"/>
            <w:gridSpan w:val="3"/>
            <w:tcBorders>
              <w:top w:val="single" w:sz="12" w:space="0" w:color="auto"/>
              <w:bottom w:val="single" w:sz="6" w:space="0" w:color="auto"/>
            </w:tcBorders>
            <w:shd w:val="clear" w:color="auto" w:fill="auto"/>
            <w:hideMark/>
          </w:tcPr>
          <w:p w14:paraId="79B31B99" w14:textId="77777777" w:rsidR="00F6117F" w:rsidRPr="00FD274F" w:rsidRDefault="00F6117F" w:rsidP="00805ED3">
            <w:pPr>
              <w:pStyle w:val="Tabletext"/>
              <w:keepNext/>
              <w:rPr>
                <w:b/>
                <w:lang w:eastAsia="en-US"/>
              </w:rPr>
            </w:pPr>
            <w:r w:rsidRPr="00FD274F">
              <w:rPr>
                <w:b/>
                <w:lang w:eastAsia="en-US"/>
              </w:rPr>
              <w:t>Document History</w:t>
            </w:r>
          </w:p>
        </w:tc>
      </w:tr>
      <w:tr w:rsidR="00F6117F" w:rsidRPr="00FD274F" w14:paraId="5147DAF8" w14:textId="77777777" w:rsidTr="00A16959">
        <w:trPr>
          <w:tblHeader/>
        </w:trPr>
        <w:tc>
          <w:tcPr>
            <w:tcW w:w="3009" w:type="dxa"/>
            <w:tcBorders>
              <w:top w:val="single" w:sz="6" w:space="0" w:color="auto"/>
              <w:bottom w:val="single" w:sz="12" w:space="0" w:color="auto"/>
            </w:tcBorders>
            <w:shd w:val="clear" w:color="auto" w:fill="auto"/>
            <w:hideMark/>
          </w:tcPr>
          <w:p w14:paraId="36BC41CF" w14:textId="77777777" w:rsidR="00F6117F" w:rsidRPr="00FD274F" w:rsidRDefault="00F6117F" w:rsidP="00805ED3">
            <w:pPr>
              <w:pStyle w:val="Tabletext"/>
              <w:keepNext/>
              <w:rPr>
                <w:b/>
                <w:lang w:eastAsia="en-US"/>
              </w:rPr>
            </w:pPr>
            <w:r w:rsidRPr="00FD274F">
              <w:rPr>
                <w:b/>
                <w:lang w:eastAsia="en-US"/>
              </w:rPr>
              <w:t>Release</w:t>
            </w:r>
          </w:p>
        </w:tc>
        <w:tc>
          <w:tcPr>
            <w:tcW w:w="3009" w:type="dxa"/>
            <w:tcBorders>
              <w:top w:val="single" w:sz="6" w:space="0" w:color="auto"/>
              <w:bottom w:val="single" w:sz="12" w:space="0" w:color="auto"/>
            </w:tcBorders>
            <w:shd w:val="clear" w:color="auto" w:fill="auto"/>
            <w:hideMark/>
          </w:tcPr>
          <w:p w14:paraId="6F357511" w14:textId="77777777" w:rsidR="00F6117F" w:rsidRPr="00FD274F" w:rsidRDefault="00F6117F" w:rsidP="00805ED3">
            <w:pPr>
              <w:pStyle w:val="Tabletext"/>
              <w:keepNext/>
              <w:rPr>
                <w:b/>
                <w:lang w:eastAsia="en-US"/>
              </w:rPr>
            </w:pPr>
            <w:r w:rsidRPr="00FD274F">
              <w:rPr>
                <w:b/>
                <w:lang w:eastAsia="en-US"/>
              </w:rPr>
              <w:t>Release date</w:t>
            </w:r>
          </w:p>
        </w:tc>
        <w:tc>
          <w:tcPr>
            <w:tcW w:w="3009" w:type="dxa"/>
            <w:tcBorders>
              <w:top w:val="single" w:sz="6" w:space="0" w:color="auto"/>
              <w:bottom w:val="single" w:sz="12" w:space="0" w:color="auto"/>
            </w:tcBorders>
            <w:shd w:val="clear" w:color="auto" w:fill="auto"/>
            <w:hideMark/>
          </w:tcPr>
          <w:p w14:paraId="70D90954" w14:textId="77777777" w:rsidR="00F6117F" w:rsidRPr="00FD274F" w:rsidRDefault="00F6117F" w:rsidP="00805ED3">
            <w:pPr>
              <w:pStyle w:val="Tabletext"/>
              <w:keepNext/>
              <w:rPr>
                <w:b/>
                <w:lang w:eastAsia="en-US"/>
              </w:rPr>
            </w:pPr>
            <w:r w:rsidRPr="00FD274F">
              <w:rPr>
                <w:b/>
                <w:lang w:eastAsia="en-US"/>
              </w:rPr>
              <w:t>Document number</w:t>
            </w:r>
          </w:p>
        </w:tc>
      </w:tr>
      <w:tr w:rsidR="00F6117F" w:rsidRPr="00FD274F" w14:paraId="39699E81" w14:textId="77777777" w:rsidTr="00A16959">
        <w:tc>
          <w:tcPr>
            <w:tcW w:w="3009" w:type="dxa"/>
            <w:tcBorders>
              <w:top w:val="single" w:sz="12" w:space="0" w:color="auto"/>
            </w:tcBorders>
            <w:shd w:val="clear" w:color="auto" w:fill="auto"/>
            <w:hideMark/>
          </w:tcPr>
          <w:p w14:paraId="4CA834E2" w14:textId="77777777" w:rsidR="00F6117F" w:rsidRPr="00FD274F" w:rsidRDefault="00F6117F" w:rsidP="00805ED3">
            <w:pPr>
              <w:pStyle w:val="Tabletext"/>
              <w:rPr>
                <w:lang w:eastAsia="en-US"/>
              </w:rPr>
            </w:pPr>
            <w:r w:rsidRPr="00FD274F">
              <w:rPr>
                <w:lang w:eastAsia="en-US"/>
              </w:rPr>
              <w:t>1.0</w:t>
            </w:r>
          </w:p>
        </w:tc>
        <w:tc>
          <w:tcPr>
            <w:tcW w:w="3009" w:type="dxa"/>
            <w:tcBorders>
              <w:top w:val="single" w:sz="12" w:space="0" w:color="auto"/>
            </w:tcBorders>
            <w:shd w:val="clear" w:color="auto" w:fill="auto"/>
            <w:hideMark/>
          </w:tcPr>
          <w:p w14:paraId="6C01A54E" w14:textId="77777777" w:rsidR="00F6117F" w:rsidRPr="00FD274F" w:rsidRDefault="00F6117F" w:rsidP="00805ED3">
            <w:pPr>
              <w:pStyle w:val="Tabletext"/>
              <w:rPr>
                <w:lang w:eastAsia="en-US"/>
              </w:rPr>
            </w:pPr>
            <w:r w:rsidRPr="00FD274F">
              <w:rPr>
                <w:lang w:eastAsia="en-US"/>
              </w:rPr>
              <w:t>December 2004</w:t>
            </w:r>
          </w:p>
        </w:tc>
        <w:tc>
          <w:tcPr>
            <w:tcW w:w="3009" w:type="dxa"/>
            <w:tcBorders>
              <w:top w:val="single" w:sz="12" w:space="0" w:color="auto"/>
            </w:tcBorders>
            <w:shd w:val="clear" w:color="auto" w:fill="auto"/>
            <w:hideMark/>
          </w:tcPr>
          <w:p w14:paraId="162F8E0F" w14:textId="77777777" w:rsidR="00F6117F" w:rsidRPr="00FD274F" w:rsidRDefault="00F6117F" w:rsidP="00805ED3">
            <w:pPr>
              <w:pStyle w:val="Tabletext"/>
              <w:rPr>
                <w:lang w:eastAsia="en-US"/>
              </w:rPr>
            </w:pPr>
            <w:r w:rsidRPr="00FD274F">
              <w:rPr>
                <w:lang w:eastAsia="en-US"/>
              </w:rPr>
              <w:t>Not applicable</w:t>
            </w:r>
          </w:p>
        </w:tc>
      </w:tr>
      <w:tr w:rsidR="00F6117F" w:rsidRPr="00FD274F" w14:paraId="36A6BD75" w14:textId="77777777" w:rsidTr="00A16959">
        <w:tc>
          <w:tcPr>
            <w:tcW w:w="3009" w:type="dxa"/>
            <w:shd w:val="clear" w:color="auto" w:fill="auto"/>
          </w:tcPr>
          <w:p w14:paraId="23F29887" w14:textId="77777777" w:rsidR="00F6117F" w:rsidRPr="00FD274F" w:rsidRDefault="00F6117F" w:rsidP="00805ED3">
            <w:pPr>
              <w:pStyle w:val="Tabletext"/>
              <w:rPr>
                <w:lang w:eastAsia="en-US"/>
              </w:rPr>
            </w:pPr>
            <w:r w:rsidRPr="00FD274F">
              <w:rPr>
                <w:lang w:eastAsia="en-US"/>
              </w:rPr>
              <w:t>2.0</w:t>
            </w:r>
          </w:p>
        </w:tc>
        <w:tc>
          <w:tcPr>
            <w:tcW w:w="3009" w:type="dxa"/>
            <w:shd w:val="clear" w:color="auto" w:fill="auto"/>
          </w:tcPr>
          <w:p w14:paraId="2CD22878" w14:textId="77777777" w:rsidR="00F6117F" w:rsidRPr="00FD274F" w:rsidRDefault="00F6117F" w:rsidP="00805ED3">
            <w:pPr>
              <w:pStyle w:val="Tabletext"/>
              <w:rPr>
                <w:lang w:eastAsia="en-US"/>
              </w:rPr>
            </w:pPr>
            <w:r w:rsidRPr="00FD274F">
              <w:rPr>
                <w:lang w:eastAsia="en-US"/>
              </w:rPr>
              <w:t>May 2014</w:t>
            </w:r>
          </w:p>
        </w:tc>
        <w:tc>
          <w:tcPr>
            <w:tcW w:w="3009" w:type="dxa"/>
            <w:shd w:val="clear" w:color="auto" w:fill="auto"/>
          </w:tcPr>
          <w:p w14:paraId="15674AA1" w14:textId="77777777" w:rsidR="00F6117F" w:rsidRPr="00FD274F" w:rsidRDefault="00F6117F" w:rsidP="00805ED3">
            <w:pPr>
              <w:pStyle w:val="Tabletext"/>
              <w:rPr>
                <w:lang w:eastAsia="en-US"/>
              </w:rPr>
            </w:pPr>
            <w:r w:rsidRPr="00FD274F">
              <w:rPr>
                <w:lang w:eastAsia="en-US"/>
              </w:rPr>
              <w:t>M13MW111.V25.DOCX</w:t>
            </w:r>
          </w:p>
        </w:tc>
      </w:tr>
      <w:tr w:rsidR="00F6117F" w:rsidRPr="00FD274F" w14:paraId="4AD95F40" w14:textId="77777777" w:rsidTr="00A16959">
        <w:tc>
          <w:tcPr>
            <w:tcW w:w="3009" w:type="dxa"/>
            <w:shd w:val="clear" w:color="auto" w:fill="auto"/>
            <w:hideMark/>
          </w:tcPr>
          <w:p w14:paraId="35BF0978" w14:textId="77777777" w:rsidR="00F6117F" w:rsidRPr="00FD274F" w:rsidRDefault="00F6117F" w:rsidP="00805ED3">
            <w:pPr>
              <w:pStyle w:val="Tabletext"/>
              <w:rPr>
                <w:lang w:eastAsia="en-US"/>
              </w:rPr>
            </w:pPr>
            <w:r w:rsidRPr="00FD274F">
              <w:rPr>
                <w:lang w:eastAsia="en-US"/>
              </w:rPr>
              <w:t>2.1</w:t>
            </w:r>
          </w:p>
        </w:tc>
        <w:tc>
          <w:tcPr>
            <w:tcW w:w="3009" w:type="dxa"/>
            <w:shd w:val="clear" w:color="auto" w:fill="auto"/>
            <w:hideMark/>
          </w:tcPr>
          <w:p w14:paraId="7CDB23DF" w14:textId="77777777" w:rsidR="00F6117F" w:rsidRPr="00FD274F" w:rsidRDefault="00F6117F" w:rsidP="00805ED3">
            <w:pPr>
              <w:pStyle w:val="Tabletext"/>
              <w:rPr>
                <w:lang w:eastAsia="en-US"/>
              </w:rPr>
            </w:pPr>
            <w:r w:rsidRPr="00FD274F">
              <w:rPr>
                <w:lang w:eastAsia="en-US"/>
              </w:rPr>
              <w:t>December 2015</w:t>
            </w:r>
          </w:p>
        </w:tc>
        <w:tc>
          <w:tcPr>
            <w:tcW w:w="3009" w:type="dxa"/>
            <w:shd w:val="clear" w:color="auto" w:fill="auto"/>
            <w:hideMark/>
          </w:tcPr>
          <w:p w14:paraId="7DFC15B3" w14:textId="77777777" w:rsidR="00F6117F" w:rsidRPr="00FD274F" w:rsidRDefault="00F6117F" w:rsidP="00805ED3">
            <w:pPr>
              <w:pStyle w:val="Tabletext"/>
              <w:rPr>
                <w:lang w:eastAsia="en-US"/>
              </w:rPr>
            </w:pPr>
            <w:r w:rsidRPr="00FD274F">
              <w:rPr>
                <w:lang w:eastAsia="en-US"/>
              </w:rPr>
              <w:t>M15JF133.V04.DOCX</w:t>
            </w:r>
          </w:p>
        </w:tc>
      </w:tr>
      <w:tr w:rsidR="00F6117F" w:rsidRPr="00FD274F" w14:paraId="29E0B0C0" w14:textId="77777777" w:rsidTr="00A16959">
        <w:tc>
          <w:tcPr>
            <w:tcW w:w="3009" w:type="dxa"/>
            <w:shd w:val="clear" w:color="auto" w:fill="auto"/>
          </w:tcPr>
          <w:p w14:paraId="1027F165" w14:textId="77777777" w:rsidR="00F6117F" w:rsidRPr="00FD274F" w:rsidRDefault="00F6117F" w:rsidP="00805ED3">
            <w:pPr>
              <w:pStyle w:val="Tabletext"/>
              <w:rPr>
                <w:lang w:eastAsia="en-US"/>
              </w:rPr>
            </w:pPr>
            <w:r w:rsidRPr="00FD274F">
              <w:rPr>
                <w:lang w:eastAsia="en-US"/>
              </w:rPr>
              <w:t>3.0</w:t>
            </w:r>
          </w:p>
        </w:tc>
        <w:tc>
          <w:tcPr>
            <w:tcW w:w="3009" w:type="dxa"/>
            <w:shd w:val="clear" w:color="auto" w:fill="auto"/>
          </w:tcPr>
          <w:p w14:paraId="67646CAE" w14:textId="77777777" w:rsidR="00F6117F" w:rsidRPr="00FD274F" w:rsidRDefault="00F6117F" w:rsidP="00805ED3">
            <w:pPr>
              <w:pStyle w:val="Tabletext"/>
              <w:rPr>
                <w:lang w:eastAsia="en-US"/>
              </w:rPr>
            </w:pPr>
            <w:r w:rsidRPr="00FD274F">
              <w:rPr>
                <w:lang w:eastAsia="en-US"/>
              </w:rPr>
              <w:t>July 2016</w:t>
            </w:r>
          </w:p>
        </w:tc>
        <w:tc>
          <w:tcPr>
            <w:tcW w:w="3009" w:type="dxa"/>
            <w:shd w:val="clear" w:color="auto" w:fill="auto"/>
          </w:tcPr>
          <w:p w14:paraId="12AA49DF" w14:textId="77777777" w:rsidR="00F6117F" w:rsidRPr="00FD274F" w:rsidRDefault="00F6117F" w:rsidP="00805ED3">
            <w:pPr>
              <w:pStyle w:val="Tabletext"/>
              <w:rPr>
                <w:lang w:eastAsia="en-US"/>
              </w:rPr>
            </w:pPr>
            <w:r w:rsidRPr="00FD274F">
              <w:rPr>
                <w:lang w:eastAsia="en-US"/>
              </w:rPr>
              <w:t>M16JF136.V02.DOCX</w:t>
            </w:r>
          </w:p>
        </w:tc>
      </w:tr>
      <w:tr w:rsidR="00F6117F" w14:paraId="2DD5FB10" w14:textId="77777777" w:rsidTr="00A16959">
        <w:tc>
          <w:tcPr>
            <w:tcW w:w="3009" w:type="dxa"/>
            <w:shd w:val="clear" w:color="auto" w:fill="auto"/>
          </w:tcPr>
          <w:p w14:paraId="2BE98D31" w14:textId="77777777" w:rsidR="00F6117F" w:rsidRPr="00FD274F" w:rsidRDefault="00F6117F" w:rsidP="00805ED3">
            <w:pPr>
              <w:pStyle w:val="Tabletext"/>
              <w:rPr>
                <w:lang w:eastAsia="en-US"/>
              </w:rPr>
            </w:pPr>
            <w:r w:rsidRPr="00FD274F">
              <w:rPr>
                <w:lang w:eastAsia="en-US"/>
              </w:rPr>
              <w:t>3.1</w:t>
            </w:r>
          </w:p>
        </w:tc>
        <w:tc>
          <w:tcPr>
            <w:tcW w:w="3009" w:type="dxa"/>
            <w:shd w:val="clear" w:color="auto" w:fill="auto"/>
          </w:tcPr>
          <w:p w14:paraId="39DA69AB" w14:textId="77777777" w:rsidR="00F6117F" w:rsidRPr="00FD274F" w:rsidRDefault="00F6117F" w:rsidP="00805ED3">
            <w:pPr>
              <w:pStyle w:val="Tabletext"/>
              <w:rPr>
                <w:lang w:eastAsia="en-US"/>
              </w:rPr>
            </w:pPr>
            <w:r>
              <w:rPr>
                <w:lang w:eastAsia="en-US"/>
              </w:rPr>
              <w:t>March</w:t>
            </w:r>
            <w:r w:rsidRPr="00FD274F">
              <w:rPr>
                <w:lang w:eastAsia="en-US"/>
              </w:rPr>
              <w:t xml:space="preserve"> 2017</w:t>
            </w:r>
          </w:p>
        </w:tc>
        <w:tc>
          <w:tcPr>
            <w:tcW w:w="3009" w:type="dxa"/>
            <w:shd w:val="clear" w:color="auto" w:fill="auto"/>
          </w:tcPr>
          <w:p w14:paraId="0B1488EF" w14:textId="77777777" w:rsidR="00F6117F" w:rsidRPr="00FD274F" w:rsidRDefault="00F6117F" w:rsidP="00805ED3">
            <w:pPr>
              <w:pStyle w:val="Tabletext"/>
              <w:rPr>
                <w:lang w:eastAsia="en-US"/>
              </w:rPr>
            </w:pPr>
            <w:r w:rsidRPr="00FD274F">
              <w:rPr>
                <w:lang w:eastAsia="en-US"/>
              </w:rPr>
              <w:t>M17JF142.</w:t>
            </w:r>
            <w:r>
              <w:rPr>
                <w:lang w:eastAsia="en-US"/>
              </w:rPr>
              <w:t>V05</w:t>
            </w:r>
            <w:r w:rsidR="001C16FE">
              <w:rPr>
                <w:lang w:eastAsia="en-US"/>
              </w:rPr>
              <w:t>.</w:t>
            </w:r>
            <w:r w:rsidRPr="00FD274F">
              <w:rPr>
                <w:lang w:eastAsia="en-US"/>
              </w:rPr>
              <w:t>DOCX</w:t>
            </w:r>
          </w:p>
        </w:tc>
      </w:tr>
      <w:tr w:rsidR="00F6117F" w14:paraId="1FF2F055" w14:textId="77777777" w:rsidTr="00A16959">
        <w:tc>
          <w:tcPr>
            <w:tcW w:w="3009" w:type="dxa"/>
            <w:shd w:val="clear" w:color="auto" w:fill="auto"/>
          </w:tcPr>
          <w:p w14:paraId="050D5E2C" w14:textId="77777777" w:rsidR="00F6117F" w:rsidRPr="000C6703" w:rsidRDefault="00F6117F" w:rsidP="00805ED3">
            <w:pPr>
              <w:pStyle w:val="Tabletext"/>
              <w:rPr>
                <w:lang w:eastAsia="en-US"/>
              </w:rPr>
            </w:pPr>
            <w:r w:rsidRPr="000C6703">
              <w:rPr>
                <w:lang w:eastAsia="en-US"/>
              </w:rPr>
              <w:t>3.2</w:t>
            </w:r>
          </w:p>
        </w:tc>
        <w:tc>
          <w:tcPr>
            <w:tcW w:w="3009" w:type="dxa"/>
            <w:shd w:val="clear" w:color="auto" w:fill="auto"/>
          </w:tcPr>
          <w:p w14:paraId="6CE26ACA" w14:textId="77777777" w:rsidR="00F6117F" w:rsidRPr="000C6703" w:rsidRDefault="00F6117F" w:rsidP="00805ED3">
            <w:pPr>
              <w:pStyle w:val="Tabletext"/>
              <w:rPr>
                <w:lang w:eastAsia="en-US"/>
              </w:rPr>
            </w:pPr>
            <w:r w:rsidRPr="000C6703">
              <w:rPr>
                <w:lang w:eastAsia="en-US"/>
              </w:rPr>
              <w:t>March 2018</w:t>
            </w:r>
          </w:p>
        </w:tc>
        <w:tc>
          <w:tcPr>
            <w:tcW w:w="3009" w:type="dxa"/>
            <w:shd w:val="clear" w:color="auto" w:fill="auto"/>
          </w:tcPr>
          <w:p w14:paraId="4527B90D" w14:textId="77777777" w:rsidR="00F6117F" w:rsidRPr="00FD274F" w:rsidRDefault="00F6117F" w:rsidP="00805ED3">
            <w:pPr>
              <w:pStyle w:val="Tabletext"/>
              <w:rPr>
                <w:lang w:eastAsia="en-US"/>
              </w:rPr>
            </w:pPr>
            <w:r w:rsidRPr="00FD274F">
              <w:rPr>
                <w:lang w:eastAsia="en-US"/>
              </w:rPr>
              <w:t>M17JF142.</w:t>
            </w:r>
            <w:r>
              <w:rPr>
                <w:lang w:eastAsia="en-US"/>
              </w:rPr>
              <w:t>V11</w:t>
            </w:r>
            <w:r w:rsidR="001C16FE">
              <w:rPr>
                <w:lang w:eastAsia="en-US"/>
              </w:rPr>
              <w:t>.</w:t>
            </w:r>
            <w:r w:rsidRPr="00FD274F">
              <w:rPr>
                <w:lang w:eastAsia="en-US"/>
              </w:rPr>
              <w:t>DOCX</w:t>
            </w:r>
          </w:p>
        </w:tc>
      </w:tr>
      <w:tr w:rsidR="00F6117F" w14:paraId="00D80665" w14:textId="77777777" w:rsidTr="00A16959">
        <w:tc>
          <w:tcPr>
            <w:tcW w:w="3009" w:type="dxa"/>
            <w:shd w:val="clear" w:color="auto" w:fill="auto"/>
          </w:tcPr>
          <w:p w14:paraId="45FAA0BB" w14:textId="77777777" w:rsidR="00F6117F" w:rsidRPr="000C6703" w:rsidRDefault="00F6117F" w:rsidP="00805ED3">
            <w:pPr>
              <w:pStyle w:val="Tabletext"/>
              <w:rPr>
                <w:lang w:eastAsia="en-US"/>
              </w:rPr>
            </w:pPr>
            <w:r>
              <w:rPr>
                <w:lang w:eastAsia="en-US"/>
              </w:rPr>
              <w:t>3.3</w:t>
            </w:r>
          </w:p>
        </w:tc>
        <w:tc>
          <w:tcPr>
            <w:tcW w:w="3009" w:type="dxa"/>
            <w:shd w:val="clear" w:color="auto" w:fill="auto"/>
          </w:tcPr>
          <w:p w14:paraId="3AF4F416" w14:textId="77777777" w:rsidR="00F6117F" w:rsidRPr="000C6703" w:rsidRDefault="00F6117F" w:rsidP="00805ED3">
            <w:pPr>
              <w:pStyle w:val="Tabletext"/>
              <w:rPr>
                <w:lang w:eastAsia="en-US"/>
              </w:rPr>
            </w:pPr>
            <w:r>
              <w:rPr>
                <w:lang w:eastAsia="en-US"/>
              </w:rPr>
              <w:t>June 2018</w:t>
            </w:r>
          </w:p>
        </w:tc>
        <w:tc>
          <w:tcPr>
            <w:tcW w:w="3009" w:type="dxa"/>
            <w:shd w:val="clear" w:color="auto" w:fill="auto"/>
          </w:tcPr>
          <w:p w14:paraId="6244B4C6" w14:textId="77777777" w:rsidR="00F6117F" w:rsidRPr="00FD274F" w:rsidRDefault="00F6117F" w:rsidP="00805ED3">
            <w:pPr>
              <w:pStyle w:val="Tabletext"/>
              <w:rPr>
                <w:lang w:eastAsia="en-US"/>
              </w:rPr>
            </w:pPr>
            <w:r w:rsidRPr="00FD274F">
              <w:rPr>
                <w:lang w:eastAsia="en-US"/>
              </w:rPr>
              <w:t>M17JF142.</w:t>
            </w:r>
            <w:r>
              <w:rPr>
                <w:lang w:eastAsia="en-US"/>
              </w:rPr>
              <w:t>V12</w:t>
            </w:r>
            <w:r w:rsidR="001C16FE">
              <w:rPr>
                <w:lang w:eastAsia="en-US"/>
              </w:rPr>
              <w:t>.</w:t>
            </w:r>
            <w:r w:rsidRPr="00FD274F">
              <w:rPr>
                <w:lang w:eastAsia="en-US"/>
              </w:rPr>
              <w:t>DOCX</w:t>
            </w:r>
          </w:p>
        </w:tc>
      </w:tr>
      <w:tr w:rsidR="00F6117F" w14:paraId="28875671" w14:textId="77777777" w:rsidTr="00A16959">
        <w:tc>
          <w:tcPr>
            <w:tcW w:w="3009" w:type="dxa"/>
            <w:shd w:val="clear" w:color="auto" w:fill="auto"/>
          </w:tcPr>
          <w:p w14:paraId="7A7A0AD5" w14:textId="77777777" w:rsidR="00F6117F" w:rsidRDefault="00F6117F" w:rsidP="00805ED3">
            <w:pPr>
              <w:pStyle w:val="Tabletext"/>
              <w:rPr>
                <w:lang w:eastAsia="en-US"/>
              </w:rPr>
            </w:pPr>
            <w:r>
              <w:rPr>
                <w:lang w:eastAsia="en-US"/>
              </w:rPr>
              <w:t>3.4</w:t>
            </w:r>
          </w:p>
        </w:tc>
        <w:tc>
          <w:tcPr>
            <w:tcW w:w="3009" w:type="dxa"/>
            <w:shd w:val="clear" w:color="auto" w:fill="auto"/>
          </w:tcPr>
          <w:p w14:paraId="36FE8BC9" w14:textId="77777777" w:rsidR="00F6117F" w:rsidRDefault="00F6117F" w:rsidP="00805ED3">
            <w:pPr>
              <w:pStyle w:val="Tabletext"/>
              <w:rPr>
                <w:lang w:eastAsia="en-US"/>
              </w:rPr>
            </w:pPr>
            <w:r>
              <w:rPr>
                <w:lang w:eastAsia="en-US"/>
              </w:rPr>
              <w:t>November 2018</w:t>
            </w:r>
          </w:p>
        </w:tc>
        <w:tc>
          <w:tcPr>
            <w:tcW w:w="3009" w:type="dxa"/>
            <w:shd w:val="clear" w:color="auto" w:fill="auto"/>
          </w:tcPr>
          <w:p w14:paraId="5E456D84" w14:textId="77777777" w:rsidR="00F6117F" w:rsidRPr="00FD274F" w:rsidRDefault="00F6117F" w:rsidP="00805ED3">
            <w:pPr>
              <w:pStyle w:val="Tabletext"/>
              <w:rPr>
                <w:lang w:eastAsia="en-US"/>
              </w:rPr>
            </w:pPr>
            <w:r w:rsidRPr="00FD274F">
              <w:rPr>
                <w:lang w:eastAsia="en-US"/>
              </w:rPr>
              <w:t>M17JF142.</w:t>
            </w:r>
            <w:r>
              <w:rPr>
                <w:lang w:eastAsia="en-US"/>
              </w:rPr>
              <w:t>V20</w:t>
            </w:r>
            <w:r w:rsidR="001C16FE">
              <w:rPr>
                <w:lang w:eastAsia="en-US"/>
              </w:rPr>
              <w:t>.</w:t>
            </w:r>
            <w:r w:rsidRPr="00FD274F">
              <w:rPr>
                <w:lang w:eastAsia="en-US"/>
              </w:rPr>
              <w:t>DOCX</w:t>
            </w:r>
          </w:p>
        </w:tc>
      </w:tr>
      <w:tr w:rsidR="00A16959" w14:paraId="741F2A54" w14:textId="77777777" w:rsidTr="00A16959">
        <w:tc>
          <w:tcPr>
            <w:tcW w:w="3009" w:type="dxa"/>
            <w:tcBorders>
              <w:bottom w:val="single" w:sz="2" w:space="0" w:color="auto"/>
            </w:tcBorders>
            <w:shd w:val="clear" w:color="auto" w:fill="auto"/>
          </w:tcPr>
          <w:p w14:paraId="6B0BFFB2" w14:textId="77777777" w:rsidR="00A16959" w:rsidRDefault="00A16959" w:rsidP="00805ED3">
            <w:pPr>
              <w:pStyle w:val="Tabletext"/>
              <w:rPr>
                <w:lang w:eastAsia="en-US"/>
              </w:rPr>
            </w:pPr>
            <w:r>
              <w:rPr>
                <w:lang w:eastAsia="en-US"/>
              </w:rPr>
              <w:t>3.5</w:t>
            </w:r>
          </w:p>
        </w:tc>
        <w:tc>
          <w:tcPr>
            <w:tcW w:w="3009" w:type="dxa"/>
            <w:tcBorders>
              <w:bottom w:val="single" w:sz="2" w:space="0" w:color="auto"/>
            </w:tcBorders>
            <w:shd w:val="clear" w:color="auto" w:fill="auto"/>
          </w:tcPr>
          <w:p w14:paraId="465D36EA" w14:textId="77777777" w:rsidR="00A16959" w:rsidRDefault="00A16959" w:rsidP="00805ED3">
            <w:pPr>
              <w:pStyle w:val="Tabletext"/>
              <w:rPr>
                <w:lang w:eastAsia="en-US"/>
              </w:rPr>
            </w:pPr>
            <w:r>
              <w:rPr>
                <w:lang w:eastAsia="en-US"/>
              </w:rPr>
              <w:t>May 2019</w:t>
            </w:r>
          </w:p>
        </w:tc>
        <w:tc>
          <w:tcPr>
            <w:tcW w:w="3009" w:type="dxa"/>
            <w:tcBorders>
              <w:bottom w:val="single" w:sz="2" w:space="0" w:color="auto"/>
            </w:tcBorders>
            <w:shd w:val="clear" w:color="auto" w:fill="auto"/>
          </w:tcPr>
          <w:p w14:paraId="0110948A" w14:textId="77777777" w:rsidR="00A16959" w:rsidRPr="00637CF2" w:rsidRDefault="00A16959" w:rsidP="00805ED3">
            <w:pPr>
              <w:pStyle w:val="Tabletext"/>
              <w:rPr>
                <w:lang w:eastAsia="en-US"/>
              </w:rPr>
            </w:pPr>
            <w:r w:rsidRPr="00637CF2">
              <w:rPr>
                <w:lang w:eastAsia="en-US"/>
              </w:rPr>
              <w:t>M17JF142.V24</w:t>
            </w:r>
            <w:r w:rsidR="001C16FE">
              <w:rPr>
                <w:lang w:eastAsia="en-US"/>
              </w:rPr>
              <w:t>.</w:t>
            </w:r>
            <w:r w:rsidRPr="00637CF2">
              <w:rPr>
                <w:lang w:eastAsia="en-US"/>
              </w:rPr>
              <w:t>DOCX</w:t>
            </w:r>
          </w:p>
        </w:tc>
      </w:tr>
      <w:tr w:rsidR="00F6117F" w14:paraId="7D9AE45A" w14:textId="77777777" w:rsidTr="00135AC2">
        <w:tc>
          <w:tcPr>
            <w:tcW w:w="3009" w:type="dxa"/>
            <w:tcBorders>
              <w:top w:val="single" w:sz="2" w:space="0" w:color="auto"/>
              <w:bottom w:val="single" w:sz="2" w:space="0" w:color="auto"/>
            </w:tcBorders>
            <w:shd w:val="clear" w:color="auto" w:fill="auto"/>
          </w:tcPr>
          <w:p w14:paraId="6AA7BB32" w14:textId="77777777" w:rsidR="00F6117F" w:rsidRDefault="009C4251" w:rsidP="00805ED3">
            <w:pPr>
              <w:pStyle w:val="Tabletext"/>
              <w:rPr>
                <w:lang w:eastAsia="en-US"/>
              </w:rPr>
            </w:pPr>
            <w:r>
              <w:rPr>
                <w:lang w:eastAsia="en-US"/>
              </w:rPr>
              <w:t>3.6</w:t>
            </w:r>
          </w:p>
        </w:tc>
        <w:tc>
          <w:tcPr>
            <w:tcW w:w="3009" w:type="dxa"/>
            <w:tcBorders>
              <w:top w:val="single" w:sz="2" w:space="0" w:color="auto"/>
              <w:bottom w:val="single" w:sz="2" w:space="0" w:color="auto"/>
            </w:tcBorders>
            <w:shd w:val="clear" w:color="auto" w:fill="auto"/>
          </w:tcPr>
          <w:p w14:paraId="3FC55B16" w14:textId="1632DE46" w:rsidR="00F6117F" w:rsidRDefault="009366F6" w:rsidP="00805ED3">
            <w:pPr>
              <w:pStyle w:val="Tabletext"/>
              <w:rPr>
                <w:lang w:eastAsia="en-US"/>
              </w:rPr>
            </w:pPr>
            <w:r>
              <w:rPr>
                <w:lang w:eastAsia="en-US"/>
              </w:rPr>
              <w:t xml:space="preserve">August </w:t>
            </w:r>
            <w:r w:rsidR="007B7E58">
              <w:rPr>
                <w:lang w:eastAsia="en-US"/>
              </w:rPr>
              <w:t>2022</w:t>
            </w:r>
          </w:p>
        </w:tc>
        <w:tc>
          <w:tcPr>
            <w:tcW w:w="3009" w:type="dxa"/>
            <w:tcBorders>
              <w:top w:val="single" w:sz="2" w:space="0" w:color="auto"/>
              <w:bottom w:val="single" w:sz="2" w:space="0" w:color="auto"/>
            </w:tcBorders>
            <w:shd w:val="clear" w:color="auto" w:fill="auto"/>
          </w:tcPr>
          <w:p w14:paraId="11442061" w14:textId="364DD815" w:rsidR="00F6117F" w:rsidRPr="00FD274F" w:rsidRDefault="007B7E58" w:rsidP="00805ED3">
            <w:pPr>
              <w:pStyle w:val="Tabletext"/>
              <w:rPr>
                <w:lang w:eastAsia="en-US"/>
              </w:rPr>
            </w:pPr>
            <w:r>
              <w:rPr>
                <w:lang w:eastAsia="en-US"/>
              </w:rPr>
              <w:t>M17JF142.V36.DOCX</w:t>
            </w:r>
          </w:p>
        </w:tc>
      </w:tr>
      <w:tr w:rsidR="00135AC2" w14:paraId="263C10E8" w14:textId="77777777" w:rsidTr="00A16959">
        <w:tc>
          <w:tcPr>
            <w:tcW w:w="3009" w:type="dxa"/>
            <w:tcBorders>
              <w:top w:val="single" w:sz="2" w:space="0" w:color="auto"/>
              <w:bottom w:val="single" w:sz="12" w:space="0" w:color="auto"/>
            </w:tcBorders>
            <w:shd w:val="clear" w:color="auto" w:fill="auto"/>
          </w:tcPr>
          <w:p w14:paraId="0FD0246A" w14:textId="0B3DCF05" w:rsidR="00135AC2" w:rsidRDefault="00135AC2" w:rsidP="00805ED3">
            <w:pPr>
              <w:pStyle w:val="Tabletext"/>
              <w:rPr>
                <w:lang w:eastAsia="en-US"/>
              </w:rPr>
            </w:pPr>
            <w:r>
              <w:rPr>
                <w:lang w:eastAsia="en-US"/>
              </w:rPr>
              <w:t>3.7</w:t>
            </w:r>
          </w:p>
        </w:tc>
        <w:tc>
          <w:tcPr>
            <w:tcW w:w="3009" w:type="dxa"/>
            <w:tcBorders>
              <w:top w:val="single" w:sz="2" w:space="0" w:color="auto"/>
              <w:bottom w:val="single" w:sz="12" w:space="0" w:color="auto"/>
            </w:tcBorders>
            <w:shd w:val="clear" w:color="auto" w:fill="auto"/>
          </w:tcPr>
          <w:p w14:paraId="3F11A7D0" w14:textId="36D56762" w:rsidR="00135AC2" w:rsidRDefault="00135AC2" w:rsidP="00805ED3">
            <w:pPr>
              <w:pStyle w:val="Tabletext"/>
              <w:rPr>
                <w:lang w:eastAsia="en-US"/>
              </w:rPr>
            </w:pPr>
            <w:r>
              <w:rPr>
                <w:lang w:eastAsia="en-US"/>
              </w:rPr>
              <w:t>September 2022</w:t>
            </w:r>
          </w:p>
        </w:tc>
        <w:tc>
          <w:tcPr>
            <w:tcW w:w="3009" w:type="dxa"/>
            <w:tcBorders>
              <w:top w:val="single" w:sz="2" w:space="0" w:color="auto"/>
              <w:bottom w:val="single" w:sz="12" w:space="0" w:color="auto"/>
            </w:tcBorders>
            <w:shd w:val="clear" w:color="auto" w:fill="auto"/>
          </w:tcPr>
          <w:p w14:paraId="235F9DF9" w14:textId="3E6246BF" w:rsidR="00135AC2" w:rsidRDefault="00135AC2" w:rsidP="00805ED3">
            <w:pPr>
              <w:pStyle w:val="Tabletext"/>
              <w:rPr>
                <w:lang w:eastAsia="en-US"/>
              </w:rPr>
            </w:pPr>
            <w:r>
              <w:rPr>
                <w:lang w:eastAsia="en-US"/>
              </w:rPr>
              <w:t>M17JF142.V40.DOCX</w:t>
            </w:r>
          </w:p>
        </w:tc>
      </w:tr>
    </w:tbl>
    <w:p w14:paraId="3A375CF6" w14:textId="77777777" w:rsidR="00A46E7A" w:rsidRPr="00A46E7A" w:rsidRDefault="00A46E7A" w:rsidP="00F6117F">
      <w:pPr>
        <w:pStyle w:val="Tabletext"/>
      </w:pPr>
    </w:p>
    <w:sectPr w:rsidR="00A46E7A" w:rsidRPr="00A46E7A" w:rsidSect="00590636">
      <w:pgSz w:w="11907" w:h="16839" w:code="9"/>
      <w:pgMar w:top="1440" w:right="1440" w:bottom="1440" w:left="1440" w:header="720" w:footer="567"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20461" w14:textId="77777777" w:rsidR="00430C30" w:rsidRDefault="00430C30" w:rsidP="00610D12">
      <w:pPr>
        <w:spacing w:line="240" w:lineRule="auto"/>
      </w:pPr>
      <w:r>
        <w:separator/>
      </w:r>
    </w:p>
  </w:endnote>
  <w:endnote w:type="continuationSeparator" w:id="0">
    <w:p w14:paraId="4D264B3C" w14:textId="77777777" w:rsidR="00430C30" w:rsidRDefault="00430C30" w:rsidP="00610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BF08C" w14:textId="77777777" w:rsidR="00430C30" w:rsidRDefault="00430C30" w:rsidP="00782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lxxxiv</w:t>
    </w:r>
    <w:r>
      <w:rPr>
        <w:rStyle w:val="PageNumber"/>
      </w:rPr>
      <w:fldChar w:fldCharType="end"/>
    </w:r>
  </w:p>
  <w:p w14:paraId="4BC7FD21" w14:textId="77777777" w:rsidR="00430C30" w:rsidRDefault="00430C30" w:rsidP="00782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9D77" w14:textId="77777777" w:rsidR="00430C30" w:rsidRDefault="00430C30" w:rsidP="00782976">
    <w:pPr>
      <w:tabs>
        <w:tab w:val="right" w:pos="8931"/>
      </w:tabs>
      <w:rPr>
        <w:sz w:val="16"/>
      </w:rPr>
    </w:pP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45455" w14:textId="77777777" w:rsidR="00430C30" w:rsidRDefault="00430C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D15E" w14:textId="77777777" w:rsidR="00430C30" w:rsidRPr="00E33C1C" w:rsidRDefault="00430C30"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430C30" w:rsidRPr="00550D22" w14:paraId="752F73B1" w14:textId="77777777" w:rsidTr="00746A03">
      <w:tc>
        <w:tcPr>
          <w:tcW w:w="1384" w:type="dxa"/>
          <w:tcBorders>
            <w:top w:val="nil"/>
            <w:left w:val="nil"/>
            <w:bottom w:val="nil"/>
            <w:right w:val="nil"/>
          </w:tcBorders>
          <w:shd w:val="clear" w:color="auto" w:fill="auto"/>
        </w:tcPr>
        <w:p w14:paraId="6E6CD0D9" w14:textId="77777777" w:rsidR="00430C30" w:rsidRPr="00AF024F" w:rsidRDefault="00430C30" w:rsidP="00746A03">
          <w:pPr>
            <w:spacing w:line="0" w:lineRule="atLeast"/>
            <w:rPr>
              <w:i/>
              <w:sz w:val="18"/>
            </w:rPr>
          </w:pPr>
          <w:r w:rsidRPr="00AF024F">
            <w:rPr>
              <w:i/>
              <w:sz w:val="18"/>
            </w:rPr>
            <w:fldChar w:fldCharType="begin"/>
          </w:r>
          <w:r w:rsidRPr="00AF024F">
            <w:rPr>
              <w:i/>
              <w:sz w:val="18"/>
            </w:rPr>
            <w:instrText xml:space="preserve"> PAGE </w:instrText>
          </w:r>
          <w:r w:rsidRPr="00AF024F">
            <w:rPr>
              <w:i/>
              <w:sz w:val="18"/>
            </w:rPr>
            <w:fldChar w:fldCharType="separate"/>
          </w:r>
          <w:r>
            <w:rPr>
              <w:i/>
              <w:noProof/>
              <w:sz w:val="18"/>
            </w:rPr>
            <w:t>84</w:t>
          </w:r>
          <w:r w:rsidRPr="00AF024F">
            <w:rPr>
              <w:i/>
              <w:sz w:val="18"/>
            </w:rPr>
            <w:fldChar w:fldCharType="end"/>
          </w:r>
        </w:p>
      </w:tc>
      <w:tc>
        <w:tcPr>
          <w:tcW w:w="6379" w:type="dxa"/>
          <w:tcBorders>
            <w:top w:val="nil"/>
            <w:left w:val="nil"/>
            <w:bottom w:val="nil"/>
            <w:right w:val="nil"/>
          </w:tcBorders>
          <w:shd w:val="clear" w:color="auto" w:fill="auto"/>
        </w:tcPr>
        <w:p w14:paraId="5F94FC88" w14:textId="31C531E8" w:rsidR="00430C30" w:rsidRPr="00550D22" w:rsidRDefault="00430C30" w:rsidP="00590636">
          <w:pPr>
            <w:spacing w:line="0" w:lineRule="atLeast"/>
            <w:jc w:val="center"/>
            <w:rPr>
              <w:sz w:val="18"/>
            </w:rPr>
          </w:pPr>
          <w:r>
            <w:rPr>
              <w:i/>
              <w:sz w:val="18"/>
            </w:rPr>
            <w:fldChar w:fldCharType="begin"/>
          </w:r>
          <w:r>
            <w:rPr>
              <w:i/>
              <w:sz w:val="18"/>
            </w:rPr>
            <w:instrText xml:space="preserve"> TITLE   \* MERGEFORMAT </w:instrText>
          </w:r>
          <w:r>
            <w:rPr>
              <w:i/>
              <w:sz w:val="18"/>
            </w:rPr>
            <w:fldChar w:fldCharType="separate"/>
          </w:r>
          <w:r>
            <w:rPr>
              <w:i/>
              <w:sz w:val="18"/>
            </w:rPr>
            <w:t>Instruments Handbook</w:t>
          </w:r>
          <w:r>
            <w:rPr>
              <w:i/>
              <w:sz w:val="18"/>
            </w:rPr>
            <w:fldChar w:fldCharType="end"/>
          </w:r>
        </w:p>
      </w:tc>
      <w:tc>
        <w:tcPr>
          <w:tcW w:w="1417" w:type="dxa"/>
          <w:tcBorders>
            <w:top w:val="nil"/>
            <w:left w:val="nil"/>
            <w:bottom w:val="nil"/>
            <w:right w:val="nil"/>
          </w:tcBorders>
          <w:shd w:val="clear" w:color="auto" w:fill="auto"/>
        </w:tcPr>
        <w:p w14:paraId="71A8D63A" w14:textId="77777777" w:rsidR="00430C30" w:rsidRPr="00550D22" w:rsidRDefault="00430C30" w:rsidP="00714D90">
          <w:pPr>
            <w:spacing w:line="0" w:lineRule="atLeast"/>
            <w:jc w:val="right"/>
            <w:rPr>
              <w:sz w:val="18"/>
            </w:rPr>
          </w:pPr>
        </w:p>
      </w:tc>
    </w:tr>
    <w:tr w:rsidR="00430C30" w:rsidRPr="00550D22" w14:paraId="2AB3C034" w14:textId="77777777"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14:paraId="38763A9F" w14:textId="77777777" w:rsidR="00430C30" w:rsidRPr="00550D22" w:rsidRDefault="00430C30" w:rsidP="00746A03">
          <w:pPr>
            <w:rPr>
              <w:sz w:val="18"/>
            </w:rPr>
          </w:pPr>
        </w:p>
      </w:tc>
    </w:tr>
  </w:tbl>
  <w:p w14:paraId="4CE14795" w14:textId="77777777" w:rsidR="00430C30" w:rsidRPr="00077A3C" w:rsidRDefault="00430C30" w:rsidP="00077A3C">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CB3B" w14:textId="77777777" w:rsidR="00430C30" w:rsidRPr="00E33C1C" w:rsidRDefault="00430C30"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430C30" w:rsidRPr="00550D22" w14:paraId="224CD280" w14:textId="77777777" w:rsidTr="00746A03">
      <w:tc>
        <w:tcPr>
          <w:tcW w:w="1384" w:type="dxa"/>
          <w:tcBorders>
            <w:top w:val="nil"/>
            <w:left w:val="nil"/>
            <w:bottom w:val="nil"/>
            <w:right w:val="nil"/>
          </w:tcBorders>
          <w:shd w:val="clear" w:color="auto" w:fill="auto"/>
        </w:tcPr>
        <w:p w14:paraId="34716C61" w14:textId="77777777" w:rsidR="00430C30" w:rsidRPr="00550D22" w:rsidRDefault="00430C30" w:rsidP="00746A03">
          <w:pPr>
            <w:spacing w:line="0" w:lineRule="atLeast"/>
            <w:rPr>
              <w:sz w:val="18"/>
            </w:rPr>
          </w:pPr>
        </w:p>
      </w:tc>
      <w:tc>
        <w:tcPr>
          <w:tcW w:w="6379" w:type="dxa"/>
          <w:tcBorders>
            <w:top w:val="nil"/>
            <w:left w:val="nil"/>
            <w:bottom w:val="nil"/>
            <w:right w:val="nil"/>
          </w:tcBorders>
          <w:shd w:val="clear" w:color="auto" w:fill="auto"/>
        </w:tcPr>
        <w:p w14:paraId="7E5785D3" w14:textId="412C1FF7" w:rsidR="00430C30" w:rsidRPr="00550D22" w:rsidRDefault="00430C30" w:rsidP="00613359">
          <w:pPr>
            <w:spacing w:line="0" w:lineRule="atLeast"/>
            <w:jc w:val="center"/>
            <w:rPr>
              <w:sz w:val="18"/>
            </w:rPr>
          </w:pPr>
          <w:r>
            <w:rPr>
              <w:i/>
              <w:sz w:val="18"/>
            </w:rPr>
            <w:fldChar w:fldCharType="begin"/>
          </w:r>
          <w:r>
            <w:rPr>
              <w:i/>
              <w:sz w:val="18"/>
            </w:rPr>
            <w:instrText xml:space="preserve"> TITLE   \* MERGEFORMAT </w:instrText>
          </w:r>
          <w:r>
            <w:rPr>
              <w:i/>
              <w:sz w:val="18"/>
            </w:rPr>
            <w:fldChar w:fldCharType="separate"/>
          </w:r>
          <w:r>
            <w:rPr>
              <w:i/>
              <w:sz w:val="18"/>
            </w:rPr>
            <w:t>Instruments Handbook</w:t>
          </w:r>
          <w:r>
            <w:rPr>
              <w:i/>
              <w:sz w:val="18"/>
            </w:rPr>
            <w:fldChar w:fldCharType="end"/>
          </w:r>
        </w:p>
      </w:tc>
      <w:tc>
        <w:tcPr>
          <w:tcW w:w="1417" w:type="dxa"/>
          <w:tcBorders>
            <w:top w:val="nil"/>
            <w:left w:val="nil"/>
            <w:bottom w:val="nil"/>
            <w:right w:val="nil"/>
          </w:tcBorders>
          <w:shd w:val="clear" w:color="auto" w:fill="auto"/>
        </w:tcPr>
        <w:p w14:paraId="7EB5DF84" w14:textId="77777777" w:rsidR="00430C30" w:rsidRPr="00550D22" w:rsidRDefault="00430C30" w:rsidP="00746A03">
          <w:pPr>
            <w:spacing w:line="0" w:lineRule="atLeast"/>
            <w:jc w:val="right"/>
            <w:rPr>
              <w:sz w:val="18"/>
            </w:rPr>
          </w:pPr>
          <w:r w:rsidRPr="00491DA1">
            <w:rPr>
              <w:i/>
              <w:sz w:val="18"/>
            </w:rPr>
            <w:fldChar w:fldCharType="begin"/>
          </w:r>
          <w:r w:rsidRPr="00491DA1">
            <w:rPr>
              <w:i/>
              <w:sz w:val="18"/>
            </w:rPr>
            <w:instrText xml:space="preserve"> PAGE   \* MERGEFORMAT </w:instrText>
          </w:r>
          <w:r w:rsidRPr="00491DA1">
            <w:rPr>
              <w:i/>
              <w:sz w:val="18"/>
            </w:rPr>
            <w:fldChar w:fldCharType="separate"/>
          </w:r>
          <w:r>
            <w:rPr>
              <w:i/>
              <w:noProof/>
              <w:sz w:val="18"/>
            </w:rPr>
            <w:t>58</w:t>
          </w:r>
          <w:r w:rsidRPr="00491DA1">
            <w:rPr>
              <w:i/>
              <w:noProof/>
              <w:sz w:val="18"/>
            </w:rPr>
            <w:fldChar w:fldCharType="end"/>
          </w:r>
        </w:p>
      </w:tc>
    </w:tr>
    <w:tr w:rsidR="00430C30" w:rsidRPr="00550D22" w14:paraId="07EC0071" w14:textId="77777777"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14:paraId="7834429A" w14:textId="77777777" w:rsidR="00430C30" w:rsidRPr="00550D22" w:rsidRDefault="00430C30" w:rsidP="00746A03">
          <w:pPr>
            <w:rPr>
              <w:sz w:val="18"/>
            </w:rPr>
          </w:pPr>
        </w:p>
      </w:tc>
    </w:tr>
  </w:tbl>
  <w:p w14:paraId="03D99126" w14:textId="77777777" w:rsidR="00430C30" w:rsidRPr="00590636" w:rsidRDefault="00430C30" w:rsidP="00590636">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DD3C" w14:textId="77777777" w:rsidR="00430C30" w:rsidRPr="00E33C1C" w:rsidRDefault="00430C30"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430C30" w:rsidRPr="00550D22" w14:paraId="59767398" w14:textId="77777777" w:rsidTr="00746A03">
      <w:tc>
        <w:tcPr>
          <w:tcW w:w="1384" w:type="dxa"/>
          <w:tcBorders>
            <w:top w:val="nil"/>
            <w:left w:val="nil"/>
            <w:bottom w:val="nil"/>
            <w:right w:val="nil"/>
          </w:tcBorders>
          <w:shd w:val="clear" w:color="auto" w:fill="auto"/>
        </w:tcPr>
        <w:p w14:paraId="3C833132" w14:textId="77777777" w:rsidR="00430C30" w:rsidRPr="00550D22" w:rsidRDefault="00430C30" w:rsidP="00746A03">
          <w:pPr>
            <w:spacing w:line="0" w:lineRule="atLeast"/>
            <w:rPr>
              <w:sz w:val="18"/>
            </w:rPr>
          </w:pPr>
          <w:r w:rsidRPr="00550D22">
            <w:rPr>
              <w:sz w:val="18"/>
            </w:rPr>
            <w:fldChar w:fldCharType="begin"/>
          </w:r>
          <w:r w:rsidRPr="00550D22">
            <w:rPr>
              <w:sz w:val="18"/>
            </w:rPr>
            <w:instrText xml:space="preserve"> PAGE </w:instrText>
          </w:r>
          <w:r w:rsidRPr="00550D22">
            <w:rPr>
              <w:sz w:val="18"/>
            </w:rPr>
            <w:fldChar w:fldCharType="separate"/>
          </w:r>
          <w:r>
            <w:rPr>
              <w:noProof/>
              <w:sz w:val="18"/>
            </w:rPr>
            <w:t>84</w:t>
          </w:r>
          <w:r w:rsidRPr="00550D22">
            <w:rPr>
              <w:sz w:val="18"/>
            </w:rPr>
            <w:fldChar w:fldCharType="end"/>
          </w:r>
        </w:p>
      </w:tc>
      <w:tc>
        <w:tcPr>
          <w:tcW w:w="6379" w:type="dxa"/>
          <w:tcBorders>
            <w:top w:val="nil"/>
            <w:left w:val="nil"/>
            <w:bottom w:val="nil"/>
            <w:right w:val="nil"/>
          </w:tcBorders>
          <w:shd w:val="clear" w:color="auto" w:fill="auto"/>
        </w:tcPr>
        <w:p w14:paraId="1003224F" w14:textId="7DBE8F84" w:rsidR="00430C30" w:rsidRPr="00550D22" w:rsidRDefault="00430C30" w:rsidP="00746A03">
          <w:pPr>
            <w:spacing w:line="0" w:lineRule="atLeast"/>
            <w:jc w:val="center"/>
            <w:rPr>
              <w:sz w:val="18"/>
            </w:rPr>
          </w:pPr>
          <w:r w:rsidRPr="00550D22">
            <w:rPr>
              <w:i/>
              <w:sz w:val="18"/>
            </w:rPr>
            <w:fldChar w:fldCharType="begin"/>
          </w:r>
          <w:r w:rsidRPr="00550D22">
            <w:rPr>
              <w:i/>
              <w:sz w:val="18"/>
            </w:rPr>
            <w:instrText xml:space="preserve"> DOCPROPERTY  Subject </w:instrText>
          </w:r>
          <w:r w:rsidRPr="00550D22">
            <w:rPr>
              <w:i/>
              <w:sz w:val="18"/>
            </w:rPr>
            <w:fldChar w:fldCharType="separate"/>
          </w:r>
          <w:r>
            <w:rPr>
              <w:i/>
              <w:sz w:val="18"/>
            </w:rPr>
            <w:t>Instruments Handbook</w:t>
          </w:r>
          <w:r w:rsidRPr="00550D22">
            <w:rPr>
              <w:i/>
              <w:sz w:val="18"/>
            </w:rPr>
            <w:fldChar w:fldCharType="end"/>
          </w:r>
        </w:p>
      </w:tc>
      <w:tc>
        <w:tcPr>
          <w:tcW w:w="1417" w:type="dxa"/>
          <w:tcBorders>
            <w:top w:val="nil"/>
            <w:left w:val="nil"/>
            <w:bottom w:val="nil"/>
            <w:right w:val="nil"/>
          </w:tcBorders>
          <w:shd w:val="clear" w:color="auto" w:fill="auto"/>
        </w:tcPr>
        <w:p w14:paraId="6347EDB0" w14:textId="77777777" w:rsidR="00430C30" w:rsidRPr="00550D22" w:rsidRDefault="00430C30" w:rsidP="00746A03">
          <w:pPr>
            <w:spacing w:line="0" w:lineRule="atLeast"/>
            <w:jc w:val="right"/>
            <w:rPr>
              <w:sz w:val="18"/>
            </w:rPr>
          </w:pPr>
        </w:p>
      </w:tc>
    </w:tr>
    <w:tr w:rsidR="00430C30" w:rsidRPr="00550D22" w14:paraId="40CAA23B" w14:textId="77777777"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14:paraId="303D7552" w14:textId="77777777" w:rsidR="00430C30" w:rsidRPr="00550D22" w:rsidRDefault="00430C30" w:rsidP="00746A03">
          <w:pPr>
            <w:rPr>
              <w:sz w:val="18"/>
            </w:rPr>
          </w:pPr>
        </w:p>
      </w:tc>
    </w:tr>
  </w:tbl>
  <w:p w14:paraId="38BE8A4D" w14:textId="77777777" w:rsidR="00430C30" w:rsidRPr="00530981" w:rsidRDefault="00430C30" w:rsidP="00D901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93442" w14:textId="77777777" w:rsidR="00430C30" w:rsidRPr="00E33C1C" w:rsidRDefault="00430C30"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430C30" w:rsidRPr="00550D22" w14:paraId="52FD0958" w14:textId="77777777" w:rsidTr="00746A03">
      <w:tc>
        <w:tcPr>
          <w:tcW w:w="1384" w:type="dxa"/>
          <w:tcBorders>
            <w:top w:val="nil"/>
            <w:left w:val="nil"/>
            <w:bottom w:val="nil"/>
            <w:right w:val="nil"/>
          </w:tcBorders>
          <w:shd w:val="clear" w:color="auto" w:fill="auto"/>
        </w:tcPr>
        <w:p w14:paraId="36869155" w14:textId="77777777" w:rsidR="00430C30" w:rsidRPr="00550D22" w:rsidRDefault="00430C30" w:rsidP="00746A03">
          <w:pPr>
            <w:spacing w:line="0" w:lineRule="atLeast"/>
            <w:rPr>
              <w:sz w:val="18"/>
            </w:rPr>
          </w:pPr>
        </w:p>
      </w:tc>
      <w:tc>
        <w:tcPr>
          <w:tcW w:w="6379" w:type="dxa"/>
          <w:tcBorders>
            <w:top w:val="nil"/>
            <w:left w:val="nil"/>
            <w:bottom w:val="nil"/>
            <w:right w:val="nil"/>
          </w:tcBorders>
          <w:shd w:val="clear" w:color="auto" w:fill="auto"/>
        </w:tcPr>
        <w:p w14:paraId="63824883" w14:textId="385B8426" w:rsidR="00430C30" w:rsidRPr="00550D22" w:rsidRDefault="00430C30" w:rsidP="00746A03">
          <w:pPr>
            <w:spacing w:line="0" w:lineRule="atLeast"/>
            <w:jc w:val="center"/>
            <w:rPr>
              <w:sz w:val="18"/>
            </w:rPr>
          </w:pPr>
          <w:r w:rsidRPr="00550D22">
            <w:rPr>
              <w:i/>
              <w:sz w:val="18"/>
            </w:rPr>
            <w:fldChar w:fldCharType="begin"/>
          </w:r>
          <w:r w:rsidRPr="00550D22">
            <w:rPr>
              <w:i/>
              <w:sz w:val="18"/>
            </w:rPr>
            <w:instrText xml:space="preserve"> DOCPROPERTY  Subject </w:instrText>
          </w:r>
          <w:r w:rsidRPr="00550D22">
            <w:rPr>
              <w:i/>
              <w:sz w:val="18"/>
            </w:rPr>
            <w:fldChar w:fldCharType="separate"/>
          </w:r>
          <w:r>
            <w:rPr>
              <w:i/>
              <w:sz w:val="18"/>
            </w:rPr>
            <w:t>Instruments Handbook</w:t>
          </w:r>
          <w:r w:rsidRPr="00550D22">
            <w:rPr>
              <w:i/>
              <w:sz w:val="18"/>
            </w:rPr>
            <w:fldChar w:fldCharType="end"/>
          </w:r>
        </w:p>
      </w:tc>
      <w:tc>
        <w:tcPr>
          <w:tcW w:w="1417" w:type="dxa"/>
          <w:tcBorders>
            <w:top w:val="nil"/>
            <w:left w:val="nil"/>
            <w:bottom w:val="nil"/>
            <w:right w:val="nil"/>
          </w:tcBorders>
          <w:shd w:val="clear" w:color="auto" w:fill="auto"/>
        </w:tcPr>
        <w:p w14:paraId="1824B33E" w14:textId="77777777" w:rsidR="00430C30" w:rsidRPr="00550D22" w:rsidRDefault="00430C30" w:rsidP="00746A03">
          <w:pPr>
            <w:spacing w:line="0" w:lineRule="atLeast"/>
            <w:jc w:val="right"/>
            <w:rPr>
              <w:sz w:val="18"/>
            </w:rPr>
          </w:pPr>
          <w:r w:rsidRPr="00550D22">
            <w:rPr>
              <w:sz w:val="18"/>
            </w:rPr>
            <w:fldChar w:fldCharType="begin"/>
          </w:r>
          <w:r w:rsidRPr="00550D22">
            <w:rPr>
              <w:sz w:val="18"/>
            </w:rPr>
            <w:instrText xml:space="preserve"> PAGE </w:instrText>
          </w:r>
          <w:r w:rsidRPr="00550D22">
            <w:rPr>
              <w:sz w:val="18"/>
            </w:rPr>
            <w:fldChar w:fldCharType="separate"/>
          </w:r>
          <w:r>
            <w:rPr>
              <w:noProof/>
              <w:sz w:val="18"/>
            </w:rPr>
            <w:t>85</w:t>
          </w:r>
          <w:r w:rsidRPr="00550D22">
            <w:rPr>
              <w:sz w:val="18"/>
            </w:rPr>
            <w:fldChar w:fldCharType="end"/>
          </w:r>
        </w:p>
      </w:tc>
    </w:tr>
    <w:tr w:rsidR="00430C30" w:rsidRPr="00550D22" w14:paraId="02227789" w14:textId="77777777"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14:paraId="505C5B2C" w14:textId="77777777" w:rsidR="00430C30" w:rsidRPr="00550D22" w:rsidRDefault="00430C30" w:rsidP="00746A03">
          <w:pPr>
            <w:rPr>
              <w:sz w:val="18"/>
            </w:rPr>
          </w:pPr>
        </w:p>
      </w:tc>
    </w:tr>
  </w:tbl>
  <w:p w14:paraId="7F50805B" w14:textId="77777777" w:rsidR="00430C30" w:rsidRPr="00EA40F8" w:rsidRDefault="00430C30" w:rsidP="00D90167">
    <w:pPr>
      <w:pStyle w:val="Footer"/>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AC060" w14:textId="77777777" w:rsidR="00430C30" w:rsidRPr="00E33C1C" w:rsidRDefault="00430C30" w:rsidP="00242D1D">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430C30" w:rsidRPr="00550D22" w14:paraId="1330E853" w14:textId="77777777" w:rsidTr="00F550E3">
      <w:tc>
        <w:tcPr>
          <w:tcW w:w="1384" w:type="dxa"/>
          <w:tcBorders>
            <w:top w:val="nil"/>
            <w:left w:val="nil"/>
            <w:bottom w:val="nil"/>
            <w:right w:val="nil"/>
          </w:tcBorders>
          <w:shd w:val="clear" w:color="auto" w:fill="auto"/>
        </w:tcPr>
        <w:p w14:paraId="51F327F2" w14:textId="77777777" w:rsidR="00430C30" w:rsidRPr="00AF024F" w:rsidRDefault="00430C30" w:rsidP="00F550E3">
          <w:pPr>
            <w:spacing w:line="0" w:lineRule="atLeast"/>
            <w:rPr>
              <w:i/>
              <w:sz w:val="18"/>
            </w:rPr>
          </w:pPr>
          <w:r w:rsidRPr="00AF024F">
            <w:rPr>
              <w:i/>
              <w:sz w:val="18"/>
            </w:rPr>
            <w:fldChar w:fldCharType="begin"/>
          </w:r>
          <w:r w:rsidRPr="00AF024F">
            <w:rPr>
              <w:i/>
              <w:sz w:val="18"/>
            </w:rPr>
            <w:instrText xml:space="preserve"> PAGE </w:instrText>
          </w:r>
          <w:r w:rsidRPr="00AF024F">
            <w:rPr>
              <w:i/>
              <w:sz w:val="18"/>
            </w:rPr>
            <w:fldChar w:fldCharType="separate"/>
          </w:r>
          <w:r>
            <w:rPr>
              <w:i/>
              <w:noProof/>
              <w:sz w:val="18"/>
            </w:rPr>
            <w:t>84</w:t>
          </w:r>
          <w:r w:rsidRPr="00AF024F">
            <w:rPr>
              <w:i/>
              <w:sz w:val="18"/>
            </w:rPr>
            <w:fldChar w:fldCharType="end"/>
          </w:r>
        </w:p>
      </w:tc>
      <w:tc>
        <w:tcPr>
          <w:tcW w:w="6379" w:type="dxa"/>
          <w:tcBorders>
            <w:top w:val="nil"/>
            <w:left w:val="nil"/>
            <w:bottom w:val="nil"/>
            <w:right w:val="nil"/>
          </w:tcBorders>
          <w:shd w:val="clear" w:color="auto" w:fill="auto"/>
        </w:tcPr>
        <w:p w14:paraId="78505F87" w14:textId="020502AB" w:rsidR="00430C30" w:rsidRPr="00550D22" w:rsidRDefault="00430C30" w:rsidP="00393EB1">
          <w:pPr>
            <w:spacing w:line="0" w:lineRule="atLeast"/>
            <w:jc w:val="center"/>
            <w:rPr>
              <w:sz w:val="18"/>
            </w:rPr>
          </w:pPr>
          <w:r>
            <w:rPr>
              <w:i/>
              <w:sz w:val="18"/>
            </w:rPr>
            <w:fldChar w:fldCharType="begin"/>
          </w:r>
          <w:r>
            <w:rPr>
              <w:i/>
              <w:sz w:val="18"/>
            </w:rPr>
            <w:instrText xml:space="preserve"> TITLE   \* MERGEFORMAT </w:instrText>
          </w:r>
          <w:r>
            <w:rPr>
              <w:i/>
              <w:sz w:val="18"/>
            </w:rPr>
            <w:fldChar w:fldCharType="separate"/>
          </w:r>
          <w:r>
            <w:rPr>
              <w:i/>
              <w:sz w:val="18"/>
            </w:rPr>
            <w:t>Instruments Handbook</w:t>
          </w:r>
          <w:r>
            <w:rPr>
              <w:i/>
              <w:sz w:val="18"/>
            </w:rPr>
            <w:fldChar w:fldCharType="end"/>
          </w:r>
        </w:p>
      </w:tc>
      <w:tc>
        <w:tcPr>
          <w:tcW w:w="1417" w:type="dxa"/>
          <w:tcBorders>
            <w:top w:val="nil"/>
            <w:left w:val="nil"/>
            <w:bottom w:val="nil"/>
            <w:right w:val="nil"/>
          </w:tcBorders>
          <w:shd w:val="clear" w:color="auto" w:fill="auto"/>
        </w:tcPr>
        <w:p w14:paraId="3E6DBE78" w14:textId="77777777" w:rsidR="00430C30" w:rsidRPr="00550D22" w:rsidRDefault="00430C30" w:rsidP="00F550E3">
          <w:pPr>
            <w:spacing w:line="0" w:lineRule="atLeast"/>
            <w:jc w:val="right"/>
            <w:rPr>
              <w:sz w:val="18"/>
            </w:rPr>
          </w:pPr>
        </w:p>
      </w:tc>
    </w:tr>
    <w:tr w:rsidR="00430C30" w:rsidRPr="00550D22" w14:paraId="7351EF38" w14:textId="77777777" w:rsidTr="00F55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14:paraId="564D6CC0" w14:textId="77777777" w:rsidR="00430C30" w:rsidRPr="00550D22" w:rsidRDefault="00430C30" w:rsidP="00F550E3">
          <w:pPr>
            <w:rPr>
              <w:sz w:val="18"/>
            </w:rPr>
          </w:pPr>
        </w:p>
      </w:tc>
    </w:tr>
  </w:tbl>
  <w:p w14:paraId="29531FA5" w14:textId="77777777" w:rsidR="00430C30" w:rsidRDefault="00430C30" w:rsidP="00242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8F5C4" w14:textId="77777777" w:rsidR="00430C30" w:rsidRDefault="00430C30" w:rsidP="00610D12">
      <w:pPr>
        <w:spacing w:line="240" w:lineRule="auto"/>
      </w:pPr>
      <w:r>
        <w:separator/>
      </w:r>
    </w:p>
  </w:footnote>
  <w:footnote w:type="continuationSeparator" w:id="0">
    <w:p w14:paraId="088D54CB" w14:textId="77777777" w:rsidR="00430C30" w:rsidRDefault="00430C30" w:rsidP="00610D12">
      <w:pPr>
        <w:spacing w:line="240" w:lineRule="auto"/>
      </w:pPr>
      <w:r>
        <w:continuationSeparator/>
      </w:r>
    </w:p>
  </w:footnote>
  <w:footnote w:id="1">
    <w:p w14:paraId="647EC0CD" w14:textId="77777777" w:rsidR="00430C30" w:rsidRPr="00433C0A" w:rsidRDefault="00430C30" w:rsidP="00727ED5">
      <w:pPr>
        <w:pStyle w:val="FootnoteText"/>
        <w:rPr>
          <w:sz w:val="18"/>
          <w:szCs w:val="18"/>
          <w:lang w:val="en-AU"/>
        </w:rPr>
      </w:pPr>
      <w:r w:rsidRPr="004306A2">
        <w:rPr>
          <w:rStyle w:val="FootnoteReference"/>
        </w:rPr>
        <w:footnoteRef/>
      </w:r>
      <w:r w:rsidRPr="008612E1">
        <w:rPr>
          <w:sz w:val="18"/>
          <w:szCs w:val="18"/>
        </w:rPr>
        <w:t xml:space="preserve"> </w:t>
      </w:r>
      <w:r w:rsidRPr="00FA2FB1">
        <w:rPr>
          <w:sz w:val="18"/>
        </w:rPr>
        <w:t xml:space="preserve">For guidance on which powers may be delegated, see the </w:t>
      </w:r>
      <w:r w:rsidRPr="00FA2FB1">
        <w:rPr>
          <w:i/>
          <w:sz w:val="18"/>
        </w:rPr>
        <w:t>Legislation Handbook</w:t>
      </w:r>
      <w:r w:rsidRPr="00FA2FB1">
        <w:rPr>
          <w:i/>
          <w:sz w:val="18"/>
          <w:lang w:val="en-AU"/>
        </w:rPr>
        <w:t xml:space="preserve"> </w:t>
      </w:r>
      <w:r>
        <w:rPr>
          <w:i/>
          <w:sz w:val="18"/>
          <w:lang w:val="en-AU"/>
        </w:rPr>
        <w:br/>
      </w:r>
      <w:hyperlink r:id="rId1" w:history="1">
        <w:r w:rsidRPr="00433C0A">
          <w:rPr>
            <w:rStyle w:val="Hyperlink"/>
            <w:sz w:val="18"/>
            <w:szCs w:val="18"/>
          </w:rPr>
          <w:t>https://www.pmc.gov.au/resource-centre/government/legislation-handbook</w:t>
        </w:r>
      </w:hyperlink>
    </w:p>
  </w:footnote>
  <w:footnote w:id="2">
    <w:p w14:paraId="6DB75D19" w14:textId="77777777" w:rsidR="00430C30" w:rsidRPr="001E71E0" w:rsidRDefault="00430C30" w:rsidP="00727ED5">
      <w:pPr>
        <w:pStyle w:val="FootnoteText"/>
        <w:rPr>
          <w:lang w:val="en-AU"/>
        </w:rPr>
      </w:pPr>
      <w:r w:rsidRPr="00433C0A">
        <w:rPr>
          <w:rStyle w:val="FootnoteReference"/>
          <w:sz w:val="18"/>
          <w:szCs w:val="18"/>
        </w:rPr>
        <w:footnoteRef/>
      </w:r>
      <w:r w:rsidRPr="00433C0A">
        <w:rPr>
          <w:sz w:val="18"/>
          <w:szCs w:val="18"/>
        </w:rPr>
        <w:t xml:space="preserve"> </w:t>
      </w:r>
      <w:r w:rsidRPr="00433C0A">
        <w:rPr>
          <w:sz w:val="18"/>
          <w:szCs w:val="18"/>
          <w:lang w:val="en-AU"/>
        </w:rPr>
        <w:t xml:space="preserve">See </w:t>
      </w:r>
      <w:hyperlink r:id="rId2" w:history="1">
        <w:r w:rsidRPr="00433C0A">
          <w:rPr>
            <w:rStyle w:val="Hyperlink"/>
            <w:sz w:val="18"/>
            <w:szCs w:val="18"/>
          </w:rPr>
          <w:t>https://www.ag.gov.au/legal-system/publications/report-35-rule-making-commonwealth-agencies-1992</w:t>
        </w:r>
      </w:hyperlink>
    </w:p>
  </w:footnote>
  <w:footnote w:id="3">
    <w:p w14:paraId="2E7B861D" w14:textId="77777777" w:rsidR="00430C30" w:rsidRPr="00D72C8E" w:rsidRDefault="00430C30">
      <w:pPr>
        <w:pStyle w:val="FootnoteText"/>
        <w:rPr>
          <w:sz w:val="18"/>
          <w:lang w:val="en-AU"/>
        </w:rPr>
      </w:pPr>
      <w:r w:rsidRPr="00D72C8E">
        <w:rPr>
          <w:rStyle w:val="FootnoteReference"/>
          <w:sz w:val="18"/>
        </w:rPr>
        <w:footnoteRef/>
      </w:r>
      <w:r w:rsidRPr="00D72C8E">
        <w:rPr>
          <w:sz w:val="18"/>
        </w:rPr>
        <w:t xml:space="preserve"> For more information about the review process and recommendations, see</w:t>
      </w:r>
      <w:r w:rsidRPr="00D72C8E">
        <w:rPr>
          <w:sz w:val="18"/>
          <w:lang w:val="en-AU"/>
        </w:rPr>
        <w:t xml:space="preserve"> </w:t>
      </w:r>
      <w:hyperlink r:id="rId3" w:history="1">
        <w:r w:rsidRPr="00D72C8E">
          <w:rPr>
            <w:rStyle w:val="Hyperlink"/>
            <w:sz w:val="18"/>
          </w:rPr>
          <w:t>https://www.ag.gov.au/LegalSystem/AdministrativeLaw/Pages/LegislationAct2003.aspx</w:t>
        </w:r>
      </w:hyperlink>
    </w:p>
  </w:footnote>
  <w:footnote w:id="4">
    <w:p w14:paraId="53D4CE17" w14:textId="77777777" w:rsidR="00430C30" w:rsidRPr="00740FA1" w:rsidRDefault="00430C30">
      <w:pPr>
        <w:pStyle w:val="FootnoteText"/>
        <w:rPr>
          <w:lang w:val="en-AU"/>
        </w:rPr>
      </w:pPr>
      <w:r w:rsidRPr="00433C0A">
        <w:rPr>
          <w:rStyle w:val="FootnoteReference"/>
        </w:rPr>
        <w:footnoteRef/>
      </w:r>
      <w:r w:rsidRPr="00433C0A">
        <w:t xml:space="preserve"> </w:t>
      </w:r>
      <w:r w:rsidRPr="00433C0A">
        <w:rPr>
          <w:lang w:val="en-AU"/>
        </w:rPr>
        <w:t xml:space="preserve">See </w:t>
      </w:r>
      <w:hyperlink r:id="rId4" w:history="1">
        <w:r w:rsidRPr="00433C0A">
          <w:rPr>
            <w:rStyle w:val="Hyperlink"/>
          </w:rPr>
          <w:t>https://www.ag.gov.au/legal-system/publications/report-operation-sunsetting-provisions-legislation-act-2003</w:t>
        </w:r>
      </w:hyperlink>
    </w:p>
  </w:footnote>
  <w:footnote w:id="5">
    <w:p w14:paraId="25F3341B" w14:textId="77777777" w:rsidR="00430C30" w:rsidRPr="00514280" w:rsidRDefault="00430C30" w:rsidP="0037654B">
      <w:pPr>
        <w:pStyle w:val="FootnoteText"/>
        <w:rPr>
          <w:lang w:val="en-AU"/>
        </w:rPr>
      </w:pPr>
      <w:r w:rsidRPr="004306A2">
        <w:rPr>
          <w:rStyle w:val="FootnoteReference"/>
        </w:rPr>
        <w:footnoteRef/>
      </w:r>
      <w:r w:rsidRPr="0082454D">
        <w:t xml:space="preserve"> </w:t>
      </w:r>
      <w:r w:rsidRPr="008612E1">
        <w:rPr>
          <w:sz w:val="18"/>
          <w:szCs w:val="18"/>
          <w:lang w:val="en-AU"/>
        </w:rPr>
        <w:t xml:space="preserve">See </w:t>
      </w:r>
      <w:hyperlink r:id="rId5" w:history="1">
        <w:r>
          <w:rPr>
            <w:rStyle w:val="Hyperlink"/>
            <w:sz w:val="18"/>
            <w:szCs w:val="18"/>
          </w:rPr>
          <w:t>https://www.opc.gov.au/</w:t>
        </w:r>
      </w:hyperlink>
      <w:r w:rsidRPr="008612E1">
        <w:rPr>
          <w:rStyle w:val="Hyperlink"/>
          <w:sz w:val="18"/>
          <w:szCs w:val="18"/>
          <w:lang w:val="en-AU"/>
        </w:rPr>
        <w:t>.</w:t>
      </w:r>
    </w:p>
  </w:footnote>
  <w:footnote w:id="6">
    <w:p w14:paraId="7E22AAEC" w14:textId="77777777" w:rsidR="00430C30" w:rsidRPr="00D72C8E" w:rsidRDefault="00430C30" w:rsidP="0037654B">
      <w:pPr>
        <w:pStyle w:val="FootnoteText"/>
        <w:rPr>
          <w:sz w:val="18"/>
          <w:lang w:val="en-AU"/>
        </w:rPr>
      </w:pPr>
      <w:r w:rsidRPr="00433C0A">
        <w:rPr>
          <w:rStyle w:val="FootnoteReference"/>
          <w:sz w:val="18"/>
        </w:rPr>
        <w:footnoteRef/>
      </w:r>
      <w:r w:rsidRPr="00433C0A">
        <w:rPr>
          <w:sz w:val="18"/>
        </w:rPr>
        <w:t xml:space="preserve"> </w:t>
      </w:r>
      <w:r w:rsidRPr="00433C0A">
        <w:rPr>
          <w:sz w:val="18"/>
          <w:lang w:val="en-AU"/>
        </w:rPr>
        <w:t xml:space="preserve">See </w:t>
      </w:r>
      <w:hyperlink r:id="rId6" w:history="1">
        <w:r w:rsidRPr="00433C0A">
          <w:rPr>
            <w:rStyle w:val="Hyperlink"/>
            <w:sz w:val="18"/>
            <w:szCs w:val="18"/>
          </w:rPr>
          <w:t>https://www.pmc.gov.au/resource-centre/government/legislation-handbook</w:t>
        </w:r>
      </w:hyperlink>
    </w:p>
  </w:footnote>
  <w:footnote w:id="7">
    <w:p w14:paraId="13042C01" w14:textId="77777777" w:rsidR="00430C30" w:rsidRPr="00077A3C" w:rsidRDefault="00430C30" w:rsidP="0037654B">
      <w:r w:rsidRPr="003D2F5D">
        <w:rPr>
          <w:rStyle w:val="FootnoteReference"/>
          <w:sz w:val="18"/>
        </w:rPr>
        <w:footnoteRef/>
      </w:r>
      <w:r w:rsidRPr="003D2F5D">
        <w:rPr>
          <w:sz w:val="18"/>
        </w:rPr>
        <w:t xml:space="preserve"> This is an example only and may not be appropriate in all situations.</w:t>
      </w:r>
    </w:p>
  </w:footnote>
  <w:footnote w:id="8">
    <w:p w14:paraId="2218D70A" w14:textId="77777777" w:rsidR="00430C30" w:rsidRPr="00FC7415" w:rsidRDefault="00430C30" w:rsidP="0037654B">
      <w:pPr>
        <w:pStyle w:val="FootnoteText"/>
        <w:rPr>
          <w:sz w:val="18"/>
          <w:szCs w:val="18"/>
          <w:lang w:val="en-AU"/>
        </w:rPr>
      </w:pPr>
      <w:r w:rsidRPr="00433C0A">
        <w:rPr>
          <w:rStyle w:val="FootnoteReference"/>
          <w:sz w:val="18"/>
          <w:szCs w:val="18"/>
        </w:rPr>
        <w:footnoteRef/>
      </w:r>
      <w:r w:rsidRPr="00433C0A">
        <w:rPr>
          <w:sz w:val="18"/>
          <w:szCs w:val="18"/>
        </w:rPr>
        <w:t xml:space="preserve"> </w:t>
      </w:r>
      <w:r w:rsidRPr="00433C0A">
        <w:rPr>
          <w:spacing w:val="-2"/>
          <w:sz w:val="18"/>
          <w:szCs w:val="18"/>
          <w:lang w:val="en-AU"/>
        </w:rPr>
        <w:t xml:space="preserve">See </w:t>
      </w:r>
      <w:hyperlink r:id="rId7" w:history="1">
        <w:r w:rsidRPr="00433C0A">
          <w:rPr>
            <w:rStyle w:val="Hyperlink"/>
            <w:sz w:val="18"/>
            <w:szCs w:val="18"/>
          </w:rPr>
          <w:t>https://www.pmc.gov.au/resource-centre/government/federal-exec-council-handbook</w:t>
        </w:r>
      </w:hyperlink>
    </w:p>
  </w:footnote>
  <w:footnote w:id="9">
    <w:p w14:paraId="2DFE68B6" w14:textId="77777777" w:rsidR="00430C30" w:rsidRPr="00D72C8E" w:rsidRDefault="00430C30" w:rsidP="0037654B">
      <w:pPr>
        <w:pStyle w:val="FootnoteText"/>
        <w:rPr>
          <w:sz w:val="18"/>
          <w:lang w:val="en-AU"/>
        </w:rPr>
      </w:pPr>
      <w:r w:rsidRPr="00D72C8E">
        <w:rPr>
          <w:rStyle w:val="FootnoteReference"/>
          <w:sz w:val="18"/>
        </w:rPr>
        <w:footnoteRef/>
      </w:r>
      <w:r w:rsidRPr="00D72C8E">
        <w:rPr>
          <w:sz w:val="18"/>
        </w:rPr>
        <w:t xml:space="preserve"> </w:t>
      </w:r>
      <w:r w:rsidRPr="00D72C8E">
        <w:rPr>
          <w:sz w:val="18"/>
          <w:lang w:val="en-AU"/>
        </w:rPr>
        <w:t xml:space="preserve">See </w:t>
      </w:r>
      <w:hyperlink r:id="rId8" w:history="1">
        <w:r w:rsidRPr="00D72C8E">
          <w:rPr>
            <w:rStyle w:val="Hyperlink"/>
            <w:sz w:val="18"/>
            <w:lang w:val="en-AU"/>
          </w:rPr>
          <w:t xml:space="preserve">2008 Review of the </w:t>
        </w:r>
        <w:r w:rsidRPr="00D72C8E">
          <w:rPr>
            <w:rStyle w:val="Hyperlink"/>
            <w:i/>
            <w:sz w:val="18"/>
            <w:lang w:val="en-AU"/>
          </w:rPr>
          <w:t>Legislation Act 2003</w:t>
        </w:r>
      </w:hyperlink>
      <w:r w:rsidRPr="00D72C8E">
        <w:rPr>
          <w:sz w:val="18"/>
          <w:lang w:val="en-AU"/>
        </w:rPr>
        <w:t>, chapter 4.4.</w:t>
      </w:r>
    </w:p>
  </w:footnote>
  <w:footnote w:id="10">
    <w:p w14:paraId="1403CBF0" w14:textId="77777777" w:rsidR="00430C30" w:rsidRPr="00D72C8E" w:rsidRDefault="00430C30" w:rsidP="0037654B">
      <w:pPr>
        <w:pStyle w:val="FootnoteText"/>
        <w:rPr>
          <w:sz w:val="18"/>
          <w:lang w:val="en-AU"/>
        </w:rPr>
      </w:pPr>
      <w:r w:rsidRPr="00D72C8E">
        <w:rPr>
          <w:rStyle w:val="FootnoteReference"/>
          <w:sz w:val="18"/>
        </w:rPr>
        <w:footnoteRef/>
      </w:r>
      <w:r w:rsidRPr="00D72C8E">
        <w:rPr>
          <w:sz w:val="18"/>
        </w:rPr>
        <w:t xml:space="preserve"> </w:t>
      </w:r>
      <w:r w:rsidRPr="00FA3855">
        <w:rPr>
          <w:sz w:val="18"/>
          <w:lang w:val="en-AU"/>
        </w:rPr>
        <w:t xml:space="preserve">See </w:t>
      </w:r>
      <w:hyperlink r:id="rId9" w:history="1">
        <w:r w:rsidRPr="00FA3855">
          <w:rPr>
            <w:rStyle w:val="Hyperlink"/>
            <w:sz w:val="18"/>
            <w:szCs w:val="18"/>
          </w:rPr>
          <w:t>https://www.dta.gov.au/help-and-advice/guides-and-tools/commonwealth-library-deposit-and-free-issue-schemes</w:t>
        </w:r>
      </w:hyperlink>
    </w:p>
  </w:footnote>
  <w:footnote w:id="11">
    <w:p w14:paraId="70B3640A" w14:textId="77777777" w:rsidR="00430C30" w:rsidRPr="008612E1" w:rsidRDefault="00430C30" w:rsidP="0037654B">
      <w:pPr>
        <w:pStyle w:val="FootnoteText"/>
        <w:rPr>
          <w:lang w:val="en-AU"/>
        </w:rPr>
      </w:pPr>
      <w:r w:rsidRPr="00D72C8E">
        <w:rPr>
          <w:rStyle w:val="FootnoteReference"/>
          <w:sz w:val="18"/>
        </w:rPr>
        <w:footnoteRef/>
      </w:r>
      <w:r w:rsidRPr="00D72C8E">
        <w:rPr>
          <w:sz w:val="18"/>
          <w:lang w:val="en-AU"/>
        </w:rPr>
        <w:t xml:space="preserve">See </w:t>
      </w:r>
      <w:hyperlink r:id="rId10" w:history="1">
        <w:r w:rsidRPr="00501E96">
          <w:rPr>
            <w:rStyle w:val="Hyperlink"/>
            <w:sz w:val="16"/>
            <w:szCs w:val="18"/>
            <w:lang w:val="en-AU"/>
          </w:rPr>
          <w:t>h</w:t>
        </w:r>
        <w:r w:rsidRPr="00501E96">
          <w:rPr>
            <w:rStyle w:val="Hyperlink"/>
            <w:sz w:val="16"/>
            <w:szCs w:val="18"/>
          </w:rPr>
          <w:t>ttp://www.ag.gov.au/Publications/Pages/GuidetoFramingCommonwealthOffencesInfringementNoticesandEnforcementPowers.aspx</w:t>
        </w:r>
      </w:hyperlink>
    </w:p>
  </w:footnote>
  <w:footnote w:id="12">
    <w:p w14:paraId="2D11DA21" w14:textId="77777777" w:rsidR="00430C30" w:rsidRDefault="00430C30" w:rsidP="0063067D">
      <w:pPr>
        <w:pStyle w:val="FootnoteText"/>
        <w:rPr>
          <w:sz w:val="18"/>
          <w:szCs w:val="18"/>
          <w:lang w:val="en-AU"/>
        </w:rPr>
      </w:pPr>
      <w:r>
        <w:rPr>
          <w:rStyle w:val="FootnoteReference"/>
          <w:rFonts w:eastAsia="Calibri"/>
          <w:sz w:val="18"/>
          <w:szCs w:val="18"/>
        </w:rPr>
        <w:footnoteRef/>
      </w:r>
      <w:r>
        <w:rPr>
          <w:sz w:val="18"/>
          <w:szCs w:val="18"/>
        </w:rPr>
        <w:t xml:space="preserve"> </w:t>
      </w:r>
      <w:r>
        <w:rPr>
          <w:sz w:val="18"/>
          <w:szCs w:val="18"/>
          <w:lang w:val="en-AU"/>
        </w:rPr>
        <w:t>See</w:t>
      </w:r>
      <w:r>
        <w:rPr>
          <w:sz w:val="18"/>
          <w:szCs w:val="18"/>
        </w:rPr>
        <w:t xml:space="preserve"> </w:t>
      </w:r>
      <w:hyperlink r:id="rId11" w:history="1">
        <w:r>
          <w:rPr>
            <w:rStyle w:val="Hyperlink"/>
            <w:sz w:val="18"/>
            <w:szCs w:val="18"/>
            <w:lang w:val="en-AU"/>
          </w:rPr>
          <w:t>PSPF policy: Sensitive and classified information</w:t>
        </w:r>
      </w:hyperlink>
    </w:p>
  </w:footnote>
  <w:footnote w:id="13">
    <w:p w14:paraId="20E9FFA1" w14:textId="77777777" w:rsidR="00430C30" w:rsidRPr="006E52A2" w:rsidRDefault="00430C30" w:rsidP="0037654B">
      <w:pPr>
        <w:pStyle w:val="FootnoteText"/>
        <w:rPr>
          <w:lang w:val="en-AU"/>
        </w:rPr>
      </w:pPr>
      <w:r w:rsidRPr="00D72C8E">
        <w:rPr>
          <w:rStyle w:val="FootnoteReference"/>
          <w:sz w:val="18"/>
          <w:szCs w:val="18"/>
        </w:rPr>
        <w:footnoteRef/>
      </w:r>
      <w:r w:rsidRPr="00D72C8E">
        <w:rPr>
          <w:sz w:val="18"/>
          <w:szCs w:val="18"/>
        </w:rPr>
        <w:t xml:space="preserve"> </w:t>
      </w:r>
      <w:r w:rsidRPr="00D72C8E">
        <w:rPr>
          <w:sz w:val="18"/>
          <w:szCs w:val="18"/>
          <w:lang w:val="en-AU"/>
        </w:rPr>
        <w:t>See</w:t>
      </w:r>
      <w:r w:rsidRPr="008612E1">
        <w:rPr>
          <w:sz w:val="18"/>
          <w:szCs w:val="18"/>
          <w:lang w:val="en-AU"/>
        </w:rPr>
        <w:t xml:space="preserve"> </w:t>
      </w:r>
      <w:hyperlink r:id="rId12" w:history="1">
        <w:r w:rsidRPr="008612E1">
          <w:rPr>
            <w:rStyle w:val="Hyperlink"/>
            <w:sz w:val="18"/>
            <w:szCs w:val="18"/>
            <w:lang w:val="en-AU"/>
          </w:rPr>
          <w:t>http://www.w3.org/WAI/</w:t>
        </w:r>
      </w:hyperlink>
    </w:p>
  </w:footnote>
  <w:footnote w:id="14">
    <w:p w14:paraId="4C007C95" w14:textId="77777777" w:rsidR="00430C30" w:rsidRPr="00D72C8E" w:rsidRDefault="00430C30" w:rsidP="0084047D">
      <w:pPr>
        <w:pStyle w:val="FootnoteText"/>
        <w:rPr>
          <w:sz w:val="18"/>
          <w:szCs w:val="18"/>
          <w:lang w:val="en-AU"/>
        </w:rPr>
      </w:pPr>
      <w:r w:rsidRPr="00D72C8E">
        <w:rPr>
          <w:rStyle w:val="FootnoteReference"/>
          <w:sz w:val="18"/>
          <w:szCs w:val="18"/>
        </w:rPr>
        <w:footnoteRef/>
      </w:r>
      <w:r w:rsidRPr="00D72C8E">
        <w:rPr>
          <w:sz w:val="18"/>
          <w:szCs w:val="18"/>
        </w:rPr>
        <w:t xml:space="preserve"> </w:t>
      </w:r>
      <w:r w:rsidRPr="00D72C8E">
        <w:rPr>
          <w:sz w:val="18"/>
          <w:szCs w:val="18"/>
          <w:lang w:val="en-AU"/>
        </w:rPr>
        <w:t xml:space="preserve">See section 13 of the </w:t>
      </w:r>
      <w:hyperlink r:id="rId13" w:history="1">
        <w:r w:rsidRPr="00D72C8E">
          <w:rPr>
            <w:rStyle w:val="Hyperlink"/>
            <w:i/>
            <w:sz w:val="18"/>
            <w:szCs w:val="18"/>
            <w:lang w:val="en-AU"/>
          </w:rPr>
          <w:t>Public Service Act 1999</w:t>
        </w:r>
      </w:hyperlink>
      <w:r w:rsidRPr="00D72C8E">
        <w:rPr>
          <w:sz w:val="18"/>
          <w:szCs w:val="18"/>
          <w:lang w:val="en-AU"/>
        </w:rPr>
        <w:t>.</w:t>
      </w:r>
    </w:p>
  </w:footnote>
  <w:footnote w:id="15">
    <w:p w14:paraId="49B849B4" w14:textId="77777777" w:rsidR="00430C30" w:rsidRPr="00D72C8E" w:rsidRDefault="00430C30" w:rsidP="007F6809">
      <w:pPr>
        <w:pStyle w:val="FootnoteText"/>
        <w:rPr>
          <w:sz w:val="18"/>
          <w:lang w:val="en-AU"/>
        </w:rPr>
      </w:pPr>
      <w:r w:rsidRPr="00D72C8E">
        <w:rPr>
          <w:rStyle w:val="FootnoteReference"/>
          <w:sz w:val="18"/>
        </w:rPr>
        <w:footnoteRef/>
      </w:r>
      <w:r w:rsidRPr="00D72C8E">
        <w:rPr>
          <w:sz w:val="18"/>
        </w:rPr>
        <w:t xml:space="preserve"> The 2008 Review of the LIA explicitly recommended that agencies consider aligning all </w:t>
      </w:r>
      <w:r w:rsidRPr="00D72C8E">
        <w:rPr>
          <w:sz w:val="18"/>
          <w:lang w:val="en-AU"/>
        </w:rPr>
        <w:t xml:space="preserve">additional publication requirements with the </w:t>
      </w:r>
      <w:r w:rsidRPr="00D72C8E">
        <w:rPr>
          <w:sz w:val="18"/>
        </w:rPr>
        <w:t>LIA (now the LA) unless there are compelling reasons why that should not be done</w:t>
      </w:r>
      <w:r w:rsidRPr="00D72C8E">
        <w:rPr>
          <w:sz w:val="18"/>
          <w:lang w:val="en-AU"/>
        </w:rPr>
        <w:t xml:space="preserve"> (see </w:t>
      </w:r>
      <w:hyperlink r:id="rId14" w:history="1">
        <w:r w:rsidRPr="00D72C8E">
          <w:rPr>
            <w:rStyle w:val="Hyperlink"/>
            <w:sz w:val="18"/>
            <w:lang w:val="en-AU"/>
          </w:rPr>
          <w:t xml:space="preserve">2008 Review of the </w:t>
        </w:r>
        <w:r w:rsidRPr="00D72C8E">
          <w:rPr>
            <w:rStyle w:val="Hyperlink"/>
            <w:i/>
            <w:sz w:val="18"/>
            <w:lang w:val="en-AU"/>
          </w:rPr>
          <w:t>Legislation Act 2003</w:t>
        </w:r>
        <w:r w:rsidRPr="00D72C8E">
          <w:rPr>
            <w:rStyle w:val="Hyperlink"/>
            <w:sz w:val="18"/>
            <w:lang w:val="en-AU"/>
          </w:rPr>
          <w:t>,</w:t>
        </w:r>
      </w:hyperlink>
      <w:r w:rsidRPr="00D72C8E">
        <w:rPr>
          <w:sz w:val="18"/>
          <w:lang w:val="en-AU"/>
        </w:rPr>
        <w:t xml:space="preserve"> recommendation 19).</w:t>
      </w:r>
    </w:p>
  </w:footnote>
  <w:footnote w:id="16">
    <w:p w14:paraId="2915F5CD" w14:textId="1A9B8396" w:rsidR="00430C30" w:rsidRPr="00845FE6" w:rsidRDefault="00430C30">
      <w:pPr>
        <w:pStyle w:val="FootnoteText"/>
        <w:rPr>
          <w:lang w:val="en-AU"/>
        </w:rPr>
      </w:pPr>
      <w:r>
        <w:rPr>
          <w:rStyle w:val="FootnoteReference"/>
        </w:rPr>
        <w:footnoteRef/>
      </w:r>
      <w:r>
        <w:rPr>
          <w:lang w:val="en-AU"/>
        </w:rPr>
        <w:t xml:space="preserve"> See</w:t>
      </w:r>
      <w:r>
        <w:t xml:space="preserve"> </w:t>
      </w:r>
      <w:hyperlink r:id="rId15" w:history="1">
        <w:r w:rsidRPr="00BC7C81">
          <w:rPr>
            <w:rStyle w:val="Hyperlink"/>
          </w:rPr>
          <w:t>https://www.ags.gov.au/publications/legal-briefing/lb-20220321</w:t>
        </w:r>
      </w:hyperlink>
    </w:p>
  </w:footnote>
  <w:footnote w:id="17">
    <w:p w14:paraId="4ABD689B" w14:textId="3457A9C7" w:rsidR="00430C30" w:rsidRPr="00845FE6" w:rsidRDefault="00430C30" w:rsidP="006C574C">
      <w:pPr>
        <w:pStyle w:val="FootnoteText"/>
        <w:rPr>
          <w:lang w:val="en-AU"/>
        </w:rPr>
      </w:pPr>
      <w:r>
        <w:rPr>
          <w:rStyle w:val="FootnoteReference"/>
        </w:rPr>
        <w:footnoteRef/>
      </w:r>
      <w:r>
        <w:rPr>
          <w:lang w:val="en-AU"/>
        </w:rPr>
        <w:t xml:space="preserve"> See</w:t>
      </w:r>
      <w:r>
        <w:t xml:space="preserve"> </w:t>
      </w:r>
      <w:hyperlink r:id="rId16" w:history="1">
        <w:r w:rsidRPr="006C574C">
          <w:rPr>
            <w:rStyle w:val="Hyperlink"/>
          </w:rPr>
          <w:t>https://www.pmc.gov.au/resource-centre/government/federal-exec-council-handbook</w:t>
        </w:r>
      </w:hyperlink>
    </w:p>
  </w:footnote>
  <w:footnote w:id="18">
    <w:p w14:paraId="3DF0559C" w14:textId="77777777" w:rsidR="00430C30" w:rsidRPr="00D72C8E" w:rsidRDefault="00430C30" w:rsidP="0084047D">
      <w:pPr>
        <w:pStyle w:val="FootnoteText"/>
        <w:rPr>
          <w:spacing w:val="-2"/>
          <w:sz w:val="18"/>
          <w:szCs w:val="18"/>
          <w:lang w:val="en-AU"/>
        </w:rPr>
      </w:pPr>
      <w:r w:rsidRPr="00D72C8E">
        <w:rPr>
          <w:rStyle w:val="FootnoteReference"/>
          <w:spacing w:val="-2"/>
          <w:sz w:val="18"/>
          <w:szCs w:val="18"/>
        </w:rPr>
        <w:footnoteRef/>
      </w:r>
      <w:r w:rsidRPr="00D72C8E">
        <w:rPr>
          <w:sz w:val="18"/>
          <w:szCs w:val="18"/>
          <w:lang w:val="en-AU"/>
        </w:rPr>
        <w:t> See </w:t>
      </w:r>
      <w:hyperlink r:id="rId17" w:history="1">
        <w:r w:rsidRPr="00D72C8E">
          <w:rPr>
            <w:rStyle w:val="Hyperlink"/>
            <w:spacing w:val="-2"/>
            <w:sz w:val="18"/>
            <w:szCs w:val="18"/>
          </w:rPr>
          <w:t>https://www.aph.gov.au/Parliamentary_Business/Committees/Senate/Regulations_and_Ordinances</w:t>
        </w:r>
      </w:hyperlink>
    </w:p>
  </w:footnote>
  <w:footnote w:id="19">
    <w:p w14:paraId="481105A2" w14:textId="77777777" w:rsidR="00430C30" w:rsidRPr="00AD5C20" w:rsidRDefault="00430C30" w:rsidP="00326770">
      <w:pPr>
        <w:pStyle w:val="FootnoteText"/>
        <w:rPr>
          <w:sz w:val="18"/>
          <w:szCs w:val="18"/>
          <w:highlight w:val="yellow"/>
          <w:lang w:val="en-AU"/>
        </w:rPr>
      </w:pPr>
      <w:r w:rsidRPr="00FA3855">
        <w:rPr>
          <w:rStyle w:val="FootnoteReference"/>
          <w:sz w:val="18"/>
          <w:szCs w:val="18"/>
        </w:rPr>
        <w:footnoteRef/>
      </w:r>
      <w:r w:rsidRPr="00FA3855">
        <w:rPr>
          <w:sz w:val="18"/>
          <w:szCs w:val="18"/>
        </w:rPr>
        <w:t xml:space="preserve"> </w:t>
      </w:r>
      <w:r w:rsidRPr="00FA3855">
        <w:rPr>
          <w:sz w:val="18"/>
          <w:szCs w:val="18"/>
          <w:lang w:val="en-AU"/>
        </w:rPr>
        <w:t xml:space="preserve">See </w:t>
      </w:r>
      <w:hyperlink r:id="rId18" w:history="1">
        <w:r w:rsidRPr="00FA3855">
          <w:rPr>
            <w:rStyle w:val="Hyperlink"/>
            <w:sz w:val="18"/>
            <w:szCs w:val="18"/>
            <w:lang w:val="en-AU"/>
          </w:rPr>
          <w:t>https://obpr.pmc.gov.au/resources/guidance-obpr-procedures/sunsetting-legislative-instruments</w:t>
        </w:r>
      </w:hyperlink>
    </w:p>
  </w:footnote>
  <w:footnote w:id="20">
    <w:p w14:paraId="5011E806" w14:textId="77777777" w:rsidR="00430C30" w:rsidRPr="00D72C8E" w:rsidRDefault="00430C30" w:rsidP="0084047D">
      <w:pPr>
        <w:pStyle w:val="FootnoteText"/>
        <w:rPr>
          <w:sz w:val="18"/>
          <w:szCs w:val="18"/>
          <w:lang w:val="en-AU"/>
        </w:rPr>
      </w:pPr>
      <w:r w:rsidRPr="00FA3855">
        <w:rPr>
          <w:rStyle w:val="FootnoteReference"/>
          <w:sz w:val="18"/>
          <w:szCs w:val="18"/>
        </w:rPr>
        <w:footnoteRef/>
      </w:r>
      <w:r w:rsidRPr="00FA3855">
        <w:rPr>
          <w:sz w:val="18"/>
          <w:szCs w:val="18"/>
        </w:rPr>
        <w:t xml:space="preserve"> </w:t>
      </w:r>
      <w:r w:rsidRPr="00FA3855">
        <w:rPr>
          <w:sz w:val="18"/>
          <w:szCs w:val="18"/>
          <w:lang w:val="en-AU"/>
        </w:rPr>
        <w:t xml:space="preserve">See </w:t>
      </w:r>
      <w:hyperlink r:id="rId19" w:history="1">
        <w:r w:rsidRPr="00FA3855">
          <w:rPr>
            <w:rStyle w:val="Hyperlink"/>
            <w:sz w:val="18"/>
            <w:szCs w:val="18"/>
            <w:lang w:val="en-AU"/>
          </w:rPr>
          <w:t>https://obpr.pmc.gov.au/</w:t>
        </w:r>
      </w:hyperlink>
    </w:p>
  </w:footnote>
  <w:footnote w:id="21">
    <w:p w14:paraId="59FF15A8" w14:textId="77777777" w:rsidR="00430C30" w:rsidRPr="00D72C8E" w:rsidRDefault="00430C30" w:rsidP="0084047D">
      <w:pPr>
        <w:pStyle w:val="FootnoteText"/>
        <w:rPr>
          <w:sz w:val="18"/>
          <w:szCs w:val="18"/>
          <w:lang w:val="en-AU"/>
        </w:rPr>
      </w:pPr>
      <w:r w:rsidRPr="00D72C8E">
        <w:rPr>
          <w:rStyle w:val="FootnoteReference"/>
          <w:sz w:val="18"/>
          <w:szCs w:val="18"/>
        </w:rPr>
        <w:footnoteRef/>
      </w:r>
      <w:r w:rsidRPr="00D72C8E">
        <w:rPr>
          <w:sz w:val="18"/>
          <w:szCs w:val="18"/>
        </w:rPr>
        <w:t xml:space="preserve"> </w:t>
      </w:r>
      <w:r w:rsidRPr="00D72C8E">
        <w:rPr>
          <w:sz w:val="18"/>
          <w:szCs w:val="18"/>
          <w:lang w:val="en-AU"/>
        </w:rPr>
        <w:t xml:space="preserve">See </w:t>
      </w:r>
      <w:hyperlink r:id="rId20" w:history="1">
        <w:r w:rsidRPr="00D72C8E">
          <w:rPr>
            <w:rStyle w:val="Hyperlink"/>
            <w:sz w:val="18"/>
            <w:szCs w:val="18"/>
            <w:lang w:val="en-AU"/>
          </w:rPr>
          <w:t>https://www.pmc.gov.au/resource-centre/government/guidance-caretaker-conventions</w:t>
        </w:r>
      </w:hyperlink>
    </w:p>
  </w:footnote>
  <w:footnote w:id="22">
    <w:p w14:paraId="29EEA1F4" w14:textId="77777777" w:rsidR="00430C30" w:rsidRPr="00D72C8E" w:rsidRDefault="00430C30" w:rsidP="005F6DDD">
      <w:pPr>
        <w:pStyle w:val="FootnoteText"/>
        <w:rPr>
          <w:spacing w:val="-2"/>
          <w:sz w:val="18"/>
          <w:szCs w:val="18"/>
          <w:lang w:val="en-AU"/>
        </w:rPr>
      </w:pPr>
      <w:r w:rsidRPr="00433C0A">
        <w:rPr>
          <w:rStyle w:val="FootnoteReference"/>
          <w:sz w:val="18"/>
          <w:szCs w:val="18"/>
        </w:rPr>
        <w:footnoteRef/>
      </w:r>
      <w:r w:rsidRPr="00433C0A">
        <w:rPr>
          <w:sz w:val="18"/>
          <w:szCs w:val="18"/>
        </w:rPr>
        <w:t xml:space="preserve"> </w:t>
      </w:r>
      <w:r w:rsidRPr="00433C0A">
        <w:rPr>
          <w:spacing w:val="-2"/>
          <w:sz w:val="18"/>
          <w:szCs w:val="18"/>
          <w:lang w:val="en-AU"/>
        </w:rPr>
        <w:t xml:space="preserve">See </w:t>
      </w:r>
      <w:hyperlink r:id="rId21" w:history="1">
        <w:r w:rsidRPr="00433C0A">
          <w:rPr>
            <w:rStyle w:val="Hyperlink"/>
            <w:sz w:val="18"/>
            <w:szCs w:val="18"/>
          </w:rPr>
          <w:t>https://www.pmc.gov.au/resource-centre/government/federal-exec-council-handbook</w:t>
        </w:r>
      </w:hyperlink>
    </w:p>
  </w:footnote>
  <w:footnote w:id="23">
    <w:p w14:paraId="42C7D1E7" w14:textId="77777777" w:rsidR="00430C30" w:rsidRPr="00D72C8E" w:rsidRDefault="00430C30" w:rsidP="008612E1">
      <w:pPr>
        <w:pStyle w:val="FootnoteText"/>
        <w:rPr>
          <w:sz w:val="18"/>
          <w:szCs w:val="18"/>
          <w:lang w:val="en-AU"/>
        </w:rPr>
      </w:pPr>
      <w:r w:rsidRPr="00D72C8E">
        <w:rPr>
          <w:rStyle w:val="FootnoteReference"/>
          <w:sz w:val="18"/>
          <w:szCs w:val="18"/>
        </w:rPr>
        <w:footnoteRef/>
      </w:r>
      <w:r w:rsidRPr="00D72C8E">
        <w:rPr>
          <w:sz w:val="18"/>
          <w:szCs w:val="18"/>
        </w:rPr>
        <w:t xml:space="preserve"> </w:t>
      </w:r>
      <w:r w:rsidRPr="00D72C8E">
        <w:rPr>
          <w:sz w:val="18"/>
          <w:szCs w:val="18"/>
          <w:lang w:val="en-AU"/>
        </w:rPr>
        <w:t xml:space="preserve">See </w:t>
      </w:r>
      <w:hyperlink r:id="rId22" w:history="1">
        <w:r w:rsidRPr="00D72C8E">
          <w:rPr>
            <w:rStyle w:val="Hyperlink"/>
            <w:spacing w:val="-2"/>
            <w:sz w:val="18"/>
            <w:szCs w:val="18"/>
            <w:lang w:val="en-AU"/>
          </w:rPr>
          <w:t>http://www.ag.gov.au/RightsAndProtections/HumanRights/Human-rights-scrutiny/Pages/default.aspx</w:t>
        </w:r>
      </w:hyperlink>
      <w:r w:rsidRPr="00D72C8E">
        <w:rPr>
          <w:spacing w:val="-2"/>
          <w:sz w:val="18"/>
          <w:szCs w:val="18"/>
          <w:lang w:val="en-AU"/>
        </w:rPr>
        <w:t xml:space="preserve"> </w:t>
      </w:r>
    </w:p>
  </w:footnote>
  <w:footnote w:id="24">
    <w:p w14:paraId="06CC509B" w14:textId="77777777" w:rsidR="00430C30" w:rsidRPr="004D6FFE" w:rsidRDefault="00430C30">
      <w:pPr>
        <w:pStyle w:val="FootnoteText"/>
        <w:rPr>
          <w:sz w:val="18"/>
          <w:szCs w:val="18"/>
          <w:lang w:val="en-AU"/>
        </w:rPr>
      </w:pPr>
      <w:r>
        <w:rPr>
          <w:rStyle w:val="FootnoteReference"/>
        </w:rPr>
        <w:footnoteRef/>
      </w:r>
      <w:r w:rsidRPr="004D6FFE">
        <w:rPr>
          <w:sz w:val="18"/>
          <w:szCs w:val="18"/>
        </w:rPr>
        <w:t xml:space="preserve"> </w:t>
      </w:r>
      <w:r w:rsidRPr="004D6FFE">
        <w:rPr>
          <w:sz w:val="18"/>
          <w:szCs w:val="18"/>
          <w:lang w:val="en-AU"/>
        </w:rPr>
        <w:t xml:space="preserve">See </w:t>
      </w:r>
      <w:hyperlink r:id="rId23" w:history="1">
        <w:r w:rsidRPr="004D6FFE">
          <w:rPr>
            <w:rFonts w:eastAsiaTheme="minorHAnsi" w:cstheme="minorBidi"/>
            <w:color w:val="0000FF"/>
            <w:sz w:val="18"/>
            <w:szCs w:val="18"/>
            <w:lang w:val="en-AU" w:eastAsia="en-US"/>
          </w:rPr>
          <w:t>https://www.ag.gov.au/LegalSystem/AdministrativeLaw/Pages/practice-guides/what-decisions-should-be-subject-to-merit-review-1999.aspx</w:t>
        </w:r>
      </w:hyperlink>
    </w:p>
  </w:footnote>
  <w:footnote w:id="25">
    <w:p w14:paraId="36CFD7C3" w14:textId="6F0741BA" w:rsidR="00430C30" w:rsidRPr="004D6FFE" w:rsidRDefault="00430C30" w:rsidP="006C574C">
      <w:pPr>
        <w:pStyle w:val="FootnoteText"/>
        <w:rPr>
          <w:sz w:val="18"/>
          <w:szCs w:val="18"/>
          <w:lang w:val="en-AU"/>
        </w:rPr>
      </w:pPr>
      <w:r>
        <w:rPr>
          <w:rStyle w:val="FootnoteReference"/>
        </w:rPr>
        <w:footnoteRef/>
      </w:r>
      <w:r w:rsidRPr="004D6FFE">
        <w:rPr>
          <w:sz w:val="18"/>
          <w:szCs w:val="18"/>
        </w:rPr>
        <w:t xml:space="preserve"> </w:t>
      </w:r>
      <w:r w:rsidRPr="004D6FFE">
        <w:rPr>
          <w:sz w:val="18"/>
          <w:szCs w:val="18"/>
          <w:lang w:val="en-AU"/>
        </w:rPr>
        <w:t xml:space="preserve">See </w:t>
      </w:r>
      <w:hyperlink r:id="rId24" w:history="1">
        <w:r w:rsidRPr="006C574C">
          <w:rPr>
            <w:rStyle w:val="Hyperlink"/>
            <w:sz w:val="18"/>
            <w:szCs w:val="18"/>
          </w:rPr>
          <w:t>https://www.ag.gov.au/legal-system/publications/guide-framing-commonwealth-offences-infringement-notices-and-enforcement-powers</w:t>
        </w:r>
      </w:hyperlink>
    </w:p>
  </w:footnote>
  <w:footnote w:id="26">
    <w:p w14:paraId="673CFAEF" w14:textId="77777777" w:rsidR="00430C30" w:rsidRPr="00D72C8E" w:rsidRDefault="00430C30" w:rsidP="004F138B">
      <w:pPr>
        <w:pStyle w:val="FootnoteText"/>
        <w:rPr>
          <w:sz w:val="18"/>
          <w:szCs w:val="18"/>
          <w:lang w:val="en-AU"/>
        </w:rPr>
      </w:pPr>
      <w:r w:rsidRPr="00D72C8E">
        <w:rPr>
          <w:rStyle w:val="FootnoteReference"/>
          <w:sz w:val="18"/>
          <w:szCs w:val="18"/>
        </w:rPr>
        <w:footnoteRef/>
      </w:r>
      <w:r w:rsidRPr="00D72C8E">
        <w:rPr>
          <w:sz w:val="18"/>
          <w:szCs w:val="18"/>
          <w:lang w:val="en-AU"/>
        </w:rPr>
        <w:t xml:space="preserve"> See </w:t>
      </w:r>
      <w:hyperlink r:id="rId25" w:history="1">
        <w:r w:rsidRPr="00D72C8E">
          <w:rPr>
            <w:rStyle w:val="Hyperlink"/>
            <w:sz w:val="18"/>
            <w:szCs w:val="18"/>
          </w:rPr>
          <w:t>http://www.aph.gov.au/Parliamentary_Business/Committees/Senate/Regulations_and_Ordinances</w:t>
        </w:r>
      </w:hyperlink>
    </w:p>
  </w:footnote>
  <w:footnote w:id="27">
    <w:p w14:paraId="29739E9C" w14:textId="77777777" w:rsidR="00430C30" w:rsidRPr="00D72C8E" w:rsidRDefault="00430C30" w:rsidP="004F138B">
      <w:pPr>
        <w:pStyle w:val="FootnoteText"/>
        <w:rPr>
          <w:sz w:val="18"/>
          <w:szCs w:val="18"/>
          <w:lang w:val="en-AU"/>
        </w:rPr>
      </w:pPr>
      <w:r w:rsidRPr="00D72C8E">
        <w:rPr>
          <w:rStyle w:val="FootnoteReference"/>
          <w:sz w:val="18"/>
          <w:szCs w:val="18"/>
        </w:rPr>
        <w:footnoteRef/>
      </w:r>
      <w:r w:rsidRPr="00D72C8E">
        <w:rPr>
          <w:sz w:val="18"/>
          <w:szCs w:val="18"/>
        </w:rPr>
        <w:t xml:space="preserve"> </w:t>
      </w:r>
      <w:r w:rsidRPr="00D72C8E">
        <w:rPr>
          <w:sz w:val="18"/>
          <w:szCs w:val="18"/>
          <w:lang w:val="en-AU"/>
        </w:rPr>
        <w:t xml:space="preserve">See </w:t>
      </w:r>
      <w:hyperlink r:id="rId26" w:history="1">
        <w:r w:rsidRPr="00D72C8E">
          <w:rPr>
            <w:rStyle w:val="Hyperlink"/>
            <w:spacing w:val="-2"/>
            <w:sz w:val="18"/>
            <w:szCs w:val="18"/>
            <w:lang w:val="en-AU"/>
          </w:rPr>
          <w:t>http://www.ag.gov.au/RightsAndProtections/HumanRights/Human-rights-scrutiny/Pages/default.aspx</w:t>
        </w:r>
      </w:hyperlink>
    </w:p>
  </w:footnote>
  <w:footnote w:id="28">
    <w:p w14:paraId="53987CD8" w14:textId="77777777" w:rsidR="00430C30" w:rsidRPr="00D72C8E" w:rsidRDefault="00430C30" w:rsidP="00727ED5">
      <w:pPr>
        <w:pStyle w:val="FootnoteText"/>
        <w:rPr>
          <w:sz w:val="18"/>
          <w:szCs w:val="18"/>
          <w:lang w:val="en-AU"/>
        </w:rPr>
      </w:pPr>
      <w:r w:rsidRPr="00D72C8E">
        <w:rPr>
          <w:rStyle w:val="FootnoteReference"/>
          <w:sz w:val="18"/>
          <w:szCs w:val="18"/>
        </w:rPr>
        <w:footnoteRef/>
      </w:r>
      <w:r w:rsidRPr="00D72C8E">
        <w:rPr>
          <w:sz w:val="18"/>
          <w:szCs w:val="18"/>
        </w:rPr>
        <w:t xml:space="preserve"> </w:t>
      </w:r>
      <w:r w:rsidRPr="00D72C8E">
        <w:rPr>
          <w:sz w:val="18"/>
          <w:szCs w:val="18"/>
          <w:lang w:val="en-AU"/>
        </w:rPr>
        <w:t xml:space="preserve">See </w:t>
      </w:r>
      <w:hyperlink r:id="rId27" w:history="1">
        <w:r w:rsidRPr="00D72C8E">
          <w:rPr>
            <w:rStyle w:val="Hyperlink"/>
            <w:sz w:val="18"/>
            <w:szCs w:val="18"/>
          </w:rPr>
          <w:t>http://www.aph.gov.au/Parliamentary_Business/Committees/Joint/Human_Rights</w:t>
        </w:r>
      </w:hyperlink>
    </w:p>
  </w:footnote>
  <w:footnote w:id="29">
    <w:p w14:paraId="1BFA50D3" w14:textId="77777777" w:rsidR="00430C30" w:rsidRPr="00D72C8E" w:rsidRDefault="00430C30" w:rsidP="00850BC0">
      <w:pPr>
        <w:pStyle w:val="FootnoteText"/>
        <w:rPr>
          <w:sz w:val="18"/>
          <w:szCs w:val="18"/>
          <w:lang w:val="en-AU"/>
        </w:rPr>
      </w:pPr>
      <w:r w:rsidRPr="00D72C8E">
        <w:rPr>
          <w:rStyle w:val="FootnoteReference"/>
          <w:sz w:val="18"/>
          <w:szCs w:val="18"/>
        </w:rPr>
        <w:footnoteRef/>
      </w:r>
      <w:r w:rsidRPr="00D72C8E">
        <w:rPr>
          <w:sz w:val="18"/>
          <w:szCs w:val="18"/>
        </w:rPr>
        <w:t xml:space="preserve"> </w:t>
      </w:r>
      <w:r w:rsidRPr="00D72C8E">
        <w:rPr>
          <w:sz w:val="18"/>
          <w:szCs w:val="18"/>
          <w:lang w:val="en-AU"/>
        </w:rPr>
        <w:t xml:space="preserve">See </w:t>
      </w:r>
      <w:hyperlink r:id="rId28" w:history="1">
        <w:r w:rsidRPr="00D72C8E">
          <w:rPr>
            <w:rStyle w:val="Hyperlink"/>
            <w:sz w:val="18"/>
            <w:szCs w:val="18"/>
            <w:lang w:val="en-AU"/>
          </w:rPr>
          <w:t xml:space="preserve">2008 Review of the </w:t>
        </w:r>
        <w:r w:rsidRPr="00D72C8E">
          <w:rPr>
            <w:rStyle w:val="Hyperlink"/>
            <w:i/>
            <w:sz w:val="18"/>
            <w:szCs w:val="18"/>
            <w:lang w:val="en-AU"/>
          </w:rPr>
          <w:t>Legislation Act 2003</w:t>
        </w:r>
      </w:hyperlink>
      <w:r w:rsidRPr="00D72C8E">
        <w:rPr>
          <w:sz w:val="18"/>
          <w:szCs w:val="18"/>
          <w:lang w:val="en-AU"/>
        </w:rPr>
        <w:t>, chapter 8.3.</w:t>
      </w:r>
    </w:p>
  </w:footnote>
  <w:footnote w:id="30">
    <w:p w14:paraId="6CFB66C5" w14:textId="77777777" w:rsidR="00430C30" w:rsidRPr="00D72C8E" w:rsidRDefault="00430C30" w:rsidP="00727ED5">
      <w:pPr>
        <w:pStyle w:val="FootnoteText"/>
        <w:rPr>
          <w:sz w:val="18"/>
          <w:szCs w:val="18"/>
          <w:lang w:val="en-AU"/>
        </w:rPr>
      </w:pPr>
      <w:r w:rsidRPr="00D72C8E">
        <w:rPr>
          <w:rStyle w:val="FootnoteReference"/>
          <w:sz w:val="18"/>
          <w:szCs w:val="18"/>
        </w:rPr>
        <w:footnoteRef/>
      </w:r>
      <w:r w:rsidRPr="00D72C8E">
        <w:rPr>
          <w:sz w:val="18"/>
          <w:szCs w:val="18"/>
        </w:rPr>
        <w:t xml:space="preserve"> </w:t>
      </w:r>
      <w:r w:rsidRPr="00D72C8E">
        <w:rPr>
          <w:sz w:val="18"/>
          <w:szCs w:val="18"/>
          <w:lang w:val="en-AU"/>
        </w:rPr>
        <w:t xml:space="preserve">See </w:t>
      </w:r>
      <w:hyperlink r:id="rId29" w:history="1">
        <w:r w:rsidRPr="00D72C8E">
          <w:rPr>
            <w:rStyle w:val="Hyperlink"/>
            <w:spacing w:val="-4"/>
            <w:sz w:val="18"/>
            <w:szCs w:val="18"/>
          </w:rPr>
          <w:t>http://www.aph.gov.au/Parliamentary_Business/Chamber_documents/Senate_chamber_documents/Journals_of_the_Senate</w:t>
        </w:r>
      </w:hyperlink>
    </w:p>
  </w:footnote>
  <w:footnote w:id="31">
    <w:p w14:paraId="03A295A5" w14:textId="77777777" w:rsidR="00430C30" w:rsidRPr="00D72C8E" w:rsidRDefault="00430C30" w:rsidP="00727ED5">
      <w:pPr>
        <w:pStyle w:val="FootnoteText"/>
        <w:rPr>
          <w:sz w:val="18"/>
          <w:szCs w:val="18"/>
          <w:lang w:val="en-AU"/>
        </w:rPr>
      </w:pPr>
      <w:r w:rsidRPr="00D72C8E">
        <w:rPr>
          <w:rStyle w:val="FootnoteReference"/>
          <w:sz w:val="18"/>
          <w:szCs w:val="18"/>
        </w:rPr>
        <w:footnoteRef/>
      </w:r>
      <w:r w:rsidRPr="00D72C8E">
        <w:rPr>
          <w:sz w:val="18"/>
          <w:szCs w:val="18"/>
        </w:rPr>
        <w:t xml:space="preserve"> </w:t>
      </w:r>
      <w:r w:rsidRPr="00D72C8E">
        <w:rPr>
          <w:sz w:val="18"/>
          <w:szCs w:val="18"/>
          <w:lang w:val="en-AU"/>
        </w:rPr>
        <w:t xml:space="preserve">See </w:t>
      </w:r>
      <w:hyperlink r:id="rId30" w:history="1">
        <w:r w:rsidRPr="00D72C8E">
          <w:rPr>
            <w:rStyle w:val="Hyperlink"/>
            <w:sz w:val="18"/>
            <w:szCs w:val="18"/>
          </w:rPr>
          <w:t>http://www.aph.gov.au/Parliamentary_Business/Chamber_documents/HoR/Votes_and_Proceedings</w:t>
        </w:r>
      </w:hyperlink>
    </w:p>
  </w:footnote>
  <w:footnote w:id="32">
    <w:p w14:paraId="0F539B02" w14:textId="77777777" w:rsidR="00430C30" w:rsidRPr="00D72C8E" w:rsidRDefault="00430C30" w:rsidP="004F138B">
      <w:pPr>
        <w:pStyle w:val="FootnoteText"/>
        <w:rPr>
          <w:sz w:val="18"/>
          <w:szCs w:val="18"/>
          <w:lang w:val="en-AU"/>
        </w:rPr>
      </w:pPr>
      <w:r w:rsidRPr="00FA3855">
        <w:rPr>
          <w:rStyle w:val="FootnoteReference"/>
          <w:sz w:val="18"/>
          <w:szCs w:val="18"/>
        </w:rPr>
        <w:footnoteRef/>
      </w:r>
      <w:r w:rsidRPr="00FA3855">
        <w:rPr>
          <w:sz w:val="18"/>
          <w:szCs w:val="18"/>
        </w:rPr>
        <w:t xml:space="preserve"> </w:t>
      </w:r>
      <w:r w:rsidRPr="00FA3855">
        <w:rPr>
          <w:sz w:val="18"/>
          <w:szCs w:val="18"/>
          <w:lang w:val="en-AU"/>
        </w:rPr>
        <w:t xml:space="preserve">See </w:t>
      </w:r>
      <w:hyperlink r:id="rId31" w:history="1">
        <w:r w:rsidRPr="00FA3855">
          <w:rPr>
            <w:rStyle w:val="Hyperlink"/>
            <w:sz w:val="18"/>
            <w:szCs w:val="18"/>
            <w:lang w:val="en-AU"/>
          </w:rPr>
          <w:t>https://www.pmc.gov.au/sites/default/files/publications/pmc-tabling-guidelines.pdf</w:t>
        </w:r>
      </w:hyperlink>
    </w:p>
  </w:footnote>
  <w:footnote w:id="33">
    <w:p w14:paraId="156E5AD2" w14:textId="11882683" w:rsidR="00430C30" w:rsidRPr="00D72C8E" w:rsidRDefault="00430C30">
      <w:pPr>
        <w:pStyle w:val="FootnoteText"/>
        <w:rPr>
          <w:sz w:val="18"/>
          <w:szCs w:val="18"/>
          <w:lang w:val="en-AU"/>
        </w:rPr>
      </w:pPr>
      <w:r w:rsidRPr="00D72C8E">
        <w:rPr>
          <w:rStyle w:val="FootnoteReference"/>
          <w:sz w:val="18"/>
          <w:szCs w:val="18"/>
        </w:rPr>
        <w:footnoteRef/>
      </w:r>
      <w:r w:rsidRPr="00D72C8E">
        <w:rPr>
          <w:sz w:val="18"/>
          <w:szCs w:val="18"/>
        </w:rPr>
        <w:t xml:space="preserve"> </w:t>
      </w:r>
      <w:r w:rsidRPr="00D72C8E">
        <w:rPr>
          <w:sz w:val="18"/>
          <w:szCs w:val="18"/>
          <w:lang w:val="en-AU"/>
        </w:rPr>
        <w:t xml:space="preserve">See </w:t>
      </w:r>
      <w:r w:rsidRPr="00C83321">
        <w:rPr>
          <w:rStyle w:val="Hyperlink"/>
          <w:sz w:val="18"/>
          <w:szCs w:val="18"/>
          <w:lang w:val="en-AU"/>
        </w:rPr>
        <w:t>https://www.aph.gov.au/Parliamentary_Business/Bills_Legislation/Disallowance_Alert</w:t>
      </w:r>
    </w:p>
  </w:footnote>
  <w:footnote w:id="34">
    <w:p w14:paraId="459EDB84" w14:textId="77777777" w:rsidR="00430C30" w:rsidRPr="00D72C8E" w:rsidRDefault="00430C30" w:rsidP="004F138B">
      <w:pPr>
        <w:pStyle w:val="FootnoteText"/>
        <w:rPr>
          <w:sz w:val="18"/>
          <w:szCs w:val="18"/>
          <w:lang w:val="en-AU"/>
        </w:rPr>
      </w:pPr>
      <w:r w:rsidRPr="00D72C8E">
        <w:rPr>
          <w:rStyle w:val="FootnoteReference"/>
          <w:sz w:val="18"/>
          <w:szCs w:val="18"/>
        </w:rPr>
        <w:footnoteRef/>
      </w:r>
      <w:r w:rsidRPr="00D72C8E">
        <w:rPr>
          <w:sz w:val="18"/>
          <w:szCs w:val="18"/>
        </w:rPr>
        <w:t xml:space="preserve"> </w:t>
      </w:r>
      <w:r w:rsidRPr="00D72C8E">
        <w:rPr>
          <w:sz w:val="18"/>
          <w:szCs w:val="18"/>
          <w:lang w:val="en-AU"/>
        </w:rPr>
        <w:t xml:space="preserve">See </w:t>
      </w:r>
      <w:hyperlink r:id="rId32" w:history="1">
        <w:r w:rsidRPr="00D72C8E">
          <w:rPr>
            <w:rStyle w:val="Hyperlink"/>
            <w:i/>
            <w:sz w:val="18"/>
            <w:szCs w:val="18"/>
            <w:lang w:val="en-AU"/>
          </w:rPr>
          <w:t>Victorian Chamber of Manufactures v Commonwealth (Women’s Employment Regulations)</w:t>
        </w:r>
        <w:r w:rsidRPr="00D72C8E">
          <w:rPr>
            <w:rStyle w:val="Hyperlink"/>
            <w:sz w:val="18"/>
            <w:szCs w:val="18"/>
            <w:lang w:val="en-AU"/>
          </w:rPr>
          <w:t xml:space="preserve"> [1943] HCA 21; (1943) 67 CLR 347 (13 August 1943)</w:t>
        </w:r>
      </w:hyperlink>
      <w:r w:rsidRPr="00D72C8E">
        <w:rPr>
          <w:sz w:val="18"/>
          <w:szCs w:val="18"/>
          <w:lang w:val="en-AU"/>
        </w:rPr>
        <w:t xml:space="preserve">, and </w:t>
      </w:r>
      <w:hyperlink r:id="rId33" w:history="1">
        <w:r w:rsidRPr="00D72C8E">
          <w:rPr>
            <w:rStyle w:val="Hyperlink"/>
            <w:i/>
            <w:sz w:val="18"/>
            <w:szCs w:val="18"/>
            <w:lang w:val="en-AU"/>
          </w:rPr>
          <w:t>Perrett v Attorney-General of the Commonwealth of Australia</w:t>
        </w:r>
        <w:r w:rsidRPr="00D72C8E">
          <w:rPr>
            <w:rStyle w:val="Hyperlink"/>
            <w:sz w:val="18"/>
            <w:szCs w:val="18"/>
            <w:lang w:val="en-AU"/>
          </w:rPr>
          <w:t xml:space="preserve"> [2015] </w:t>
        </w:r>
        <w:r w:rsidRPr="00D72C8E">
          <w:rPr>
            <w:rStyle w:val="Hyperlink"/>
            <w:sz w:val="18"/>
            <w:szCs w:val="18"/>
            <w:lang w:val="en-AU"/>
          </w:rPr>
          <w:t>FCA 834</w:t>
        </w:r>
      </w:hyperlink>
    </w:p>
  </w:footnote>
  <w:footnote w:id="35">
    <w:p w14:paraId="7A583DC0" w14:textId="77777777" w:rsidR="00430C30" w:rsidRPr="00747A0D" w:rsidRDefault="00430C30" w:rsidP="00727ED5">
      <w:pPr>
        <w:pStyle w:val="FootnoteText"/>
        <w:rPr>
          <w:sz w:val="18"/>
          <w:szCs w:val="18"/>
          <w:lang w:val="en-AU"/>
        </w:rPr>
      </w:pPr>
      <w:r w:rsidRPr="00747A0D">
        <w:rPr>
          <w:rStyle w:val="FootnoteReference"/>
          <w:sz w:val="18"/>
          <w:szCs w:val="18"/>
        </w:rPr>
        <w:footnoteRef/>
      </w:r>
      <w:r w:rsidRPr="00747A0D">
        <w:rPr>
          <w:sz w:val="18"/>
          <w:szCs w:val="18"/>
        </w:rPr>
        <w:t xml:space="preserve"> </w:t>
      </w:r>
      <w:r w:rsidRPr="00747A0D">
        <w:rPr>
          <w:sz w:val="18"/>
          <w:szCs w:val="18"/>
          <w:lang w:val="en-AU"/>
        </w:rPr>
        <w:t xml:space="preserve">See </w:t>
      </w:r>
      <w:hyperlink r:id="rId34" w:history="1">
        <w:r w:rsidRPr="00747A0D">
          <w:rPr>
            <w:rStyle w:val="Hyperlink"/>
            <w:sz w:val="18"/>
            <w:szCs w:val="18"/>
          </w:rPr>
          <w:t>https://www.ag.gov.au/LegalSystem/AdministrativeLaw/Pages/LegislationAct2003.aspx</w:t>
        </w:r>
      </w:hyperlink>
    </w:p>
  </w:footnote>
  <w:footnote w:id="36">
    <w:p w14:paraId="2645F70C" w14:textId="77777777" w:rsidR="00430C30" w:rsidRPr="00747A0D" w:rsidRDefault="00430C30" w:rsidP="00727ED5">
      <w:pPr>
        <w:pStyle w:val="FootnoteText"/>
        <w:rPr>
          <w:sz w:val="18"/>
          <w:szCs w:val="18"/>
          <w:lang w:val="en-AU"/>
        </w:rPr>
      </w:pPr>
      <w:r w:rsidRPr="00747A0D">
        <w:rPr>
          <w:rStyle w:val="FootnoteReference"/>
          <w:sz w:val="18"/>
          <w:szCs w:val="18"/>
        </w:rPr>
        <w:footnoteRef/>
      </w:r>
      <w:r w:rsidRPr="00747A0D">
        <w:rPr>
          <w:sz w:val="18"/>
          <w:szCs w:val="18"/>
        </w:rPr>
        <w:t xml:space="preserve"> </w:t>
      </w:r>
      <w:r w:rsidRPr="00747A0D">
        <w:rPr>
          <w:sz w:val="18"/>
          <w:szCs w:val="18"/>
          <w:lang w:val="en-AU"/>
        </w:rPr>
        <w:t xml:space="preserve">See </w:t>
      </w:r>
      <w:hyperlink r:id="rId35" w:history="1">
        <w:r w:rsidRPr="00747A0D">
          <w:rPr>
            <w:rStyle w:val="Hyperlink"/>
            <w:sz w:val="18"/>
            <w:szCs w:val="18"/>
          </w:rPr>
          <w:t>https://www.ag.gov.au/LegalSystem/AdministrativeLaw/Pages/LegislationAct2003.aspx</w:t>
        </w:r>
      </w:hyperlink>
    </w:p>
  </w:footnote>
  <w:footnote w:id="37">
    <w:p w14:paraId="65234A6B" w14:textId="77777777" w:rsidR="00430C30" w:rsidRPr="00747A0D" w:rsidRDefault="00430C30" w:rsidP="004F138B">
      <w:pPr>
        <w:pStyle w:val="FootnoteText"/>
        <w:rPr>
          <w:sz w:val="18"/>
          <w:szCs w:val="18"/>
          <w:lang w:val="en-AU"/>
        </w:rPr>
      </w:pPr>
      <w:r w:rsidRPr="00747A0D">
        <w:rPr>
          <w:rStyle w:val="FootnoteReference"/>
          <w:sz w:val="18"/>
          <w:szCs w:val="18"/>
        </w:rPr>
        <w:footnoteRef/>
      </w:r>
      <w:r w:rsidRPr="00747A0D">
        <w:rPr>
          <w:sz w:val="18"/>
          <w:szCs w:val="18"/>
        </w:rPr>
        <w:t xml:space="preserve"> </w:t>
      </w:r>
      <w:r w:rsidRPr="00747A0D">
        <w:rPr>
          <w:sz w:val="18"/>
          <w:szCs w:val="18"/>
          <w:lang w:val="en-AU"/>
        </w:rPr>
        <w:t xml:space="preserve">See </w:t>
      </w:r>
      <w:hyperlink r:id="rId36" w:history="1">
        <w:r w:rsidRPr="00747A0D">
          <w:rPr>
            <w:rStyle w:val="Hyperlink"/>
            <w:sz w:val="18"/>
            <w:szCs w:val="18"/>
            <w:lang w:val="en-AU"/>
          </w:rPr>
          <w:t>https://www.legislation.gov.au/Content/SunsettingLists</w:t>
        </w:r>
      </w:hyperlink>
    </w:p>
  </w:footnote>
  <w:footnote w:id="38">
    <w:p w14:paraId="15EADA84" w14:textId="77777777" w:rsidR="00430C30" w:rsidRPr="00747A0D" w:rsidRDefault="00430C30" w:rsidP="005009ED">
      <w:pPr>
        <w:pStyle w:val="FootnoteText"/>
        <w:rPr>
          <w:sz w:val="18"/>
          <w:szCs w:val="18"/>
          <w:lang w:val="en-AU"/>
        </w:rPr>
      </w:pPr>
      <w:r w:rsidRPr="00FA3855">
        <w:rPr>
          <w:rStyle w:val="FootnoteReference"/>
          <w:sz w:val="18"/>
          <w:szCs w:val="18"/>
        </w:rPr>
        <w:footnoteRef/>
      </w:r>
      <w:r w:rsidRPr="00FA3855">
        <w:rPr>
          <w:sz w:val="18"/>
          <w:szCs w:val="18"/>
        </w:rPr>
        <w:t xml:space="preserve"> </w:t>
      </w:r>
      <w:r w:rsidRPr="00FA3855">
        <w:rPr>
          <w:sz w:val="18"/>
          <w:szCs w:val="18"/>
          <w:lang w:val="en-AU"/>
        </w:rPr>
        <w:t xml:space="preserve">See </w:t>
      </w:r>
      <w:hyperlink r:id="rId37" w:history="1">
        <w:r w:rsidRPr="00FA3855">
          <w:rPr>
            <w:rStyle w:val="Hyperlink"/>
            <w:sz w:val="18"/>
            <w:szCs w:val="18"/>
            <w:lang w:val="en-AU"/>
          </w:rPr>
          <w:t>https://www.pmc.gov.au/sites/default/files/publications/pmc-tabling-guidelines.pdf</w:t>
        </w:r>
      </w:hyperlink>
    </w:p>
  </w:footnote>
  <w:footnote w:id="39">
    <w:p w14:paraId="6DCDC627" w14:textId="77777777" w:rsidR="00430C30" w:rsidRPr="00747A0D" w:rsidRDefault="00430C30" w:rsidP="00727ED5">
      <w:pPr>
        <w:pStyle w:val="FootnoteText"/>
        <w:rPr>
          <w:sz w:val="18"/>
          <w:szCs w:val="18"/>
          <w:lang w:val="en-AU"/>
        </w:rPr>
      </w:pPr>
      <w:r w:rsidRPr="00747A0D">
        <w:rPr>
          <w:rStyle w:val="FootnoteReference"/>
          <w:sz w:val="18"/>
          <w:szCs w:val="18"/>
        </w:rPr>
        <w:footnoteRef/>
      </w:r>
      <w:r w:rsidRPr="00747A0D">
        <w:rPr>
          <w:sz w:val="18"/>
          <w:szCs w:val="18"/>
        </w:rPr>
        <w:t xml:space="preserve"> </w:t>
      </w:r>
      <w:r w:rsidRPr="00747A0D">
        <w:rPr>
          <w:sz w:val="18"/>
          <w:szCs w:val="18"/>
          <w:lang w:val="en-AU"/>
        </w:rPr>
        <w:t xml:space="preserve">See </w:t>
      </w:r>
      <w:hyperlink r:id="rId38" w:history="1">
        <w:r w:rsidRPr="00747A0D">
          <w:rPr>
            <w:rStyle w:val="Hyperlink"/>
            <w:sz w:val="18"/>
            <w:szCs w:val="18"/>
          </w:rPr>
          <w:t>http</w:t>
        </w:r>
        <w:r w:rsidRPr="00747A0D">
          <w:rPr>
            <w:rStyle w:val="Hyperlink"/>
            <w:sz w:val="18"/>
            <w:szCs w:val="18"/>
            <w:lang w:val="en-AU"/>
          </w:rPr>
          <w:t>s</w:t>
        </w:r>
        <w:r w:rsidRPr="00747A0D">
          <w:rPr>
            <w:rStyle w:val="Hyperlink"/>
            <w:sz w:val="18"/>
            <w:szCs w:val="18"/>
          </w:rPr>
          <w:t>://www.</w:t>
        </w:r>
        <w:r w:rsidRPr="00747A0D">
          <w:rPr>
            <w:rStyle w:val="Hyperlink"/>
            <w:sz w:val="18"/>
            <w:szCs w:val="18"/>
            <w:lang w:val="en-AU"/>
          </w:rPr>
          <w:t>legislation</w:t>
        </w:r>
        <w:r w:rsidRPr="00747A0D">
          <w:rPr>
            <w:rStyle w:val="Hyperlink"/>
            <w:sz w:val="18"/>
            <w:szCs w:val="18"/>
          </w:rPr>
          <w:t>.gov.au/Browse/BySunsetDate/LegislativeInstruments/SunsettingSoon</w:t>
        </w:r>
      </w:hyperlink>
    </w:p>
  </w:footnote>
  <w:footnote w:id="40">
    <w:p w14:paraId="0A37BBF5" w14:textId="77777777" w:rsidR="00430C30" w:rsidRPr="00747A0D" w:rsidRDefault="00430C30" w:rsidP="00727ED5">
      <w:pPr>
        <w:pStyle w:val="FootnoteText"/>
        <w:rPr>
          <w:sz w:val="18"/>
          <w:szCs w:val="18"/>
          <w:lang w:val="en-AU"/>
        </w:rPr>
      </w:pPr>
      <w:r w:rsidRPr="00747A0D">
        <w:rPr>
          <w:rStyle w:val="FootnoteReference"/>
          <w:sz w:val="18"/>
          <w:szCs w:val="18"/>
        </w:rPr>
        <w:footnoteRef/>
      </w:r>
      <w:r w:rsidRPr="00747A0D">
        <w:rPr>
          <w:sz w:val="18"/>
          <w:szCs w:val="18"/>
        </w:rPr>
        <w:t xml:space="preserve"> </w:t>
      </w:r>
      <w:r w:rsidRPr="00747A0D">
        <w:rPr>
          <w:sz w:val="18"/>
          <w:szCs w:val="18"/>
          <w:lang w:val="en-AU"/>
        </w:rPr>
        <w:t xml:space="preserve">See </w:t>
      </w:r>
      <w:hyperlink r:id="rId39" w:history="1">
        <w:r w:rsidRPr="00747A0D">
          <w:rPr>
            <w:rStyle w:val="Hyperlink"/>
            <w:sz w:val="18"/>
            <w:szCs w:val="18"/>
          </w:rPr>
          <w:t>https://www.ag.gov.au/LegalSystem/AdministrativeLaw/Pages/LegislationAct2003.aspx</w:t>
        </w:r>
      </w:hyperlink>
    </w:p>
  </w:footnote>
  <w:footnote w:id="41">
    <w:p w14:paraId="17326E2A" w14:textId="77777777" w:rsidR="00430C30" w:rsidRPr="00747A0D" w:rsidRDefault="00430C30" w:rsidP="00727ED5">
      <w:pPr>
        <w:pStyle w:val="FootnoteText"/>
        <w:rPr>
          <w:sz w:val="18"/>
          <w:szCs w:val="18"/>
          <w:lang w:val="en-AU"/>
        </w:rPr>
      </w:pPr>
      <w:r w:rsidRPr="00747A0D">
        <w:rPr>
          <w:rStyle w:val="FootnoteReference"/>
          <w:sz w:val="18"/>
          <w:szCs w:val="18"/>
        </w:rPr>
        <w:footnoteRef/>
      </w:r>
      <w:r w:rsidRPr="00747A0D">
        <w:rPr>
          <w:sz w:val="18"/>
          <w:szCs w:val="18"/>
        </w:rPr>
        <w:t xml:space="preserve"> </w:t>
      </w:r>
      <w:r w:rsidRPr="00747A0D">
        <w:rPr>
          <w:sz w:val="18"/>
          <w:szCs w:val="18"/>
          <w:lang w:val="en-AU"/>
        </w:rPr>
        <w:t xml:space="preserve">See </w:t>
      </w:r>
      <w:hyperlink r:id="rId40" w:history="1">
        <w:r w:rsidRPr="00747A0D">
          <w:rPr>
            <w:rStyle w:val="Hyperlink"/>
            <w:sz w:val="18"/>
            <w:szCs w:val="18"/>
          </w:rPr>
          <w:t>https://www.ag.gov.au/LegalSystem/AdministrativeLaw/Pages/LegislationAct2003.aspx</w:t>
        </w:r>
      </w:hyperlink>
    </w:p>
  </w:footnote>
  <w:footnote w:id="42">
    <w:p w14:paraId="04B8F1AA" w14:textId="77777777" w:rsidR="00430C30" w:rsidRPr="00747A0D" w:rsidRDefault="00430C30" w:rsidP="00727ED5">
      <w:pPr>
        <w:pStyle w:val="FootnoteText"/>
        <w:rPr>
          <w:sz w:val="18"/>
          <w:szCs w:val="18"/>
          <w:lang w:val="en-AU"/>
        </w:rPr>
      </w:pPr>
      <w:r w:rsidRPr="00747A0D">
        <w:rPr>
          <w:rStyle w:val="FootnoteReference"/>
          <w:sz w:val="18"/>
          <w:szCs w:val="18"/>
        </w:rPr>
        <w:footnoteRef/>
      </w:r>
      <w:r w:rsidRPr="00747A0D">
        <w:rPr>
          <w:sz w:val="18"/>
          <w:szCs w:val="18"/>
        </w:rPr>
        <w:t xml:space="preserve"> </w:t>
      </w:r>
      <w:r w:rsidRPr="00747A0D">
        <w:rPr>
          <w:sz w:val="18"/>
          <w:szCs w:val="18"/>
          <w:lang w:val="en-AU"/>
        </w:rPr>
        <w:t xml:space="preserve">See </w:t>
      </w:r>
      <w:hyperlink r:id="rId41" w:history="1">
        <w:r w:rsidRPr="00747A0D">
          <w:rPr>
            <w:rStyle w:val="Hyperlink"/>
            <w:sz w:val="18"/>
            <w:szCs w:val="18"/>
          </w:rPr>
          <w:t>https://www.ag.gov.au/LegalSystem/AdministrativeLaw/Pages/LegislationAct2003.aspx</w:t>
        </w:r>
      </w:hyperlink>
    </w:p>
  </w:footnote>
  <w:footnote w:id="43">
    <w:p w14:paraId="461BC745" w14:textId="77777777" w:rsidR="00430C30" w:rsidRPr="00747A0D" w:rsidRDefault="00430C30" w:rsidP="00727ED5">
      <w:pPr>
        <w:pStyle w:val="FootnoteText"/>
        <w:rPr>
          <w:sz w:val="18"/>
          <w:szCs w:val="18"/>
          <w:lang w:val="en-AU"/>
        </w:rPr>
      </w:pPr>
      <w:r w:rsidRPr="00747A0D">
        <w:rPr>
          <w:rStyle w:val="FootnoteReference"/>
          <w:sz w:val="18"/>
          <w:szCs w:val="18"/>
        </w:rPr>
        <w:footnoteRef/>
      </w:r>
      <w:r w:rsidRPr="00747A0D">
        <w:rPr>
          <w:sz w:val="18"/>
          <w:szCs w:val="18"/>
        </w:rPr>
        <w:t xml:space="preserve"> </w:t>
      </w:r>
      <w:r w:rsidRPr="00747A0D">
        <w:rPr>
          <w:sz w:val="18"/>
          <w:szCs w:val="18"/>
          <w:lang w:val="en-AU"/>
        </w:rPr>
        <w:t xml:space="preserve">See </w:t>
      </w:r>
      <w:hyperlink r:id="rId42" w:history="1">
        <w:r w:rsidRPr="00747A0D">
          <w:rPr>
            <w:rStyle w:val="Hyperlink"/>
            <w:sz w:val="18"/>
            <w:szCs w:val="18"/>
          </w:rPr>
          <w:t>https://www.ag.gov.au/LegalSystem/AdministrativeLaw/Pages/LegislationAct2003.aspx</w:t>
        </w:r>
      </w:hyperlink>
    </w:p>
  </w:footnote>
  <w:footnote w:id="44">
    <w:p w14:paraId="32B88AF8" w14:textId="77777777" w:rsidR="00430C30" w:rsidRPr="00747A0D" w:rsidRDefault="00430C30" w:rsidP="004F138B">
      <w:pPr>
        <w:pStyle w:val="FootnoteText"/>
        <w:rPr>
          <w:sz w:val="18"/>
          <w:szCs w:val="18"/>
          <w:lang w:val="en-AU"/>
        </w:rPr>
      </w:pPr>
      <w:r w:rsidRPr="00FA3855">
        <w:rPr>
          <w:rStyle w:val="FootnoteReference"/>
          <w:sz w:val="18"/>
          <w:szCs w:val="18"/>
        </w:rPr>
        <w:footnoteRef/>
      </w:r>
      <w:r w:rsidRPr="00FA3855">
        <w:rPr>
          <w:sz w:val="18"/>
          <w:szCs w:val="18"/>
        </w:rPr>
        <w:t xml:space="preserve"> </w:t>
      </w:r>
      <w:r w:rsidRPr="00FA3855">
        <w:rPr>
          <w:sz w:val="18"/>
          <w:szCs w:val="18"/>
          <w:lang w:val="en-AU"/>
        </w:rPr>
        <w:t xml:space="preserve">See </w:t>
      </w:r>
      <w:hyperlink r:id="rId43" w:history="1">
        <w:r w:rsidRPr="00FA3855">
          <w:rPr>
            <w:rStyle w:val="Hyperlink"/>
            <w:sz w:val="18"/>
            <w:szCs w:val="18"/>
            <w:lang w:val="en-AU"/>
          </w:rPr>
          <w:t>https://www.pmc.gov.au/sites/default/files/publications/pmc-tabling-guidelines.pdf</w:t>
        </w:r>
      </w:hyperlink>
    </w:p>
  </w:footnote>
  <w:footnote w:id="45">
    <w:p w14:paraId="6CB80AF5" w14:textId="77777777" w:rsidR="00430C30" w:rsidRPr="00747A0D" w:rsidRDefault="00430C30" w:rsidP="004F138B">
      <w:pPr>
        <w:pStyle w:val="FootnoteText"/>
        <w:rPr>
          <w:sz w:val="18"/>
          <w:szCs w:val="18"/>
          <w:lang w:val="en-AU"/>
        </w:rPr>
      </w:pPr>
      <w:r w:rsidRPr="00433C0A">
        <w:rPr>
          <w:rStyle w:val="FootnoteReference"/>
          <w:sz w:val="18"/>
          <w:szCs w:val="18"/>
        </w:rPr>
        <w:footnoteRef/>
      </w:r>
      <w:r w:rsidRPr="00433C0A">
        <w:rPr>
          <w:sz w:val="18"/>
          <w:szCs w:val="18"/>
        </w:rPr>
        <w:t xml:space="preserve"> </w:t>
      </w:r>
      <w:r w:rsidRPr="00433C0A">
        <w:rPr>
          <w:sz w:val="18"/>
          <w:szCs w:val="18"/>
          <w:lang w:val="en-AU"/>
        </w:rPr>
        <w:t xml:space="preserve">See </w:t>
      </w:r>
      <w:hyperlink r:id="rId44" w:history="1">
        <w:r w:rsidRPr="00433C0A">
          <w:rPr>
            <w:rStyle w:val="Hyperlink"/>
            <w:sz w:val="18"/>
            <w:szCs w:val="18"/>
          </w:rPr>
          <w:t>https://www.pmc.gov.au/resource-centre/government/legislation-handbook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A4F8" w14:textId="77777777" w:rsidR="00430C30" w:rsidRDefault="00430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F064" w14:textId="77777777" w:rsidR="00430C30" w:rsidRDefault="00430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F93E" w14:textId="77777777" w:rsidR="00430C30" w:rsidRDefault="00430C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0D595" w14:textId="77777777" w:rsidR="00430C30" w:rsidRDefault="00430C30" w:rsidP="00D90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E2D2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A220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4CE3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308D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0E75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1AB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7A60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646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56FEF8"/>
    <w:lvl w:ilvl="0">
      <w:start w:val="1"/>
      <w:numFmt w:val="decimal"/>
      <w:lvlText w:val="%1."/>
      <w:lvlJc w:val="left"/>
      <w:pPr>
        <w:tabs>
          <w:tab w:val="num" w:pos="360"/>
        </w:tabs>
        <w:ind w:left="360" w:hanging="360"/>
      </w:p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717C3C"/>
    <w:multiLevelType w:val="hybridMultilevel"/>
    <w:tmpl w:val="7604EBD4"/>
    <w:lvl w:ilvl="0" w:tplc="48368CC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F4F4ED9"/>
    <w:multiLevelType w:val="hybridMultilevel"/>
    <w:tmpl w:val="12409252"/>
    <w:name w:val="hd6"/>
    <w:lvl w:ilvl="0" w:tplc="5A143636">
      <w:start w:val="1"/>
      <w:numFmt w:val="bullet"/>
      <w:lvlText w:val=""/>
      <w:lvlJc w:val="left"/>
      <w:pPr>
        <w:tabs>
          <w:tab w:val="num" w:pos="1440"/>
        </w:tabs>
        <w:ind w:left="1440" w:hanging="360"/>
      </w:pPr>
      <w:rPr>
        <w:rFonts w:ascii="Wingdings" w:hAnsi="Wingdings" w:hint="default"/>
        <w:b w:val="0"/>
        <w:i w:val="0"/>
        <w:sz w:val="24"/>
        <w:szCs w:val="24"/>
      </w:rPr>
    </w:lvl>
    <w:lvl w:ilvl="1" w:tplc="DD9A1C86">
      <w:start w:val="1"/>
      <w:numFmt w:val="bullet"/>
      <w:lvlText w:val=""/>
      <w:lvlJc w:val="left"/>
      <w:pPr>
        <w:tabs>
          <w:tab w:val="num" w:pos="796"/>
        </w:tabs>
        <w:ind w:left="1647" w:hanging="567"/>
      </w:pPr>
      <w:rPr>
        <w:rFonts w:ascii="Symbol" w:hAnsi="Symbol" w:hint="default"/>
        <w:b w:val="0"/>
        <w:i w:val="0"/>
        <w:sz w:val="20"/>
        <w:szCs w:val="20"/>
      </w:rPr>
    </w:lvl>
    <w:lvl w:ilvl="2" w:tplc="0C09000F">
      <w:start w:val="1"/>
      <w:numFmt w:val="decimal"/>
      <w:lvlText w:val="%3."/>
      <w:lvlJc w:val="left"/>
      <w:pPr>
        <w:tabs>
          <w:tab w:val="num" w:pos="2340"/>
        </w:tabs>
        <w:ind w:left="2340" w:hanging="360"/>
      </w:pPr>
      <w:rPr>
        <w:b w:val="0"/>
        <w:i w:val="0"/>
        <w:sz w:val="24"/>
        <w:szCs w:val="24"/>
      </w:rPr>
    </w:lvl>
    <w:lvl w:ilvl="3" w:tplc="D9B462FE">
      <w:start w:val="1"/>
      <w:numFmt w:val="decimal"/>
      <w:lvlText w:val="%4."/>
      <w:lvlJc w:val="left"/>
      <w:pPr>
        <w:tabs>
          <w:tab w:val="num" w:pos="2880"/>
        </w:tabs>
        <w:ind w:left="2880" w:hanging="360"/>
      </w:pPr>
      <w:rPr>
        <w:b w:val="0"/>
        <w:i w:val="0"/>
        <w:sz w:val="24"/>
        <w:szCs w:val="24"/>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26AB1872"/>
    <w:multiLevelType w:val="hybridMultilevel"/>
    <w:tmpl w:val="0A9080CE"/>
    <w:name w:val="hd62"/>
    <w:lvl w:ilvl="0" w:tplc="C924F840">
      <w:numFmt w:val="bullet"/>
      <w:lvlText w:val=""/>
      <w:lvlJc w:val="left"/>
      <w:pPr>
        <w:tabs>
          <w:tab w:val="num" w:pos="567"/>
        </w:tabs>
        <w:ind w:left="1418" w:hanging="567"/>
      </w:pPr>
      <w:rPr>
        <w:rFonts w:ascii="Symbol" w:hAnsi="Symbol" w:hint="default"/>
        <w:b w:val="0"/>
        <w:i w:val="0"/>
        <w:sz w:val="20"/>
      </w:rPr>
    </w:lvl>
    <w:lvl w:ilvl="1" w:tplc="985C9240">
      <w:start w:val="1"/>
      <w:numFmt w:val="bullet"/>
      <w:lvlText w:val=""/>
      <w:lvlJc w:val="left"/>
      <w:pPr>
        <w:tabs>
          <w:tab w:val="num" w:pos="1364"/>
        </w:tabs>
        <w:ind w:left="1364" w:hanging="284"/>
      </w:pPr>
      <w:rPr>
        <w:rFonts w:ascii="Symbol" w:hAnsi="Symbol" w:hint="default"/>
        <w:b w:val="0"/>
        <w:i w:val="0"/>
        <w:color w:val="auto"/>
        <w:sz w:val="20"/>
      </w:rPr>
    </w:lvl>
    <w:lvl w:ilvl="2" w:tplc="0C090005">
      <w:start w:val="1"/>
      <w:numFmt w:val="bullet"/>
      <w:lvlText w:val=""/>
      <w:lvlJc w:val="left"/>
      <w:pPr>
        <w:tabs>
          <w:tab w:val="num" w:pos="2160"/>
        </w:tabs>
        <w:ind w:left="2160" w:hanging="360"/>
      </w:pPr>
      <w:rPr>
        <w:rFonts w:ascii="Wingdings" w:hAnsi="Wingdings" w:hint="default"/>
      </w:rPr>
    </w:lvl>
    <w:lvl w:ilvl="3" w:tplc="99C0ED82">
      <w:start w:val="3"/>
      <w:numFmt w:val="bullet"/>
      <w:lvlText w:val="-"/>
      <w:lvlJc w:val="left"/>
      <w:pPr>
        <w:tabs>
          <w:tab w:val="num" w:pos="2880"/>
        </w:tabs>
        <w:ind w:left="2880" w:hanging="360"/>
      </w:pPr>
      <w:rPr>
        <w:rFonts w:ascii="Tahoma" w:eastAsia="Times New Roman" w:hAnsi="Tahoma" w:cs="Tahoma"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9130171"/>
    <w:multiLevelType w:val="multilevel"/>
    <w:tmpl w:val="A71A2C3A"/>
    <w:lvl w:ilvl="0">
      <w:start w:val="1"/>
      <w:numFmt w:val="bullet"/>
      <w:lvlText w:val=""/>
      <w:lvlJc w:val="left"/>
      <w:pPr>
        <w:tabs>
          <w:tab w:val="num" w:pos="720"/>
        </w:tabs>
        <w:ind w:left="0" w:firstLine="0"/>
      </w:pPr>
      <w:rPr>
        <w:rFonts w:ascii="Wingdings" w:hAnsi="Wingdings" w:hint="default"/>
      </w:rPr>
    </w:lvl>
    <w:lvl w:ilvl="1">
      <w:start w:val="1"/>
      <w:numFmt w:val="bullet"/>
      <w:lvlText w:val=""/>
      <w:lvlJc w:val="left"/>
      <w:pPr>
        <w:tabs>
          <w:tab w:val="num" w:pos="1440"/>
        </w:tabs>
        <w:ind w:left="1440" w:hanging="720"/>
      </w:pPr>
      <w:rPr>
        <w:rFonts w:ascii="Wingdings" w:hAnsi="Wingding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83187E"/>
    <w:multiLevelType w:val="hybridMultilevel"/>
    <w:tmpl w:val="FE5A4F48"/>
    <w:lvl w:ilvl="0" w:tplc="E5E8917A">
      <w:start w:val="1"/>
      <w:numFmt w:val="bullet"/>
      <w:lvlText w:val=""/>
      <w:lvlJc w:val="left"/>
      <w:pPr>
        <w:ind w:left="720" w:hanging="360"/>
      </w:pPr>
      <w:rPr>
        <w:rFonts w:ascii="Wingdings" w:hAnsi="Wingdings" w:hint="default"/>
        <w:b w:val="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num>
  <w:num w:numId="10">
    <w:abstractNumId w:val="9"/>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9CBAE3F-2DFF-417E-961D-EC5EE8039BDF}"/>
    <w:docVar w:name="dgnword-eventsink" w:val="74290408"/>
  </w:docVars>
  <w:rsids>
    <w:rsidRoot w:val="00E10F41"/>
    <w:rsid w:val="00000A2E"/>
    <w:rsid w:val="000013FC"/>
    <w:rsid w:val="000017C0"/>
    <w:rsid w:val="0000182F"/>
    <w:rsid w:val="00002BA2"/>
    <w:rsid w:val="00002BBC"/>
    <w:rsid w:val="00002D3F"/>
    <w:rsid w:val="00007AB2"/>
    <w:rsid w:val="00007C97"/>
    <w:rsid w:val="0001103A"/>
    <w:rsid w:val="000116BE"/>
    <w:rsid w:val="00012F1B"/>
    <w:rsid w:val="000136AF"/>
    <w:rsid w:val="00013845"/>
    <w:rsid w:val="00014EBE"/>
    <w:rsid w:val="0001517A"/>
    <w:rsid w:val="00015F27"/>
    <w:rsid w:val="00016AB6"/>
    <w:rsid w:val="00016B3A"/>
    <w:rsid w:val="00017258"/>
    <w:rsid w:val="0002429B"/>
    <w:rsid w:val="0002463A"/>
    <w:rsid w:val="00025A58"/>
    <w:rsid w:val="00030BB3"/>
    <w:rsid w:val="0003125D"/>
    <w:rsid w:val="000312DD"/>
    <w:rsid w:val="00031E4C"/>
    <w:rsid w:val="000372D1"/>
    <w:rsid w:val="00041A27"/>
    <w:rsid w:val="000428F1"/>
    <w:rsid w:val="000463B6"/>
    <w:rsid w:val="00046700"/>
    <w:rsid w:val="00050004"/>
    <w:rsid w:val="000537B1"/>
    <w:rsid w:val="0005396B"/>
    <w:rsid w:val="000559AF"/>
    <w:rsid w:val="00056743"/>
    <w:rsid w:val="00060F83"/>
    <w:rsid w:val="00061427"/>
    <w:rsid w:val="000614BF"/>
    <w:rsid w:val="000617A0"/>
    <w:rsid w:val="00066F17"/>
    <w:rsid w:val="000716AD"/>
    <w:rsid w:val="000735A6"/>
    <w:rsid w:val="00074538"/>
    <w:rsid w:val="00075195"/>
    <w:rsid w:val="000758A9"/>
    <w:rsid w:val="00077A3C"/>
    <w:rsid w:val="00077A94"/>
    <w:rsid w:val="0008193D"/>
    <w:rsid w:val="00083024"/>
    <w:rsid w:val="00083E44"/>
    <w:rsid w:val="000849F7"/>
    <w:rsid w:val="000878CB"/>
    <w:rsid w:val="000920EC"/>
    <w:rsid w:val="0009463D"/>
    <w:rsid w:val="000979F6"/>
    <w:rsid w:val="00097B59"/>
    <w:rsid w:val="00097ECE"/>
    <w:rsid w:val="000A10B7"/>
    <w:rsid w:val="000A11FA"/>
    <w:rsid w:val="000A2841"/>
    <w:rsid w:val="000A2C0C"/>
    <w:rsid w:val="000A398A"/>
    <w:rsid w:val="000A6637"/>
    <w:rsid w:val="000A752D"/>
    <w:rsid w:val="000A7624"/>
    <w:rsid w:val="000A7964"/>
    <w:rsid w:val="000B039C"/>
    <w:rsid w:val="000B0D6B"/>
    <w:rsid w:val="000B3456"/>
    <w:rsid w:val="000B6263"/>
    <w:rsid w:val="000B64E3"/>
    <w:rsid w:val="000B73E8"/>
    <w:rsid w:val="000C65E2"/>
    <w:rsid w:val="000C6669"/>
    <w:rsid w:val="000C6703"/>
    <w:rsid w:val="000C6A65"/>
    <w:rsid w:val="000C6BC2"/>
    <w:rsid w:val="000C6C43"/>
    <w:rsid w:val="000C700B"/>
    <w:rsid w:val="000C7D27"/>
    <w:rsid w:val="000D05EF"/>
    <w:rsid w:val="000D0C5E"/>
    <w:rsid w:val="000D0F84"/>
    <w:rsid w:val="000D242B"/>
    <w:rsid w:val="000D2500"/>
    <w:rsid w:val="000D3185"/>
    <w:rsid w:val="000D41C4"/>
    <w:rsid w:val="000D5DE1"/>
    <w:rsid w:val="000D63D1"/>
    <w:rsid w:val="000E20DF"/>
    <w:rsid w:val="000E215F"/>
    <w:rsid w:val="000E24E5"/>
    <w:rsid w:val="000E41BB"/>
    <w:rsid w:val="000E4D9D"/>
    <w:rsid w:val="000F3859"/>
    <w:rsid w:val="000F41A7"/>
    <w:rsid w:val="000F638C"/>
    <w:rsid w:val="000F7CE5"/>
    <w:rsid w:val="0010106F"/>
    <w:rsid w:val="00102718"/>
    <w:rsid w:val="0010571F"/>
    <w:rsid w:val="00105BD0"/>
    <w:rsid w:val="00106B06"/>
    <w:rsid w:val="00106B94"/>
    <w:rsid w:val="001071F6"/>
    <w:rsid w:val="0010745C"/>
    <w:rsid w:val="001109E4"/>
    <w:rsid w:val="00110B77"/>
    <w:rsid w:val="001131B3"/>
    <w:rsid w:val="00114622"/>
    <w:rsid w:val="00115101"/>
    <w:rsid w:val="00120D87"/>
    <w:rsid w:val="001212DB"/>
    <w:rsid w:val="0012172F"/>
    <w:rsid w:val="00121FF6"/>
    <w:rsid w:val="001233B4"/>
    <w:rsid w:val="00123930"/>
    <w:rsid w:val="00124F91"/>
    <w:rsid w:val="001304C8"/>
    <w:rsid w:val="0013097A"/>
    <w:rsid w:val="00130E47"/>
    <w:rsid w:val="00131590"/>
    <w:rsid w:val="001325AB"/>
    <w:rsid w:val="001329F0"/>
    <w:rsid w:val="001339CB"/>
    <w:rsid w:val="00134037"/>
    <w:rsid w:val="00134960"/>
    <w:rsid w:val="00134B5E"/>
    <w:rsid w:val="00134C62"/>
    <w:rsid w:val="0013517B"/>
    <w:rsid w:val="0013568A"/>
    <w:rsid w:val="00135AC2"/>
    <w:rsid w:val="00135BA0"/>
    <w:rsid w:val="00136C94"/>
    <w:rsid w:val="001412E2"/>
    <w:rsid w:val="001414D9"/>
    <w:rsid w:val="00143843"/>
    <w:rsid w:val="001445D3"/>
    <w:rsid w:val="0014479F"/>
    <w:rsid w:val="0015100D"/>
    <w:rsid w:val="001514C6"/>
    <w:rsid w:val="001524E7"/>
    <w:rsid w:val="00153951"/>
    <w:rsid w:val="00153B4E"/>
    <w:rsid w:val="001548B8"/>
    <w:rsid w:val="00155E4A"/>
    <w:rsid w:val="001619A8"/>
    <w:rsid w:val="00161E76"/>
    <w:rsid w:val="00162651"/>
    <w:rsid w:val="00162672"/>
    <w:rsid w:val="00163A19"/>
    <w:rsid w:val="00166377"/>
    <w:rsid w:val="00166C2F"/>
    <w:rsid w:val="001679B3"/>
    <w:rsid w:val="00167C1F"/>
    <w:rsid w:val="00167DC0"/>
    <w:rsid w:val="001708A3"/>
    <w:rsid w:val="00170B66"/>
    <w:rsid w:val="00171AD9"/>
    <w:rsid w:val="00172516"/>
    <w:rsid w:val="00172600"/>
    <w:rsid w:val="001729EC"/>
    <w:rsid w:val="00174167"/>
    <w:rsid w:val="00174A11"/>
    <w:rsid w:val="00177771"/>
    <w:rsid w:val="001777C9"/>
    <w:rsid w:val="00180A24"/>
    <w:rsid w:val="00180BA2"/>
    <w:rsid w:val="00183A06"/>
    <w:rsid w:val="001861AE"/>
    <w:rsid w:val="001864E9"/>
    <w:rsid w:val="001912E1"/>
    <w:rsid w:val="0019206B"/>
    <w:rsid w:val="00192FEA"/>
    <w:rsid w:val="001939E1"/>
    <w:rsid w:val="00195060"/>
    <w:rsid w:val="00195382"/>
    <w:rsid w:val="001954C0"/>
    <w:rsid w:val="00195F47"/>
    <w:rsid w:val="00196529"/>
    <w:rsid w:val="00197826"/>
    <w:rsid w:val="001A4E0D"/>
    <w:rsid w:val="001A5F20"/>
    <w:rsid w:val="001A6A62"/>
    <w:rsid w:val="001A7931"/>
    <w:rsid w:val="001A7D49"/>
    <w:rsid w:val="001B02F4"/>
    <w:rsid w:val="001B14DA"/>
    <w:rsid w:val="001B34EB"/>
    <w:rsid w:val="001C06CA"/>
    <w:rsid w:val="001C16FE"/>
    <w:rsid w:val="001C4A78"/>
    <w:rsid w:val="001C621E"/>
    <w:rsid w:val="001C63D8"/>
    <w:rsid w:val="001C6638"/>
    <w:rsid w:val="001C69C4"/>
    <w:rsid w:val="001C7E66"/>
    <w:rsid w:val="001D0E7F"/>
    <w:rsid w:val="001D2822"/>
    <w:rsid w:val="001D47C3"/>
    <w:rsid w:val="001E06CE"/>
    <w:rsid w:val="001E2A69"/>
    <w:rsid w:val="001E2F20"/>
    <w:rsid w:val="001E349A"/>
    <w:rsid w:val="001E3590"/>
    <w:rsid w:val="001E456D"/>
    <w:rsid w:val="001E480D"/>
    <w:rsid w:val="001E5C10"/>
    <w:rsid w:val="001E7407"/>
    <w:rsid w:val="001F1262"/>
    <w:rsid w:val="001F59A5"/>
    <w:rsid w:val="001F5A17"/>
    <w:rsid w:val="001F5AF9"/>
    <w:rsid w:val="001F6888"/>
    <w:rsid w:val="001F72F4"/>
    <w:rsid w:val="001F7CC7"/>
    <w:rsid w:val="002015AC"/>
    <w:rsid w:val="00202588"/>
    <w:rsid w:val="00202980"/>
    <w:rsid w:val="0020527B"/>
    <w:rsid w:val="00205E75"/>
    <w:rsid w:val="002071BB"/>
    <w:rsid w:val="0020724A"/>
    <w:rsid w:val="00207594"/>
    <w:rsid w:val="002100E6"/>
    <w:rsid w:val="00210297"/>
    <w:rsid w:val="00211F56"/>
    <w:rsid w:val="00212C6A"/>
    <w:rsid w:val="00213296"/>
    <w:rsid w:val="00216B07"/>
    <w:rsid w:val="00217891"/>
    <w:rsid w:val="00222067"/>
    <w:rsid w:val="00230ABB"/>
    <w:rsid w:val="0023124E"/>
    <w:rsid w:val="00231872"/>
    <w:rsid w:val="00232C66"/>
    <w:rsid w:val="002333B5"/>
    <w:rsid w:val="00234262"/>
    <w:rsid w:val="00234412"/>
    <w:rsid w:val="00234CB2"/>
    <w:rsid w:val="00234F92"/>
    <w:rsid w:val="002353F1"/>
    <w:rsid w:val="002356F5"/>
    <w:rsid w:val="00235C52"/>
    <w:rsid w:val="002366E2"/>
    <w:rsid w:val="00242B00"/>
    <w:rsid w:val="00242D1D"/>
    <w:rsid w:val="00242E13"/>
    <w:rsid w:val="00243DA2"/>
    <w:rsid w:val="002440CB"/>
    <w:rsid w:val="002440FD"/>
    <w:rsid w:val="00244301"/>
    <w:rsid w:val="00244D42"/>
    <w:rsid w:val="00247899"/>
    <w:rsid w:val="00250E31"/>
    <w:rsid w:val="00251B06"/>
    <w:rsid w:val="00253D1B"/>
    <w:rsid w:val="002554B6"/>
    <w:rsid w:val="00255691"/>
    <w:rsid w:val="0025597E"/>
    <w:rsid w:val="00256E22"/>
    <w:rsid w:val="002577A6"/>
    <w:rsid w:val="002600D1"/>
    <w:rsid w:val="002619DE"/>
    <w:rsid w:val="0027430B"/>
    <w:rsid w:val="00274A68"/>
    <w:rsid w:val="002763E0"/>
    <w:rsid w:val="0027721E"/>
    <w:rsid w:val="002772F5"/>
    <w:rsid w:val="00277385"/>
    <w:rsid w:val="00277499"/>
    <w:rsid w:val="0028008A"/>
    <w:rsid w:val="0028091B"/>
    <w:rsid w:val="00281F7E"/>
    <w:rsid w:val="00282DB6"/>
    <w:rsid w:val="00285B00"/>
    <w:rsid w:val="00286DC2"/>
    <w:rsid w:val="00293225"/>
    <w:rsid w:val="00295A2F"/>
    <w:rsid w:val="00295FBA"/>
    <w:rsid w:val="002970D7"/>
    <w:rsid w:val="00297797"/>
    <w:rsid w:val="00297ECB"/>
    <w:rsid w:val="002A4D4C"/>
    <w:rsid w:val="002A7D4B"/>
    <w:rsid w:val="002B08B6"/>
    <w:rsid w:val="002B0E90"/>
    <w:rsid w:val="002B1444"/>
    <w:rsid w:val="002B3431"/>
    <w:rsid w:val="002B5C7E"/>
    <w:rsid w:val="002B7461"/>
    <w:rsid w:val="002C018F"/>
    <w:rsid w:val="002C07A7"/>
    <w:rsid w:val="002C0EF2"/>
    <w:rsid w:val="002C15BA"/>
    <w:rsid w:val="002C201A"/>
    <w:rsid w:val="002C29CB"/>
    <w:rsid w:val="002C2A36"/>
    <w:rsid w:val="002C35F6"/>
    <w:rsid w:val="002C5317"/>
    <w:rsid w:val="002C56F0"/>
    <w:rsid w:val="002C74F6"/>
    <w:rsid w:val="002D043A"/>
    <w:rsid w:val="002D29E1"/>
    <w:rsid w:val="002D3FB6"/>
    <w:rsid w:val="002D530F"/>
    <w:rsid w:val="002D5D71"/>
    <w:rsid w:val="002D5DF5"/>
    <w:rsid w:val="002D6F11"/>
    <w:rsid w:val="002D7310"/>
    <w:rsid w:val="002D74A6"/>
    <w:rsid w:val="002D786D"/>
    <w:rsid w:val="002E0E77"/>
    <w:rsid w:val="002E2D02"/>
    <w:rsid w:val="002E30E1"/>
    <w:rsid w:val="002E4682"/>
    <w:rsid w:val="002E652E"/>
    <w:rsid w:val="002E7C73"/>
    <w:rsid w:val="002F071C"/>
    <w:rsid w:val="002F0D3D"/>
    <w:rsid w:val="002F14DE"/>
    <w:rsid w:val="002F1637"/>
    <w:rsid w:val="002F1D1D"/>
    <w:rsid w:val="002F27B2"/>
    <w:rsid w:val="002F2C08"/>
    <w:rsid w:val="002F382A"/>
    <w:rsid w:val="002F3911"/>
    <w:rsid w:val="002F5ACF"/>
    <w:rsid w:val="00300BA3"/>
    <w:rsid w:val="00301995"/>
    <w:rsid w:val="00301F96"/>
    <w:rsid w:val="00304832"/>
    <w:rsid w:val="00305D34"/>
    <w:rsid w:val="00306B5E"/>
    <w:rsid w:val="00307D80"/>
    <w:rsid w:val="00307FAD"/>
    <w:rsid w:val="00311ED1"/>
    <w:rsid w:val="00312A26"/>
    <w:rsid w:val="00314A0B"/>
    <w:rsid w:val="00314C8F"/>
    <w:rsid w:val="00316167"/>
    <w:rsid w:val="00317A33"/>
    <w:rsid w:val="00317B28"/>
    <w:rsid w:val="00321640"/>
    <w:rsid w:val="00321924"/>
    <w:rsid w:val="003232B3"/>
    <w:rsid w:val="0032355E"/>
    <w:rsid w:val="00323F81"/>
    <w:rsid w:val="00326770"/>
    <w:rsid w:val="003311FB"/>
    <w:rsid w:val="00331285"/>
    <w:rsid w:val="0033228A"/>
    <w:rsid w:val="0033291B"/>
    <w:rsid w:val="003339A8"/>
    <w:rsid w:val="003339B3"/>
    <w:rsid w:val="003350F6"/>
    <w:rsid w:val="0033584B"/>
    <w:rsid w:val="0034007E"/>
    <w:rsid w:val="00342ECB"/>
    <w:rsid w:val="00346687"/>
    <w:rsid w:val="00346DC8"/>
    <w:rsid w:val="0035023F"/>
    <w:rsid w:val="00352B0F"/>
    <w:rsid w:val="00352D8A"/>
    <w:rsid w:val="00353191"/>
    <w:rsid w:val="00355C1C"/>
    <w:rsid w:val="00357CC0"/>
    <w:rsid w:val="00360D0F"/>
    <w:rsid w:val="00360FB0"/>
    <w:rsid w:val="00364B2A"/>
    <w:rsid w:val="00365E38"/>
    <w:rsid w:val="00366115"/>
    <w:rsid w:val="00371C61"/>
    <w:rsid w:val="00371CFF"/>
    <w:rsid w:val="00372DCB"/>
    <w:rsid w:val="00373430"/>
    <w:rsid w:val="0037400B"/>
    <w:rsid w:val="0037654B"/>
    <w:rsid w:val="003800DF"/>
    <w:rsid w:val="00380C8D"/>
    <w:rsid w:val="0038425A"/>
    <w:rsid w:val="00385CB6"/>
    <w:rsid w:val="00390F6E"/>
    <w:rsid w:val="00392147"/>
    <w:rsid w:val="00392E1D"/>
    <w:rsid w:val="00393A23"/>
    <w:rsid w:val="00393EB1"/>
    <w:rsid w:val="00396F89"/>
    <w:rsid w:val="0039737A"/>
    <w:rsid w:val="003A1103"/>
    <w:rsid w:val="003A2D04"/>
    <w:rsid w:val="003A45F7"/>
    <w:rsid w:val="003A484E"/>
    <w:rsid w:val="003A701E"/>
    <w:rsid w:val="003A7A27"/>
    <w:rsid w:val="003B0691"/>
    <w:rsid w:val="003B1A77"/>
    <w:rsid w:val="003B304D"/>
    <w:rsid w:val="003B3BE7"/>
    <w:rsid w:val="003B4BB6"/>
    <w:rsid w:val="003B5735"/>
    <w:rsid w:val="003B6911"/>
    <w:rsid w:val="003B772F"/>
    <w:rsid w:val="003C0061"/>
    <w:rsid w:val="003C1EC6"/>
    <w:rsid w:val="003C21D3"/>
    <w:rsid w:val="003C40CC"/>
    <w:rsid w:val="003C4A78"/>
    <w:rsid w:val="003C666D"/>
    <w:rsid w:val="003D0BFE"/>
    <w:rsid w:val="003D21DF"/>
    <w:rsid w:val="003D2F5D"/>
    <w:rsid w:val="003D4F42"/>
    <w:rsid w:val="003D4FEF"/>
    <w:rsid w:val="003D5700"/>
    <w:rsid w:val="003D65F8"/>
    <w:rsid w:val="003D6A0D"/>
    <w:rsid w:val="003D72D2"/>
    <w:rsid w:val="003D7B9E"/>
    <w:rsid w:val="003E1AA0"/>
    <w:rsid w:val="003E1B43"/>
    <w:rsid w:val="003E34EE"/>
    <w:rsid w:val="003E3BD9"/>
    <w:rsid w:val="003E52B0"/>
    <w:rsid w:val="003E5C54"/>
    <w:rsid w:val="003E69AE"/>
    <w:rsid w:val="003E6A2D"/>
    <w:rsid w:val="003F196E"/>
    <w:rsid w:val="003F219A"/>
    <w:rsid w:val="003F4070"/>
    <w:rsid w:val="003F689E"/>
    <w:rsid w:val="003F6AC1"/>
    <w:rsid w:val="003F76BE"/>
    <w:rsid w:val="003F799B"/>
    <w:rsid w:val="00400C14"/>
    <w:rsid w:val="004026CF"/>
    <w:rsid w:val="00405567"/>
    <w:rsid w:val="0040559E"/>
    <w:rsid w:val="00411168"/>
    <w:rsid w:val="004116CD"/>
    <w:rsid w:val="00411B2F"/>
    <w:rsid w:val="00413939"/>
    <w:rsid w:val="00413C3F"/>
    <w:rsid w:val="00414F6F"/>
    <w:rsid w:val="004155B5"/>
    <w:rsid w:val="004177BB"/>
    <w:rsid w:val="00422264"/>
    <w:rsid w:val="00422EDF"/>
    <w:rsid w:val="00424CA9"/>
    <w:rsid w:val="0042589A"/>
    <w:rsid w:val="0042635A"/>
    <w:rsid w:val="00430560"/>
    <w:rsid w:val="004306FB"/>
    <w:rsid w:val="00430C30"/>
    <w:rsid w:val="00432767"/>
    <w:rsid w:val="00433C0A"/>
    <w:rsid w:val="00434F5B"/>
    <w:rsid w:val="00435770"/>
    <w:rsid w:val="0043618B"/>
    <w:rsid w:val="0043776C"/>
    <w:rsid w:val="00440A4D"/>
    <w:rsid w:val="00441592"/>
    <w:rsid w:val="004417A9"/>
    <w:rsid w:val="0044291A"/>
    <w:rsid w:val="00445382"/>
    <w:rsid w:val="00447D9C"/>
    <w:rsid w:val="004524AB"/>
    <w:rsid w:val="004532FE"/>
    <w:rsid w:val="0045668E"/>
    <w:rsid w:val="00456B1A"/>
    <w:rsid w:val="00457A8A"/>
    <w:rsid w:val="00460C9A"/>
    <w:rsid w:val="00460F05"/>
    <w:rsid w:val="00461DA7"/>
    <w:rsid w:val="0046287E"/>
    <w:rsid w:val="004653F8"/>
    <w:rsid w:val="00466C26"/>
    <w:rsid w:val="004709B2"/>
    <w:rsid w:val="004709B9"/>
    <w:rsid w:val="00473017"/>
    <w:rsid w:val="004734E3"/>
    <w:rsid w:val="00473AFE"/>
    <w:rsid w:val="00474A59"/>
    <w:rsid w:val="00474C86"/>
    <w:rsid w:val="00474C8A"/>
    <w:rsid w:val="00474DA7"/>
    <w:rsid w:val="0047607F"/>
    <w:rsid w:val="00477B7A"/>
    <w:rsid w:val="00481F36"/>
    <w:rsid w:val="0048361A"/>
    <w:rsid w:val="004849C6"/>
    <w:rsid w:val="00484BD6"/>
    <w:rsid w:val="00484FB8"/>
    <w:rsid w:val="004855B6"/>
    <w:rsid w:val="004862F6"/>
    <w:rsid w:val="004865A1"/>
    <w:rsid w:val="0049119D"/>
    <w:rsid w:val="004917BC"/>
    <w:rsid w:val="00491AFC"/>
    <w:rsid w:val="00491DA1"/>
    <w:rsid w:val="00492805"/>
    <w:rsid w:val="004931D4"/>
    <w:rsid w:val="0049446F"/>
    <w:rsid w:val="00494BD0"/>
    <w:rsid w:val="00495051"/>
    <w:rsid w:val="00495DA1"/>
    <w:rsid w:val="004968B4"/>
    <w:rsid w:val="00496C20"/>
    <w:rsid w:val="00496F97"/>
    <w:rsid w:val="0049700A"/>
    <w:rsid w:val="004A1A6F"/>
    <w:rsid w:val="004A1E07"/>
    <w:rsid w:val="004A2846"/>
    <w:rsid w:val="004A364F"/>
    <w:rsid w:val="004A4059"/>
    <w:rsid w:val="004A5A91"/>
    <w:rsid w:val="004A60E3"/>
    <w:rsid w:val="004A701C"/>
    <w:rsid w:val="004A7454"/>
    <w:rsid w:val="004A7E50"/>
    <w:rsid w:val="004B337C"/>
    <w:rsid w:val="004B501A"/>
    <w:rsid w:val="004B5959"/>
    <w:rsid w:val="004B6518"/>
    <w:rsid w:val="004B6DB1"/>
    <w:rsid w:val="004B6FF6"/>
    <w:rsid w:val="004C079D"/>
    <w:rsid w:val="004C14CC"/>
    <w:rsid w:val="004C224D"/>
    <w:rsid w:val="004C4F80"/>
    <w:rsid w:val="004D22EA"/>
    <w:rsid w:val="004D2BAF"/>
    <w:rsid w:val="004D32A0"/>
    <w:rsid w:val="004D43D9"/>
    <w:rsid w:val="004D573A"/>
    <w:rsid w:val="004D5E1F"/>
    <w:rsid w:val="004D660C"/>
    <w:rsid w:val="004D6736"/>
    <w:rsid w:val="004D68B7"/>
    <w:rsid w:val="004D6FFE"/>
    <w:rsid w:val="004D7321"/>
    <w:rsid w:val="004E72A3"/>
    <w:rsid w:val="004F138B"/>
    <w:rsid w:val="004F4AD7"/>
    <w:rsid w:val="004F5048"/>
    <w:rsid w:val="004F5980"/>
    <w:rsid w:val="004F59AB"/>
    <w:rsid w:val="005009ED"/>
    <w:rsid w:val="00501BD5"/>
    <w:rsid w:val="00501E96"/>
    <w:rsid w:val="00506646"/>
    <w:rsid w:val="00506F71"/>
    <w:rsid w:val="005072C0"/>
    <w:rsid w:val="00507B09"/>
    <w:rsid w:val="00510F78"/>
    <w:rsid w:val="00511EB6"/>
    <w:rsid w:val="0051216A"/>
    <w:rsid w:val="00512C4F"/>
    <w:rsid w:val="00514280"/>
    <w:rsid w:val="00515020"/>
    <w:rsid w:val="00516B8D"/>
    <w:rsid w:val="00516F1A"/>
    <w:rsid w:val="00521AB3"/>
    <w:rsid w:val="00521C8E"/>
    <w:rsid w:val="00523660"/>
    <w:rsid w:val="0052481E"/>
    <w:rsid w:val="00525338"/>
    <w:rsid w:val="005262F0"/>
    <w:rsid w:val="00526357"/>
    <w:rsid w:val="00526C3D"/>
    <w:rsid w:val="00527F87"/>
    <w:rsid w:val="00530504"/>
    <w:rsid w:val="005332BA"/>
    <w:rsid w:val="00534346"/>
    <w:rsid w:val="0053438B"/>
    <w:rsid w:val="00535DA8"/>
    <w:rsid w:val="00536377"/>
    <w:rsid w:val="0053727B"/>
    <w:rsid w:val="005373E8"/>
    <w:rsid w:val="00537794"/>
    <w:rsid w:val="00537F58"/>
    <w:rsid w:val="00537FBC"/>
    <w:rsid w:val="0054021B"/>
    <w:rsid w:val="005406F4"/>
    <w:rsid w:val="00540E25"/>
    <w:rsid w:val="005413DA"/>
    <w:rsid w:val="00542EF9"/>
    <w:rsid w:val="00542FC1"/>
    <w:rsid w:val="005432C1"/>
    <w:rsid w:val="0054638E"/>
    <w:rsid w:val="00553A4A"/>
    <w:rsid w:val="00553F36"/>
    <w:rsid w:val="005547CD"/>
    <w:rsid w:val="00556649"/>
    <w:rsid w:val="005568F0"/>
    <w:rsid w:val="00556D72"/>
    <w:rsid w:val="00560D7A"/>
    <w:rsid w:val="00560EDE"/>
    <w:rsid w:val="00561078"/>
    <w:rsid w:val="00561853"/>
    <w:rsid w:val="005620B3"/>
    <w:rsid w:val="005629C8"/>
    <w:rsid w:val="005633BF"/>
    <w:rsid w:val="0056628F"/>
    <w:rsid w:val="005668C8"/>
    <w:rsid w:val="00570666"/>
    <w:rsid w:val="00570FD2"/>
    <w:rsid w:val="005735D0"/>
    <w:rsid w:val="00573B38"/>
    <w:rsid w:val="00574CB5"/>
    <w:rsid w:val="0057720C"/>
    <w:rsid w:val="005776FA"/>
    <w:rsid w:val="005778A9"/>
    <w:rsid w:val="005822D2"/>
    <w:rsid w:val="00583170"/>
    <w:rsid w:val="00583239"/>
    <w:rsid w:val="00583C05"/>
    <w:rsid w:val="00584811"/>
    <w:rsid w:val="00584ABD"/>
    <w:rsid w:val="00584C52"/>
    <w:rsid w:val="0058533F"/>
    <w:rsid w:val="00586A28"/>
    <w:rsid w:val="00590137"/>
    <w:rsid w:val="00590215"/>
    <w:rsid w:val="00590636"/>
    <w:rsid w:val="00590BCB"/>
    <w:rsid w:val="0059231B"/>
    <w:rsid w:val="005927C4"/>
    <w:rsid w:val="0059379C"/>
    <w:rsid w:val="00594161"/>
    <w:rsid w:val="00594749"/>
    <w:rsid w:val="00594D1B"/>
    <w:rsid w:val="00595FCC"/>
    <w:rsid w:val="005A4436"/>
    <w:rsid w:val="005A5DD7"/>
    <w:rsid w:val="005B0CC1"/>
    <w:rsid w:val="005B3467"/>
    <w:rsid w:val="005B5BE5"/>
    <w:rsid w:val="005B6707"/>
    <w:rsid w:val="005B70D6"/>
    <w:rsid w:val="005B7512"/>
    <w:rsid w:val="005C1505"/>
    <w:rsid w:val="005C17A5"/>
    <w:rsid w:val="005C17B2"/>
    <w:rsid w:val="005C35FC"/>
    <w:rsid w:val="005C3B10"/>
    <w:rsid w:val="005C434C"/>
    <w:rsid w:val="005C51F9"/>
    <w:rsid w:val="005C634F"/>
    <w:rsid w:val="005C76A8"/>
    <w:rsid w:val="005C7DD1"/>
    <w:rsid w:val="005D462A"/>
    <w:rsid w:val="005D53B9"/>
    <w:rsid w:val="005D59AF"/>
    <w:rsid w:val="005D5C62"/>
    <w:rsid w:val="005E1836"/>
    <w:rsid w:val="005E23E3"/>
    <w:rsid w:val="005E3ED2"/>
    <w:rsid w:val="005E43D2"/>
    <w:rsid w:val="005E43E4"/>
    <w:rsid w:val="005E51E6"/>
    <w:rsid w:val="005E52D2"/>
    <w:rsid w:val="005E5B85"/>
    <w:rsid w:val="005E60CE"/>
    <w:rsid w:val="005F13C7"/>
    <w:rsid w:val="005F142B"/>
    <w:rsid w:val="005F3735"/>
    <w:rsid w:val="005F4137"/>
    <w:rsid w:val="005F6AB6"/>
    <w:rsid w:val="005F6CAB"/>
    <w:rsid w:val="005F6DDD"/>
    <w:rsid w:val="00600219"/>
    <w:rsid w:val="006014BA"/>
    <w:rsid w:val="006028D5"/>
    <w:rsid w:val="00610D12"/>
    <w:rsid w:val="00610DF6"/>
    <w:rsid w:val="00612122"/>
    <w:rsid w:val="00612949"/>
    <w:rsid w:val="00613125"/>
    <w:rsid w:val="00613359"/>
    <w:rsid w:val="00613D04"/>
    <w:rsid w:val="006151E8"/>
    <w:rsid w:val="00616A32"/>
    <w:rsid w:val="006207A3"/>
    <w:rsid w:val="00620ACF"/>
    <w:rsid w:val="00622CC0"/>
    <w:rsid w:val="0062362E"/>
    <w:rsid w:val="00623BAD"/>
    <w:rsid w:val="006270E3"/>
    <w:rsid w:val="0063067D"/>
    <w:rsid w:val="006306BD"/>
    <w:rsid w:val="00633C14"/>
    <w:rsid w:val="00636215"/>
    <w:rsid w:val="00637CF2"/>
    <w:rsid w:val="00644DF1"/>
    <w:rsid w:val="00646149"/>
    <w:rsid w:val="00651C41"/>
    <w:rsid w:val="006527F5"/>
    <w:rsid w:val="00654035"/>
    <w:rsid w:val="00654111"/>
    <w:rsid w:val="006543F6"/>
    <w:rsid w:val="00655352"/>
    <w:rsid w:val="006565D0"/>
    <w:rsid w:val="00656FE2"/>
    <w:rsid w:val="006571E6"/>
    <w:rsid w:val="00657C3D"/>
    <w:rsid w:val="00657CF9"/>
    <w:rsid w:val="0066047C"/>
    <w:rsid w:val="006623ED"/>
    <w:rsid w:val="00666A2F"/>
    <w:rsid w:val="00667B5A"/>
    <w:rsid w:val="00667D98"/>
    <w:rsid w:val="006722C6"/>
    <w:rsid w:val="006734B9"/>
    <w:rsid w:val="00674F2E"/>
    <w:rsid w:val="00676A1A"/>
    <w:rsid w:val="00677747"/>
    <w:rsid w:val="00677CC2"/>
    <w:rsid w:val="00680096"/>
    <w:rsid w:val="006801CB"/>
    <w:rsid w:val="00680F77"/>
    <w:rsid w:val="006818D7"/>
    <w:rsid w:val="006841C2"/>
    <w:rsid w:val="00685C10"/>
    <w:rsid w:val="00686473"/>
    <w:rsid w:val="006879C8"/>
    <w:rsid w:val="006903BF"/>
    <w:rsid w:val="0069207B"/>
    <w:rsid w:val="00694209"/>
    <w:rsid w:val="00695538"/>
    <w:rsid w:val="0069595F"/>
    <w:rsid w:val="006A295F"/>
    <w:rsid w:val="006A297D"/>
    <w:rsid w:val="006A41F1"/>
    <w:rsid w:val="006A5AC5"/>
    <w:rsid w:val="006A643F"/>
    <w:rsid w:val="006B075A"/>
    <w:rsid w:val="006B092E"/>
    <w:rsid w:val="006B25C6"/>
    <w:rsid w:val="006B39E4"/>
    <w:rsid w:val="006B43C9"/>
    <w:rsid w:val="006B5C06"/>
    <w:rsid w:val="006B7483"/>
    <w:rsid w:val="006C1DCB"/>
    <w:rsid w:val="006C3571"/>
    <w:rsid w:val="006C416A"/>
    <w:rsid w:val="006C574C"/>
    <w:rsid w:val="006C5816"/>
    <w:rsid w:val="006C5D41"/>
    <w:rsid w:val="006C65DC"/>
    <w:rsid w:val="006C679B"/>
    <w:rsid w:val="006C7F8C"/>
    <w:rsid w:val="006D2E7E"/>
    <w:rsid w:val="006D369A"/>
    <w:rsid w:val="006D6017"/>
    <w:rsid w:val="006D6058"/>
    <w:rsid w:val="006D66B5"/>
    <w:rsid w:val="006E02C4"/>
    <w:rsid w:val="006E4178"/>
    <w:rsid w:val="006E54E4"/>
    <w:rsid w:val="006E5AF4"/>
    <w:rsid w:val="006E6365"/>
    <w:rsid w:val="006E6E26"/>
    <w:rsid w:val="006F0E5E"/>
    <w:rsid w:val="006F1547"/>
    <w:rsid w:val="006F27AC"/>
    <w:rsid w:val="006F3492"/>
    <w:rsid w:val="006F383F"/>
    <w:rsid w:val="006F45CA"/>
    <w:rsid w:val="006F531A"/>
    <w:rsid w:val="006F667E"/>
    <w:rsid w:val="006F66BD"/>
    <w:rsid w:val="006F78A0"/>
    <w:rsid w:val="00704905"/>
    <w:rsid w:val="00705E35"/>
    <w:rsid w:val="0070663F"/>
    <w:rsid w:val="00711AC5"/>
    <w:rsid w:val="00712F89"/>
    <w:rsid w:val="007136C5"/>
    <w:rsid w:val="00714D90"/>
    <w:rsid w:val="00715222"/>
    <w:rsid w:val="007158A5"/>
    <w:rsid w:val="00715EC3"/>
    <w:rsid w:val="007163A9"/>
    <w:rsid w:val="00716A4B"/>
    <w:rsid w:val="007213CE"/>
    <w:rsid w:val="00721745"/>
    <w:rsid w:val="00723930"/>
    <w:rsid w:val="007240A2"/>
    <w:rsid w:val="0072680C"/>
    <w:rsid w:val="00726CD6"/>
    <w:rsid w:val="007276BC"/>
    <w:rsid w:val="00727ED5"/>
    <w:rsid w:val="00731E00"/>
    <w:rsid w:val="00732846"/>
    <w:rsid w:val="00732F07"/>
    <w:rsid w:val="00733990"/>
    <w:rsid w:val="00734AB2"/>
    <w:rsid w:val="00736436"/>
    <w:rsid w:val="00740FA1"/>
    <w:rsid w:val="00743BCD"/>
    <w:rsid w:val="00743D59"/>
    <w:rsid w:val="007446F7"/>
    <w:rsid w:val="007447B8"/>
    <w:rsid w:val="00745466"/>
    <w:rsid w:val="00746A03"/>
    <w:rsid w:val="00747A0D"/>
    <w:rsid w:val="0075000D"/>
    <w:rsid w:val="00750553"/>
    <w:rsid w:val="007510E6"/>
    <w:rsid w:val="00752C10"/>
    <w:rsid w:val="00752D2B"/>
    <w:rsid w:val="00756A1D"/>
    <w:rsid w:val="00757A32"/>
    <w:rsid w:val="00763E50"/>
    <w:rsid w:val="007648A2"/>
    <w:rsid w:val="007658F1"/>
    <w:rsid w:val="0076692A"/>
    <w:rsid w:val="0076796E"/>
    <w:rsid w:val="0077071A"/>
    <w:rsid w:val="007715C9"/>
    <w:rsid w:val="00774EDD"/>
    <w:rsid w:val="007757EC"/>
    <w:rsid w:val="00775BFB"/>
    <w:rsid w:val="007774D2"/>
    <w:rsid w:val="00780267"/>
    <w:rsid w:val="007809FB"/>
    <w:rsid w:val="00781164"/>
    <w:rsid w:val="00782976"/>
    <w:rsid w:val="007841D1"/>
    <w:rsid w:val="007869D8"/>
    <w:rsid w:val="007873C4"/>
    <w:rsid w:val="007918A6"/>
    <w:rsid w:val="00791CD4"/>
    <w:rsid w:val="00797390"/>
    <w:rsid w:val="00797E44"/>
    <w:rsid w:val="00797F00"/>
    <w:rsid w:val="007A03DA"/>
    <w:rsid w:val="007A3092"/>
    <w:rsid w:val="007A3347"/>
    <w:rsid w:val="007A53CA"/>
    <w:rsid w:val="007A7AC2"/>
    <w:rsid w:val="007B1D3C"/>
    <w:rsid w:val="007B20C9"/>
    <w:rsid w:val="007B59C6"/>
    <w:rsid w:val="007B5CA7"/>
    <w:rsid w:val="007B65A4"/>
    <w:rsid w:val="007B7E58"/>
    <w:rsid w:val="007C2422"/>
    <w:rsid w:val="007C45FB"/>
    <w:rsid w:val="007C4F05"/>
    <w:rsid w:val="007C7BA9"/>
    <w:rsid w:val="007D06F3"/>
    <w:rsid w:val="007D09F9"/>
    <w:rsid w:val="007D10B4"/>
    <w:rsid w:val="007D2AA2"/>
    <w:rsid w:val="007D44FE"/>
    <w:rsid w:val="007D6093"/>
    <w:rsid w:val="007D63BE"/>
    <w:rsid w:val="007D6404"/>
    <w:rsid w:val="007D75E4"/>
    <w:rsid w:val="007E11F9"/>
    <w:rsid w:val="007E1845"/>
    <w:rsid w:val="007E1D05"/>
    <w:rsid w:val="007E410E"/>
    <w:rsid w:val="007E4AB9"/>
    <w:rsid w:val="007E5A70"/>
    <w:rsid w:val="007F0A4E"/>
    <w:rsid w:val="007F23DD"/>
    <w:rsid w:val="007F38AE"/>
    <w:rsid w:val="007F4192"/>
    <w:rsid w:val="007F552D"/>
    <w:rsid w:val="007F6809"/>
    <w:rsid w:val="007F7848"/>
    <w:rsid w:val="00803206"/>
    <w:rsid w:val="00804A3B"/>
    <w:rsid w:val="00805ED3"/>
    <w:rsid w:val="008076B4"/>
    <w:rsid w:val="008103ED"/>
    <w:rsid w:val="00810525"/>
    <w:rsid w:val="008116C5"/>
    <w:rsid w:val="0081626B"/>
    <w:rsid w:val="00816F93"/>
    <w:rsid w:val="00820B26"/>
    <w:rsid w:val="008235D5"/>
    <w:rsid w:val="008240EB"/>
    <w:rsid w:val="00826103"/>
    <w:rsid w:val="008262BB"/>
    <w:rsid w:val="00831095"/>
    <w:rsid w:val="00831645"/>
    <w:rsid w:val="00831E79"/>
    <w:rsid w:val="00831FF8"/>
    <w:rsid w:val="0084047D"/>
    <w:rsid w:val="008418CD"/>
    <w:rsid w:val="00845F4C"/>
    <w:rsid w:val="00845FE6"/>
    <w:rsid w:val="00847D72"/>
    <w:rsid w:val="0085051C"/>
    <w:rsid w:val="008505C7"/>
    <w:rsid w:val="00850BC0"/>
    <w:rsid w:val="00850D29"/>
    <w:rsid w:val="00851693"/>
    <w:rsid w:val="00851C76"/>
    <w:rsid w:val="00852D8B"/>
    <w:rsid w:val="00852F6E"/>
    <w:rsid w:val="00853D8C"/>
    <w:rsid w:val="00856975"/>
    <w:rsid w:val="008569FD"/>
    <w:rsid w:val="00856A31"/>
    <w:rsid w:val="008612E1"/>
    <w:rsid w:val="00863F33"/>
    <w:rsid w:val="00865F8E"/>
    <w:rsid w:val="00867B4F"/>
    <w:rsid w:val="00871674"/>
    <w:rsid w:val="00872909"/>
    <w:rsid w:val="00873C43"/>
    <w:rsid w:val="008741F2"/>
    <w:rsid w:val="008754D0"/>
    <w:rsid w:val="008761D0"/>
    <w:rsid w:val="00880208"/>
    <w:rsid w:val="00881CD3"/>
    <w:rsid w:val="00884A7A"/>
    <w:rsid w:val="00884CB1"/>
    <w:rsid w:val="008873A3"/>
    <w:rsid w:val="0089237E"/>
    <w:rsid w:val="00892C35"/>
    <w:rsid w:val="00895072"/>
    <w:rsid w:val="00895F85"/>
    <w:rsid w:val="00896562"/>
    <w:rsid w:val="008A39B4"/>
    <w:rsid w:val="008A4461"/>
    <w:rsid w:val="008A6AFE"/>
    <w:rsid w:val="008B1560"/>
    <w:rsid w:val="008B5D8C"/>
    <w:rsid w:val="008B6EAE"/>
    <w:rsid w:val="008C085B"/>
    <w:rsid w:val="008C2E05"/>
    <w:rsid w:val="008C32AD"/>
    <w:rsid w:val="008C3F1E"/>
    <w:rsid w:val="008C5194"/>
    <w:rsid w:val="008C5E45"/>
    <w:rsid w:val="008C77DE"/>
    <w:rsid w:val="008D05AF"/>
    <w:rsid w:val="008D210C"/>
    <w:rsid w:val="008D2439"/>
    <w:rsid w:val="008D5376"/>
    <w:rsid w:val="008D68E4"/>
    <w:rsid w:val="008E3B8C"/>
    <w:rsid w:val="008E6599"/>
    <w:rsid w:val="008E7435"/>
    <w:rsid w:val="008F008B"/>
    <w:rsid w:val="008F116D"/>
    <w:rsid w:val="008F1989"/>
    <w:rsid w:val="008F1CF4"/>
    <w:rsid w:val="008F3016"/>
    <w:rsid w:val="008F4363"/>
    <w:rsid w:val="008F7967"/>
    <w:rsid w:val="009000D9"/>
    <w:rsid w:val="00902D6C"/>
    <w:rsid w:val="00902D72"/>
    <w:rsid w:val="009032A2"/>
    <w:rsid w:val="009052EB"/>
    <w:rsid w:val="00911A75"/>
    <w:rsid w:val="0091228E"/>
    <w:rsid w:val="00914698"/>
    <w:rsid w:val="00915975"/>
    <w:rsid w:val="00916443"/>
    <w:rsid w:val="00916D88"/>
    <w:rsid w:val="00923BD9"/>
    <w:rsid w:val="00927913"/>
    <w:rsid w:val="00927C4F"/>
    <w:rsid w:val="00931A6E"/>
    <w:rsid w:val="00931CD0"/>
    <w:rsid w:val="009343B0"/>
    <w:rsid w:val="00935A9B"/>
    <w:rsid w:val="009366F6"/>
    <w:rsid w:val="00937C67"/>
    <w:rsid w:val="00941E8D"/>
    <w:rsid w:val="00942F8D"/>
    <w:rsid w:val="00943D56"/>
    <w:rsid w:val="0094622F"/>
    <w:rsid w:val="00952F0B"/>
    <w:rsid w:val="0095557B"/>
    <w:rsid w:val="009574B4"/>
    <w:rsid w:val="009574E1"/>
    <w:rsid w:val="00960AAD"/>
    <w:rsid w:val="009611B5"/>
    <w:rsid w:val="00961F7C"/>
    <w:rsid w:val="009632F8"/>
    <w:rsid w:val="00963B43"/>
    <w:rsid w:val="00963BAF"/>
    <w:rsid w:val="0096793B"/>
    <w:rsid w:val="0097224E"/>
    <w:rsid w:val="00972705"/>
    <w:rsid w:val="00972C95"/>
    <w:rsid w:val="009735CD"/>
    <w:rsid w:val="009762C3"/>
    <w:rsid w:val="009762D2"/>
    <w:rsid w:val="00976623"/>
    <w:rsid w:val="00976BCD"/>
    <w:rsid w:val="009805B7"/>
    <w:rsid w:val="00980B37"/>
    <w:rsid w:val="00981D25"/>
    <w:rsid w:val="00984C13"/>
    <w:rsid w:val="00985A01"/>
    <w:rsid w:val="00985A03"/>
    <w:rsid w:val="009876C6"/>
    <w:rsid w:val="00991064"/>
    <w:rsid w:val="00991B74"/>
    <w:rsid w:val="00991E52"/>
    <w:rsid w:val="009974D4"/>
    <w:rsid w:val="009A09F2"/>
    <w:rsid w:val="009A0DA3"/>
    <w:rsid w:val="009A20E7"/>
    <w:rsid w:val="009A4D26"/>
    <w:rsid w:val="009B5657"/>
    <w:rsid w:val="009B5BC0"/>
    <w:rsid w:val="009C322C"/>
    <w:rsid w:val="009C4251"/>
    <w:rsid w:val="009C4A53"/>
    <w:rsid w:val="009C4E65"/>
    <w:rsid w:val="009C7C79"/>
    <w:rsid w:val="009C7E16"/>
    <w:rsid w:val="009D3245"/>
    <w:rsid w:val="009D531C"/>
    <w:rsid w:val="009D5F7A"/>
    <w:rsid w:val="009D776B"/>
    <w:rsid w:val="009D7E3E"/>
    <w:rsid w:val="009E01F1"/>
    <w:rsid w:val="009E0D9E"/>
    <w:rsid w:val="009E10D9"/>
    <w:rsid w:val="009E236E"/>
    <w:rsid w:val="009E3E97"/>
    <w:rsid w:val="009E66FD"/>
    <w:rsid w:val="009F0FEC"/>
    <w:rsid w:val="009F1292"/>
    <w:rsid w:val="009F25EA"/>
    <w:rsid w:val="009F4851"/>
    <w:rsid w:val="009F652F"/>
    <w:rsid w:val="00A001F1"/>
    <w:rsid w:val="00A01157"/>
    <w:rsid w:val="00A02B3B"/>
    <w:rsid w:val="00A0626C"/>
    <w:rsid w:val="00A06DD4"/>
    <w:rsid w:val="00A0797D"/>
    <w:rsid w:val="00A07AF9"/>
    <w:rsid w:val="00A102BB"/>
    <w:rsid w:val="00A10378"/>
    <w:rsid w:val="00A128EE"/>
    <w:rsid w:val="00A13F3A"/>
    <w:rsid w:val="00A14E83"/>
    <w:rsid w:val="00A15B35"/>
    <w:rsid w:val="00A16959"/>
    <w:rsid w:val="00A231E2"/>
    <w:rsid w:val="00A23285"/>
    <w:rsid w:val="00A2685F"/>
    <w:rsid w:val="00A276E2"/>
    <w:rsid w:val="00A27943"/>
    <w:rsid w:val="00A31AAE"/>
    <w:rsid w:val="00A34456"/>
    <w:rsid w:val="00A37B0D"/>
    <w:rsid w:val="00A37EB1"/>
    <w:rsid w:val="00A43EC8"/>
    <w:rsid w:val="00A46113"/>
    <w:rsid w:val="00A46E7A"/>
    <w:rsid w:val="00A47EB7"/>
    <w:rsid w:val="00A50BF2"/>
    <w:rsid w:val="00A5141D"/>
    <w:rsid w:val="00A53FEF"/>
    <w:rsid w:val="00A55793"/>
    <w:rsid w:val="00A57119"/>
    <w:rsid w:val="00A61931"/>
    <w:rsid w:val="00A635CA"/>
    <w:rsid w:val="00A64912"/>
    <w:rsid w:val="00A67507"/>
    <w:rsid w:val="00A6753B"/>
    <w:rsid w:val="00A70A74"/>
    <w:rsid w:val="00A71574"/>
    <w:rsid w:val="00A71740"/>
    <w:rsid w:val="00A72D6A"/>
    <w:rsid w:val="00A73283"/>
    <w:rsid w:val="00A7334B"/>
    <w:rsid w:val="00A74755"/>
    <w:rsid w:val="00A75092"/>
    <w:rsid w:val="00A81038"/>
    <w:rsid w:val="00A82705"/>
    <w:rsid w:val="00A82ED8"/>
    <w:rsid w:val="00A837B6"/>
    <w:rsid w:val="00A83DA9"/>
    <w:rsid w:val="00A8402A"/>
    <w:rsid w:val="00A848FC"/>
    <w:rsid w:val="00A85BA9"/>
    <w:rsid w:val="00A862A2"/>
    <w:rsid w:val="00A902B3"/>
    <w:rsid w:val="00A94188"/>
    <w:rsid w:val="00A96E8C"/>
    <w:rsid w:val="00AA1C59"/>
    <w:rsid w:val="00AA22C1"/>
    <w:rsid w:val="00AA330F"/>
    <w:rsid w:val="00AA380B"/>
    <w:rsid w:val="00AA4357"/>
    <w:rsid w:val="00AA4606"/>
    <w:rsid w:val="00AA53D3"/>
    <w:rsid w:val="00AA63FE"/>
    <w:rsid w:val="00AA6B42"/>
    <w:rsid w:val="00AB020F"/>
    <w:rsid w:val="00AB0FAC"/>
    <w:rsid w:val="00AB101B"/>
    <w:rsid w:val="00AB2784"/>
    <w:rsid w:val="00AB2AEE"/>
    <w:rsid w:val="00AB54F1"/>
    <w:rsid w:val="00AB5E02"/>
    <w:rsid w:val="00AC17FD"/>
    <w:rsid w:val="00AC1B42"/>
    <w:rsid w:val="00AC20E0"/>
    <w:rsid w:val="00AC2755"/>
    <w:rsid w:val="00AC2ECE"/>
    <w:rsid w:val="00AC4BC7"/>
    <w:rsid w:val="00AD249C"/>
    <w:rsid w:val="00AD2C78"/>
    <w:rsid w:val="00AD3ABF"/>
    <w:rsid w:val="00AD500F"/>
    <w:rsid w:val="00AD5556"/>
    <w:rsid w:val="00AD5641"/>
    <w:rsid w:val="00AD5C20"/>
    <w:rsid w:val="00AD6DEB"/>
    <w:rsid w:val="00AE0222"/>
    <w:rsid w:val="00AE02C5"/>
    <w:rsid w:val="00AE0A6D"/>
    <w:rsid w:val="00AE15E1"/>
    <w:rsid w:val="00AE1C58"/>
    <w:rsid w:val="00AE3510"/>
    <w:rsid w:val="00AE4D6E"/>
    <w:rsid w:val="00AE5773"/>
    <w:rsid w:val="00AE6C14"/>
    <w:rsid w:val="00AF024F"/>
    <w:rsid w:val="00AF0C16"/>
    <w:rsid w:val="00AF1FBA"/>
    <w:rsid w:val="00AF34AA"/>
    <w:rsid w:val="00AF77C8"/>
    <w:rsid w:val="00AF7D7A"/>
    <w:rsid w:val="00B00005"/>
    <w:rsid w:val="00B00B38"/>
    <w:rsid w:val="00B03608"/>
    <w:rsid w:val="00B03BA0"/>
    <w:rsid w:val="00B06770"/>
    <w:rsid w:val="00B13FF5"/>
    <w:rsid w:val="00B142FE"/>
    <w:rsid w:val="00B14CA2"/>
    <w:rsid w:val="00B21226"/>
    <w:rsid w:val="00B2122D"/>
    <w:rsid w:val="00B237E8"/>
    <w:rsid w:val="00B2631E"/>
    <w:rsid w:val="00B30E8A"/>
    <w:rsid w:val="00B33B3C"/>
    <w:rsid w:val="00B34858"/>
    <w:rsid w:val="00B41CB0"/>
    <w:rsid w:val="00B429A4"/>
    <w:rsid w:val="00B4479C"/>
    <w:rsid w:val="00B447F9"/>
    <w:rsid w:val="00B448E8"/>
    <w:rsid w:val="00B46DE5"/>
    <w:rsid w:val="00B47209"/>
    <w:rsid w:val="00B50F3D"/>
    <w:rsid w:val="00B51826"/>
    <w:rsid w:val="00B53AAE"/>
    <w:rsid w:val="00B557F8"/>
    <w:rsid w:val="00B561DD"/>
    <w:rsid w:val="00B56EA7"/>
    <w:rsid w:val="00B56F20"/>
    <w:rsid w:val="00B619A1"/>
    <w:rsid w:val="00B6208E"/>
    <w:rsid w:val="00B62BDE"/>
    <w:rsid w:val="00B639F6"/>
    <w:rsid w:val="00B67117"/>
    <w:rsid w:val="00B7097A"/>
    <w:rsid w:val="00B7443F"/>
    <w:rsid w:val="00B747BA"/>
    <w:rsid w:val="00B74D21"/>
    <w:rsid w:val="00B74F72"/>
    <w:rsid w:val="00B77183"/>
    <w:rsid w:val="00B80F61"/>
    <w:rsid w:val="00B831D6"/>
    <w:rsid w:val="00B84779"/>
    <w:rsid w:val="00B84D3E"/>
    <w:rsid w:val="00B863BA"/>
    <w:rsid w:val="00B869DA"/>
    <w:rsid w:val="00B8736B"/>
    <w:rsid w:val="00B94F0C"/>
    <w:rsid w:val="00B95D16"/>
    <w:rsid w:val="00BA355A"/>
    <w:rsid w:val="00BA4CA0"/>
    <w:rsid w:val="00BA5561"/>
    <w:rsid w:val="00BA647E"/>
    <w:rsid w:val="00BB2EC3"/>
    <w:rsid w:val="00BB2FA1"/>
    <w:rsid w:val="00BB354B"/>
    <w:rsid w:val="00BB4992"/>
    <w:rsid w:val="00BB7FD3"/>
    <w:rsid w:val="00BC14EC"/>
    <w:rsid w:val="00BC1F0D"/>
    <w:rsid w:val="00BC3117"/>
    <w:rsid w:val="00BC6374"/>
    <w:rsid w:val="00BC647B"/>
    <w:rsid w:val="00BC65E8"/>
    <w:rsid w:val="00BC7C81"/>
    <w:rsid w:val="00BD006D"/>
    <w:rsid w:val="00BD027B"/>
    <w:rsid w:val="00BD4ED0"/>
    <w:rsid w:val="00BD685B"/>
    <w:rsid w:val="00BD78C5"/>
    <w:rsid w:val="00BE0E7D"/>
    <w:rsid w:val="00BE102E"/>
    <w:rsid w:val="00BE1B77"/>
    <w:rsid w:val="00BE45D0"/>
    <w:rsid w:val="00BE52DD"/>
    <w:rsid w:val="00BE6ED1"/>
    <w:rsid w:val="00BE719A"/>
    <w:rsid w:val="00BE720A"/>
    <w:rsid w:val="00BF06C5"/>
    <w:rsid w:val="00BF0A97"/>
    <w:rsid w:val="00BF0EA5"/>
    <w:rsid w:val="00BF1327"/>
    <w:rsid w:val="00BF2D94"/>
    <w:rsid w:val="00BF3019"/>
    <w:rsid w:val="00BF3B83"/>
    <w:rsid w:val="00BF3C6A"/>
    <w:rsid w:val="00BF4341"/>
    <w:rsid w:val="00BF5238"/>
    <w:rsid w:val="00BF60F7"/>
    <w:rsid w:val="00C025DF"/>
    <w:rsid w:val="00C04082"/>
    <w:rsid w:val="00C04838"/>
    <w:rsid w:val="00C0524D"/>
    <w:rsid w:val="00C0548B"/>
    <w:rsid w:val="00C07FFB"/>
    <w:rsid w:val="00C10EE1"/>
    <w:rsid w:val="00C11612"/>
    <w:rsid w:val="00C1161E"/>
    <w:rsid w:val="00C15392"/>
    <w:rsid w:val="00C200FD"/>
    <w:rsid w:val="00C22F5F"/>
    <w:rsid w:val="00C25107"/>
    <w:rsid w:val="00C26363"/>
    <w:rsid w:val="00C26A6C"/>
    <w:rsid w:val="00C26B5A"/>
    <w:rsid w:val="00C27467"/>
    <w:rsid w:val="00C30D99"/>
    <w:rsid w:val="00C315E6"/>
    <w:rsid w:val="00C3218F"/>
    <w:rsid w:val="00C329AA"/>
    <w:rsid w:val="00C33B0F"/>
    <w:rsid w:val="00C3664A"/>
    <w:rsid w:val="00C42BF8"/>
    <w:rsid w:val="00C451E2"/>
    <w:rsid w:val="00C46CED"/>
    <w:rsid w:val="00C47CF7"/>
    <w:rsid w:val="00C50043"/>
    <w:rsid w:val="00C5399D"/>
    <w:rsid w:val="00C54DCA"/>
    <w:rsid w:val="00C55DA3"/>
    <w:rsid w:val="00C55FC9"/>
    <w:rsid w:val="00C56A1D"/>
    <w:rsid w:val="00C56C1A"/>
    <w:rsid w:val="00C60544"/>
    <w:rsid w:val="00C61B06"/>
    <w:rsid w:val="00C61CDD"/>
    <w:rsid w:val="00C71939"/>
    <w:rsid w:val="00C71D87"/>
    <w:rsid w:val="00C740F3"/>
    <w:rsid w:val="00C743D8"/>
    <w:rsid w:val="00C7573B"/>
    <w:rsid w:val="00C80D5C"/>
    <w:rsid w:val="00C81672"/>
    <w:rsid w:val="00C83321"/>
    <w:rsid w:val="00C83987"/>
    <w:rsid w:val="00C856F3"/>
    <w:rsid w:val="00C901B0"/>
    <w:rsid w:val="00C9192F"/>
    <w:rsid w:val="00C9314C"/>
    <w:rsid w:val="00C95AD3"/>
    <w:rsid w:val="00C96B5E"/>
    <w:rsid w:val="00C97A6C"/>
    <w:rsid w:val="00CA20FC"/>
    <w:rsid w:val="00CA2A17"/>
    <w:rsid w:val="00CA2E52"/>
    <w:rsid w:val="00CA3BEB"/>
    <w:rsid w:val="00CA52CF"/>
    <w:rsid w:val="00CA6F22"/>
    <w:rsid w:val="00CB00BA"/>
    <w:rsid w:val="00CB05CF"/>
    <w:rsid w:val="00CB126A"/>
    <w:rsid w:val="00CB1ED2"/>
    <w:rsid w:val="00CB3520"/>
    <w:rsid w:val="00CB3549"/>
    <w:rsid w:val="00CB5883"/>
    <w:rsid w:val="00CB5D89"/>
    <w:rsid w:val="00CC14C4"/>
    <w:rsid w:val="00CC183F"/>
    <w:rsid w:val="00CC28AF"/>
    <w:rsid w:val="00CC41D2"/>
    <w:rsid w:val="00CC4EB1"/>
    <w:rsid w:val="00CC715C"/>
    <w:rsid w:val="00CC7302"/>
    <w:rsid w:val="00CC76D9"/>
    <w:rsid w:val="00CD01F5"/>
    <w:rsid w:val="00CD04A5"/>
    <w:rsid w:val="00CD0A99"/>
    <w:rsid w:val="00CD3326"/>
    <w:rsid w:val="00CD3815"/>
    <w:rsid w:val="00CD3890"/>
    <w:rsid w:val="00CD5270"/>
    <w:rsid w:val="00CD66C5"/>
    <w:rsid w:val="00CD6FA3"/>
    <w:rsid w:val="00CD7048"/>
    <w:rsid w:val="00CE05C2"/>
    <w:rsid w:val="00CE0B07"/>
    <w:rsid w:val="00CE193C"/>
    <w:rsid w:val="00CE2573"/>
    <w:rsid w:val="00CE2723"/>
    <w:rsid w:val="00CE6A83"/>
    <w:rsid w:val="00CE7008"/>
    <w:rsid w:val="00CF0BB2"/>
    <w:rsid w:val="00CF1017"/>
    <w:rsid w:val="00CF164C"/>
    <w:rsid w:val="00CF232F"/>
    <w:rsid w:val="00CF2B75"/>
    <w:rsid w:val="00CF4352"/>
    <w:rsid w:val="00CF596E"/>
    <w:rsid w:val="00CF7332"/>
    <w:rsid w:val="00CF7967"/>
    <w:rsid w:val="00D02BDC"/>
    <w:rsid w:val="00D07384"/>
    <w:rsid w:val="00D1020D"/>
    <w:rsid w:val="00D121D3"/>
    <w:rsid w:val="00D12368"/>
    <w:rsid w:val="00D13441"/>
    <w:rsid w:val="00D1354A"/>
    <w:rsid w:val="00D15F08"/>
    <w:rsid w:val="00D16547"/>
    <w:rsid w:val="00D17B09"/>
    <w:rsid w:val="00D20742"/>
    <w:rsid w:val="00D21E11"/>
    <w:rsid w:val="00D222B6"/>
    <w:rsid w:val="00D23A85"/>
    <w:rsid w:val="00D23A98"/>
    <w:rsid w:val="00D24275"/>
    <w:rsid w:val="00D249F9"/>
    <w:rsid w:val="00D24A92"/>
    <w:rsid w:val="00D253D6"/>
    <w:rsid w:val="00D2773C"/>
    <w:rsid w:val="00D27935"/>
    <w:rsid w:val="00D3091A"/>
    <w:rsid w:val="00D30D0E"/>
    <w:rsid w:val="00D324C1"/>
    <w:rsid w:val="00D341FE"/>
    <w:rsid w:val="00D345AD"/>
    <w:rsid w:val="00D345B3"/>
    <w:rsid w:val="00D35347"/>
    <w:rsid w:val="00D353AB"/>
    <w:rsid w:val="00D36BA1"/>
    <w:rsid w:val="00D41939"/>
    <w:rsid w:val="00D41E7B"/>
    <w:rsid w:val="00D42308"/>
    <w:rsid w:val="00D42B45"/>
    <w:rsid w:val="00D43761"/>
    <w:rsid w:val="00D452D3"/>
    <w:rsid w:val="00D4584A"/>
    <w:rsid w:val="00D4741C"/>
    <w:rsid w:val="00D476CB"/>
    <w:rsid w:val="00D479EA"/>
    <w:rsid w:val="00D50771"/>
    <w:rsid w:val="00D5131B"/>
    <w:rsid w:val="00D517EF"/>
    <w:rsid w:val="00D528C0"/>
    <w:rsid w:val="00D53143"/>
    <w:rsid w:val="00D56600"/>
    <w:rsid w:val="00D624EF"/>
    <w:rsid w:val="00D63723"/>
    <w:rsid w:val="00D63A8B"/>
    <w:rsid w:val="00D65987"/>
    <w:rsid w:val="00D65A04"/>
    <w:rsid w:val="00D65BA8"/>
    <w:rsid w:val="00D65BAF"/>
    <w:rsid w:val="00D65E0B"/>
    <w:rsid w:val="00D666C6"/>
    <w:rsid w:val="00D70677"/>
    <w:rsid w:val="00D70DFB"/>
    <w:rsid w:val="00D71504"/>
    <w:rsid w:val="00D72C8E"/>
    <w:rsid w:val="00D73737"/>
    <w:rsid w:val="00D7470E"/>
    <w:rsid w:val="00D74BC1"/>
    <w:rsid w:val="00D75C0B"/>
    <w:rsid w:val="00D76150"/>
    <w:rsid w:val="00D761EF"/>
    <w:rsid w:val="00D766DF"/>
    <w:rsid w:val="00D803D2"/>
    <w:rsid w:val="00D82A54"/>
    <w:rsid w:val="00D83230"/>
    <w:rsid w:val="00D834CF"/>
    <w:rsid w:val="00D84693"/>
    <w:rsid w:val="00D86DC9"/>
    <w:rsid w:val="00D90167"/>
    <w:rsid w:val="00D90E09"/>
    <w:rsid w:val="00D90FD0"/>
    <w:rsid w:val="00D95329"/>
    <w:rsid w:val="00D965EA"/>
    <w:rsid w:val="00D96EF7"/>
    <w:rsid w:val="00DA01A0"/>
    <w:rsid w:val="00DA1B94"/>
    <w:rsid w:val="00DA3D31"/>
    <w:rsid w:val="00DA4130"/>
    <w:rsid w:val="00DA4D19"/>
    <w:rsid w:val="00DA592B"/>
    <w:rsid w:val="00DA6CC7"/>
    <w:rsid w:val="00DA7588"/>
    <w:rsid w:val="00DB1A6C"/>
    <w:rsid w:val="00DB26C9"/>
    <w:rsid w:val="00DB2C7A"/>
    <w:rsid w:val="00DB5ACD"/>
    <w:rsid w:val="00DB6026"/>
    <w:rsid w:val="00DB6B52"/>
    <w:rsid w:val="00DB70F9"/>
    <w:rsid w:val="00DB7610"/>
    <w:rsid w:val="00DB7CBE"/>
    <w:rsid w:val="00DC09E3"/>
    <w:rsid w:val="00DC09E7"/>
    <w:rsid w:val="00DC2AAA"/>
    <w:rsid w:val="00DC51FA"/>
    <w:rsid w:val="00DC5A4F"/>
    <w:rsid w:val="00DC7765"/>
    <w:rsid w:val="00DD021D"/>
    <w:rsid w:val="00DD1ADC"/>
    <w:rsid w:val="00DD24FC"/>
    <w:rsid w:val="00DD2FD5"/>
    <w:rsid w:val="00DD303D"/>
    <w:rsid w:val="00DD39F8"/>
    <w:rsid w:val="00DD58F3"/>
    <w:rsid w:val="00DD5A0A"/>
    <w:rsid w:val="00DD6F9D"/>
    <w:rsid w:val="00DE2791"/>
    <w:rsid w:val="00DE2DC2"/>
    <w:rsid w:val="00DE3286"/>
    <w:rsid w:val="00DE3D92"/>
    <w:rsid w:val="00DE5674"/>
    <w:rsid w:val="00DE65D7"/>
    <w:rsid w:val="00DE6A77"/>
    <w:rsid w:val="00DE766A"/>
    <w:rsid w:val="00DF0780"/>
    <w:rsid w:val="00DF0E7B"/>
    <w:rsid w:val="00DF2CC5"/>
    <w:rsid w:val="00DF356F"/>
    <w:rsid w:val="00DF3599"/>
    <w:rsid w:val="00DF3734"/>
    <w:rsid w:val="00DF39BF"/>
    <w:rsid w:val="00DF4423"/>
    <w:rsid w:val="00DF51C4"/>
    <w:rsid w:val="00DF6481"/>
    <w:rsid w:val="00E00010"/>
    <w:rsid w:val="00E00E1A"/>
    <w:rsid w:val="00E02990"/>
    <w:rsid w:val="00E029C7"/>
    <w:rsid w:val="00E02BC1"/>
    <w:rsid w:val="00E0581B"/>
    <w:rsid w:val="00E062B9"/>
    <w:rsid w:val="00E067BD"/>
    <w:rsid w:val="00E06893"/>
    <w:rsid w:val="00E07833"/>
    <w:rsid w:val="00E07BAB"/>
    <w:rsid w:val="00E10ECD"/>
    <w:rsid w:val="00E10F41"/>
    <w:rsid w:val="00E123D0"/>
    <w:rsid w:val="00E12592"/>
    <w:rsid w:val="00E13404"/>
    <w:rsid w:val="00E139D3"/>
    <w:rsid w:val="00E1461B"/>
    <w:rsid w:val="00E15440"/>
    <w:rsid w:val="00E21206"/>
    <w:rsid w:val="00E21C69"/>
    <w:rsid w:val="00E250E9"/>
    <w:rsid w:val="00E25493"/>
    <w:rsid w:val="00E30D59"/>
    <w:rsid w:val="00E31530"/>
    <w:rsid w:val="00E3205E"/>
    <w:rsid w:val="00E32FD9"/>
    <w:rsid w:val="00E34787"/>
    <w:rsid w:val="00E355BE"/>
    <w:rsid w:val="00E36C18"/>
    <w:rsid w:val="00E40EAB"/>
    <w:rsid w:val="00E41755"/>
    <w:rsid w:val="00E440CE"/>
    <w:rsid w:val="00E468E4"/>
    <w:rsid w:val="00E47183"/>
    <w:rsid w:val="00E51055"/>
    <w:rsid w:val="00E51F3B"/>
    <w:rsid w:val="00E527DB"/>
    <w:rsid w:val="00E52DE6"/>
    <w:rsid w:val="00E5490F"/>
    <w:rsid w:val="00E56617"/>
    <w:rsid w:val="00E62A3C"/>
    <w:rsid w:val="00E62E34"/>
    <w:rsid w:val="00E656B5"/>
    <w:rsid w:val="00E663AE"/>
    <w:rsid w:val="00E6705D"/>
    <w:rsid w:val="00E70D07"/>
    <w:rsid w:val="00E7156D"/>
    <w:rsid w:val="00E717C5"/>
    <w:rsid w:val="00E72291"/>
    <w:rsid w:val="00E737E4"/>
    <w:rsid w:val="00E73AC7"/>
    <w:rsid w:val="00E7482D"/>
    <w:rsid w:val="00E74C4E"/>
    <w:rsid w:val="00E74DC7"/>
    <w:rsid w:val="00E75411"/>
    <w:rsid w:val="00E75DFA"/>
    <w:rsid w:val="00E8267D"/>
    <w:rsid w:val="00E82E83"/>
    <w:rsid w:val="00E844A0"/>
    <w:rsid w:val="00E8566F"/>
    <w:rsid w:val="00E9180A"/>
    <w:rsid w:val="00E9266F"/>
    <w:rsid w:val="00E94A4C"/>
    <w:rsid w:val="00E94C94"/>
    <w:rsid w:val="00E954E7"/>
    <w:rsid w:val="00E970D8"/>
    <w:rsid w:val="00EA1165"/>
    <w:rsid w:val="00EA22D2"/>
    <w:rsid w:val="00EA2A43"/>
    <w:rsid w:val="00EA3D29"/>
    <w:rsid w:val="00EA482A"/>
    <w:rsid w:val="00EA4AE6"/>
    <w:rsid w:val="00EA6043"/>
    <w:rsid w:val="00EB11C3"/>
    <w:rsid w:val="00EB22C6"/>
    <w:rsid w:val="00EB5D1D"/>
    <w:rsid w:val="00EC2729"/>
    <w:rsid w:val="00EC28EA"/>
    <w:rsid w:val="00EC7C33"/>
    <w:rsid w:val="00EC7E8A"/>
    <w:rsid w:val="00ED09BF"/>
    <w:rsid w:val="00ED1D80"/>
    <w:rsid w:val="00ED28A5"/>
    <w:rsid w:val="00ED449C"/>
    <w:rsid w:val="00ED54A9"/>
    <w:rsid w:val="00ED6E92"/>
    <w:rsid w:val="00ED6E9D"/>
    <w:rsid w:val="00ED7070"/>
    <w:rsid w:val="00EE0E51"/>
    <w:rsid w:val="00EE0EE1"/>
    <w:rsid w:val="00EE2132"/>
    <w:rsid w:val="00EE279C"/>
    <w:rsid w:val="00EE446E"/>
    <w:rsid w:val="00EE7EF9"/>
    <w:rsid w:val="00EF1295"/>
    <w:rsid w:val="00EF2C6E"/>
    <w:rsid w:val="00EF2E3A"/>
    <w:rsid w:val="00EF3530"/>
    <w:rsid w:val="00EF3C18"/>
    <w:rsid w:val="00EF3DC1"/>
    <w:rsid w:val="00EF49B8"/>
    <w:rsid w:val="00EF7859"/>
    <w:rsid w:val="00F02110"/>
    <w:rsid w:val="00F04811"/>
    <w:rsid w:val="00F04FE7"/>
    <w:rsid w:val="00F068FE"/>
    <w:rsid w:val="00F071DA"/>
    <w:rsid w:val="00F0769C"/>
    <w:rsid w:val="00F078DC"/>
    <w:rsid w:val="00F07CBB"/>
    <w:rsid w:val="00F11E8B"/>
    <w:rsid w:val="00F13060"/>
    <w:rsid w:val="00F13406"/>
    <w:rsid w:val="00F1401E"/>
    <w:rsid w:val="00F14307"/>
    <w:rsid w:val="00F1520D"/>
    <w:rsid w:val="00F15671"/>
    <w:rsid w:val="00F1574C"/>
    <w:rsid w:val="00F15953"/>
    <w:rsid w:val="00F21957"/>
    <w:rsid w:val="00F23E5F"/>
    <w:rsid w:val="00F23FE8"/>
    <w:rsid w:val="00F240A8"/>
    <w:rsid w:val="00F24F4C"/>
    <w:rsid w:val="00F257B3"/>
    <w:rsid w:val="00F25AF1"/>
    <w:rsid w:val="00F308D0"/>
    <w:rsid w:val="00F337A9"/>
    <w:rsid w:val="00F34218"/>
    <w:rsid w:val="00F35FE8"/>
    <w:rsid w:val="00F36324"/>
    <w:rsid w:val="00F409B4"/>
    <w:rsid w:val="00F41BB5"/>
    <w:rsid w:val="00F431F8"/>
    <w:rsid w:val="00F434C0"/>
    <w:rsid w:val="00F4373B"/>
    <w:rsid w:val="00F44554"/>
    <w:rsid w:val="00F44A74"/>
    <w:rsid w:val="00F44E1B"/>
    <w:rsid w:val="00F45EF9"/>
    <w:rsid w:val="00F462D8"/>
    <w:rsid w:val="00F46CB6"/>
    <w:rsid w:val="00F50880"/>
    <w:rsid w:val="00F50902"/>
    <w:rsid w:val="00F51269"/>
    <w:rsid w:val="00F515DD"/>
    <w:rsid w:val="00F5211D"/>
    <w:rsid w:val="00F52B44"/>
    <w:rsid w:val="00F52CD9"/>
    <w:rsid w:val="00F53136"/>
    <w:rsid w:val="00F535BC"/>
    <w:rsid w:val="00F550E3"/>
    <w:rsid w:val="00F5665A"/>
    <w:rsid w:val="00F5775D"/>
    <w:rsid w:val="00F60400"/>
    <w:rsid w:val="00F60D28"/>
    <w:rsid w:val="00F6117F"/>
    <w:rsid w:val="00F62728"/>
    <w:rsid w:val="00F66686"/>
    <w:rsid w:val="00F6707A"/>
    <w:rsid w:val="00F719B9"/>
    <w:rsid w:val="00F71BE1"/>
    <w:rsid w:val="00F735C3"/>
    <w:rsid w:val="00F73990"/>
    <w:rsid w:val="00F74531"/>
    <w:rsid w:val="00F746C5"/>
    <w:rsid w:val="00F757D4"/>
    <w:rsid w:val="00F758C3"/>
    <w:rsid w:val="00F75AC7"/>
    <w:rsid w:val="00F75BA9"/>
    <w:rsid w:val="00F87692"/>
    <w:rsid w:val="00F87BF7"/>
    <w:rsid w:val="00F87CDA"/>
    <w:rsid w:val="00F92A8E"/>
    <w:rsid w:val="00F92D36"/>
    <w:rsid w:val="00F9361C"/>
    <w:rsid w:val="00F93CD7"/>
    <w:rsid w:val="00FA0184"/>
    <w:rsid w:val="00FA08F4"/>
    <w:rsid w:val="00FA1BEB"/>
    <w:rsid w:val="00FA22D3"/>
    <w:rsid w:val="00FA2355"/>
    <w:rsid w:val="00FA2521"/>
    <w:rsid w:val="00FA2FB1"/>
    <w:rsid w:val="00FA3343"/>
    <w:rsid w:val="00FA37F0"/>
    <w:rsid w:val="00FA3855"/>
    <w:rsid w:val="00FA3AEC"/>
    <w:rsid w:val="00FA43C8"/>
    <w:rsid w:val="00FA4D5C"/>
    <w:rsid w:val="00FA5A6B"/>
    <w:rsid w:val="00FA710E"/>
    <w:rsid w:val="00FA7E8B"/>
    <w:rsid w:val="00FB455C"/>
    <w:rsid w:val="00FB4900"/>
    <w:rsid w:val="00FB5CFC"/>
    <w:rsid w:val="00FB5D3D"/>
    <w:rsid w:val="00FB7BC3"/>
    <w:rsid w:val="00FC211B"/>
    <w:rsid w:val="00FC2544"/>
    <w:rsid w:val="00FC5E09"/>
    <w:rsid w:val="00FC60F3"/>
    <w:rsid w:val="00FC6B4B"/>
    <w:rsid w:val="00FC7069"/>
    <w:rsid w:val="00FC7415"/>
    <w:rsid w:val="00FC7453"/>
    <w:rsid w:val="00FD26C8"/>
    <w:rsid w:val="00FD274F"/>
    <w:rsid w:val="00FD4CE7"/>
    <w:rsid w:val="00FD4E8C"/>
    <w:rsid w:val="00FD508F"/>
    <w:rsid w:val="00FD52CE"/>
    <w:rsid w:val="00FD5983"/>
    <w:rsid w:val="00FD5F93"/>
    <w:rsid w:val="00FD6A45"/>
    <w:rsid w:val="00FD7BF5"/>
    <w:rsid w:val="00FE07C4"/>
    <w:rsid w:val="00FE0A23"/>
    <w:rsid w:val="00FE3281"/>
    <w:rsid w:val="00FE47A8"/>
    <w:rsid w:val="00FE4A3A"/>
    <w:rsid w:val="00FE5134"/>
    <w:rsid w:val="00FF030C"/>
    <w:rsid w:val="00FF0B83"/>
    <w:rsid w:val="00FF0E93"/>
    <w:rsid w:val="00FF12CA"/>
    <w:rsid w:val="00FF3086"/>
    <w:rsid w:val="00FF3268"/>
    <w:rsid w:val="00FF39C5"/>
    <w:rsid w:val="00FF4362"/>
    <w:rsid w:val="00FF61ED"/>
    <w:rsid w:val="00FF767B"/>
    <w:rsid w:val="00FF7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7265"/>
    <o:shapelayout v:ext="edit">
      <o:idmap v:ext="edit" data="1"/>
    </o:shapelayout>
  </w:shapeDefaults>
  <w:decimalSymbol w:val="."/>
  <w:listSeparator w:val=","/>
  <w14:docId w14:val="4ADF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55B6"/>
    <w:pPr>
      <w:spacing w:line="260" w:lineRule="atLeast"/>
    </w:pPr>
    <w:rPr>
      <w:sz w:val="22"/>
    </w:rPr>
  </w:style>
  <w:style w:type="paragraph" w:styleId="Heading1">
    <w:name w:val="heading 1"/>
    <w:basedOn w:val="Body"/>
    <w:next w:val="Normal"/>
    <w:link w:val="Heading1Char"/>
    <w:qFormat/>
    <w:rsid w:val="00727ED5"/>
    <w:pPr>
      <w:keepNext/>
      <w:pageBreakBefore/>
      <w:overflowPunct w:val="0"/>
      <w:autoSpaceDE w:val="0"/>
      <w:autoSpaceDN w:val="0"/>
      <w:adjustRightInd w:val="0"/>
      <w:spacing w:before="720" w:after="120"/>
      <w:ind w:left="737" w:hanging="737"/>
      <w:textAlignment w:val="baseline"/>
      <w:outlineLvl w:val="0"/>
    </w:pPr>
    <w:rPr>
      <w:rFonts w:ascii="Helvetica" w:hAnsi="Helvetica"/>
      <w:b/>
      <w:sz w:val="40"/>
      <w:szCs w:val="32"/>
      <w:lang w:val="x-none"/>
    </w:rPr>
  </w:style>
  <w:style w:type="paragraph" w:styleId="Heading2">
    <w:name w:val="heading 2"/>
    <w:basedOn w:val="Body"/>
    <w:next w:val="Normal"/>
    <w:link w:val="Heading2Char"/>
    <w:qFormat/>
    <w:rsid w:val="00727ED5"/>
    <w:pPr>
      <w:keepNext/>
      <w:overflowPunct w:val="0"/>
      <w:autoSpaceDE w:val="0"/>
      <w:autoSpaceDN w:val="0"/>
      <w:adjustRightInd w:val="0"/>
      <w:spacing w:before="480"/>
      <w:ind w:left="737" w:hanging="737"/>
      <w:textAlignment w:val="baseline"/>
      <w:outlineLvl w:val="1"/>
    </w:pPr>
    <w:rPr>
      <w:rFonts w:ascii="Helvetica" w:hAnsi="Helvetica"/>
      <w:b/>
      <w:sz w:val="32"/>
      <w:szCs w:val="30"/>
      <w:lang w:val="x-none"/>
    </w:rPr>
  </w:style>
  <w:style w:type="paragraph" w:styleId="Heading3">
    <w:name w:val="heading 3"/>
    <w:basedOn w:val="Body"/>
    <w:next w:val="Normal"/>
    <w:link w:val="Heading3Char"/>
    <w:qFormat/>
    <w:rsid w:val="00727ED5"/>
    <w:pPr>
      <w:keepNext/>
      <w:overflowPunct w:val="0"/>
      <w:autoSpaceDE w:val="0"/>
      <w:autoSpaceDN w:val="0"/>
      <w:adjustRightInd w:val="0"/>
      <w:spacing w:before="360"/>
      <w:ind w:left="567" w:hanging="567"/>
      <w:textAlignment w:val="baseline"/>
      <w:outlineLvl w:val="2"/>
    </w:pPr>
    <w:rPr>
      <w:rFonts w:ascii="Optima" w:hAnsi="Optima"/>
      <w:b/>
      <w:sz w:val="28"/>
      <w:lang w:val="x-none"/>
    </w:rPr>
  </w:style>
  <w:style w:type="paragraph" w:styleId="Heading4">
    <w:name w:val="heading 4"/>
    <w:basedOn w:val="Body"/>
    <w:next w:val="Normal"/>
    <w:link w:val="Heading4Char"/>
    <w:qFormat/>
    <w:rsid w:val="00727ED5"/>
    <w:pPr>
      <w:keepNext/>
      <w:overflowPunct w:val="0"/>
      <w:autoSpaceDE w:val="0"/>
      <w:autoSpaceDN w:val="0"/>
      <w:adjustRightInd w:val="0"/>
      <w:spacing w:before="360"/>
      <w:ind w:left="567" w:hanging="567"/>
      <w:textAlignment w:val="baseline"/>
      <w:outlineLvl w:val="3"/>
    </w:pPr>
    <w:rPr>
      <w:rFonts w:ascii="Helvetica" w:hAnsi="Helvetica"/>
      <w:b/>
      <w:i/>
      <w:szCs w:val="24"/>
      <w:lang w:val="x-none"/>
    </w:rPr>
  </w:style>
  <w:style w:type="paragraph" w:styleId="Heading5">
    <w:name w:val="heading 5"/>
    <w:basedOn w:val="Heading1"/>
    <w:next w:val="subsection"/>
    <w:link w:val="Heading5Char"/>
    <w:uiPriority w:val="9"/>
    <w:qFormat/>
    <w:rsid w:val="00727ED5"/>
    <w:pPr>
      <w:keepLines/>
      <w:pageBreakBefore w:val="0"/>
      <w:overflowPunct/>
      <w:autoSpaceDE/>
      <w:autoSpaceDN/>
      <w:adjustRightInd/>
      <w:spacing w:before="280" w:after="60" w:line="260" w:lineRule="atLeast"/>
      <w:ind w:left="1134" w:hanging="1134"/>
      <w:textAlignment w:val="auto"/>
      <w:outlineLvl w:val="4"/>
    </w:pPr>
    <w:rPr>
      <w:rFonts w:ascii="Times New Roman" w:hAnsi="Times New Roman"/>
      <w:bCs/>
      <w:kern w:val="28"/>
      <w:sz w:val="24"/>
      <w:szCs w:val="24"/>
    </w:rPr>
  </w:style>
  <w:style w:type="paragraph" w:styleId="Heading6">
    <w:name w:val="heading 6"/>
    <w:basedOn w:val="Normal"/>
    <w:next w:val="Normal"/>
    <w:link w:val="Heading6Char"/>
    <w:uiPriority w:val="9"/>
    <w:semiHidden/>
    <w:unhideWhenUsed/>
    <w:qFormat/>
    <w:rsid w:val="00727ED5"/>
    <w:pPr>
      <w:keepNext/>
      <w:keepLines/>
      <w:spacing w:before="200" w:line="240" w:lineRule="auto"/>
      <w:ind w:left="1152" w:hanging="1152"/>
      <w:outlineLvl w:val="5"/>
    </w:pPr>
    <w:rPr>
      <w:rFonts w:ascii="Cambria" w:eastAsia="Times New Roman" w:hAnsi="Cambria" w:cs="Times New Roman"/>
      <w:i/>
      <w:iCs/>
      <w:color w:val="243F60"/>
      <w:szCs w:val="22"/>
      <w:lang w:val="x-none" w:eastAsia="x-none"/>
    </w:rPr>
  </w:style>
  <w:style w:type="paragraph" w:styleId="Heading7">
    <w:name w:val="heading 7"/>
    <w:basedOn w:val="Normal"/>
    <w:next w:val="Normal"/>
    <w:link w:val="Heading7Char"/>
    <w:uiPriority w:val="9"/>
    <w:semiHidden/>
    <w:unhideWhenUsed/>
    <w:qFormat/>
    <w:rsid w:val="00727ED5"/>
    <w:pPr>
      <w:keepNext/>
      <w:keepLines/>
      <w:spacing w:before="200" w:line="240" w:lineRule="auto"/>
      <w:ind w:left="1296" w:hanging="1296"/>
      <w:outlineLvl w:val="6"/>
    </w:pPr>
    <w:rPr>
      <w:rFonts w:ascii="Cambria" w:eastAsia="Times New Roman" w:hAnsi="Cambria" w:cs="Times New Roman"/>
      <w:i/>
      <w:iCs/>
      <w:color w:val="404040"/>
      <w:szCs w:val="22"/>
      <w:lang w:val="x-none" w:eastAsia="x-none"/>
    </w:rPr>
  </w:style>
  <w:style w:type="paragraph" w:styleId="Heading8">
    <w:name w:val="heading 8"/>
    <w:basedOn w:val="Normal"/>
    <w:next w:val="Normal"/>
    <w:link w:val="Heading8Char"/>
    <w:uiPriority w:val="9"/>
    <w:semiHidden/>
    <w:unhideWhenUsed/>
    <w:qFormat/>
    <w:rsid w:val="00727ED5"/>
    <w:pPr>
      <w:keepNext/>
      <w:keepLines/>
      <w:spacing w:before="200" w:line="240" w:lineRule="auto"/>
      <w:ind w:left="1440" w:hanging="1440"/>
      <w:outlineLvl w:val="7"/>
    </w:pPr>
    <w:rPr>
      <w:rFonts w:ascii="Cambria" w:eastAsia="Times New Roman" w:hAnsi="Cambria" w:cs="Times New Roman"/>
      <w:color w:val="404040"/>
      <w:sz w:val="20"/>
      <w:lang w:val="x-none" w:eastAsia="x-none"/>
    </w:rPr>
  </w:style>
  <w:style w:type="paragraph" w:styleId="Heading9">
    <w:name w:val="heading 9"/>
    <w:basedOn w:val="Normal"/>
    <w:next w:val="Normal"/>
    <w:link w:val="Heading9Char"/>
    <w:uiPriority w:val="9"/>
    <w:semiHidden/>
    <w:unhideWhenUsed/>
    <w:qFormat/>
    <w:rsid w:val="00727ED5"/>
    <w:pPr>
      <w:keepNext/>
      <w:keepLines/>
      <w:spacing w:before="200" w:line="240" w:lineRule="auto"/>
      <w:ind w:left="1584" w:hanging="1584"/>
      <w:outlineLvl w:val="8"/>
    </w:pPr>
    <w:rPr>
      <w:rFonts w:ascii="Cambria" w:eastAsia="Times New Roman" w:hAnsi="Cambria" w:cs="Times New Roman"/>
      <w:i/>
      <w:iCs/>
      <w:color w:val="40404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55B6"/>
  </w:style>
  <w:style w:type="paragraph" w:customStyle="1" w:styleId="OPCParaBase">
    <w:name w:val="OPCParaBase"/>
    <w:qFormat/>
    <w:rsid w:val="004855B6"/>
    <w:pPr>
      <w:spacing w:line="260" w:lineRule="atLeast"/>
    </w:pPr>
    <w:rPr>
      <w:rFonts w:eastAsia="Times New Roman" w:cs="Times New Roman"/>
      <w:sz w:val="22"/>
      <w:lang w:eastAsia="en-AU"/>
    </w:rPr>
  </w:style>
  <w:style w:type="paragraph" w:customStyle="1" w:styleId="ShortT">
    <w:name w:val="ShortT"/>
    <w:basedOn w:val="OPCParaBase"/>
    <w:next w:val="Normal"/>
    <w:qFormat/>
    <w:rsid w:val="004855B6"/>
    <w:pPr>
      <w:spacing w:line="240" w:lineRule="auto"/>
    </w:pPr>
    <w:rPr>
      <w:b/>
      <w:sz w:val="40"/>
    </w:rPr>
  </w:style>
  <w:style w:type="paragraph" w:customStyle="1" w:styleId="ActHead1">
    <w:name w:val="ActHead 1"/>
    <w:aliases w:val="c"/>
    <w:basedOn w:val="OPCParaBase"/>
    <w:next w:val="Normal"/>
    <w:qFormat/>
    <w:rsid w:val="004855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55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55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55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55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55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55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55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55B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55B6"/>
  </w:style>
  <w:style w:type="paragraph" w:customStyle="1" w:styleId="Blocks">
    <w:name w:val="Blocks"/>
    <w:aliases w:val="bb"/>
    <w:basedOn w:val="OPCParaBase"/>
    <w:qFormat/>
    <w:rsid w:val="004855B6"/>
    <w:pPr>
      <w:spacing w:line="240" w:lineRule="auto"/>
    </w:pPr>
    <w:rPr>
      <w:sz w:val="24"/>
    </w:rPr>
  </w:style>
  <w:style w:type="paragraph" w:customStyle="1" w:styleId="BoxText">
    <w:name w:val="BoxText"/>
    <w:aliases w:val="bt"/>
    <w:basedOn w:val="OPCParaBase"/>
    <w:rsid w:val="004855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55B6"/>
    <w:rPr>
      <w:b/>
    </w:rPr>
  </w:style>
  <w:style w:type="paragraph" w:customStyle="1" w:styleId="BoxHeadItalic">
    <w:name w:val="BoxHeadItalic"/>
    <w:aliases w:val="bhi"/>
    <w:basedOn w:val="BoxText"/>
    <w:next w:val="Normal"/>
    <w:qFormat/>
    <w:rsid w:val="004855B6"/>
    <w:rPr>
      <w:i/>
    </w:rPr>
  </w:style>
  <w:style w:type="paragraph" w:customStyle="1" w:styleId="BoxList">
    <w:name w:val="BoxList"/>
    <w:aliases w:val="bl"/>
    <w:basedOn w:val="BoxText"/>
    <w:qFormat/>
    <w:rsid w:val="004855B6"/>
    <w:pPr>
      <w:ind w:left="1559" w:hanging="425"/>
    </w:pPr>
  </w:style>
  <w:style w:type="paragraph" w:customStyle="1" w:styleId="BoxNote">
    <w:name w:val="BoxNote"/>
    <w:aliases w:val="bn"/>
    <w:basedOn w:val="BoxText"/>
    <w:qFormat/>
    <w:rsid w:val="004855B6"/>
    <w:pPr>
      <w:tabs>
        <w:tab w:val="left" w:pos="1985"/>
      </w:tabs>
      <w:spacing w:before="122" w:line="198" w:lineRule="exact"/>
      <w:ind w:left="2948" w:hanging="1814"/>
    </w:pPr>
    <w:rPr>
      <w:sz w:val="18"/>
    </w:rPr>
  </w:style>
  <w:style w:type="paragraph" w:customStyle="1" w:styleId="BoxPara">
    <w:name w:val="BoxPara"/>
    <w:aliases w:val="bp"/>
    <w:basedOn w:val="BoxText"/>
    <w:qFormat/>
    <w:rsid w:val="004855B6"/>
    <w:pPr>
      <w:tabs>
        <w:tab w:val="right" w:pos="2268"/>
      </w:tabs>
      <w:ind w:left="2552" w:hanging="1418"/>
    </w:pPr>
  </w:style>
  <w:style w:type="paragraph" w:customStyle="1" w:styleId="BoxStep">
    <w:name w:val="BoxStep"/>
    <w:aliases w:val="bs"/>
    <w:basedOn w:val="BoxText"/>
    <w:qFormat/>
    <w:rsid w:val="004855B6"/>
    <w:pPr>
      <w:ind w:left="1985" w:hanging="851"/>
    </w:pPr>
  </w:style>
  <w:style w:type="character" w:customStyle="1" w:styleId="CharAmPartNo">
    <w:name w:val="CharAmPartNo"/>
    <w:basedOn w:val="OPCCharBase"/>
    <w:uiPriority w:val="1"/>
    <w:qFormat/>
    <w:rsid w:val="004855B6"/>
  </w:style>
  <w:style w:type="character" w:customStyle="1" w:styleId="CharAmPartText">
    <w:name w:val="CharAmPartText"/>
    <w:basedOn w:val="OPCCharBase"/>
    <w:uiPriority w:val="1"/>
    <w:qFormat/>
    <w:rsid w:val="004855B6"/>
  </w:style>
  <w:style w:type="character" w:customStyle="1" w:styleId="CharAmSchNo">
    <w:name w:val="CharAmSchNo"/>
    <w:basedOn w:val="OPCCharBase"/>
    <w:uiPriority w:val="1"/>
    <w:qFormat/>
    <w:rsid w:val="004855B6"/>
  </w:style>
  <w:style w:type="character" w:customStyle="1" w:styleId="CharAmSchText">
    <w:name w:val="CharAmSchText"/>
    <w:basedOn w:val="OPCCharBase"/>
    <w:uiPriority w:val="1"/>
    <w:qFormat/>
    <w:rsid w:val="004855B6"/>
  </w:style>
  <w:style w:type="character" w:customStyle="1" w:styleId="CharBoldItalic">
    <w:name w:val="CharBoldItalic"/>
    <w:basedOn w:val="OPCCharBase"/>
    <w:uiPriority w:val="1"/>
    <w:qFormat/>
    <w:rsid w:val="004855B6"/>
    <w:rPr>
      <w:b/>
      <w:i/>
    </w:rPr>
  </w:style>
  <w:style w:type="character" w:customStyle="1" w:styleId="CharChapNo">
    <w:name w:val="CharChapNo"/>
    <w:basedOn w:val="OPCCharBase"/>
    <w:uiPriority w:val="1"/>
    <w:qFormat/>
    <w:rsid w:val="004855B6"/>
  </w:style>
  <w:style w:type="character" w:customStyle="1" w:styleId="CharChapText">
    <w:name w:val="CharChapText"/>
    <w:basedOn w:val="OPCCharBase"/>
    <w:uiPriority w:val="1"/>
    <w:qFormat/>
    <w:rsid w:val="004855B6"/>
  </w:style>
  <w:style w:type="character" w:customStyle="1" w:styleId="CharDivNo">
    <w:name w:val="CharDivNo"/>
    <w:basedOn w:val="OPCCharBase"/>
    <w:uiPriority w:val="1"/>
    <w:qFormat/>
    <w:rsid w:val="004855B6"/>
  </w:style>
  <w:style w:type="character" w:customStyle="1" w:styleId="CharDivText">
    <w:name w:val="CharDivText"/>
    <w:basedOn w:val="OPCCharBase"/>
    <w:uiPriority w:val="1"/>
    <w:qFormat/>
    <w:rsid w:val="004855B6"/>
  </w:style>
  <w:style w:type="character" w:customStyle="1" w:styleId="CharItalic">
    <w:name w:val="CharItalic"/>
    <w:basedOn w:val="OPCCharBase"/>
    <w:uiPriority w:val="1"/>
    <w:qFormat/>
    <w:rsid w:val="004855B6"/>
    <w:rPr>
      <w:i/>
    </w:rPr>
  </w:style>
  <w:style w:type="character" w:customStyle="1" w:styleId="CharPartNo">
    <w:name w:val="CharPartNo"/>
    <w:basedOn w:val="OPCCharBase"/>
    <w:uiPriority w:val="1"/>
    <w:qFormat/>
    <w:rsid w:val="004855B6"/>
  </w:style>
  <w:style w:type="character" w:customStyle="1" w:styleId="CharPartText">
    <w:name w:val="CharPartText"/>
    <w:basedOn w:val="OPCCharBase"/>
    <w:uiPriority w:val="1"/>
    <w:qFormat/>
    <w:rsid w:val="004855B6"/>
  </w:style>
  <w:style w:type="character" w:customStyle="1" w:styleId="CharSectno">
    <w:name w:val="CharSectno"/>
    <w:basedOn w:val="OPCCharBase"/>
    <w:uiPriority w:val="1"/>
    <w:qFormat/>
    <w:rsid w:val="004855B6"/>
  </w:style>
  <w:style w:type="character" w:customStyle="1" w:styleId="CharSubdNo">
    <w:name w:val="CharSubdNo"/>
    <w:basedOn w:val="OPCCharBase"/>
    <w:uiPriority w:val="1"/>
    <w:qFormat/>
    <w:rsid w:val="004855B6"/>
  </w:style>
  <w:style w:type="character" w:customStyle="1" w:styleId="CharSubdText">
    <w:name w:val="CharSubdText"/>
    <w:basedOn w:val="OPCCharBase"/>
    <w:uiPriority w:val="1"/>
    <w:qFormat/>
    <w:rsid w:val="004855B6"/>
  </w:style>
  <w:style w:type="paragraph" w:customStyle="1" w:styleId="CTA--">
    <w:name w:val="CTA --"/>
    <w:basedOn w:val="OPCParaBase"/>
    <w:next w:val="Normal"/>
    <w:rsid w:val="004855B6"/>
    <w:pPr>
      <w:spacing w:before="60" w:line="240" w:lineRule="atLeast"/>
      <w:ind w:left="142" w:hanging="142"/>
    </w:pPr>
    <w:rPr>
      <w:sz w:val="20"/>
    </w:rPr>
  </w:style>
  <w:style w:type="paragraph" w:customStyle="1" w:styleId="CTA-">
    <w:name w:val="CTA -"/>
    <w:basedOn w:val="OPCParaBase"/>
    <w:rsid w:val="004855B6"/>
    <w:pPr>
      <w:spacing w:before="60" w:line="240" w:lineRule="atLeast"/>
      <w:ind w:left="85" w:hanging="85"/>
    </w:pPr>
    <w:rPr>
      <w:sz w:val="20"/>
    </w:rPr>
  </w:style>
  <w:style w:type="paragraph" w:customStyle="1" w:styleId="CTA---">
    <w:name w:val="CTA ---"/>
    <w:basedOn w:val="OPCParaBase"/>
    <w:next w:val="Normal"/>
    <w:rsid w:val="004855B6"/>
    <w:pPr>
      <w:spacing w:before="60" w:line="240" w:lineRule="atLeast"/>
      <w:ind w:left="198" w:hanging="198"/>
    </w:pPr>
    <w:rPr>
      <w:sz w:val="20"/>
    </w:rPr>
  </w:style>
  <w:style w:type="paragraph" w:customStyle="1" w:styleId="CTA----">
    <w:name w:val="CTA ----"/>
    <w:basedOn w:val="OPCParaBase"/>
    <w:next w:val="Normal"/>
    <w:rsid w:val="004855B6"/>
    <w:pPr>
      <w:spacing w:before="60" w:line="240" w:lineRule="atLeast"/>
      <w:ind w:left="255" w:hanging="255"/>
    </w:pPr>
    <w:rPr>
      <w:sz w:val="20"/>
    </w:rPr>
  </w:style>
  <w:style w:type="paragraph" w:customStyle="1" w:styleId="CTA1a">
    <w:name w:val="CTA 1(a)"/>
    <w:basedOn w:val="OPCParaBase"/>
    <w:rsid w:val="004855B6"/>
    <w:pPr>
      <w:tabs>
        <w:tab w:val="right" w:pos="414"/>
      </w:tabs>
      <w:spacing w:before="40" w:line="240" w:lineRule="atLeast"/>
      <w:ind w:left="675" w:hanging="675"/>
    </w:pPr>
    <w:rPr>
      <w:sz w:val="20"/>
    </w:rPr>
  </w:style>
  <w:style w:type="paragraph" w:customStyle="1" w:styleId="CTA1ai">
    <w:name w:val="CTA 1(a)(i)"/>
    <w:basedOn w:val="OPCParaBase"/>
    <w:rsid w:val="004855B6"/>
    <w:pPr>
      <w:tabs>
        <w:tab w:val="right" w:pos="1004"/>
      </w:tabs>
      <w:spacing w:before="40" w:line="240" w:lineRule="atLeast"/>
      <w:ind w:left="1253" w:hanging="1253"/>
    </w:pPr>
    <w:rPr>
      <w:sz w:val="20"/>
    </w:rPr>
  </w:style>
  <w:style w:type="paragraph" w:customStyle="1" w:styleId="CTA2a">
    <w:name w:val="CTA 2(a)"/>
    <w:basedOn w:val="OPCParaBase"/>
    <w:rsid w:val="004855B6"/>
    <w:pPr>
      <w:tabs>
        <w:tab w:val="right" w:pos="482"/>
      </w:tabs>
      <w:spacing w:before="40" w:line="240" w:lineRule="atLeast"/>
      <w:ind w:left="748" w:hanging="748"/>
    </w:pPr>
    <w:rPr>
      <w:sz w:val="20"/>
    </w:rPr>
  </w:style>
  <w:style w:type="paragraph" w:customStyle="1" w:styleId="CTA2ai">
    <w:name w:val="CTA 2(a)(i)"/>
    <w:basedOn w:val="OPCParaBase"/>
    <w:rsid w:val="004855B6"/>
    <w:pPr>
      <w:tabs>
        <w:tab w:val="right" w:pos="1089"/>
      </w:tabs>
      <w:spacing w:before="40" w:line="240" w:lineRule="atLeast"/>
      <w:ind w:left="1327" w:hanging="1327"/>
    </w:pPr>
    <w:rPr>
      <w:sz w:val="20"/>
    </w:rPr>
  </w:style>
  <w:style w:type="paragraph" w:customStyle="1" w:styleId="CTA3a">
    <w:name w:val="CTA 3(a)"/>
    <w:basedOn w:val="OPCParaBase"/>
    <w:rsid w:val="004855B6"/>
    <w:pPr>
      <w:tabs>
        <w:tab w:val="right" w:pos="556"/>
      </w:tabs>
      <w:spacing w:before="40" w:line="240" w:lineRule="atLeast"/>
      <w:ind w:left="805" w:hanging="805"/>
    </w:pPr>
    <w:rPr>
      <w:sz w:val="20"/>
    </w:rPr>
  </w:style>
  <w:style w:type="paragraph" w:customStyle="1" w:styleId="CTA3ai">
    <w:name w:val="CTA 3(a)(i)"/>
    <w:basedOn w:val="OPCParaBase"/>
    <w:rsid w:val="004855B6"/>
    <w:pPr>
      <w:tabs>
        <w:tab w:val="right" w:pos="1140"/>
      </w:tabs>
      <w:spacing w:before="40" w:line="240" w:lineRule="atLeast"/>
      <w:ind w:left="1361" w:hanging="1361"/>
    </w:pPr>
    <w:rPr>
      <w:sz w:val="20"/>
    </w:rPr>
  </w:style>
  <w:style w:type="paragraph" w:customStyle="1" w:styleId="CTA4a">
    <w:name w:val="CTA 4(a)"/>
    <w:basedOn w:val="OPCParaBase"/>
    <w:rsid w:val="004855B6"/>
    <w:pPr>
      <w:tabs>
        <w:tab w:val="right" w:pos="624"/>
      </w:tabs>
      <w:spacing w:before="40" w:line="240" w:lineRule="atLeast"/>
      <w:ind w:left="873" w:hanging="873"/>
    </w:pPr>
    <w:rPr>
      <w:sz w:val="20"/>
    </w:rPr>
  </w:style>
  <w:style w:type="paragraph" w:customStyle="1" w:styleId="CTA4ai">
    <w:name w:val="CTA 4(a)(i)"/>
    <w:basedOn w:val="OPCParaBase"/>
    <w:rsid w:val="004855B6"/>
    <w:pPr>
      <w:tabs>
        <w:tab w:val="right" w:pos="1213"/>
      </w:tabs>
      <w:spacing w:before="40" w:line="240" w:lineRule="atLeast"/>
      <w:ind w:left="1452" w:hanging="1452"/>
    </w:pPr>
    <w:rPr>
      <w:sz w:val="20"/>
    </w:rPr>
  </w:style>
  <w:style w:type="paragraph" w:customStyle="1" w:styleId="CTACAPS">
    <w:name w:val="CTA CAPS"/>
    <w:basedOn w:val="OPCParaBase"/>
    <w:rsid w:val="004855B6"/>
    <w:pPr>
      <w:spacing w:before="60" w:line="240" w:lineRule="atLeast"/>
    </w:pPr>
    <w:rPr>
      <w:sz w:val="20"/>
    </w:rPr>
  </w:style>
  <w:style w:type="paragraph" w:customStyle="1" w:styleId="CTAright">
    <w:name w:val="CTA right"/>
    <w:basedOn w:val="OPCParaBase"/>
    <w:rsid w:val="004855B6"/>
    <w:pPr>
      <w:spacing w:before="60" w:line="240" w:lineRule="auto"/>
      <w:jc w:val="right"/>
    </w:pPr>
    <w:rPr>
      <w:sz w:val="20"/>
    </w:rPr>
  </w:style>
  <w:style w:type="paragraph" w:customStyle="1" w:styleId="subsection">
    <w:name w:val="subsection"/>
    <w:aliases w:val="ss"/>
    <w:basedOn w:val="OPCParaBase"/>
    <w:link w:val="subsectionChar"/>
    <w:rsid w:val="004855B6"/>
    <w:pPr>
      <w:tabs>
        <w:tab w:val="right" w:pos="1021"/>
      </w:tabs>
      <w:spacing w:before="180" w:line="240" w:lineRule="auto"/>
      <w:ind w:left="1134" w:hanging="1134"/>
    </w:pPr>
  </w:style>
  <w:style w:type="paragraph" w:customStyle="1" w:styleId="Definition">
    <w:name w:val="Definition"/>
    <w:aliases w:val="dd"/>
    <w:basedOn w:val="OPCParaBase"/>
    <w:rsid w:val="004855B6"/>
    <w:pPr>
      <w:spacing w:before="180" w:line="240" w:lineRule="auto"/>
      <w:ind w:left="1134"/>
    </w:pPr>
  </w:style>
  <w:style w:type="paragraph" w:customStyle="1" w:styleId="ETAsubitem">
    <w:name w:val="ETA(subitem)"/>
    <w:basedOn w:val="OPCParaBase"/>
    <w:rsid w:val="004855B6"/>
    <w:pPr>
      <w:tabs>
        <w:tab w:val="right" w:pos="340"/>
      </w:tabs>
      <w:spacing w:before="60" w:line="240" w:lineRule="auto"/>
      <w:ind w:left="454" w:hanging="454"/>
    </w:pPr>
    <w:rPr>
      <w:sz w:val="20"/>
    </w:rPr>
  </w:style>
  <w:style w:type="paragraph" w:customStyle="1" w:styleId="ETApara">
    <w:name w:val="ETA(para)"/>
    <w:basedOn w:val="OPCParaBase"/>
    <w:rsid w:val="004855B6"/>
    <w:pPr>
      <w:tabs>
        <w:tab w:val="right" w:pos="754"/>
      </w:tabs>
      <w:spacing w:before="60" w:line="240" w:lineRule="auto"/>
      <w:ind w:left="828" w:hanging="828"/>
    </w:pPr>
    <w:rPr>
      <w:sz w:val="20"/>
    </w:rPr>
  </w:style>
  <w:style w:type="paragraph" w:customStyle="1" w:styleId="ETAsubpara">
    <w:name w:val="ETA(subpara)"/>
    <w:basedOn w:val="OPCParaBase"/>
    <w:rsid w:val="004855B6"/>
    <w:pPr>
      <w:tabs>
        <w:tab w:val="right" w:pos="1083"/>
      </w:tabs>
      <w:spacing w:before="60" w:line="240" w:lineRule="auto"/>
      <w:ind w:left="1191" w:hanging="1191"/>
    </w:pPr>
    <w:rPr>
      <w:sz w:val="20"/>
    </w:rPr>
  </w:style>
  <w:style w:type="paragraph" w:customStyle="1" w:styleId="ETAsub-subpara">
    <w:name w:val="ETA(sub-subpara)"/>
    <w:basedOn w:val="OPCParaBase"/>
    <w:rsid w:val="004855B6"/>
    <w:pPr>
      <w:tabs>
        <w:tab w:val="right" w:pos="1412"/>
      </w:tabs>
      <w:spacing w:before="60" w:line="240" w:lineRule="auto"/>
      <w:ind w:left="1525" w:hanging="1525"/>
    </w:pPr>
    <w:rPr>
      <w:sz w:val="20"/>
    </w:rPr>
  </w:style>
  <w:style w:type="paragraph" w:customStyle="1" w:styleId="Formula">
    <w:name w:val="Formula"/>
    <w:basedOn w:val="OPCParaBase"/>
    <w:rsid w:val="004855B6"/>
    <w:pPr>
      <w:spacing w:line="240" w:lineRule="auto"/>
      <w:ind w:left="1134"/>
    </w:pPr>
    <w:rPr>
      <w:sz w:val="20"/>
    </w:rPr>
  </w:style>
  <w:style w:type="paragraph" w:styleId="Header">
    <w:name w:val="header"/>
    <w:basedOn w:val="OPCParaBase"/>
    <w:link w:val="HeaderChar"/>
    <w:unhideWhenUsed/>
    <w:rsid w:val="004855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55B6"/>
    <w:rPr>
      <w:rFonts w:eastAsia="Times New Roman" w:cs="Times New Roman"/>
      <w:sz w:val="16"/>
      <w:lang w:eastAsia="en-AU"/>
    </w:rPr>
  </w:style>
  <w:style w:type="paragraph" w:customStyle="1" w:styleId="House">
    <w:name w:val="House"/>
    <w:basedOn w:val="OPCParaBase"/>
    <w:rsid w:val="004855B6"/>
    <w:pPr>
      <w:spacing w:line="240" w:lineRule="auto"/>
    </w:pPr>
    <w:rPr>
      <w:sz w:val="28"/>
    </w:rPr>
  </w:style>
  <w:style w:type="paragraph" w:customStyle="1" w:styleId="Item">
    <w:name w:val="Item"/>
    <w:aliases w:val="i"/>
    <w:basedOn w:val="OPCParaBase"/>
    <w:next w:val="ItemHead"/>
    <w:rsid w:val="004855B6"/>
    <w:pPr>
      <w:keepLines/>
      <w:spacing w:before="80" w:line="240" w:lineRule="auto"/>
      <w:ind w:left="709"/>
    </w:pPr>
  </w:style>
  <w:style w:type="paragraph" w:customStyle="1" w:styleId="ItemHead">
    <w:name w:val="ItemHead"/>
    <w:aliases w:val="ih"/>
    <w:basedOn w:val="OPCParaBase"/>
    <w:next w:val="Item"/>
    <w:rsid w:val="004855B6"/>
    <w:pPr>
      <w:keepLines/>
      <w:spacing w:before="220" w:line="240" w:lineRule="auto"/>
      <w:ind w:left="709" w:hanging="709"/>
    </w:pPr>
    <w:rPr>
      <w:rFonts w:ascii="Arial" w:hAnsi="Arial"/>
      <w:b/>
      <w:kern w:val="28"/>
      <w:sz w:val="24"/>
    </w:rPr>
  </w:style>
  <w:style w:type="paragraph" w:customStyle="1" w:styleId="LongT">
    <w:name w:val="LongT"/>
    <w:basedOn w:val="OPCParaBase"/>
    <w:rsid w:val="004855B6"/>
    <w:pPr>
      <w:spacing w:line="240" w:lineRule="auto"/>
    </w:pPr>
    <w:rPr>
      <w:b/>
      <w:sz w:val="32"/>
    </w:rPr>
  </w:style>
  <w:style w:type="paragraph" w:customStyle="1" w:styleId="notedraft">
    <w:name w:val="note(draft)"/>
    <w:aliases w:val="nd"/>
    <w:basedOn w:val="OPCParaBase"/>
    <w:rsid w:val="004855B6"/>
    <w:pPr>
      <w:spacing w:before="240" w:line="240" w:lineRule="auto"/>
      <w:ind w:left="284" w:hanging="284"/>
    </w:pPr>
    <w:rPr>
      <w:i/>
      <w:sz w:val="24"/>
    </w:rPr>
  </w:style>
  <w:style w:type="paragraph" w:customStyle="1" w:styleId="notemargin">
    <w:name w:val="note(margin)"/>
    <w:aliases w:val="nm"/>
    <w:basedOn w:val="OPCParaBase"/>
    <w:rsid w:val="004855B6"/>
    <w:pPr>
      <w:tabs>
        <w:tab w:val="left" w:pos="709"/>
      </w:tabs>
      <w:spacing w:before="122" w:line="198" w:lineRule="exact"/>
      <w:ind w:left="709" w:hanging="709"/>
    </w:pPr>
    <w:rPr>
      <w:sz w:val="18"/>
    </w:rPr>
  </w:style>
  <w:style w:type="paragraph" w:customStyle="1" w:styleId="notepara">
    <w:name w:val="note(para)"/>
    <w:aliases w:val="na"/>
    <w:basedOn w:val="OPCParaBase"/>
    <w:rsid w:val="004855B6"/>
    <w:pPr>
      <w:spacing w:before="40" w:line="198" w:lineRule="exact"/>
      <w:ind w:left="2354" w:hanging="369"/>
    </w:pPr>
    <w:rPr>
      <w:sz w:val="18"/>
    </w:rPr>
  </w:style>
  <w:style w:type="paragraph" w:customStyle="1" w:styleId="noteParlAmend">
    <w:name w:val="note(ParlAmend)"/>
    <w:aliases w:val="npp"/>
    <w:basedOn w:val="OPCParaBase"/>
    <w:next w:val="ParlAmend"/>
    <w:rsid w:val="004855B6"/>
    <w:pPr>
      <w:spacing w:line="240" w:lineRule="auto"/>
      <w:jc w:val="right"/>
    </w:pPr>
    <w:rPr>
      <w:rFonts w:ascii="Arial" w:hAnsi="Arial"/>
      <w:b/>
      <w:i/>
    </w:rPr>
  </w:style>
  <w:style w:type="paragraph" w:customStyle="1" w:styleId="Page1">
    <w:name w:val="Page1"/>
    <w:basedOn w:val="OPCParaBase"/>
    <w:rsid w:val="004855B6"/>
    <w:pPr>
      <w:spacing w:before="5600" w:line="240" w:lineRule="auto"/>
    </w:pPr>
    <w:rPr>
      <w:b/>
      <w:sz w:val="32"/>
    </w:rPr>
  </w:style>
  <w:style w:type="paragraph" w:customStyle="1" w:styleId="PageBreak">
    <w:name w:val="PageBreak"/>
    <w:aliases w:val="pb"/>
    <w:basedOn w:val="OPCParaBase"/>
    <w:rsid w:val="004855B6"/>
    <w:pPr>
      <w:spacing w:line="240" w:lineRule="auto"/>
    </w:pPr>
    <w:rPr>
      <w:sz w:val="10"/>
    </w:rPr>
  </w:style>
  <w:style w:type="paragraph" w:customStyle="1" w:styleId="paragraphsub">
    <w:name w:val="paragraph(sub)"/>
    <w:aliases w:val="aa"/>
    <w:basedOn w:val="OPCParaBase"/>
    <w:rsid w:val="004855B6"/>
    <w:pPr>
      <w:tabs>
        <w:tab w:val="right" w:pos="1985"/>
      </w:tabs>
      <w:spacing w:before="40" w:line="240" w:lineRule="auto"/>
      <w:ind w:left="2098" w:hanging="2098"/>
    </w:pPr>
  </w:style>
  <w:style w:type="paragraph" w:customStyle="1" w:styleId="paragraphsub-sub">
    <w:name w:val="paragraph(sub-sub)"/>
    <w:aliases w:val="aaa"/>
    <w:basedOn w:val="OPCParaBase"/>
    <w:rsid w:val="004855B6"/>
    <w:pPr>
      <w:tabs>
        <w:tab w:val="right" w:pos="2722"/>
      </w:tabs>
      <w:spacing w:before="40" w:line="240" w:lineRule="auto"/>
      <w:ind w:left="2835" w:hanging="2835"/>
    </w:pPr>
  </w:style>
  <w:style w:type="paragraph" w:customStyle="1" w:styleId="paragraph">
    <w:name w:val="paragraph"/>
    <w:aliases w:val="a"/>
    <w:basedOn w:val="OPCParaBase"/>
    <w:link w:val="paragraphChar"/>
    <w:rsid w:val="004855B6"/>
    <w:pPr>
      <w:tabs>
        <w:tab w:val="right" w:pos="1531"/>
      </w:tabs>
      <w:spacing w:before="40" w:line="240" w:lineRule="auto"/>
      <w:ind w:left="1644" w:hanging="1644"/>
    </w:pPr>
  </w:style>
  <w:style w:type="paragraph" w:customStyle="1" w:styleId="ParlAmend">
    <w:name w:val="ParlAmend"/>
    <w:aliases w:val="pp"/>
    <w:basedOn w:val="OPCParaBase"/>
    <w:rsid w:val="004855B6"/>
    <w:pPr>
      <w:spacing w:before="240" w:line="240" w:lineRule="atLeast"/>
      <w:ind w:hanging="567"/>
    </w:pPr>
    <w:rPr>
      <w:sz w:val="24"/>
    </w:rPr>
  </w:style>
  <w:style w:type="paragraph" w:customStyle="1" w:styleId="Penalty">
    <w:name w:val="Penalty"/>
    <w:basedOn w:val="OPCParaBase"/>
    <w:rsid w:val="004855B6"/>
    <w:pPr>
      <w:tabs>
        <w:tab w:val="left" w:pos="2977"/>
      </w:tabs>
      <w:spacing w:before="180" w:line="240" w:lineRule="auto"/>
      <w:ind w:left="1985" w:hanging="851"/>
    </w:pPr>
  </w:style>
  <w:style w:type="paragraph" w:customStyle="1" w:styleId="Portfolio">
    <w:name w:val="Portfolio"/>
    <w:basedOn w:val="OPCParaBase"/>
    <w:rsid w:val="004855B6"/>
    <w:pPr>
      <w:spacing w:line="240" w:lineRule="auto"/>
    </w:pPr>
    <w:rPr>
      <w:i/>
      <w:sz w:val="20"/>
    </w:rPr>
  </w:style>
  <w:style w:type="paragraph" w:customStyle="1" w:styleId="Preamble">
    <w:name w:val="Preamble"/>
    <w:basedOn w:val="OPCParaBase"/>
    <w:next w:val="Normal"/>
    <w:rsid w:val="004855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55B6"/>
    <w:pPr>
      <w:spacing w:line="240" w:lineRule="auto"/>
    </w:pPr>
    <w:rPr>
      <w:i/>
      <w:sz w:val="20"/>
    </w:rPr>
  </w:style>
  <w:style w:type="paragraph" w:customStyle="1" w:styleId="Session">
    <w:name w:val="Session"/>
    <w:basedOn w:val="OPCParaBase"/>
    <w:rsid w:val="004855B6"/>
    <w:pPr>
      <w:spacing w:line="240" w:lineRule="auto"/>
    </w:pPr>
    <w:rPr>
      <w:sz w:val="28"/>
    </w:rPr>
  </w:style>
  <w:style w:type="paragraph" w:customStyle="1" w:styleId="Sponsor">
    <w:name w:val="Sponsor"/>
    <w:basedOn w:val="OPCParaBase"/>
    <w:rsid w:val="004855B6"/>
    <w:pPr>
      <w:spacing w:line="240" w:lineRule="auto"/>
    </w:pPr>
    <w:rPr>
      <w:i/>
    </w:rPr>
  </w:style>
  <w:style w:type="paragraph" w:customStyle="1" w:styleId="Subitem">
    <w:name w:val="Subitem"/>
    <w:aliases w:val="iss"/>
    <w:basedOn w:val="OPCParaBase"/>
    <w:rsid w:val="004855B6"/>
    <w:pPr>
      <w:spacing w:before="180" w:line="240" w:lineRule="auto"/>
      <w:ind w:left="709" w:hanging="709"/>
    </w:pPr>
  </w:style>
  <w:style w:type="paragraph" w:customStyle="1" w:styleId="SubitemHead">
    <w:name w:val="SubitemHead"/>
    <w:aliases w:val="issh"/>
    <w:basedOn w:val="OPCParaBase"/>
    <w:rsid w:val="004855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55B6"/>
    <w:pPr>
      <w:spacing w:before="40" w:line="240" w:lineRule="auto"/>
      <w:ind w:left="1134"/>
    </w:pPr>
  </w:style>
  <w:style w:type="paragraph" w:customStyle="1" w:styleId="SubsectionHead">
    <w:name w:val="SubsectionHead"/>
    <w:aliases w:val="ssh"/>
    <w:basedOn w:val="OPCParaBase"/>
    <w:next w:val="subsection"/>
    <w:rsid w:val="004855B6"/>
    <w:pPr>
      <w:keepNext/>
      <w:keepLines/>
      <w:spacing w:before="240" w:line="240" w:lineRule="auto"/>
      <w:ind w:left="1134"/>
    </w:pPr>
    <w:rPr>
      <w:i/>
    </w:rPr>
  </w:style>
  <w:style w:type="paragraph" w:customStyle="1" w:styleId="Tablea">
    <w:name w:val="Table(a)"/>
    <w:aliases w:val="ta"/>
    <w:basedOn w:val="OPCParaBase"/>
    <w:rsid w:val="004855B6"/>
    <w:pPr>
      <w:spacing w:before="60" w:line="240" w:lineRule="auto"/>
      <w:ind w:left="284" w:hanging="284"/>
    </w:pPr>
    <w:rPr>
      <w:sz w:val="20"/>
    </w:rPr>
  </w:style>
  <w:style w:type="paragraph" w:customStyle="1" w:styleId="TableAA">
    <w:name w:val="Table(AA)"/>
    <w:aliases w:val="taaa"/>
    <w:basedOn w:val="OPCParaBase"/>
    <w:rsid w:val="004855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55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55B6"/>
    <w:pPr>
      <w:spacing w:before="60" w:line="240" w:lineRule="atLeast"/>
    </w:pPr>
    <w:rPr>
      <w:sz w:val="20"/>
    </w:rPr>
  </w:style>
  <w:style w:type="paragraph" w:customStyle="1" w:styleId="TLPBoxTextnote">
    <w:name w:val="TLPBoxText(note"/>
    <w:aliases w:val="right)"/>
    <w:basedOn w:val="OPCParaBase"/>
    <w:rsid w:val="004855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55B6"/>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4855B6"/>
    <w:pPr>
      <w:spacing w:before="122" w:line="198" w:lineRule="exact"/>
      <w:ind w:left="1985" w:hanging="851"/>
      <w:jc w:val="right"/>
    </w:pPr>
    <w:rPr>
      <w:sz w:val="18"/>
    </w:rPr>
  </w:style>
  <w:style w:type="paragraph" w:customStyle="1" w:styleId="TLPTableBullet">
    <w:name w:val="TLPTableBullet"/>
    <w:aliases w:val="ttb"/>
    <w:basedOn w:val="OPCParaBase"/>
    <w:rsid w:val="004855B6"/>
    <w:pPr>
      <w:spacing w:line="240" w:lineRule="exact"/>
      <w:ind w:left="284" w:hanging="284"/>
    </w:pPr>
    <w:rPr>
      <w:sz w:val="20"/>
    </w:rPr>
  </w:style>
  <w:style w:type="paragraph" w:styleId="TOC1">
    <w:name w:val="toc 1"/>
    <w:basedOn w:val="OPCParaBase"/>
    <w:next w:val="Normal"/>
    <w:uiPriority w:val="39"/>
    <w:unhideWhenUsed/>
    <w:rsid w:val="004855B6"/>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unhideWhenUsed/>
    <w:rsid w:val="004855B6"/>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unhideWhenUsed/>
    <w:rsid w:val="004855B6"/>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unhideWhenUsed/>
    <w:rsid w:val="004855B6"/>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4855B6"/>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4855B6"/>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4855B6"/>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4855B6"/>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4855B6"/>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4855B6"/>
    <w:pPr>
      <w:keepLines/>
      <w:spacing w:before="240" w:after="120" w:line="240" w:lineRule="auto"/>
      <w:ind w:left="794"/>
    </w:pPr>
    <w:rPr>
      <w:b/>
      <w:kern w:val="28"/>
      <w:sz w:val="20"/>
    </w:rPr>
  </w:style>
  <w:style w:type="paragraph" w:customStyle="1" w:styleId="TofSectsHeading">
    <w:name w:val="TofSects(Heading)"/>
    <w:basedOn w:val="OPCParaBase"/>
    <w:rsid w:val="004855B6"/>
    <w:pPr>
      <w:spacing w:before="240" w:after="120" w:line="240" w:lineRule="auto"/>
    </w:pPr>
    <w:rPr>
      <w:b/>
      <w:sz w:val="24"/>
    </w:rPr>
  </w:style>
  <w:style w:type="paragraph" w:customStyle="1" w:styleId="TofSectsSection">
    <w:name w:val="TofSects(Section)"/>
    <w:basedOn w:val="OPCParaBase"/>
    <w:rsid w:val="004855B6"/>
    <w:pPr>
      <w:keepLines/>
      <w:spacing w:before="40" w:line="240" w:lineRule="auto"/>
      <w:ind w:left="1588" w:hanging="794"/>
    </w:pPr>
    <w:rPr>
      <w:kern w:val="28"/>
      <w:sz w:val="18"/>
    </w:rPr>
  </w:style>
  <w:style w:type="paragraph" w:customStyle="1" w:styleId="TofSectsSubdiv">
    <w:name w:val="TofSects(Subdiv)"/>
    <w:basedOn w:val="OPCParaBase"/>
    <w:rsid w:val="004855B6"/>
    <w:pPr>
      <w:keepLines/>
      <w:spacing w:before="80" w:line="240" w:lineRule="auto"/>
      <w:ind w:left="1588" w:hanging="794"/>
    </w:pPr>
    <w:rPr>
      <w:kern w:val="28"/>
    </w:rPr>
  </w:style>
  <w:style w:type="paragraph" w:customStyle="1" w:styleId="WRStyle">
    <w:name w:val="WR Style"/>
    <w:aliases w:val="WR"/>
    <w:basedOn w:val="OPCParaBase"/>
    <w:rsid w:val="004855B6"/>
    <w:pPr>
      <w:spacing w:before="240" w:line="240" w:lineRule="auto"/>
      <w:ind w:left="284" w:hanging="284"/>
    </w:pPr>
    <w:rPr>
      <w:b/>
      <w:i/>
      <w:kern w:val="28"/>
      <w:sz w:val="24"/>
    </w:rPr>
  </w:style>
  <w:style w:type="paragraph" w:customStyle="1" w:styleId="Body">
    <w:name w:val="Body"/>
    <w:aliases w:val="b"/>
    <w:basedOn w:val="OPCParaBase"/>
    <w:rsid w:val="004855B6"/>
    <w:pPr>
      <w:spacing w:before="240" w:line="240" w:lineRule="auto"/>
    </w:pPr>
    <w:rPr>
      <w:sz w:val="24"/>
    </w:rPr>
  </w:style>
  <w:style w:type="paragraph" w:customStyle="1" w:styleId="BodyNum">
    <w:name w:val="BodyNum"/>
    <w:aliases w:val="b1"/>
    <w:basedOn w:val="OPCParaBase"/>
    <w:rsid w:val="004855B6"/>
    <w:pPr>
      <w:numPr>
        <w:numId w:val="2"/>
      </w:numPr>
      <w:spacing w:before="240" w:line="240" w:lineRule="auto"/>
    </w:pPr>
    <w:rPr>
      <w:sz w:val="24"/>
    </w:rPr>
  </w:style>
  <w:style w:type="paragraph" w:customStyle="1" w:styleId="BodyPara">
    <w:name w:val="BodyPara"/>
    <w:aliases w:val="ba"/>
    <w:basedOn w:val="OPCParaBase"/>
    <w:rsid w:val="004855B6"/>
    <w:pPr>
      <w:numPr>
        <w:ilvl w:val="1"/>
        <w:numId w:val="2"/>
      </w:numPr>
      <w:spacing w:before="240" w:line="240" w:lineRule="auto"/>
    </w:pPr>
    <w:rPr>
      <w:sz w:val="24"/>
    </w:rPr>
  </w:style>
  <w:style w:type="paragraph" w:customStyle="1" w:styleId="BodyParaBullet">
    <w:name w:val="BodyParaBullet"/>
    <w:aliases w:val="bpb"/>
    <w:basedOn w:val="OPCParaBase"/>
    <w:rsid w:val="004855B6"/>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4855B6"/>
    <w:pPr>
      <w:numPr>
        <w:ilvl w:val="3"/>
        <w:numId w:val="2"/>
      </w:numPr>
      <w:spacing w:before="240" w:line="240" w:lineRule="auto"/>
    </w:pPr>
    <w:rPr>
      <w:sz w:val="24"/>
    </w:rPr>
  </w:style>
  <w:style w:type="numbering" w:customStyle="1" w:styleId="OPCBodyList">
    <w:name w:val="OPCBodyList"/>
    <w:uiPriority w:val="99"/>
    <w:rsid w:val="004855B6"/>
    <w:pPr>
      <w:numPr>
        <w:numId w:val="2"/>
      </w:numPr>
    </w:pPr>
  </w:style>
  <w:style w:type="paragraph" w:customStyle="1" w:styleId="Head1">
    <w:name w:val="Head 1"/>
    <w:aliases w:val="1"/>
    <w:basedOn w:val="OPCParaBase"/>
    <w:next w:val="BodyNum"/>
    <w:rsid w:val="004855B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855B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855B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855B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855B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855B6"/>
    <w:pPr>
      <w:spacing w:before="122" w:line="198" w:lineRule="exact"/>
      <w:ind w:left="2353" w:hanging="709"/>
    </w:pPr>
    <w:rPr>
      <w:sz w:val="18"/>
    </w:rPr>
  </w:style>
  <w:style w:type="paragraph" w:styleId="Footer">
    <w:name w:val="footer"/>
    <w:link w:val="FooterChar"/>
    <w:rsid w:val="004855B6"/>
    <w:pPr>
      <w:tabs>
        <w:tab w:val="center" w:pos="4153"/>
        <w:tab w:val="center" w:pos="4320"/>
        <w:tab w:val="right" w:pos="8306"/>
        <w:tab w:val="right" w:pos="8640"/>
      </w:tabs>
    </w:pPr>
    <w:rPr>
      <w:rFonts w:eastAsia="Times New Roman" w:cs="Times New Roman"/>
      <w:sz w:val="24"/>
      <w:szCs w:val="24"/>
      <w:lang w:eastAsia="en-AU"/>
    </w:rPr>
  </w:style>
  <w:style w:type="character" w:customStyle="1" w:styleId="FooterChar">
    <w:name w:val="Footer Char"/>
    <w:basedOn w:val="DefaultParagraphFont"/>
    <w:link w:val="Footer"/>
    <w:rsid w:val="004855B6"/>
    <w:rPr>
      <w:rFonts w:eastAsia="Times New Roman" w:cs="Times New Roman"/>
      <w:sz w:val="24"/>
      <w:szCs w:val="24"/>
      <w:lang w:eastAsia="en-AU"/>
    </w:rPr>
  </w:style>
  <w:style w:type="character" w:styleId="PageNumber">
    <w:name w:val="page number"/>
    <w:basedOn w:val="DefaultParagraphFont"/>
    <w:rsid w:val="004855B6"/>
  </w:style>
  <w:style w:type="paragraph" w:styleId="BalloonText">
    <w:name w:val="Balloon Text"/>
    <w:basedOn w:val="Normal"/>
    <w:link w:val="BalloonTextChar"/>
    <w:uiPriority w:val="99"/>
    <w:semiHidden/>
    <w:unhideWhenUsed/>
    <w:rsid w:val="004855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5B6"/>
    <w:rPr>
      <w:rFonts w:ascii="Tahoma" w:hAnsi="Tahoma" w:cs="Tahoma"/>
      <w:sz w:val="16"/>
      <w:szCs w:val="16"/>
    </w:rPr>
  </w:style>
  <w:style w:type="paragraph" w:customStyle="1" w:styleId="MessShortTitle">
    <w:name w:val="MessShortTitle"/>
    <w:basedOn w:val="Head2"/>
    <w:rsid w:val="004855B6"/>
  </w:style>
  <w:style w:type="paragraph" w:customStyle="1" w:styleId="notetext">
    <w:name w:val="note(text)"/>
    <w:aliases w:val="n"/>
    <w:basedOn w:val="OPCParaBase"/>
    <w:rsid w:val="004855B6"/>
    <w:pPr>
      <w:spacing w:before="122" w:line="240" w:lineRule="auto"/>
      <w:ind w:left="1985" w:hanging="851"/>
    </w:pPr>
    <w:rPr>
      <w:sz w:val="18"/>
    </w:rPr>
  </w:style>
  <w:style w:type="paragraph" w:customStyle="1" w:styleId="FreeForm">
    <w:name w:val="FreeForm"/>
    <w:rsid w:val="000F3859"/>
    <w:rPr>
      <w:rFonts w:ascii="Arial" w:hAnsi="Arial"/>
      <w:sz w:val="22"/>
    </w:rPr>
  </w:style>
  <w:style w:type="paragraph" w:customStyle="1" w:styleId="SOText">
    <w:name w:val="SO Text"/>
    <w:aliases w:val="sot"/>
    <w:link w:val="SOTextChar"/>
    <w:rsid w:val="004855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55B6"/>
    <w:rPr>
      <w:sz w:val="22"/>
    </w:rPr>
  </w:style>
  <w:style w:type="paragraph" w:customStyle="1" w:styleId="SOTextNote">
    <w:name w:val="SO TextNote"/>
    <w:aliases w:val="sont"/>
    <w:basedOn w:val="SOText"/>
    <w:qFormat/>
    <w:rsid w:val="004855B6"/>
    <w:pPr>
      <w:spacing w:before="122" w:line="198" w:lineRule="exact"/>
      <w:ind w:left="1843" w:hanging="709"/>
    </w:pPr>
    <w:rPr>
      <w:sz w:val="18"/>
    </w:rPr>
  </w:style>
  <w:style w:type="paragraph" w:customStyle="1" w:styleId="SOPara">
    <w:name w:val="SO Para"/>
    <w:aliases w:val="soa"/>
    <w:basedOn w:val="SOText"/>
    <w:link w:val="SOParaChar"/>
    <w:qFormat/>
    <w:rsid w:val="004855B6"/>
    <w:pPr>
      <w:tabs>
        <w:tab w:val="right" w:pos="1786"/>
      </w:tabs>
      <w:spacing w:before="40"/>
      <w:ind w:left="2070" w:hanging="936"/>
    </w:pPr>
  </w:style>
  <w:style w:type="character" w:customStyle="1" w:styleId="SOParaChar">
    <w:name w:val="SO Para Char"/>
    <w:aliases w:val="soa Char"/>
    <w:basedOn w:val="DefaultParagraphFont"/>
    <w:link w:val="SOPara"/>
    <w:rsid w:val="004855B6"/>
    <w:rPr>
      <w:sz w:val="22"/>
    </w:rPr>
  </w:style>
  <w:style w:type="paragraph" w:customStyle="1" w:styleId="FileName">
    <w:name w:val="FileName"/>
    <w:basedOn w:val="Normal"/>
    <w:rsid w:val="004855B6"/>
  </w:style>
  <w:style w:type="paragraph" w:customStyle="1" w:styleId="TableHeading">
    <w:name w:val="TableHeading"/>
    <w:aliases w:val="th"/>
    <w:basedOn w:val="OPCParaBase"/>
    <w:next w:val="Tabletext"/>
    <w:rsid w:val="004855B6"/>
    <w:pPr>
      <w:keepNext/>
      <w:spacing w:before="60" w:line="240" w:lineRule="atLeast"/>
    </w:pPr>
    <w:rPr>
      <w:b/>
      <w:sz w:val="20"/>
    </w:rPr>
  </w:style>
  <w:style w:type="paragraph" w:customStyle="1" w:styleId="SOHeadBold">
    <w:name w:val="SO HeadBold"/>
    <w:aliases w:val="sohb"/>
    <w:basedOn w:val="SOText"/>
    <w:next w:val="SOText"/>
    <w:link w:val="SOHeadBoldChar"/>
    <w:qFormat/>
    <w:rsid w:val="004855B6"/>
    <w:rPr>
      <w:b/>
    </w:rPr>
  </w:style>
  <w:style w:type="character" w:customStyle="1" w:styleId="SOHeadBoldChar">
    <w:name w:val="SO HeadBold Char"/>
    <w:aliases w:val="sohb Char"/>
    <w:basedOn w:val="DefaultParagraphFont"/>
    <w:link w:val="SOHeadBold"/>
    <w:rsid w:val="004855B6"/>
    <w:rPr>
      <w:b/>
      <w:sz w:val="22"/>
    </w:rPr>
  </w:style>
  <w:style w:type="paragraph" w:customStyle="1" w:styleId="SOHeadItalic">
    <w:name w:val="SO HeadItalic"/>
    <w:aliases w:val="sohi"/>
    <w:basedOn w:val="SOText"/>
    <w:next w:val="SOText"/>
    <w:link w:val="SOHeadItalicChar"/>
    <w:qFormat/>
    <w:rsid w:val="004855B6"/>
    <w:rPr>
      <w:i/>
    </w:rPr>
  </w:style>
  <w:style w:type="character" w:customStyle="1" w:styleId="SOHeadItalicChar">
    <w:name w:val="SO HeadItalic Char"/>
    <w:aliases w:val="sohi Char"/>
    <w:basedOn w:val="DefaultParagraphFont"/>
    <w:link w:val="SOHeadItalic"/>
    <w:rsid w:val="004855B6"/>
    <w:rPr>
      <w:i/>
      <w:sz w:val="22"/>
    </w:rPr>
  </w:style>
  <w:style w:type="paragraph" w:customStyle="1" w:styleId="SOBullet">
    <w:name w:val="SO Bullet"/>
    <w:aliases w:val="sotb"/>
    <w:basedOn w:val="SOText"/>
    <w:link w:val="SOBulletChar"/>
    <w:qFormat/>
    <w:rsid w:val="004855B6"/>
    <w:pPr>
      <w:ind w:left="1559" w:hanging="425"/>
    </w:pPr>
  </w:style>
  <w:style w:type="character" w:customStyle="1" w:styleId="SOBulletChar">
    <w:name w:val="SO Bullet Char"/>
    <w:aliases w:val="sotb Char"/>
    <w:basedOn w:val="DefaultParagraphFont"/>
    <w:link w:val="SOBullet"/>
    <w:rsid w:val="004855B6"/>
    <w:rPr>
      <w:sz w:val="22"/>
    </w:rPr>
  </w:style>
  <w:style w:type="paragraph" w:customStyle="1" w:styleId="SOBulletNote">
    <w:name w:val="SO BulletNote"/>
    <w:aliases w:val="sonb"/>
    <w:basedOn w:val="SOTextNote"/>
    <w:link w:val="SOBulletNoteChar"/>
    <w:qFormat/>
    <w:rsid w:val="004855B6"/>
    <w:pPr>
      <w:tabs>
        <w:tab w:val="left" w:pos="1560"/>
      </w:tabs>
      <w:ind w:left="2268" w:hanging="1134"/>
    </w:pPr>
  </w:style>
  <w:style w:type="character" w:customStyle="1" w:styleId="SOBulletNoteChar">
    <w:name w:val="SO BulletNote Char"/>
    <w:aliases w:val="sonb Char"/>
    <w:basedOn w:val="DefaultParagraphFont"/>
    <w:link w:val="SOBulletNote"/>
    <w:rsid w:val="004855B6"/>
    <w:rPr>
      <w:sz w:val="18"/>
    </w:rPr>
  </w:style>
  <w:style w:type="character" w:customStyle="1" w:styleId="Heading1Char">
    <w:name w:val="Heading 1 Char"/>
    <w:basedOn w:val="DefaultParagraphFont"/>
    <w:link w:val="Heading1"/>
    <w:rsid w:val="00727ED5"/>
    <w:rPr>
      <w:rFonts w:ascii="Helvetica" w:eastAsia="Times New Roman" w:hAnsi="Helvetica" w:cs="Times New Roman"/>
      <w:b/>
      <w:sz w:val="40"/>
      <w:szCs w:val="32"/>
      <w:lang w:val="x-none" w:eastAsia="en-AU"/>
    </w:rPr>
  </w:style>
  <w:style w:type="character" w:customStyle="1" w:styleId="Heading2Char">
    <w:name w:val="Heading 2 Char"/>
    <w:basedOn w:val="DefaultParagraphFont"/>
    <w:link w:val="Heading2"/>
    <w:rsid w:val="00727ED5"/>
    <w:rPr>
      <w:rFonts w:ascii="Helvetica" w:eastAsia="Times New Roman" w:hAnsi="Helvetica" w:cs="Times New Roman"/>
      <w:b/>
      <w:sz w:val="32"/>
      <w:szCs w:val="30"/>
      <w:lang w:val="x-none" w:eastAsia="en-AU"/>
    </w:rPr>
  </w:style>
  <w:style w:type="character" w:customStyle="1" w:styleId="Heading3Char">
    <w:name w:val="Heading 3 Char"/>
    <w:basedOn w:val="DefaultParagraphFont"/>
    <w:link w:val="Heading3"/>
    <w:rsid w:val="00727ED5"/>
    <w:rPr>
      <w:rFonts w:ascii="Optima" w:eastAsia="Times New Roman" w:hAnsi="Optima" w:cs="Times New Roman"/>
      <w:b/>
      <w:sz w:val="28"/>
      <w:lang w:val="x-none" w:eastAsia="en-AU"/>
    </w:rPr>
  </w:style>
  <w:style w:type="character" w:customStyle="1" w:styleId="Heading4Char">
    <w:name w:val="Heading 4 Char"/>
    <w:basedOn w:val="DefaultParagraphFont"/>
    <w:link w:val="Heading4"/>
    <w:rsid w:val="00727ED5"/>
    <w:rPr>
      <w:rFonts w:ascii="Helvetica" w:eastAsia="Times New Roman" w:hAnsi="Helvetica" w:cs="Times New Roman"/>
      <w:b/>
      <w:i/>
      <w:sz w:val="24"/>
      <w:szCs w:val="24"/>
      <w:lang w:val="x-none" w:eastAsia="en-AU"/>
    </w:rPr>
  </w:style>
  <w:style w:type="character" w:customStyle="1" w:styleId="Heading5Char">
    <w:name w:val="Heading 5 Char"/>
    <w:basedOn w:val="DefaultParagraphFont"/>
    <w:link w:val="Heading5"/>
    <w:uiPriority w:val="9"/>
    <w:rsid w:val="00727ED5"/>
    <w:rPr>
      <w:rFonts w:eastAsia="Times New Roman" w:cs="Times New Roman"/>
      <w:b/>
      <w:bCs/>
      <w:kern w:val="28"/>
      <w:sz w:val="24"/>
      <w:szCs w:val="24"/>
      <w:lang w:val="x-none" w:eastAsia="en-AU"/>
    </w:rPr>
  </w:style>
  <w:style w:type="character" w:customStyle="1" w:styleId="Heading6Char">
    <w:name w:val="Heading 6 Char"/>
    <w:basedOn w:val="DefaultParagraphFont"/>
    <w:link w:val="Heading6"/>
    <w:uiPriority w:val="9"/>
    <w:semiHidden/>
    <w:rsid w:val="00727ED5"/>
    <w:rPr>
      <w:rFonts w:ascii="Cambria" w:eastAsia="Times New Roman" w:hAnsi="Cambria" w:cs="Times New Roman"/>
      <w:i/>
      <w:iCs/>
      <w:color w:val="243F60"/>
      <w:sz w:val="22"/>
      <w:szCs w:val="22"/>
      <w:lang w:val="x-none" w:eastAsia="x-none"/>
    </w:rPr>
  </w:style>
  <w:style w:type="character" w:customStyle="1" w:styleId="Heading7Char">
    <w:name w:val="Heading 7 Char"/>
    <w:basedOn w:val="DefaultParagraphFont"/>
    <w:link w:val="Heading7"/>
    <w:uiPriority w:val="9"/>
    <w:semiHidden/>
    <w:rsid w:val="00727ED5"/>
    <w:rPr>
      <w:rFonts w:ascii="Cambria" w:eastAsia="Times New Roman" w:hAnsi="Cambria" w:cs="Times New Roman"/>
      <w:i/>
      <w:iCs/>
      <w:color w:val="404040"/>
      <w:sz w:val="22"/>
      <w:szCs w:val="22"/>
      <w:lang w:val="x-none" w:eastAsia="x-none"/>
    </w:rPr>
  </w:style>
  <w:style w:type="character" w:customStyle="1" w:styleId="Heading8Char">
    <w:name w:val="Heading 8 Char"/>
    <w:basedOn w:val="DefaultParagraphFont"/>
    <w:link w:val="Heading8"/>
    <w:uiPriority w:val="9"/>
    <w:semiHidden/>
    <w:rsid w:val="00727ED5"/>
    <w:rPr>
      <w:rFonts w:ascii="Cambria" w:eastAsia="Times New Roman" w:hAnsi="Cambria" w:cs="Times New Roman"/>
      <w:color w:val="404040"/>
      <w:lang w:val="x-none" w:eastAsia="x-none"/>
    </w:rPr>
  </w:style>
  <w:style w:type="character" w:customStyle="1" w:styleId="Heading9Char">
    <w:name w:val="Heading 9 Char"/>
    <w:basedOn w:val="DefaultParagraphFont"/>
    <w:link w:val="Heading9"/>
    <w:uiPriority w:val="9"/>
    <w:semiHidden/>
    <w:rsid w:val="00727ED5"/>
    <w:rPr>
      <w:rFonts w:ascii="Cambria" w:eastAsia="Times New Roman" w:hAnsi="Cambria" w:cs="Times New Roman"/>
      <w:i/>
      <w:iCs/>
      <w:color w:val="404040"/>
      <w:lang w:val="x-none" w:eastAsia="x-none"/>
    </w:rPr>
  </w:style>
  <w:style w:type="paragraph" w:styleId="BodyTextIndent">
    <w:name w:val="Body Text Indent"/>
    <w:basedOn w:val="Normal"/>
    <w:link w:val="BodyTextIndentChar"/>
    <w:uiPriority w:val="99"/>
    <w:semiHidden/>
    <w:unhideWhenUsed/>
    <w:rsid w:val="00727ED5"/>
    <w:pPr>
      <w:spacing w:after="120"/>
      <w:ind w:left="283"/>
    </w:pPr>
    <w:rPr>
      <w:rFonts w:eastAsia="Calibri" w:cs="Times New Roman"/>
      <w:lang w:val="x-none" w:eastAsia="x-none"/>
    </w:rPr>
  </w:style>
  <w:style w:type="character" w:customStyle="1" w:styleId="BodyTextIndentChar">
    <w:name w:val="Body Text Indent Char"/>
    <w:basedOn w:val="DefaultParagraphFont"/>
    <w:link w:val="BodyTextIndent"/>
    <w:uiPriority w:val="99"/>
    <w:semiHidden/>
    <w:rsid w:val="00727ED5"/>
    <w:rPr>
      <w:rFonts w:eastAsia="Calibri" w:cs="Times New Roman"/>
      <w:sz w:val="22"/>
      <w:lang w:val="x-none" w:eastAsia="x-none"/>
    </w:rPr>
  </w:style>
  <w:style w:type="paragraph" w:styleId="BodyTextFirstIndent2">
    <w:name w:val="Body Text First Indent 2"/>
    <w:basedOn w:val="BodyTextIndent"/>
    <w:link w:val="BodyTextFirstIndent2Char"/>
    <w:uiPriority w:val="99"/>
    <w:unhideWhenUsed/>
    <w:rsid w:val="00727ED5"/>
    <w:pPr>
      <w:spacing w:after="0"/>
      <w:ind w:left="360" w:firstLine="360"/>
    </w:pPr>
  </w:style>
  <w:style w:type="character" w:customStyle="1" w:styleId="BodyTextFirstIndent2Char">
    <w:name w:val="Body Text First Indent 2 Char"/>
    <w:basedOn w:val="BodyTextIndentChar"/>
    <w:link w:val="BodyTextFirstIndent2"/>
    <w:uiPriority w:val="99"/>
    <w:rsid w:val="00727ED5"/>
    <w:rPr>
      <w:rFonts w:eastAsia="Calibri" w:cs="Times New Roman"/>
      <w:sz w:val="22"/>
      <w:lang w:val="x-none" w:eastAsia="x-none"/>
    </w:rPr>
  </w:style>
  <w:style w:type="paragraph" w:styleId="FootnoteText">
    <w:name w:val="footnote text"/>
    <w:basedOn w:val="Body"/>
    <w:link w:val="FootnoteTextChar"/>
    <w:semiHidden/>
    <w:rsid w:val="00727ED5"/>
    <w:pPr>
      <w:overflowPunct w:val="0"/>
      <w:autoSpaceDE w:val="0"/>
      <w:autoSpaceDN w:val="0"/>
      <w:adjustRightInd w:val="0"/>
      <w:spacing w:before="0" w:line="240" w:lineRule="atLeast"/>
      <w:ind w:left="284" w:hanging="284"/>
      <w:textAlignment w:val="baseline"/>
    </w:pPr>
    <w:rPr>
      <w:sz w:val="20"/>
      <w:lang w:val="x-none"/>
    </w:rPr>
  </w:style>
  <w:style w:type="character" w:customStyle="1" w:styleId="FootnoteTextChar">
    <w:name w:val="Footnote Text Char"/>
    <w:basedOn w:val="DefaultParagraphFont"/>
    <w:link w:val="FootnoteText"/>
    <w:semiHidden/>
    <w:rsid w:val="00727ED5"/>
    <w:rPr>
      <w:rFonts w:eastAsia="Times New Roman" w:cs="Times New Roman"/>
      <w:lang w:val="x-none" w:eastAsia="en-AU"/>
    </w:rPr>
  </w:style>
  <w:style w:type="character" w:styleId="FootnoteReference">
    <w:name w:val="footnote reference"/>
    <w:semiHidden/>
    <w:rsid w:val="00727ED5"/>
    <w:rPr>
      <w:vertAlign w:val="superscript"/>
    </w:rPr>
  </w:style>
  <w:style w:type="character" w:styleId="Hyperlink">
    <w:name w:val="Hyperlink"/>
    <w:uiPriority w:val="99"/>
    <w:rsid w:val="00727ED5"/>
    <w:rPr>
      <w:color w:val="0000FF"/>
      <w:u w:val="none"/>
    </w:rPr>
  </w:style>
  <w:style w:type="table" w:styleId="TableGrid">
    <w:name w:val="Table Grid"/>
    <w:basedOn w:val="TableNormal"/>
    <w:uiPriority w:val="59"/>
    <w:rsid w:val="00727ED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ED5"/>
    <w:pPr>
      <w:overflowPunct w:val="0"/>
      <w:autoSpaceDE w:val="0"/>
      <w:autoSpaceDN w:val="0"/>
      <w:adjustRightInd w:val="0"/>
      <w:spacing w:line="240" w:lineRule="auto"/>
      <w:ind w:left="720"/>
    </w:pPr>
    <w:rPr>
      <w:rFonts w:eastAsia="Times New Roman" w:cs="Times New Roman"/>
      <w:sz w:val="24"/>
      <w:lang w:eastAsia="en-AU"/>
    </w:rPr>
  </w:style>
  <w:style w:type="paragraph" w:styleId="ListBullet">
    <w:name w:val="List Bullet"/>
    <w:basedOn w:val="Normal"/>
    <w:uiPriority w:val="99"/>
    <w:unhideWhenUsed/>
    <w:rsid w:val="00727ED5"/>
    <w:pPr>
      <w:tabs>
        <w:tab w:val="num" w:pos="360"/>
      </w:tabs>
      <w:overflowPunct w:val="0"/>
      <w:autoSpaceDE w:val="0"/>
      <w:autoSpaceDN w:val="0"/>
      <w:adjustRightInd w:val="0"/>
      <w:spacing w:line="240" w:lineRule="auto"/>
      <w:ind w:left="360" w:hanging="360"/>
      <w:contextualSpacing/>
      <w:textAlignment w:val="baseline"/>
    </w:pPr>
    <w:rPr>
      <w:rFonts w:eastAsia="Times New Roman" w:cs="Times New Roman"/>
      <w:sz w:val="24"/>
      <w:lang w:eastAsia="en-AU"/>
    </w:rPr>
  </w:style>
  <w:style w:type="character" w:styleId="FollowedHyperlink">
    <w:name w:val="FollowedHyperlink"/>
    <w:uiPriority w:val="99"/>
    <w:semiHidden/>
    <w:unhideWhenUsed/>
    <w:rsid w:val="00727ED5"/>
    <w:rPr>
      <w:color w:val="800080"/>
      <w:u w:val="single"/>
    </w:rPr>
  </w:style>
  <w:style w:type="paragraph" w:styleId="NormalWeb">
    <w:name w:val="Normal (Web)"/>
    <w:basedOn w:val="Normal"/>
    <w:uiPriority w:val="99"/>
    <w:semiHidden/>
    <w:unhideWhenUsed/>
    <w:rsid w:val="00727ED5"/>
    <w:rPr>
      <w:rFonts w:eastAsia="Calibri" w:cs="Times New Roman"/>
      <w:sz w:val="24"/>
      <w:szCs w:val="24"/>
    </w:rPr>
  </w:style>
  <w:style w:type="paragraph" w:styleId="Title">
    <w:name w:val="Title"/>
    <w:basedOn w:val="Normal"/>
    <w:next w:val="Normal"/>
    <w:link w:val="TitleChar"/>
    <w:uiPriority w:val="10"/>
    <w:qFormat/>
    <w:rsid w:val="00727ED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727ED5"/>
    <w:rPr>
      <w:rFonts w:ascii="Cambria" w:eastAsia="Times New Roman" w:hAnsi="Cambria" w:cs="Times New Roman"/>
      <w:color w:val="17365D"/>
      <w:spacing w:val="5"/>
      <w:kern w:val="28"/>
      <w:sz w:val="52"/>
      <w:szCs w:val="52"/>
      <w:lang w:val="x-none" w:eastAsia="x-none"/>
    </w:rPr>
  </w:style>
  <w:style w:type="paragraph" w:styleId="NoteHeading">
    <w:name w:val="Note Heading"/>
    <w:basedOn w:val="Normal"/>
    <w:next w:val="Normal"/>
    <w:link w:val="NoteHeadingChar"/>
    <w:uiPriority w:val="99"/>
    <w:semiHidden/>
    <w:unhideWhenUsed/>
    <w:rsid w:val="00727ED5"/>
    <w:pPr>
      <w:spacing w:line="240" w:lineRule="auto"/>
    </w:pPr>
    <w:rPr>
      <w:rFonts w:eastAsia="Calibri" w:cs="Times New Roman"/>
      <w:lang w:val="x-none" w:eastAsia="x-none"/>
    </w:rPr>
  </w:style>
  <w:style w:type="character" w:customStyle="1" w:styleId="NoteHeadingChar">
    <w:name w:val="Note Heading Char"/>
    <w:basedOn w:val="DefaultParagraphFont"/>
    <w:link w:val="NoteHeading"/>
    <w:uiPriority w:val="99"/>
    <w:semiHidden/>
    <w:rsid w:val="00727ED5"/>
    <w:rPr>
      <w:rFonts w:eastAsia="Calibri" w:cs="Times New Roman"/>
      <w:sz w:val="22"/>
      <w:lang w:val="x-none" w:eastAsia="x-none"/>
    </w:rPr>
  </w:style>
  <w:style w:type="paragraph" w:styleId="TOCHeading">
    <w:name w:val="TOC Heading"/>
    <w:basedOn w:val="Heading1"/>
    <w:next w:val="Normal"/>
    <w:uiPriority w:val="39"/>
    <w:semiHidden/>
    <w:unhideWhenUsed/>
    <w:qFormat/>
    <w:rsid w:val="00727ED5"/>
    <w:pPr>
      <w:keepLines/>
      <w:pageBreakBefore w:val="0"/>
      <w:overflowPunct/>
      <w:autoSpaceDE/>
      <w:autoSpaceDN/>
      <w:adjustRightInd/>
      <w:spacing w:before="480" w:after="0" w:line="276" w:lineRule="auto"/>
      <w:ind w:left="0" w:firstLine="0"/>
      <w:textAlignment w:val="auto"/>
      <w:outlineLvl w:val="9"/>
    </w:pPr>
    <w:rPr>
      <w:rFonts w:ascii="Cambria" w:hAnsi="Cambria"/>
      <w:bCs/>
      <w:color w:val="365F91"/>
      <w:sz w:val="28"/>
      <w:szCs w:val="28"/>
      <w:lang w:val="en-US" w:eastAsia="ja-JP"/>
    </w:rPr>
  </w:style>
  <w:style w:type="paragraph" w:styleId="DocumentMap">
    <w:name w:val="Document Map"/>
    <w:basedOn w:val="Normal"/>
    <w:link w:val="DocumentMapChar"/>
    <w:uiPriority w:val="99"/>
    <w:semiHidden/>
    <w:unhideWhenUsed/>
    <w:rsid w:val="00727ED5"/>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727ED5"/>
    <w:rPr>
      <w:rFonts w:ascii="Tahoma" w:eastAsia="Calibri" w:hAnsi="Tahoma" w:cs="Tahoma"/>
      <w:sz w:val="16"/>
      <w:szCs w:val="16"/>
    </w:rPr>
  </w:style>
  <w:style w:type="character" w:styleId="Emphasis">
    <w:name w:val="Emphasis"/>
    <w:uiPriority w:val="20"/>
    <w:qFormat/>
    <w:rsid w:val="00727ED5"/>
    <w:rPr>
      <w:i/>
      <w:iCs/>
    </w:rPr>
  </w:style>
  <w:style w:type="paragraph" w:styleId="BodyText">
    <w:name w:val="Body Text"/>
    <w:basedOn w:val="Normal"/>
    <w:link w:val="BodyTextChar"/>
    <w:unhideWhenUsed/>
    <w:rsid w:val="00727ED5"/>
    <w:pPr>
      <w:spacing w:after="120"/>
    </w:pPr>
    <w:rPr>
      <w:rFonts w:eastAsia="Calibri" w:cs="Times New Roman"/>
    </w:rPr>
  </w:style>
  <w:style w:type="character" w:customStyle="1" w:styleId="BodyTextChar">
    <w:name w:val="Body Text Char"/>
    <w:basedOn w:val="DefaultParagraphFont"/>
    <w:link w:val="BodyText"/>
    <w:rsid w:val="00727ED5"/>
    <w:rPr>
      <w:rFonts w:eastAsia="Calibri" w:cs="Times New Roman"/>
      <w:sz w:val="22"/>
    </w:rPr>
  </w:style>
  <w:style w:type="paragraph" w:styleId="ListBullet2">
    <w:name w:val="List Bullet 2"/>
    <w:basedOn w:val="Normal"/>
    <w:semiHidden/>
    <w:unhideWhenUsed/>
    <w:rsid w:val="00727ED5"/>
    <w:pPr>
      <w:tabs>
        <w:tab w:val="num" w:pos="643"/>
      </w:tabs>
      <w:ind w:left="643" w:hanging="360"/>
      <w:contextualSpacing/>
    </w:pPr>
    <w:rPr>
      <w:rFonts w:eastAsia="Calibri" w:cs="Times New Roman"/>
    </w:rPr>
  </w:style>
  <w:style w:type="character" w:customStyle="1" w:styleId="charlegsubtitle1">
    <w:name w:val="charlegsubtitle1"/>
    <w:rsid w:val="00727ED5"/>
    <w:rPr>
      <w:rFonts w:ascii="Arial" w:hAnsi="Arial" w:cs="Arial" w:hint="default"/>
      <w:b/>
      <w:bCs/>
      <w:sz w:val="28"/>
      <w:szCs w:val="28"/>
    </w:rPr>
  </w:style>
  <w:style w:type="paragraph" w:styleId="EndnoteText">
    <w:name w:val="endnote text"/>
    <w:basedOn w:val="Normal"/>
    <w:link w:val="EndnoteTextChar"/>
    <w:uiPriority w:val="99"/>
    <w:semiHidden/>
    <w:unhideWhenUsed/>
    <w:rsid w:val="00727ED5"/>
    <w:pPr>
      <w:spacing w:line="240" w:lineRule="auto"/>
    </w:pPr>
    <w:rPr>
      <w:rFonts w:eastAsia="Calibri" w:cs="Times New Roman"/>
      <w:sz w:val="20"/>
    </w:rPr>
  </w:style>
  <w:style w:type="character" w:customStyle="1" w:styleId="EndnoteTextChar">
    <w:name w:val="Endnote Text Char"/>
    <w:basedOn w:val="DefaultParagraphFont"/>
    <w:link w:val="EndnoteText"/>
    <w:uiPriority w:val="99"/>
    <w:semiHidden/>
    <w:rsid w:val="00727ED5"/>
    <w:rPr>
      <w:rFonts w:eastAsia="Calibri" w:cs="Times New Roman"/>
    </w:rPr>
  </w:style>
  <w:style w:type="character" w:styleId="EndnoteReference">
    <w:name w:val="endnote reference"/>
    <w:uiPriority w:val="99"/>
    <w:semiHidden/>
    <w:unhideWhenUsed/>
    <w:rsid w:val="00727ED5"/>
    <w:rPr>
      <w:vertAlign w:val="superscript"/>
    </w:rPr>
  </w:style>
  <w:style w:type="character" w:styleId="LineNumber">
    <w:name w:val="line number"/>
    <w:basedOn w:val="DefaultParagraphFont"/>
    <w:uiPriority w:val="99"/>
    <w:semiHidden/>
    <w:unhideWhenUsed/>
    <w:rsid w:val="00727ED5"/>
  </w:style>
  <w:style w:type="character" w:styleId="CommentReference">
    <w:name w:val="annotation reference"/>
    <w:uiPriority w:val="99"/>
    <w:semiHidden/>
    <w:unhideWhenUsed/>
    <w:rsid w:val="00727ED5"/>
    <w:rPr>
      <w:sz w:val="16"/>
      <w:szCs w:val="16"/>
    </w:rPr>
  </w:style>
  <w:style w:type="paragraph" w:styleId="CommentText">
    <w:name w:val="annotation text"/>
    <w:basedOn w:val="Normal"/>
    <w:link w:val="CommentTextChar"/>
    <w:uiPriority w:val="99"/>
    <w:unhideWhenUsed/>
    <w:rsid w:val="00727ED5"/>
    <w:pPr>
      <w:spacing w:line="240" w:lineRule="auto"/>
    </w:pPr>
    <w:rPr>
      <w:rFonts w:eastAsia="Calibri" w:cs="Times New Roman"/>
      <w:sz w:val="20"/>
    </w:rPr>
  </w:style>
  <w:style w:type="character" w:customStyle="1" w:styleId="CommentTextChar">
    <w:name w:val="Comment Text Char"/>
    <w:basedOn w:val="DefaultParagraphFont"/>
    <w:link w:val="CommentText"/>
    <w:uiPriority w:val="99"/>
    <w:rsid w:val="00727ED5"/>
    <w:rPr>
      <w:rFonts w:eastAsia="Calibri" w:cs="Times New Roman"/>
    </w:rPr>
  </w:style>
  <w:style w:type="paragraph" w:styleId="CommentSubject">
    <w:name w:val="annotation subject"/>
    <w:basedOn w:val="CommentText"/>
    <w:next w:val="CommentText"/>
    <w:link w:val="CommentSubjectChar"/>
    <w:uiPriority w:val="99"/>
    <w:semiHidden/>
    <w:unhideWhenUsed/>
    <w:rsid w:val="00727ED5"/>
    <w:rPr>
      <w:b/>
      <w:bCs/>
    </w:rPr>
  </w:style>
  <w:style w:type="character" w:customStyle="1" w:styleId="CommentSubjectChar">
    <w:name w:val="Comment Subject Char"/>
    <w:basedOn w:val="CommentTextChar"/>
    <w:link w:val="CommentSubject"/>
    <w:uiPriority w:val="99"/>
    <w:semiHidden/>
    <w:rsid w:val="00727ED5"/>
    <w:rPr>
      <w:rFonts w:eastAsia="Calibri" w:cs="Times New Roman"/>
      <w:b/>
      <w:bCs/>
    </w:rPr>
  </w:style>
  <w:style w:type="character" w:customStyle="1" w:styleId="charsrch-url2">
    <w:name w:val="charsrch-url2"/>
    <w:rsid w:val="00727ED5"/>
  </w:style>
  <w:style w:type="character" w:styleId="PlaceholderText">
    <w:name w:val="Placeholder Text"/>
    <w:uiPriority w:val="99"/>
    <w:semiHidden/>
    <w:rsid w:val="00727ED5"/>
    <w:rPr>
      <w:color w:val="808080"/>
    </w:rPr>
  </w:style>
  <w:style w:type="paragraph" w:styleId="Quote">
    <w:name w:val="Quote"/>
    <w:basedOn w:val="Normal"/>
    <w:link w:val="QuoteChar"/>
    <w:qFormat/>
    <w:rsid w:val="00727ED5"/>
    <w:pPr>
      <w:spacing w:after="240" w:line="240" w:lineRule="auto"/>
      <w:ind w:left="851" w:right="851"/>
      <w:jc w:val="both"/>
    </w:pPr>
    <w:rPr>
      <w:rFonts w:eastAsia="Times New Roman" w:cs="Times New Roman"/>
      <w:sz w:val="24"/>
    </w:rPr>
  </w:style>
  <w:style w:type="character" w:customStyle="1" w:styleId="QuoteChar">
    <w:name w:val="Quote Char"/>
    <w:basedOn w:val="DefaultParagraphFont"/>
    <w:link w:val="Quote"/>
    <w:rsid w:val="00727ED5"/>
    <w:rPr>
      <w:rFonts w:eastAsia="Times New Roman" w:cs="Times New Roman"/>
      <w:sz w:val="24"/>
    </w:rPr>
  </w:style>
  <w:style w:type="character" w:customStyle="1" w:styleId="charapple-converted-space">
    <w:name w:val="charapple-converted-space"/>
    <w:rsid w:val="00727ED5"/>
  </w:style>
  <w:style w:type="paragraph" w:styleId="Revision">
    <w:name w:val="Revision"/>
    <w:hidden/>
    <w:uiPriority w:val="99"/>
    <w:semiHidden/>
    <w:rsid w:val="00727ED5"/>
    <w:rPr>
      <w:rFonts w:eastAsia="Calibri" w:cs="Times New Roman"/>
      <w:sz w:val="22"/>
    </w:rPr>
  </w:style>
  <w:style w:type="paragraph" w:customStyle="1" w:styleId="Issued">
    <w:name w:val="Issued"/>
    <w:basedOn w:val="Body"/>
    <w:rsid w:val="00D24275"/>
    <w:pPr>
      <w:spacing w:before="120"/>
    </w:pPr>
    <w:rPr>
      <w:b/>
      <w:sz w:val="28"/>
    </w:rPr>
  </w:style>
  <w:style w:type="paragraph" w:customStyle="1" w:styleId="Release">
    <w:name w:val="Release"/>
    <w:basedOn w:val="Body"/>
    <w:rsid w:val="00D24275"/>
    <w:rPr>
      <w:b/>
    </w:rPr>
  </w:style>
  <w:style w:type="paragraph" w:customStyle="1" w:styleId="SundryBoxHeadBold">
    <w:name w:val="SundryBoxHeadBold"/>
    <w:aliases w:val="sbhb"/>
    <w:basedOn w:val="BoxHeadBold"/>
    <w:rsid w:val="00C83987"/>
    <w:pPr>
      <w:ind w:left="0"/>
    </w:pPr>
    <w:rPr>
      <w:sz w:val="24"/>
      <w:szCs w:val="24"/>
    </w:rPr>
  </w:style>
  <w:style w:type="paragraph" w:customStyle="1" w:styleId="SundryBoxStep">
    <w:name w:val="SundryBoxStep"/>
    <w:aliases w:val="sbs"/>
    <w:basedOn w:val="BoxStep"/>
    <w:rsid w:val="00C83987"/>
  </w:style>
  <w:style w:type="paragraph" w:customStyle="1" w:styleId="SundryBoxBullet">
    <w:name w:val="SundryBoxBullet"/>
    <w:aliases w:val="sbb"/>
    <w:basedOn w:val="SOBullet"/>
    <w:rsid w:val="00F75BA9"/>
    <w:pPr>
      <w:ind w:left="425"/>
    </w:pPr>
    <w:rPr>
      <w:sz w:val="24"/>
      <w:szCs w:val="24"/>
    </w:rPr>
  </w:style>
  <w:style w:type="character" w:customStyle="1" w:styleId="paragraphChar">
    <w:name w:val="paragraph Char"/>
    <w:aliases w:val="a Char"/>
    <w:basedOn w:val="DefaultParagraphFont"/>
    <w:link w:val="paragraph"/>
    <w:rsid w:val="004D660C"/>
    <w:rPr>
      <w:rFonts w:eastAsia="Times New Roman" w:cs="Times New Roman"/>
      <w:sz w:val="22"/>
      <w:lang w:eastAsia="en-AU"/>
    </w:rPr>
  </w:style>
  <w:style w:type="character" w:customStyle="1" w:styleId="subsectionChar">
    <w:name w:val="subsection Char"/>
    <w:aliases w:val="ss Char"/>
    <w:basedOn w:val="DefaultParagraphFont"/>
    <w:link w:val="subsection"/>
    <w:rsid w:val="004D660C"/>
    <w:rPr>
      <w:rFonts w:eastAsia="Times New Roman" w:cs="Times New Roman"/>
      <w:sz w:val="22"/>
      <w:lang w:eastAsia="en-AU"/>
    </w:rPr>
  </w:style>
  <w:style w:type="paragraph" w:customStyle="1" w:styleId="tableheading0">
    <w:name w:val="tableheading"/>
    <w:basedOn w:val="Normal"/>
    <w:rsid w:val="001E2F20"/>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1E2F20"/>
    <w:pPr>
      <w:spacing w:before="100" w:beforeAutospacing="1" w:after="100" w:afterAutospacing="1" w:line="240" w:lineRule="auto"/>
    </w:pPr>
    <w:rPr>
      <w:rFonts w:eastAsia="Times New Roman" w:cs="Times New Roman"/>
      <w:sz w:val="24"/>
      <w:szCs w:val="24"/>
      <w:lang w:eastAsia="en-AU"/>
    </w:rPr>
  </w:style>
  <w:style w:type="character" w:styleId="UnresolvedMention">
    <w:name w:val="Unresolved Mention"/>
    <w:basedOn w:val="DefaultParagraphFont"/>
    <w:uiPriority w:val="99"/>
    <w:semiHidden/>
    <w:unhideWhenUsed/>
    <w:rsid w:val="00277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0495">
      <w:bodyDiv w:val="1"/>
      <w:marLeft w:val="0"/>
      <w:marRight w:val="0"/>
      <w:marTop w:val="0"/>
      <w:marBottom w:val="0"/>
      <w:divBdr>
        <w:top w:val="none" w:sz="0" w:space="0" w:color="auto"/>
        <w:left w:val="none" w:sz="0" w:space="0" w:color="auto"/>
        <w:bottom w:val="none" w:sz="0" w:space="0" w:color="auto"/>
        <w:right w:val="none" w:sz="0" w:space="0" w:color="auto"/>
      </w:divBdr>
    </w:div>
    <w:div w:id="141969571">
      <w:bodyDiv w:val="1"/>
      <w:marLeft w:val="0"/>
      <w:marRight w:val="0"/>
      <w:marTop w:val="0"/>
      <w:marBottom w:val="0"/>
      <w:divBdr>
        <w:top w:val="none" w:sz="0" w:space="0" w:color="auto"/>
        <w:left w:val="none" w:sz="0" w:space="0" w:color="auto"/>
        <w:bottom w:val="none" w:sz="0" w:space="0" w:color="auto"/>
        <w:right w:val="none" w:sz="0" w:space="0" w:color="auto"/>
      </w:divBdr>
    </w:div>
    <w:div w:id="146823983">
      <w:bodyDiv w:val="1"/>
      <w:marLeft w:val="0"/>
      <w:marRight w:val="0"/>
      <w:marTop w:val="0"/>
      <w:marBottom w:val="0"/>
      <w:divBdr>
        <w:top w:val="none" w:sz="0" w:space="0" w:color="auto"/>
        <w:left w:val="none" w:sz="0" w:space="0" w:color="auto"/>
        <w:bottom w:val="none" w:sz="0" w:space="0" w:color="auto"/>
        <w:right w:val="none" w:sz="0" w:space="0" w:color="auto"/>
      </w:divBdr>
    </w:div>
    <w:div w:id="236980400">
      <w:bodyDiv w:val="1"/>
      <w:marLeft w:val="0"/>
      <w:marRight w:val="0"/>
      <w:marTop w:val="0"/>
      <w:marBottom w:val="0"/>
      <w:divBdr>
        <w:top w:val="none" w:sz="0" w:space="0" w:color="auto"/>
        <w:left w:val="none" w:sz="0" w:space="0" w:color="auto"/>
        <w:bottom w:val="none" w:sz="0" w:space="0" w:color="auto"/>
        <w:right w:val="none" w:sz="0" w:space="0" w:color="auto"/>
      </w:divBdr>
    </w:div>
    <w:div w:id="251088820">
      <w:bodyDiv w:val="1"/>
      <w:marLeft w:val="0"/>
      <w:marRight w:val="0"/>
      <w:marTop w:val="0"/>
      <w:marBottom w:val="0"/>
      <w:divBdr>
        <w:top w:val="none" w:sz="0" w:space="0" w:color="auto"/>
        <w:left w:val="none" w:sz="0" w:space="0" w:color="auto"/>
        <w:bottom w:val="none" w:sz="0" w:space="0" w:color="auto"/>
        <w:right w:val="none" w:sz="0" w:space="0" w:color="auto"/>
      </w:divBdr>
    </w:div>
    <w:div w:id="292978684">
      <w:bodyDiv w:val="1"/>
      <w:marLeft w:val="0"/>
      <w:marRight w:val="0"/>
      <w:marTop w:val="0"/>
      <w:marBottom w:val="0"/>
      <w:divBdr>
        <w:top w:val="none" w:sz="0" w:space="0" w:color="auto"/>
        <w:left w:val="none" w:sz="0" w:space="0" w:color="auto"/>
        <w:bottom w:val="none" w:sz="0" w:space="0" w:color="auto"/>
        <w:right w:val="none" w:sz="0" w:space="0" w:color="auto"/>
      </w:divBdr>
    </w:div>
    <w:div w:id="429087204">
      <w:bodyDiv w:val="1"/>
      <w:marLeft w:val="0"/>
      <w:marRight w:val="0"/>
      <w:marTop w:val="0"/>
      <w:marBottom w:val="0"/>
      <w:divBdr>
        <w:top w:val="none" w:sz="0" w:space="0" w:color="auto"/>
        <w:left w:val="none" w:sz="0" w:space="0" w:color="auto"/>
        <w:bottom w:val="none" w:sz="0" w:space="0" w:color="auto"/>
        <w:right w:val="none" w:sz="0" w:space="0" w:color="auto"/>
      </w:divBdr>
    </w:div>
    <w:div w:id="562452832">
      <w:bodyDiv w:val="1"/>
      <w:marLeft w:val="0"/>
      <w:marRight w:val="0"/>
      <w:marTop w:val="0"/>
      <w:marBottom w:val="0"/>
      <w:divBdr>
        <w:top w:val="none" w:sz="0" w:space="0" w:color="auto"/>
        <w:left w:val="none" w:sz="0" w:space="0" w:color="auto"/>
        <w:bottom w:val="none" w:sz="0" w:space="0" w:color="auto"/>
        <w:right w:val="none" w:sz="0" w:space="0" w:color="auto"/>
      </w:divBdr>
    </w:div>
    <w:div w:id="589511560">
      <w:bodyDiv w:val="1"/>
      <w:marLeft w:val="0"/>
      <w:marRight w:val="0"/>
      <w:marTop w:val="0"/>
      <w:marBottom w:val="0"/>
      <w:divBdr>
        <w:top w:val="none" w:sz="0" w:space="0" w:color="auto"/>
        <w:left w:val="none" w:sz="0" w:space="0" w:color="auto"/>
        <w:bottom w:val="none" w:sz="0" w:space="0" w:color="auto"/>
        <w:right w:val="none" w:sz="0" w:space="0" w:color="auto"/>
      </w:divBdr>
    </w:div>
    <w:div w:id="604384689">
      <w:bodyDiv w:val="1"/>
      <w:marLeft w:val="0"/>
      <w:marRight w:val="0"/>
      <w:marTop w:val="0"/>
      <w:marBottom w:val="0"/>
      <w:divBdr>
        <w:top w:val="none" w:sz="0" w:space="0" w:color="auto"/>
        <w:left w:val="none" w:sz="0" w:space="0" w:color="auto"/>
        <w:bottom w:val="none" w:sz="0" w:space="0" w:color="auto"/>
        <w:right w:val="none" w:sz="0" w:space="0" w:color="auto"/>
      </w:divBdr>
      <w:divsChild>
        <w:div w:id="382751954">
          <w:marLeft w:val="0"/>
          <w:marRight w:val="0"/>
          <w:marTop w:val="0"/>
          <w:marBottom w:val="0"/>
          <w:divBdr>
            <w:top w:val="none" w:sz="0" w:space="0" w:color="auto"/>
            <w:left w:val="none" w:sz="0" w:space="0" w:color="auto"/>
            <w:bottom w:val="none" w:sz="0" w:space="0" w:color="auto"/>
            <w:right w:val="none" w:sz="0" w:space="0" w:color="auto"/>
          </w:divBdr>
          <w:divsChild>
            <w:div w:id="270628633">
              <w:marLeft w:val="0"/>
              <w:marRight w:val="0"/>
              <w:marTop w:val="0"/>
              <w:marBottom w:val="0"/>
              <w:divBdr>
                <w:top w:val="none" w:sz="0" w:space="0" w:color="auto"/>
                <w:left w:val="none" w:sz="0" w:space="0" w:color="auto"/>
                <w:bottom w:val="none" w:sz="0" w:space="0" w:color="auto"/>
                <w:right w:val="none" w:sz="0" w:space="0" w:color="auto"/>
              </w:divBdr>
              <w:divsChild>
                <w:div w:id="1342315235">
                  <w:marLeft w:val="0"/>
                  <w:marRight w:val="0"/>
                  <w:marTop w:val="0"/>
                  <w:marBottom w:val="0"/>
                  <w:divBdr>
                    <w:top w:val="none" w:sz="0" w:space="0" w:color="auto"/>
                    <w:left w:val="none" w:sz="0" w:space="0" w:color="auto"/>
                    <w:bottom w:val="none" w:sz="0" w:space="0" w:color="auto"/>
                    <w:right w:val="none" w:sz="0" w:space="0" w:color="auto"/>
                  </w:divBdr>
                  <w:divsChild>
                    <w:div w:id="1242643832">
                      <w:marLeft w:val="0"/>
                      <w:marRight w:val="0"/>
                      <w:marTop w:val="0"/>
                      <w:marBottom w:val="0"/>
                      <w:divBdr>
                        <w:top w:val="none" w:sz="0" w:space="0" w:color="auto"/>
                        <w:left w:val="none" w:sz="0" w:space="0" w:color="auto"/>
                        <w:bottom w:val="none" w:sz="0" w:space="0" w:color="auto"/>
                        <w:right w:val="none" w:sz="0" w:space="0" w:color="auto"/>
                      </w:divBdr>
                      <w:divsChild>
                        <w:div w:id="358895527">
                          <w:marLeft w:val="0"/>
                          <w:marRight w:val="0"/>
                          <w:marTop w:val="0"/>
                          <w:marBottom w:val="0"/>
                          <w:divBdr>
                            <w:top w:val="none" w:sz="0" w:space="0" w:color="auto"/>
                            <w:left w:val="none" w:sz="0" w:space="0" w:color="auto"/>
                            <w:bottom w:val="none" w:sz="0" w:space="0" w:color="auto"/>
                            <w:right w:val="none" w:sz="0" w:space="0" w:color="auto"/>
                          </w:divBdr>
                          <w:divsChild>
                            <w:div w:id="513761024">
                              <w:marLeft w:val="0"/>
                              <w:marRight w:val="0"/>
                              <w:marTop w:val="0"/>
                              <w:marBottom w:val="0"/>
                              <w:divBdr>
                                <w:top w:val="none" w:sz="0" w:space="0" w:color="auto"/>
                                <w:left w:val="none" w:sz="0" w:space="0" w:color="auto"/>
                                <w:bottom w:val="none" w:sz="0" w:space="0" w:color="auto"/>
                                <w:right w:val="none" w:sz="0" w:space="0" w:color="auto"/>
                              </w:divBdr>
                              <w:divsChild>
                                <w:div w:id="976254518">
                                  <w:marLeft w:val="0"/>
                                  <w:marRight w:val="0"/>
                                  <w:marTop w:val="0"/>
                                  <w:marBottom w:val="0"/>
                                  <w:divBdr>
                                    <w:top w:val="none" w:sz="0" w:space="0" w:color="auto"/>
                                    <w:left w:val="none" w:sz="0" w:space="0" w:color="auto"/>
                                    <w:bottom w:val="none" w:sz="0" w:space="0" w:color="auto"/>
                                    <w:right w:val="none" w:sz="0" w:space="0" w:color="auto"/>
                                  </w:divBdr>
                                  <w:divsChild>
                                    <w:div w:id="1618288767">
                                      <w:marLeft w:val="0"/>
                                      <w:marRight w:val="0"/>
                                      <w:marTop w:val="0"/>
                                      <w:marBottom w:val="0"/>
                                      <w:divBdr>
                                        <w:top w:val="none" w:sz="0" w:space="0" w:color="auto"/>
                                        <w:left w:val="none" w:sz="0" w:space="0" w:color="auto"/>
                                        <w:bottom w:val="none" w:sz="0" w:space="0" w:color="auto"/>
                                        <w:right w:val="none" w:sz="0" w:space="0" w:color="auto"/>
                                      </w:divBdr>
                                      <w:divsChild>
                                        <w:div w:id="1558783835">
                                          <w:marLeft w:val="0"/>
                                          <w:marRight w:val="0"/>
                                          <w:marTop w:val="0"/>
                                          <w:marBottom w:val="0"/>
                                          <w:divBdr>
                                            <w:top w:val="none" w:sz="0" w:space="0" w:color="auto"/>
                                            <w:left w:val="none" w:sz="0" w:space="0" w:color="auto"/>
                                            <w:bottom w:val="none" w:sz="0" w:space="0" w:color="auto"/>
                                            <w:right w:val="none" w:sz="0" w:space="0" w:color="auto"/>
                                          </w:divBdr>
                                          <w:divsChild>
                                            <w:div w:id="17850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563466">
      <w:bodyDiv w:val="1"/>
      <w:marLeft w:val="0"/>
      <w:marRight w:val="0"/>
      <w:marTop w:val="0"/>
      <w:marBottom w:val="0"/>
      <w:divBdr>
        <w:top w:val="none" w:sz="0" w:space="0" w:color="auto"/>
        <w:left w:val="none" w:sz="0" w:space="0" w:color="auto"/>
        <w:bottom w:val="none" w:sz="0" w:space="0" w:color="auto"/>
        <w:right w:val="none" w:sz="0" w:space="0" w:color="auto"/>
      </w:divBdr>
    </w:div>
    <w:div w:id="687605385">
      <w:bodyDiv w:val="1"/>
      <w:marLeft w:val="0"/>
      <w:marRight w:val="0"/>
      <w:marTop w:val="0"/>
      <w:marBottom w:val="0"/>
      <w:divBdr>
        <w:top w:val="none" w:sz="0" w:space="0" w:color="auto"/>
        <w:left w:val="none" w:sz="0" w:space="0" w:color="auto"/>
        <w:bottom w:val="none" w:sz="0" w:space="0" w:color="auto"/>
        <w:right w:val="none" w:sz="0" w:space="0" w:color="auto"/>
      </w:divBdr>
    </w:div>
    <w:div w:id="705763261">
      <w:bodyDiv w:val="1"/>
      <w:marLeft w:val="0"/>
      <w:marRight w:val="0"/>
      <w:marTop w:val="0"/>
      <w:marBottom w:val="0"/>
      <w:divBdr>
        <w:top w:val="none" w:sz="0" w:space="0" w:color="auto"/>
        <w:left w:val="none" w:sz="0" w:space="0" w:color="auto"/>
        <w:bottom w:val="none" w:sz="0" w:space="0" w:color="auto"/>
        <w:right w:val="none" w:sz="0" w:space="0" w:color="auto"/>
      </w:divBdr>
    </w:div>
    <w:div w:id="714619812">
      <w:bodyDiv w:val="1"/>
      <w:marLeft w:val="0"/>
      <w:marRight w:val="0"/>
      <w:marTop w:val="0"/>
      <w:marBottom w:val="0"/>
      <w:divBdr>
        <w:top w:val="none" w:sz="0" w:space="0" w:color="auto"/>
        <w:left w:val="none" w:sz="0" w:space="0" w:color="auto"/>
        <w:bottom w:val="none" w:sz="0" w:space="0" w:color="auto"/>
        <w:right w:val="none" w:sz="0" w:space="0" w:color="auto"/>
      </w:divBdr>
    </w:div>
    <w:div w:id="737938301">
      <w:bodyDiv w:val="1"/>
      <w:marLeft w:val="0"/>
      <w:marRight w:val="0"/>
      <w:marTop w:val="0"/>
      <w:marBottom w:val="0"/>
      <w:divBdr>
        <w:top w:val="none" w:sz="0" w:space="0" w:color="auto"/>
        <w:left w:val="none" w:sz="0" w:space="0" w:color="auto"/>
        <w:bottom w:val="none" w:sz="0" w:space="0" w:color="auto"/>
        <w:right w:val="none" w:sz="0" w:space="0" w:color="auto"/>
      </w:divBdr>
    </w:div>
    <w:div w:id="887179706">
      <w:bodyDiv w:val="1"/>
      <w:marLeft w:val="0"/>
      <w:marRight w:val="0"/>
      <w:marTop w:val="0"/>
      <w:marBottom w:val="0"/>
      <w:divBdr>
        <w:top w:val="none" w:sz="0" w:space="0" w:color="auto"/>
        <w:left w:val="none" w:sz="0" w:space="0" w:color="auto"/>
        <w:bottom w:val="none" w:sz="0" w:space="0" w:color="auto"/>
        <w:right w:val="none" w:sz="0" w:space="0" w:color="auto"/>
      </w:divBdr>
    </w:div>
    <w:div w:id="994455290">
      <w:bodyDiv w:val="1"/>
      <w:marLeft w:val="0"/>
      <w:marRight w:val="0"/>
      <w:marTop w:val="0"/>
      <w:marBottom w:val="0"/>
      <w:divBdr>
        <w:top w:val="none" w:sz="0" w:space="0" w:color="auto"/>
        <w:left w:val="none" w:sz="0" w:space="0" w:color="auto"/>
        <w:bottom w:val="none" w:sz="0" w:space="0" w:color="auto"/>
        <w:right w:val="none" w:sz="0" w:space="0" w:color="auto"/>
      </w:divBdr>
    </w:div>
    <w:div w:id="1005329618">
      <w:bodyDiv w:val="1"/>
      <w:marLeft w:val="0"/>
      <w:marRight w:val="0"/>
      <w:marTop w:val="0"/>
      <w:marBottom w:val="0"/>
      <w:divBdr>
        <w:top w:val="none" w:sz="0" w:space="0" w:color="auto"/>
        <w:left w:val="none" w:sz="0" w:space="0" w:color="auto"/>
        <w:bottom w:val="none" w:sz="0" w:space="0" w:color="auto"/>
        <w:right w:val="none" w:sz="0" w:space="0" w:color="auto"/>
      </w:divBdr>
    </w:div>
    <w:div w:id="1078288877">
      <w:bodyDiv w:val="1"/>
      <w:marLeft w:val="0"/>
      <w:marRight w:val="0"/>
      <w:marTop w:val="0"/>
      <w:marBottom w:val="0"/>
      <w:divBdr>
        <w:top w:val="none" w:sz="0" w:space="0" w:color="auto"/>
        <w:left w:val="none" w:sz="0" w:space="0" w:color="auto"/>
        <w:bottom w:val="none" w:sz="0" w:space="0" w:color="auto"/>
        <w:right w:val="none" w:sz="0" w:space="0" w:color="auto"/>
      </w:divBdr>
    </w:div>
    <w:div w:id="1195729281">
      <w:bodyDiv w:val="1"/>
      <w:marLeft w:val="0"/>
      <w:marRight w:val="0"/>
      <w:marTop w:val="0"/>
      <w:marBottom w:val="0"/>
      <w:divBdr>
        <w:top w:val="none" w:sz="0" w:space="0" w:color="auto"/>
        <w:left w:val="none" w:sz="0" w:space="0" w:color="auto"/>
        <w:bottom w:val="none" w:sz="0" w:space="0" w:color="auto"/>
        <w:right w:val="none" w:sz="0" w:space="0" w:color="auto"/>
      </w:divBdr>
    </w:div>
    <w:div w:id="1452943501">
      <w:bodyDiv w:val="1"/>
      <w:marLeft w:val="0"/>
      <w:marRight w:val="0"/>
      <w:marTop w:val="0"/>
      <w:marBottom w:val="0"/>
      <w:divBdr>
        <w:top w:val="none" w:sz="0" w:space="0" w:color="auto"/>
        <w:left w:val="none" w:sz="0" w:space="0" w:color="auto"/>
        <w:bottom w:val="none" w:sz="0" w:space="0" w:color="auto"/>
        <w:right w:val="none" w:sz="0" w:space="0" w:color="auto"/>
      </w:divBdr>
    </w:div>
    <w:div w:id="1483545354">
      <w:bodyDiv w:val="1"/>
      <w:marLeft w:val="0"/>
      <w:marRight w:val="0"/>
      <w:marTop w:val="0"/>
      <w:marBottom w:val="0"/>
      <w:divBdr>
        <w:top w:val="none" w:sz="0" w:space="0" w:color="auto"/>
        <w:left w:val="none" w:sz="0" w:space="0" w:color="auto"/>
        <w:bottom w:val="none" w:sz="0" w:space="0" w:color="auto"/>
        <w:right w:val="none" w:sz="0" w:space="0" w:color="auto"/>
      </w:divBdr>
    </w:div>
    <w:div w:id="1652171907">
      <w:bodyDiv w:val="1"/>
      <w:marLeft w:val="0"/>
      <w:marRight w:val="0"/>
      <w:marTop w:val="0"/>
      <w:marBottom w:val="0"/>
      <w:divBdr>
        <w:top w:val="none" w:sz="0" w:space="0" w:color="auto"/>
        <w:left w:val="none" w:sz="0" w:space="0" w:color="auto"/>
        <w:bottom w:val="none" w:sz="0" w:space="0" w:color="auto"/>
        <w:right w:val="none" w:sz="0" w:space="0" w:color="auto"/>
      </w:divBdr>
    </w:div>
    <w:div w:id="1680277986">
      <w:bodyDiv w:val="1"/>
      <w:marLeft w:val="0"/>
      <w:marRight w:val="0"/>
      <w:marTop w:val="0"/>
      <w:marBottom w:val="0"/>
      <w:divBdr>
        <w:top w:val="none" w:sz="0" w:space="0" w:color="auto"/>
        <w:left w:val="none" w:sz="0" w:space="0" w:color="auto"/>
        <w:bottom w:val="none" w:sz="0" w:space="0" w:color="auto"/>
        <w:right w:val="none" w:sz="0" w:space="0" w:color="auto"/>
      </w:divBdr>
    </w:div>
    <w:div w:id="1742172700">
      <w:bodyDiv w:val="1"/>
      <w:marLeft w:val="0"/>
      <w:marRight w:val="0"/>
      <w:marTop w:val="0"/>
      <w:marBottom w:val="0"/>
      <w:divBdr>
        <w:top w:val="none" w:sz="0" w:space="0" w:color="auto"/>
        <w:left w:val="none" w:sz="0" w:space="0" w:color="auto"/>
        <w:bottom w:val="none" w:sz="0" w:space="0" w:color="auto"/>
        <w:right w:val="none" w:sz="0" w:space="0" w:color="auto"/>
      </w:divBdr>
      <w:divsChild>
        <w:div w:id="502009953">
          <w:marLeft w:val="0"/>
          <w:marRight w:val="0"/>
          <w:marTop w:val="0"/>
          <w:marBottom w:val="0"/>
          <w:divBdr>
            <w:top w:val="none" w:sz="0" w:space="0" w:color="auto"/>
            <w:left w:val="none" w:sz="0" w:space="0" w:color="auto"/>
            <w:bottom w:val="none" w:sz="0" w:space="0" w:color="auto"/>
            <w:right w:val="none" w:sz="0" w:space="0" w:color="auto"/>
          </w:divBdr>
          <w:divsChild>
            <w:div w:id="242036546">
              <w:marLeft w:val="0"/>
              <w:marRight w:val="0"/>
              <w:marTop w:val="0"/>
              <w:marBottom w:val="0"/>
              <w:divBdr>
                <w:top w:val="none" w:sz="0" w:space="0" w:color="auto"/>
                <w:left w:val="none" w:sz="0" w:space="0" w:color="auto"/>
                <w:bottom w:val="none" w:sz="0" w:space="0" w:color="auto"/>
                <w:right w:val="none" w:sz="0" w:space="0" w:color="auto"/>
              </w:divBdr>
              <w:divsChild>
                <w:div w:id="1564639074">
                  <w:marLeft w:val="0"/>
                  <w:marRight w:val="0"/>
                  <w:marTop w:val="0"/>
                  <w:marBottom w:val="0"/>
                  <w:divBdr>
                    <w:top w:val="none" w:sz="0" w:space="0" w:color="auto"/>
                    <w:left w:val="none" w:sz="0" w:space="0" w:color="auto"/>
                    <w:bottom w:val="none" w:sz="0" w:space="0" w:color="auto"/>
                    <w:right w:val="none" w:sz="0" w:space="0" w:color="auto"/>
                  </w:divBdr>
                  <w:divsChild>
                    <w:div w:id="412825386">
                      <w:marLeft w:val="0"/>
                      <w:marRight w:val="0"/>
                      <w:marTop w:val="0"/>
                      <w:marBottom w:val="0"/>
                      <w:divBdr>
                        <w:top w:val="none" w:sz="0" w:space="0" w:color="auto"/>
                        <w:left w:val="none" w:sz="0" w:space="0" w:color="auto"/>
                        <w:bottom w:val="none" w:sz="0" w:space="0" w:color="auto"/>
                        <w:right w:val="none" w:sz="0" w:space="0" w:color="auto"/>
                      </w:divBdr>
                      <w:divsChild>
                        <w:div w:id="809054842">
                          <w:marLeft w:val="0"/>
                          <w:marRight w:val="0"/>
                          <w:marTop w:val="0"/>
                          <w:marBottom w:val="0"/>
                          <w:divBdr>
                            <w:top w:val="none" w:sz="0" w:space="0" w:color="auto"/>
                            <w:left w:val="none" w:sz="0" w:space="0" w:color="auto"/>
                            <w:bottom w:val="none" w:sz="0" w:space="0" w:color="auto"/>
                            <w:right w:val="none" w:sz="0" w:space="0" w:color="auto"/>
                          </w:divBdr>
                          <w:divsChild>
                            <w:div w:id="688138090">
                              <w:marLeft w:val="0"/>
                              <w:marRight w:val="0"/>
                              <w:marTop w:val="0"/>
                              <w:marBottom w:val="0"/>
                              <w:divBdr>
                                <w:top w:val="none" w:sz="0" w:space="0" w:color="auto"/>
                                <w:left w:val="none" w:sz="0" w:space="0" w:color="auto"/>
                                <w:bottom w:val="none" w:sz="0" w:space="0" w:color="auto"/>
                                <w:right w:val="none" w:sz="0" w:space="0" w:color="auto"/>
                              </w:divBdr>
                              <w:divsChild>
                                <w:div w:id="898830418">
                                  <w:marLeft w:val="0"/>
                                  <w:marRight w:val="0"/>
                                  <w:marTop w:val="0"/>
                                  <w:marBottom w:val="0"/>
                                  <w:divBdr>
                                    <w:top w:val="none" w:sz="0" w:space="0" w:color="auto"/>
                                    <w:left w:val="none" w:sz="0" w:space="0" w:color="auto"/>
                                    <w:bottom w:val="none" w:sz="0" w:space="0" w:color="auto"/>
                                    <w:right w:val="none" w:sz="0" w:space="0" w:color="auto"/>
                                  </w:divBdr>
                                  <w:divsChild>
                                    <w:div w:id="410809537">
                                      <w:marLeft w:val="0"/>
                                      <w:marRight w:val="0"/>
                                      <w:marTop w:val="0"/>
                                      <w:marBottom w:val="0"/>
                                      <w:divBdr>
                                        <w:top w:val="none" w:sz="0" w:space="0" w:color="auto"/>
                                        <w:left w:val="none" w:sz="0" w:space="0" w:color="auto"/>
                                        <w:bottom w:val="none" w:sz="0" w:space="0" w:color="auto"/>
                                        <w:right w:val="none" w:sz="0" w:space="0" w:color="auto"/>
                                      </w:divBdr>
                                      <w:divsChild>
                                        <w:div w:id="127087190">
                                          <w:marLeft w:val="0"/>
                                          <w:marRight w:val="0"/>
                                          <w:marTop w:val="0"/>
                                          <w:marBottom w:val="0"/>
                                          <w:divBdr>
                                            <w:top w:val="none" w:sz="0" w:space="0" w:color="auto"/>
                                            <w:left w:val="none" w:sz="0" w:space="0" w:color="auto"/>
                                            <w:bottom w:val="none" w:sz="0" w:space="0" w:color="auto"/>
                                            <w:right w:val="none" w:sz="0" w:space="0" w:color="auto"/>
                                          </w:divBdr>
                                          <w:divsChild>
                                            <w:div w:id="723673649">
                                              <w:marLeft w:val="0"/>
                                              <w:marRight w:val="0"/>
                                              <w:marTop w:val="0"/>
                                              <w:marBottom w:val="0"/>
                                              <w:divBdr>
                                                <w:top w:val="none" w:sz="0" w:space="0" w:color="auto"/>
                                                <w:left w:val="none" w:sz="0" w:space="0" w:color="auto"/>
                                                <w:bottom w:val="none" w:sz="0" w:space="0" w:color="auto"/>
                                                <w:right w:val="none" w:sz="0" w:space="0" w:color="auto"/>
                                              </w:divBdr>
                                              <w:divsChild>
                                                <w:div w:id="1081827372">
                                                  <w:marLeft w:val="0"/>
                                                  <w:marRight w:val="0"/>
                                                  <w:marTop w:val="0"/>
                                                  <w:marBottom w:val="0"/>
                                                  <w:divBdr>
                                                    <w:top w:val="none" w:sz="0" w:space="0" w:color="auto"/>
                                                    <w:left w:val="none" w:sz="0" w:space="0" w:color="auto"/>
                                                    <w:bottom w:val="none" w:sz="0" w:space="0" w:color="auto"/>
                                                    <w:right w:val="none" w:sz="0" w:space="0" w:color="auto"/>
                                                  </w:divBdr>
                                                  <w:divsChild>
                                                    <w:div w:id="1262836063">
                                                      <w:marLeft w:val="0"/>
                                                      <w:marRight w:val="0"/>
                                                      <w:marTop w:val="0"/>
                                                      <w:marBottom w:val="0"/>
                                                      <w:divBdr>
                                                        <w:top w:val="none" w:sz="0" w:space="0" w:color="auto"/>
                                                        <w:left w:val="none" w:sz="0" w:space="0" w:color="auto"/>
                                                        <w:bottom w:val="none" w:sz="0" w:space="0" w:color="auto"/>
                                                        <w:right w:val="none" w:sz="0" w:space="0" w:color="auto"/>
                                                      </w:divBdr>
                                                      <w:divsChild>
                                                        <w:div w:id="7243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664416">
      <w:bodyDiv w:val="1"/>
      <w:marLeft w:val="0"/>
      <w:marRight w:val="0"/>
      <w:marTop w:val="0"/>
      <w:marBottom w:val="0"/>
      <w:divBdr>
        <w:top w:val="none" w:sz="0" w:space="0" w:color="auto"/>
        <w:left w:val="none" w:sz="0" w:space="0" w:color="auto"/>
        <w:bottom w:val="none" w:sz="0" w:space="0" w:color="auto"/>
        <w:right w:val="none" w:sz="0" w:space="0" w:color="auto"/>
      </w:divBdr>
    </w:div>
    <w:div w:id="1912032978">
      <w:bodyDiv w:val="1"/>
      <w:marLeft w:val="0"/>
      <w:marRight w:val="0"/>
      <w:marTop w:val="0"/>
      <w:marBottom w:val="0"/>
      <w:divBdr>
        <w:top w:val="none" w:sz="0" w:space="0" w:color="auto"/>
        <w:left w:val="none" w:sz="0" w:space="0" w:color="auto"/>
        <w:bottom w:val="none" w:sz="0" w:space="0" w:color="auto"/>
        <w:right w:val="none" w:sz="0" w:space="0" w:color="auto"/>
      </w:divBdr>
    </w:div>
    <w:div w:id="1919824679">
      <w:bodyDiv w:val="1"/>
      <w:marLeft w:val="0"/>
      <w:marRight w:val="0"/>
      <w:marTop w:val="0"/>
      <w:marBottom w:val="0"/>
      <w:divBdr>
        <w:top w:val="none" w:sz="0" w:space="0" w:color="auto"/>
        <w:left w:val="none" w:sz="0" w:space="0" w:color="auto"/>
        <w:bottom w:val="none" w:sz="0" w:space="0" w:color="auto"/>
        <w:right w:val="none" w:sz="0" w:space="0" w:color="auto"/>
      </w:divBdr>
    </w:div>
    <w:div w:id="2008091239">
      <w:bodyDiv w:val="1"/>
      <w:marLeft w:val="0"/>
      <w:marRight w:val="0"/>
      <w:marTop w:val="0"/>
      <w:marBottom w:val="0"/>
      <w:divBdr>
        <w:top w:val="none" w:sz="0" w:space="0" w:color="auto"/>
        <w:left w:val="none" w:sz="0" w:space="0" w:color="auto"/>
        <w:bottom w:val="none" w:sz="0" w:space="0" w:color="auto"/>
        <w:right w:val="none" w:sz="0" w:space="0" w:color="auto"/>
      </w:divBdr>
    </w:div>
    <w:div w:id="2034265818">
      <w:bodyDiv w:val="1"/>
      <w:marLeft w:val="0"/>
      <w:marRight w:val="0"/>
      <w:marTop w:val="0"/>
      <w:marBottom w:val="0"/>
      <w:divBdr>
        <w:top w:val="none" w:sz="0" w:space="0" w:color="auto"/>
        <w:left w:val="none" w:sz="0" w:space="0" w:color="auto"/>
        <w:bottom w:val="none" w:sz="0" w:space="0" w:color="auto"/>
        <w:right w:val="none" w:sz="0" w:space="0" w:color="auto"/>
      </w:divBdr>
    </w:div>
    <w:div w:id="21211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latest/C2016C00186" TargetMode="External"/><Relationship Id="rId299" Type="http://schemas.openxmlformats.org/officeDocument/2006/relationships/image" Target="media/image9.png"/><Relationship Id="rId671" Type="http://schemas.openxmlformats.org/officeDocument/2006/relationships/hyperlink" Target="mailto:officeofderegulation@pmc.gov.au" TargetMode="External"/><Relationship Id="rId21" Type="http://schemas.openxmlformats.org/officeDocument/2006/relationships/footer" Target="footer2.xml"/><Relationship Id="rId63" Type="http://schemas.openxmlformats.org/officeDocument/2006/relationships/hyperlink" Target="https://www.legislation.gov.au/latest/C2016C00186" TargetMode="External"/><Relationship Id="rId159" Type="http://schemas.openxmlformats.org/officeDocument/2006/relationships/hyperlink" Target="https://www.legislation.gov.au/latest/C2016C00186" TargetMode="External"/><Relationship Id="rId324" Type="http://schemas.openxmlformats.org/officeDocument/2006/relationships/hyperlink" Target="https://www.legislation.gov.au/latest/C2016C00186" TargetMode="External"/><Relationship Id="rId366" Type="http://schemas.openxmlformats.org/officeDocument/2006/relationships/hyperlink" Target="https://www.legislation.gov.au/latest/C2016C00186" TargetMode="External"/><Relationship Id="rId531" Type="http://schemas.openxmlformats.org/officeDocument/2006/relationships/hyperlink" Target="http://www.comlaw.gov.au/Current/C2013C00032" TargetMode="External"/><Relationship Id="rId573" Type="http://schemas.openxmlformats.org/officeDocument/2006/relationships/hyperlink" Target="http://www.comlaw.gov.au/Current/C2013C00032" TargetMode="External"/><Relationship Id="rId629" Type="http://schemas.openxmlformats.org/officeDocument/2006/relationships/hyperlink" Target="http://www.comlaw.gov.au/Current/C2013C00032" TargetMode="External"/><Relationship Id="rId170" Type="http://schemas.openxmlformats.org/officeDocument/2006/relationships/hyperlink" Target="https://www.legislation.gov.au/latest/C2016C00151" TargetMode="External"/><Relationship Id="rId226" Type="http://schemas.openxmlformats.org/officeDocument/2006/relationships/hyperlink" Target="https://www.legislation.gov.au/latest/F2016L00229" TargetMode="External"/><Relationship Id="rId433" Type="http://schemas.openxmlformats.org/officeDocument/2006/relationships/hyperlink" Target="https://www.legislation.gov.au/latest/C2016C00186" TargetMode="External"/><Relationship Id="rId268" Type="http://schemas.openxmlformats.org/officeDocument/2006/relationships/hyperlink" Target="https://www.legislation.gov.au/latest/C2016C00186" TargetMode="External"/><Relationship Id="rId475" Type="http://schemas.openxmlformats.org/officeDocument/2006/relationships/hyperlink" Target="https://www.legislation.gov.au/latest/C2016C00186" TargetMode="External"/><Relationship Id="rId640" Type="http://schemas.openxmlformats.org/officeDocument/2006/relationships/hyperlink" Target="https://www.legislation.gov.au/Current/F2015L01475/" TargetMode="External"/><Relationship Id="rId32" Type="http://schemas.openxmlformats.org/officeDocument/2006/relationships/hyperlink" Target="https://www.legislation.gov.au/latest/C2016C00186" TargetMode="External"/><Relationship Id="rId74" Type="http://schemas.openxmlformats.org/officeDocument/2006/relationships/hyperlink" Target="https://www.legislation.gov.au/latest/C2016C00186" TargetMode="External"/><Relationship Id="rId128" Type="http://schemas.openxmlformats.org/officeDocument/2006/relationships/hyperlink" Target="https://www.opc.gov.au/" TargetMode="External"/><Relationship Id="rId335" Type="http://schemas.openxmlformats.org/officeDocument/2006/relationships/hyperlink" Target="https://www.legislation.gov.au/latest/C2016C00186" TargetMode="External"/><Relationship Id="rId377" Type="http://schemas.openxmlformats.org/officeDocument/2006/relationships/hyperlink" Target="https://www.legislation.gov.au/latest/C2016C00186" TargetMode="External"/><Relationship Id="rId500" Type="http://schemas.openxmlformats.org/officeDocument/2006/relationships/hyperlink" Target="http://www.comlaw.gov.au/Current/C2013C00032" TargetMode="External"/><Relationship Id="rId542" Type="http://schemas.openxmlformats.org/officeDocument/2006/relationships/hyperlink" Target="http://www.comlaw.gov.au/Current/C2013C00032" TargetMode="External"/><Relationship Id="rId584" Type="http://schemas.openxmlformats.org/officeDocument/2006/relationships/hyperlink" Target="mailto:adminlaw@ag.gov.au" TargetMode="External"/><Relationship Id="rId5" Type="http://schemas.openxmlformats.org/officeDocument/2006/relationships/webSettings" Target="webSettings.xml"/><Relationship Id="rId181" Type="http://schemas.openxmlformats.org/officeDocument/2006/relationships/hyperlink" Target="https://www.legislation.gov.au/latest/C2016C00186" TargetMode="External"/><Relationship Id="rId237" Type="http://schemas.openxmlformats.org/officeDocument/2006/relationships/hyperlink" Target="https://www.legislation.gov.au/latest/C2016C00186" TargetMode="External"/><Relationship Id="rId402" Type="http://schemas.openxmlformats.org/officeDocument/2006/relationships/hyperlink" Target="https://www.legislation.gov.au/latest/C2016C00186" TargetMode="External"/><Relationship Id="rId279" Type="http://schemas.openxmlformats.org/officeDocument/2006/relationships/hyperlink" Target="https://lodge.legislation.gov.au/" TargetMode="External"/><Relationship Id="rId444" Type="http://schemas.openxmlformats.org/officeDocument/2006/relationships/hyperlink" Target="http://www.comlaw.gov.au/Current/C2013C00032" TargetMode="External"/><Relationship Id="rId486" Type="http://schemas.openxmlformats.org/officeDocument/2006/relationships/hyperlink" Target="https://www.legislation.gov.au/latest/C2016C00186" TargetMode="External"/><Relationship Id="rId651" Type="http://schemas.openxmlformats.org/officeDocument/2006/relationships/hyperlink" Target="https://www.opc.gov.au/drafting-resources/drafting-manuals" TargetMode="External"/><Relationship Id="rId43" Type="http://schemas.openxmlformats.org/officeDocument/2006/relationships/hyperlink" Target="https://www.legislation.gov.au" TargetMode="External"/><Relationship Id="rId139" Type="http://schemas.openxmlformats.org/officeDocument/2006/relationships/hyperlink" Target="https://www.legislation.gov.au/latest/C2016C00186" TargetMode="External"/><Relationship Id="rId290" Type="http://schemas.openxmlformats.org/officeDocument/2006/relationships/image" Target="media/image6.png"/><Relationship Id="rId304" Type="http://schemas.openxmlformats.org/officeDocument/2006/relationships/hyperlink" Target="mailto:compilations@opc.gov.au" TargetMode="External"/><Relationship Id="rId346" Type="http://schemas.openxmlformats.org/officeDocument/2006/relationships/hyperlink" Target="https://www.legislation.gov.au/latest/C2016C00186" TargetMode="External"/><Relationship Id="rId388" Type="http://schemas.openxmlformats.org/officeDocument/2006/relationships/hyperlink" Target="http://www.comlaw.gov.au/Current/C2004A01224" TargetMode="External"/><Relationship Id="rId511" Type="http://schemas.openxmlformats.org/officeDocument/2006/relationships/hyperlink" Target="https://www.legislation.gov.au/latest/C2016C00186" TargetMode="External"/><Relationship Id="rId553" Type="http://schemas.openxmlformats.org/officeDocument/2006/relationships/hyperlink" Target="http://www.comlaw.gov.au/Current/C2013C00032" TargetMode="External"/><Relationship Id="rId609" Type="http://schemas.openxmlformats.org/officeDocument/2006/relationships/hyperlink" Target="https://www.legislation.gov.au/latest/C2016C00186" TargetMode="External"/><Relationship Id="rId85" Type="http://schemas.openxmlformats.org/officeDocument/2006/relationships/hyperlink" Target="https://www.comlaw.gov.au/Current/F2015L01475/" TargetMode="External"/><Relationship Id="rId150" Type="http://schemas.openxmlformats.org/officeDocument/2006/relationships/hyperlink" Target="https://www.legislation.gov.au/latest/C2016C00186" TargetMode="External"/><Relationship Id="rId192" Type="http://schemas.openxmlformats.org/officeDocument/2006/relationships/hyperlink" Target="https://www.legislation.gov.au/latest/C2016C00186" TargetMode="External"/><Relationship Id="rId206" Type="http://schemas.openxmlformats.org/officeDocument/2006/relationships/hyperlink" Target="https://www.legislation.gov.au/latest/F2016L00229" TargetMode="External"/><Relationship Id="rId413" Type="http://schemas.openxmlformats.org/officeDocument/2006/relationships/hyperlink" Target="mailto:helpdesk-obpr@pmc.gov.au" TargetMode="External"/><Relationship Id="rId595" Type="http://schemas.openxmlformats.org/officeDocument/2006/relationships/hyperlink" Target="mailto:helpdesk-obpr@pmc.gov.au" TargetMode="External"/><Relationship Id="rId248" Type="http://schemas.openxmlformats.org/officeDocument/2006/relationships/hyperlink" Target="https://www.legislation.gov.au/latest/F2016L00229" TargetMode="External"/><Relationship Id="rId455" Type="http://schemas.openxmlformats.org/officeDocument/2006/relationships/hyperlink" Target="http://www.comlaw.gov.au/Current/C2013C00032" TargetMode="External"/><Relationship Id="rId497" Type="http://schemas.openxmlformats.org/officeDocument/2006/relationships/hyperlink" Target="http://www.comlaw.gov.au/Current/C2013C00032" TargetMode="External"/><Relationship Id="rId620" Type="http://schemas.openxmlformats.org/officeDocument/2006/relationships/hyperlink" Target="https://www.legislation.gov.au/latest/C2016C00186" TargetMode="External"/><Relationship Id="rId662" Type="http://schemas.openxmlformats.org/officeDocument/2006/relationships/hyperlink" Target="https://lodge.legislation.gov.au" TargetMode="External"/><Relationship Id="rId12" Type="http://schemas.openxmlformats.org/officeDocument/2006/relationships/hyperlink" Target="https://www.legislation.gov.au/latest/F2016L00229" TargetMode="External"/><Relationship Id="rId108" Type="http://schemas.openxmlformats.org/officeDocument/2006/relationships/hyperlink" Target="https://www.legislation.gov.au/latest/C2016C00186" TargetMode="External"/><Relationship Id="rId315" Type="http://schemas.openxmlformats.org/officeDocument/2006/relationships/hyperlink" Target="https://www.legislation.gov.au/latest/F2016L00229" TargetMode="External"/><Relationship Id="rId357" Type="http://schemas.openxmlformats.org/officeDocument/2006/relationships/hyperlink" Target="https://www.legislation.gov.au/Content/Copyright" TargetMode="External"/><Relationship Id="rId522" Type="http://schemas.openxmlformats.org/officeDocument/2006/relationships/hyperlink" Target="http://www.comlaw.gov.au/Current/C2013C00032" TargetMode="External"/><Relationship Id="rId54" Type="http://schemas.openxmlformats.org/officeDocument/2006/relationships/hyperlink" Target="https://www.legislation.gov.au/latest/C2016C00186" TargetMode="External"/><Relationship Id="rId96" Type="http://schemas.openxmlformats.org/officeDocument/2006/relationships/hyperlink" Target="https://www.legislation.gov.au/latest/F2015L01475" TargetMode="External"/><Relationship Id="rId161" Type="http://schemas.openxmlformats.org/officeDocument/2006/relationships/hyperlink" Target="https://www.legislation.gov.au/latest/C2016C00151" TargetMode="External"/><Relationship Id="rId217" Type="http://schemas.openxmlformats.org/officeDocument/2006/relationships/hyperlink" Target="https://lodge.legislation.gov.au" TargetMode="External"/><Relationship Id="rId399" Type="http://schemas.openxmlformats.org/officeDocument/2006/relationships/hyperlink" Target="https://www.legislation.gov.au/latest/C2016C00186" TargetMode="External"/><Relationship Id="rId564" Type="http://schemas.openxmlformats.org/officeDocument/2006/relationships/hyperlink" Target="http://www.comlaw.gov.au/Current/C2013C00032" TargetMode="External"/><Relationship Id="rId259" Type="http://schemas.openxmlformats.org/officeDocument/2006/relationships/hyperlink" Target="https://www.legislation.gov.au/latest/C2016C00186" TargetMode="External"/><Relationship Id="rId424" Type="http://schemas.openxmlformats.org/officeDocument/2006/relationships/hyperlink" Target="http://www.comlaw.gov.au/Current/C2013C00032" TargetMode="External"/><Relationship Id="rId466" Type="http://schemas.openxmlformats.org/officeDocument/2006/relationships/hyperlink" Target="https://www.legislation.gov.au/latest/C2016C00186" TargetMode="External"/><Relationship Id="rId631" Type="http://schemas.openxmlformats.org/officeDocument/2006/relationships/hyperlink" Target="https://www.legislation.gov.au/latest/C2016C00186" TargetMode="External"/><Relationship Id="rId673" Type="http://schemas.openxmlformats.org/officeDocument/2006/relationships/hyperlink" Target="mailto:tabling@pmc.gov.au" TargetMode="External"/><Relationship Id="rId23" Type="http://schemas.openxmlformats.org/officeDocument/2006/relationships/footer" Target="footer3.xml"/><Relationship Id="rId119" Type="http://schemas.openxmlformats.org/officeDocument/2006/relationships/hyperlink" Target="https://www.legislation.gov.au/latest/F2015L01475" TargetMode="External"/><Relationship Id="rId270" Type="http://schemas.openxmlformats.org/officeDocument/2006/relationships/hyperlink" Target="https://www.legislation.gov.au/latest/C2016C00186" TargetMode="External"/><Relationship Id="rId326" Type="http://schemas.openxmlformats.org/officeDocument/2006/relationships/hyperlink" Target="mailto:lodge@legislation.gov.au" TargetMode="External"/><Relationship Id="rId533" Type="http://schemas.openxmlformats.org/officeDocument/2006/relationships/hyperlink" Target="http://www.comlaw.gov.au/Current/C2013C00032" TargetMode="External"/><Relationship Id="rId65" Type="http://schemas.openxmlformats.org/officeDocument/2006/relationships/hyperlink" Target="https://www.legislation.gov.au/latest/C2016C00186" TargetMode="External"/><Relationship Id="rId130" Type="http://schemas.openxmlformats.org/officeDocument/2006/relationships/hyperlink" Target="https://www.comlaw.gov.au/Current/C2015C00090" TargetMode="External"/><Relationship Id="rId368" Type="http://schemas.openxmlformats.org/officeDocument/2006/relationships/hyperlink" Target="mailto:sunsetting@opc.gov.au" TargetMode="External"/><Relationship Id="rId575" Type="http://schemas.openxmlformats.org/officeDocument/2006/relationships/hyperlink" Target="https://www.legislation.gov.au/latest/C2016C00186" TargetMode="External"/><Relationship Id="rId172" Type="http://schemas.openxmlformats.org/officeDocument/2006/relationships/hyperlink" Target="http://www.comlaw.gov.au/Current/C2013C00210" TargetMode="External"/><Relationship Id="rId228" Type="http://schemas.openxmlformats.org/officeDocument/2006/relationships/hyperlink" Target="https://www.legislation.gov.au/latest/F2016L00229" TargetMode="External"/><Relationship Id="rId435" Type="http://schemas.openxmlformats.org/officeDocument/2006/relationships/hyperlink" Target="http://www.comlaw.gov.au/Current/C2013C00032" TargetMode="External"/><Relationship Id="rId477" Type="http://schemas.openxmlformats.org/officeDocument/2006/relationships/hyperlink" Target="https://www.legislation.gov.au/latest/C2016C00151" TargetMode="External"/><Relationship Id="rId600" Type="http://schemas.openxmlformats.org/officeDocument/2006/relationships/hyperlink" Target="http://www.comlaw.gov.au/Current/C2013C00032" TargetMode="External"/><Relationship Id="rId642" Type="http://schemas.openxmlformats.org/officeDocument/2006/relationships/hyperlink" Target="http://www.ag.gov.au/RightsAndProtections/HumanRights/Human-rights-scrutiny/Pages/default.aspx" TargetMode="External"/><Relationship Id="rId281" Type="http://schemas.openxmlformats.org/officeDocument/2006/relationships/hyperlink" Target="https://www.legislation.gov.au/latest/F2016L00229" TargetMode="External"/><Relationship Id="rId337" Type="http://schemas.openxmlformats.org/officeDocument/2006/relationships/hyperlink" Target="https://www.legislation.gov.au/latest/C2016C00186" TargetMode="External"/><Relationship Id="rId502" Type="http://schemas.openxmlformats.org/officeDocument/2006/relationships/hyperlink" Target="http://www.comlaw.gov.au/Current/C2013C00032" TargetMode="External"/><Relationship Id="rId34" Type="http://schemas.openxmlformats.org/officeDocument/2006/relationships/hyperlink" Target="https://www.legislation.gov.au/latest/C2016C00151" TargetMode="External"/><Relationship Id="rId76" Type="http://schemas.openxmlformats.org/officeDocument/2006/relationships/hyperlink" Target="https://www.legislation.gov.au/latest/F2015L01475" TargetMode="External"/><Relationship Id="rId141" Type="http://schemas.openxmlformats.org/officeDocument/2006/relationships/hyperlink" Target="https://www.opc.gov.au/drafting-resources/drafting-directions" TargetMode="External"/><Relationship Id="rId379" Type="http://schemas.openxmlformats.org/officeDocument/2006/relationships/hyperlink" Target="https://www.legislation.gov.au/latest/C2016C00186" TargetMode="External"/><Relationship Id="rId544" Type="http://schemas.openxmlformats.org/officeDocument/2006/relationships/hyperlink" Target="http://www.comlaw.gov.au/Current/C2013C00032" TargetMode="External"/><Relationship Id="rId586" Type="http://schemas.openxmlformats.org/officeDocument/2006/relationships/hyperlink" Target="http://www.comlaw.gov.au/Current/C2013C00032" TargetMode="External"/><Relationship Id="rId7" Type="http://schemas.openxmlformats.org/officeDocument/2006/relationships/endnotes" Target="endnotes.xml"/><Relationship Id="rId183" Type="http://schemas.openxmlformats.org/officeDocument/2006/relationships/hyperlink" Target="https://www.legislation.gov.au/latest/C2016C00151" TargetMode="External"/><Relationship Id="rId239" Type="http://schemas.openxmlformats.org/officeDocument/2006/relationships/hyperlink" Target="https://www.legislation.gov.au/latest/C2016C00186" TargetMode="External"/><Relationship Id="rId390" Type="http://schemas.openxmlformats.org/officeDocument/2006/relationships/hyperlink" Target="http://www.comlaw.gov.au/Current/C2004A01224" TargetMode="External"/><Relationship Id="rId404" Type="http://schemas.openxmlformats.org/officeDocument/2006/relationships/hyperlink" Target="http://www.comlaw.gov.au/Current/C2013C00032" TargetMode="External"/><Relationship Id="rId446" Type="http://schemas.openxmlformats.org/officeDocument/2006/relationships/hyperlink" Target="http://www.comlaw.gov.au/Current/C2013C00032" TargetMode="External"/><Relationship Id="rId611" Type="http://schemas.openxmlformats.org/officeDocument/2006/relationships/hyperlink" Target="http://www.comlaw.gov.au/Current/C2013C00032" TargetMode="External"/><Relationship Id="rId653" Type="http://schemas.openxmlformats.org/officeDocument/2006/relationships/hyperlink" Target="http://www.aph.gov.au/Parliamentary_Business/Committees/Joint/Human_Rights/Guidance_Notes_and_Resources" TargetMode="External"/><Relationship Id="rId250" Type="http://schemas.openxmlformats.org/officeDocument/2006/relationships/hyperlink" Target="https://www.legislation.gov.au/latest/C2016C00186" TargetMode="External"/><Relationship Id="rId292" Type="http://schemas.openxmlformats.org/officeDocument/2006/relationships/hyperlink" Target="http://www.legislation.gov.au/Feedback" TargetMode="External"/><Relationship Id="rId306" Type="http://schemas.openxmlformats.org/officeDocument/2006/relationships/hyperlink" Target="http://www.comlaw.gov.au/Current/C2004A01224" TargetMode="External"/><Relationship Id="rId488" Type="http://schemas.openxmlformats.org/officeDocument/2006/relationships/hyperlink" Target="http://www.comlaw.gov.au/Current/C2013C00032" TargetMode="External"/><Relationship Id="rId45" Type="http://schemas.openxmlformats.org/officeDocument/2006/relationships/hyperlink" Target="https://www.legislation.gov.au/latest/C2016C00186" TargetMode="External"/><Relationship Id="rId87" Type="http://schemas.openxmlformats.org/officeDocument/2006/relationships/hyperlink" Target="https://www.comlaw.gov.au/Current/F2015L01475/" TargetMode="External"/><Relationship Id="rId110" Type="http://schemas.openxmlformats.org/officeDocument/2006/relationships/hyperlink" Target="https://www.legislation.gov.au/latest/F2015L01475" TargetMode="External"/><Relationship Id="rId348" Type="http://schemas.openxmlformats.org/officeDocument/2006/relationships/hyperlink" Target="https://www.legislation.gov.au/latest/C2016C00186" TargetMode="External"/><Relationship Id="rId513" Type="http://schemas.openxmlformats.org/officeDocument/2006/relationships/hyperlink" Target="https://www.comlaw.gov.au/Current/F2015L01475/" TargetMode="External"/><Relationship Id="rId555" Type="http://schemas.openxmlformats.org/officeDocument/2006/relationships/hyperlink" Target="http://www.comlaw.gov.au/Current/C2013C00032" TargetMode="External"/><Relationship Id="rId597" Type="http://schemas.openxmlformats.org/officeDocument/2006/relationships/hyperlink" Target="https://www.legislation.gov.au/latest/C2016C00186" TargetMode="External"/><Relationship Id="rId152" Type="http://schemas.openxmlformats.org/officeDocument/2006/relationships/hyperlink" Target="https://www.legislation.gov.au/latest/C2016C00151" TargetMode="External"/><Relationship Id="rId194" Type="http://schemas.openxmlformats.org/officeDocument/2006/relationships/hyperlink" Target="https://www.legislation.gov.au/latest/C2016C00151" TargetMode="External"/><Relationship Id="rId208" Type="http://schemas.openxmlformats.org/officeDocument/2006/relationships/hyperlink" Target="https://www.opc.gov.au/drafting-resources/drafting-directions" TargetMode="External"/><Relationship Id="rId415" Type="http://schemas.openxmlformats.org/officeDocument/2006/relationships/hyperlink" Target="http://www.comlaw.gov.au/Current/C2013C00032" TargetMode="External"/><Relationship Id="rId457" Type="http://schemas.openxmlformats.org/officeDocument/2006/relationships/hyperlink" Target="https://www.legislation.gov.au/latest/C2016C00186" TargetMode="External"/><Relationship Id="rId622" Type="http://schemas.openxmlformats.org/officeDocument/2006/relationships/hyperlink" Target="http://www.comlaw.gov.au/Current/C2013C00032" TargetMode="External"/><Relationship Id="rId261" Type="http://schemas.openxmlformats.org/officeDocument/2006/relationships/hyperlink" Target="mailto:compilations@opc.gov.au" TargetMode="External"/><Relationship Id="rId499" Type="http://schemas.openxmlformats.org/officeDocument/2006/relationships/hyperlink" Target="https://www.legislation.gov.au/latest/C2016C00186" TargetMode="External"/><Relationship Id="rId664" Type="http://schemas.openxmlformats.org/officeDocument/2006/relationships/hyperlink" Target="mailto:table.office.reps@aph.gov.au" TargetMode="External"/><Relationship Id="rId14" Type="http://schemas.openxmlformats.org/officeDocument/2006/relationships/hyperlink" Target="mailto:lodge@legislation.gov.au" TargetMode="External"/><Relationship Id="rId56" Type="http://schemas.openxmlformats.org/officeDocument/2006/relationships/hyperlink" Target="https://www.comlaw.gov.au/Current/F2015L01475/" TargetMode="External"/><Relationship Id="rId317" Type="http://schemas.openxmlformats.org/officeDocument/2006/relationships/hyperlink" Target="https://www.legislation.gov.au/latest/C2016C00186" TargetMode="External"/><Relationship Id="rId359" Type="http://schemas.openxmlformats.org/officeDocument/2006/relationships/hyperlink" Target="mailto:compilations@opc.gov.au" TargetMode="External"/><Relationship Id="rId524" Type="http://schemas.openxmlformats.org/officeDocument/2006/relationships/hyperlink" Target="http://www.comlaw.gov.au/Current/C2013C00032" TargetMode="External"/><Relationship Id="rId566" Type="http://schemas.openxmlformats.org/officeDocument/2006/relationships/hyperlink" Target="https://www.legislation.gov.au/latest/C2016C00186" TargetMode="External"/><Relationship Id="rId98" Type="http://schemas.openxmlformats.org/officeDocument/2006/relationships/hyperlink" Target="https://www.legislation.gov.au/latest/F2015L01475" TargetMode="External"/><Relationship Id="rId121" Type="http://schemas.openxmlformats.org/officeDocument/2006/relationships/hyperlink" Target="https://www.legislation.gov.au/latest/C2016C00186" TargetMode="External"/><Relationship Id="rId163" Type="http://schemas.openxmlformats.org/officeDocument/2006/relationships/hyperlink" Target="http://www.comlaw.gov.au/Current/C2013C00210" TargetMode="External"/><Relationship Id="rId219" Type="http://schemas.openxmlformats.org/officeDocument/2006/relationships/hyperlink" Target="mailto:lodge@legislation.gov.au" TargetMode="External"/><Relationship Id="rId370" Type="http://schemas.openxmlformats.org/officeDocument/2006/relationships/hyperlink" Target="http://www.comlaw.gov.au/Current/C2013C00210" TargetMode="External"/><Relationship Id="rId426" Type="http://schemas.openxmlformats.org/officeDocument/2006/relationships/hyperlink" Target="https://www.legislation.gov.au/latest/C2016C00195" TargetMode="External"/><Relationship Id="rId633" Type="http://schemas.openxmlformats.org/officeDocument/2006/relationships/hyperlink" Target="http://www.comlaw.gov.au/Current/C2013C00032" TargetMode="External"/><Relationship Id="rId230" Type="http://schemas.openxmlformats.org/officeDocument/2006/relationships/hyperlink" Target="https://www.legislation.gov.au/latest/F2016L00229" TargetMode="External"/><Relationship Id="rId468" Type="http://schemas.openxmlformats.org/officeDocument/2006/relationships/hyperlink" Target="http://www.comlaw.gov.au/Current/C2013C00032" TargetMode="External"/><Relationship Id="rId675" Type="http://schemas.openxmlformats.org/officeDocument/2006/relationships/footer" Target="footer6.xml"/><Relationship Id="rId25" Type="http://schemas.openxmlformats.org/officeDocument/2006/relationships/hyperlink" Target="https://www.legislation.gov.au/latest/C2016C00186" TargetMode="External"/><Relationship Id="rId67" Type="http://schemas.openxmlformats.org/officeDocument/2006/relationships/hyperlink" Target="https://www.legislation.gov.au/latest/C2016C00186" TargetMode="External"/><Relationship Id="rId272" Type="http://schemas.openxmlformats.org/officeDocument/2006/relationships/hyperlink" Target="https://www.legislation.gov.au/latest/F2016L00229" TargetMode="External"/><Relationship Id="rId328" Type="http://schemas.openxmlformats.org/officeDocument/2006/relationships/hyperlink" Target="https://www.legislation.gov.au/latest/C2016C00186" TargetMode="External"/><Relationship Id="rId535" Type="http://schemas.openxmlformats.org/officeDocument/2006/relationships/hyperlink" Target="http://www.comlaw.gov.au/Current/C2013C00032" TargetMode="External"/><Relationship Id="rId577" Type="http://schemas.openxmlformats.org/officeDocument/2006/relationships/hyperlink" Target="https://www.legislation.gov.au/latest/C2016C00186" TargetMode="External"/><Relationship Id="rId132" Type="http://schemas.openxmlformats.org/officeDocument/2006/relationships/hyperlink" Target="https://www.legislation.gov.au/latest/C2016C00186" TargetMode="External"/><Relationship Id="rId174" Type="http://schemas.openxmlformats.org/officeDocument/2006/relationships/hyperlink" Target="https://www.legislation.gov.au/latest/C2016C00186" TargetMode="External"/><Relationship Id="rId381" Type="http://schemas.openxmlformats.org/officeDocument/2006/relationships/hyperlink" Target="https://www.legislation.gov.au/latest/C2016C00186" TargetMode="External"/><Relationship Id="rId602" Type="http://schemas.openxmlformats.org/officeDocument/2006/relationships/hyperlink" Target="http://www.comlaw.gov.au/Current/C2013C00032" TargetMode="External"/><Relationship Id="rId241" Type="http://schemas.openxmlformats.org/officeDocument/2006/relationships/hyperlink" Target="https://www.legislation.gov.au/latest/C2016C00186" TargetMode="External"/><Relationship Id="rId437" Type="http://schemas.openxmlformats.org/officeDocument/2006/relationships/hyperlink" Target="https://www.legislation.gov.au/latest/C2016C00186" TargetMode="External"/><Relationship Id="rId479" Type="http://schemas.openxmlformats.org/officeDocument/2006/relationships/hyperlink" Target="http://www.comlaw.gov.au/Current/C2013C00032" TargetMode="External"/><Relationship Id="rId644" Type="http://schemas.openxmlformats.org/officeDocument/2006/relationships/hyperlink" Target="https://www.ag.gov.au/LegalSystem/AdministrativeLaw/Pages/LegislationAct2003.aspx" TargetMode="External"/><Relationship Id="rId36" Type="http://schemas.openxmlformats.org/officeDocument/2006/relationships/hyperlink" Target="https://www.legislation.gov.au/latest/C2016C00186" TargetMode="External"/><Relationship Id="rId283" Type="http://schemas.openxmlformats.org/officeDocument/2006/relationships/hyperlink" Target="https://www.legislation.gov.au/latest/F2016L00229" TargetMode="External"/><Relationship Id="rId339" Type="http://schemas.openxmlformats.org/officeDocument/2006/relationships/hyperlink" Target="mailto:lodge@legislation.gov.au" TargetMode="External"/><Relationship Id="rId490" Type="http://schemas.openxmlformats.org/officeDocument/2006/relationships/hyperlink" Target="https://www.legislation.gov.au/latest/C2016C00186" TargetMode="External"/><Relationship Id="rId504" Type="http://schemas.openxmlformats.org/officeDocument/2006/relationships/hyperlink" Target="http://www.comlaw.gov.au/Current/C2013C00032" TargetMode="External"/><Relationship Id="rId546" Type="http://schemas.openxmlformats.org/officeDocument/2006/relationships/hyperlink" Target="http://www.comlaw.gov.au/Current/C2013C00032" TargetMode="External"/><Relationship Id="rId78" Type="http://schemas.openxmlformats.org/officeDocument/2006/relationships/hyperlink" Target="https://www.comlaw.gov.au/Current/F2015L01475" TargetMode="External"/><Relationship Id="rId101" Type="http://schemas.openxmlformats.org/officeDocument/2006/relationships/hyperlink" Target="https://www.legislation.gov.au/latest/C2016C00186" TargetMode="External"/><Relationship Id="rId143" Type="http://schemas.openxmlformats.org/officeDocument/2006/relationships/hyperlink" Target="https://www.legislation.gov.au/latest/F2016L00229" TargetMode="External"/><Relationship Id="rId185" Type="http://schemas.openxmlformats.org/officeDocument/2006/relationships/hyperlink" Target="https://www.legislation.gov.au/latest/C2016C00186" TargetMode="External"/><Relationship Id="rId350" Type="http://schemas.openxmlformats.org/officeDocument/2006/relationships/hyperlink" Target="mailto:compilations@opc.gov.au" TargetMode="External"/><Relationship Id="rId406" Type="http://schemas.openxmlformats.org/officeDocument/2006/relationships/hyperlink" Target="http://www.comlaw.gov.au/Current/C2013C00032" TargetMode="External"/><Relationship Id="rId588" Type="http://schemas.openxmlformats.org/officeDocument/2006/relationships/hyperlink" Target="http://www.comlaw.gov.au/Current/C2013C00032" TargetMode="External"/><Relationship Id="rId9" Type="http://schemas.openxmlformats.org/officeDocument/2006/relationships/hyperlink" Target="https://www.legislation.gov.au/" TargetMode="External"/><Relationship Id="rId210" Type="http://schemas.openxmlformats.org/officeDocument/2006/relationships/hyperlink" Target="http://www.comlaw.gov.au/Current/C2004A01224" TargetMode="External"/><Relationship Id="rId392" Type="http://schemas.openxmlformats.org/officeDocument/2006/relationships/hyperlink" Target="http://www.comlaw.gov.au/Current/C2013C00032" TargetMode="External"/><Relationship Id="rId448" Type="http://schemas.openxmlformats.org/officeDocument/2006/relationships/hyperlink" Target="https://www.legislation.gov.au/latest/C2016C00186" TargetMode="External"/><Relationship Id="rId613" Type="http://schemas.openxmlformats.org/officeDocument/2006/relationships/hyperlink" Target="mailto:sunsetting@ag.gov.au" TargetMode="External"/><Relationship Id="rId655" Type="http://schemas.openxmlformats.org/officeDocument/2006/relationships/footer" Target="footer4.xml"/><Relationship Id="rId252" Type="http://schemas.openxmlformats.org/officeDocument/2006/relationships/hyperlink" Target="https://www.legislation.gov.au/latest/C2016C00186" TargetMode="External"/><Relationship Id="rId294" Type="http://schemas.openxmlformats.org/officeDocument/2006/relationships/hyperlink" Target="mailto:lodge@legislation.gov.au" TargetMode="External"/><Relationship Id="rId308" Type="http://schemas.openxmlformats.org/officeDocument/2006/relationships/hyperlink" Target="mailto:compilations@opc.gov.au" TargetMode="External"/><Relationship Id="rId515" Type="http://schemas.openxmlformats.org/officeDocument/2006/relationships/hyperlink" Target="http://www.comlaw.gov.au/Current/C2013C00032" TargetMode="External"/><Relationship Id="rId47" Type="http://schemas.openxmlformats.org/officeDocument/2006/relationships/hyperlink" Target="https://www.legislation.gov.au/latest/C2016C00186" TargetMode="External"/><Relationship Id="rId89" Type="http://schemas.openxmlformats.org/officeDocument/2006/relationships/hyperlink" Target="https://www.comlaw.gov.au/Current/F2015L01475/" TargetMode="External"/><Relationship Id="rId112" Type="http://schemas.openxmlformats.org/officeDocument/2006/relationships/hyperlink" Target="https://www.legislation.gov.au/latest/C2016C00186" TargetMode="External"/><Relationship Id="rId154" Type="http://schemas.openxmlformats.org/officeDocument/2006/relationships/hyperlink" Target="https://www.comlaw.gov.au/Current/F2015L01475/" TargetMode="External"/><Relationship Id="rId361" Type="http://schemas.openxmlformats.org/officeDocument/2006/relationships/hyperlink" Target="https://www.legislation.gov.au/Content/Copyright" TargetMode="External"/><Relationship Id="rId557" Type="http://schemas.openxmlformats.org/officeDocument/2006/relationships/hyperlink" Target="http://www.comlaw.gov.au/Current/C2013C00032" TargetMode="External"/><Relationship Id="rId599" Type="http://schemas.openxmlformats.org/officeDocument/2006/relationships/hyperlink" Target="http://www.comlaw.gov.au/Current/C2013C00032" TargetMode="External"/><Relationship Id="rId196" Type="http://schemas.openxmlformats.org/officeDocument/2006/relationships/hyperlink" Target="https://www.comlaw.gov.au/Current/F2015L01475" TargetMode="External"/><Relationship Id="rId417" Type="http://schemas.openxmlformats.org/officeDocument/2006/relationships/hyperlink" Target="http://www.comlaw.gov.au/Current/C2013C00032" TargetMode="External"/><Relationship Id="rId459" Type="http://schemas.openxmlformats.org/officeDocument/2006/relationships/hyperlink" Target="http://www.comlaw.gov.au/Current/C2013C00032" TargetMode="External"/><Relationship Id="rId624" Type="http://schemas.openxmlformats.org/officeDocument/2006/relationships/hyperlink" Target="mailto:sunsetting@ag.gov.au" TargetMode="External"/><Relationship Id="rId666" Type="http://schemas.openxmlformats.org/officeDocument/2006/relationships/hyperlink" Target="mailto:adminlaw@ag.gov.au" TargetMode="External"/><Relationship Id="rId16" Type="http://schemas.openxmlformats.org/officeDocument/2006/relationships/hyperlink" Target="https://www.legislation.gov.au/latest/F2015L01475" TargetMode="External"/><Relationship Id="rId221" Type="http://schemas.openxmlformats.org/officeDocument/2006/relationships/hyperlink" Target="https://www.legislation.gov.au/latest/F2016L00229" TargetMode="External"/><Relationship Id="rId263" Type="http://schemas.openxmlformats.org/officeDocument/2006/relationships/hyperlink" Target="https://www.legislation.gov.au/latest/F2016L00229" TargetMode="External"/><Relationship Id="rId319" Type="http://schemas.openxmlformats.org/officeDocument/2006/relationships/hyperlink" Target="https://www.legislation.gov.au/latest/C2016C00186" TargetMode="External"/><Relationship Id="rId470" Type="http://schemas.openxmlformats.org/officeDocument/2006/relationships/hyperlink" Target="http://www.comlaw.gov.au/Current/C2013C00032" TargetMode="External"/><Relationship Id="rId526" Type="http://schemas.openxmlformats.org/officeDocument/2006/relationships/hyperlink" Target="http://www.comlaw.gov.au/Current/C2013C00032" TargetMode="External"/><Relationship Id="rId58" Type="http://schemas.openxmlformats.org/officeDocument/2006/relationships/hyperlink" Target="https://www.legislation.gov.au/latest/C2016C00186" TargetMode="External"/><Relationship Id="rId123" Type="http://schemas.openxmlformats.org/officeDocument/2006/relationships/hyperlink" Target="https://www.legislation.gov.au/latest/F2016L00229" TargetMode="External"/><Relationship Id="rId330" Type="http://schemas.openxmlformats.org/officeDocument/2006/relationships/hyperlink" Target="https://www.legislation.gov.au/latest/C2016C00186" TargetMode="External"/><Relationship Id="rId568" Type="http://schemas.openxmlformats.org/officeDocument/2006/relationships/hyperlink" Target="http://www.comlaw.gov.au/Current/C2013C00032" TargetMode="External"/><Relationship Id="rId165" Type="http://schemas.openxmlformats.org/officeDocument/2006/relationships/hyperlink" Target="https://www.legislation.gov.au/latest/C2016C00186" TargetMode="External"/><Relationship Id="rId372" Type="http://schemas.openxmlformats.org/officeDocument/2006/relationships/hyperlink" Target="https://www.legislation.gov.au/latest/C2016C00186" TargetMode="External"/><Relationship Id="rId428" Type="http://schemas.openxmlformats.org/officeDocument/2006/relationships/hyperlink" Target="http://www.comlaw.gov.au/Current/C2013C00032" TargetMode="External"/><Relationship Id="rId635" Type="http://schemas.openxmlformats.org/officeDocument/2006/relationships/hyperlink" Target="https://www.legislation.gov.au/latest/C2016C00186" TargetMode="External"/><Relationship Id="rId677" Type="http://schemas.openxmlformats.org/officeDocument/2006/relationships/header" Target="header4.xml"/><Relationship Id="rId232" Type="http://schemas.openxmlformats.org/officeDocument/2006/relationships/hyperlink" Target="https://www.legislation.gov.au/latest/F2016L00229" TargetMode="External"/><Relationship Id="rId274" Type="http://schemas.openxmlformats.org/officeDocument/2006/relationships/hyperlink" Target="https://www.legislation.gov.au/latest/F2016L00229" TargetMode="External"/><Relationship Id="rId481" Type="http://schemas.openxmlformats.org/officeDocument/2006/relationships/hyperlink" Target="http://www.comlaw.gov.au/Current/C2013C00032" TargetMode="External"/><Relationship Id="rId27" Type="http://schemas.openxmlformats.org/officeDocument/2006/relationships/hyperlink" Target="https://www.legislation.gov.au/latest/C2016C00151" TargetMode="External"/><Relationship Id="rId69" Type="http://schemas.openxmlformats.org/officeDocument/2006/relationships/hyperlink" Target="https://www.legislation.gov.au/latest/C2016C00186" TargetMode="External"/><Relationship Id="rId134" Type="http://schemas.openxmlformats.org/officeDocument/2006/relationships/hyperlink" Target="https://www.legislation.gov.au/latest/C2016C00186" TargetMode="External"/><Relationship Id="rId537" Type="http://schemas.openxmlformats.org/officeDocument/2006/relationships/hyperlink" Target="http://www.comlaw.gov.au/Current/C2013C00032" TargetMode="External"/><Relationship Id="rId579" Type="http://schemas.openxmlformats.org/officeDocument/2006/relationships/hyperlink" Target="http://www.comlaw.gov.au/Current/C2013C00032" TargetMode="External"/><Relationship Id="rId80" Type="http://schemas.openxmlformats.org/officeDocument/2006/relationships/hyperlink" Target="https://www.legislation.gov.au/latest/F2015L01475" TargetMode="External"/><Relationship Id="rId176" Type="http://schemas.openxmlformats.org/officeDocument/2006/relationships/hyperlink" Target="http://www.comlaw.gov.au/Current/C2013C00210" TargetMode="External"/><Relationship Id="rId341" Type="http://schemas.openxmlformats.org/officeDocument/2006/relationships/hyperlink" Target="https://www.comlaw.gov.au/Current/F2016L00229" TargetMode="External"/><Relationship Id="rId383" Type="http://schemas.openxmlformats.org/officeDocument/2006/relationships/hyperlink" Target="https://www.legislation.gov.au/latest/C2016C00186" TargetMode="External"/><Relationship Id="rId439" Type="http://schemas.openxmlformats.org/officeDocument/2006/relationships/hyperlink" Target="https://www.legislation.gov.au/latest/C2016C00186" TargetMode="External"/><Relationship Id="rId590" Type="http://schemas.openxmlformats.org/officeDocument/2006/relationships/hyperlink" Target="http://www.comlaw.gov.au/Current/C2013C00032" TargetMode="External"/><Relationship Id="rId604" Type="http://schemas.openxmlformats.org/officeDocument/2006/relationships/hyperlink" Target="http://www.comlaw.gov.au/Current/C2013C00032" TargetMode="External"/><Relationship Id="rId646" Type="http://schemas.openxmlformats.org/officeDocument/2006/relationships/hyperlink" Target="https://www.pmc.gov.au/resource-centre/government/federal-exec-council-handbook" TargetMode="External"/><Relationship Id="rId201" Type="http://schemas.openxmlformats.org/officeDocument/2006/relationships/hyperlink" Target="https://www.legislation.gov.au/latest/C2016C00186" TargetMode="External"/><Relationship Id="rId243" Type="http://schemas.openxmlformats.org/officeDocument/2006/relationships/hyperlink" Target="https://www.legislation.gov.au/latest/C2016C00186" TargetMode="External"/><Relationship Id="rId285" Type="http://schemas.openxmlformats.org/officeDocument/2006/relationships/hyperlink" Target="https://www.legislation.gov.au/latest/F2016L00229" TargetMode="External"/><Relationship Id="rId450" Type="http://schemas.openxmlformats.org/officeDocument/2006/relationships/hyperlink" Target="http://www.comlaw.gov.au/Current/C2013C00032" TargetMode="External"/><Relationship Id="rId506" Type="http://schemas.openxmlformats.org/officeDocument/2006/relationships/hyperlink" Target="http://www.comlaw.gov.au/Current/C2013C00032" TargetMode="External"/><Relationship Id="rId38" Type="http://schemas.openxmlformats.org/officeDocument/2006/relationships/hyperlink" Target="https://www.legislation.gov.au/latest/C2016C00186" TargetMode="External"/><Relationship Id="rId103" Type="http://schemas.openxmlformats.org/officeDocument/2006/relationships/hyperlink" Target="https://www.legislation.gov.au/latest/C2016C00186" TargetMode="External"/><Relationship Id="rId310" Type="http://schemas.openxmlformats.org/officeDocument/2006/relationships/hyperlink" Target="https://www.legislation.gov.au/latest/C2016C00186" TargetMode="External"/><Relationship Id="rId492" Type="http://schemas.openxmlformats.org/officeDocument/2006/relationships/hyperlink" Target="http://www.comlaw.gov.au/Current/C2013C00032" TargetMode="External"/><Relationship Id="rId548" Type="http://schemas.openxmlformats.org/officeDocument/2006/relationships/hyperlink" Target="http://www.comlaw.gov.au/Current/C2013C00032" TargetMode="External"/><Relationship Id="rId91" Type="http://schemas.openxmlformats.org/officeDocument/2006/relationships/hyperlink" Target="https://www.comlaw.gov.au/Current/F2015L01475/" TargetMode="External"/><Relationship Id="rId145" Type="http://schemas.openxmlformats.org/officeDocument/2006/relationships/hyperlink" Target="https://www.legislation.gov.au/latest/C2016C00186" TargetMode="External"/><Relationship Id="rId187" Type="http://schemas.openxmlformats.org/officeDocument/2006/relationships/hyperlink" Target="https://www.legislation.gov.au/latest/C2016C00186" TargetMode="External"/><Relationship Id="rId352" Type="http://schemas.openxmlformats.org/officeDocument/2006/relationships/hyperlink" Target="https://www.comlaw.gov.au/Current/F2016L00229" TargetMode="External"/><Relationship Id="rId394" Type="http://schemas.openxmlformats.org/officeDocument/2006/relationships/hyperlink" Target="http://www.comlaw.gov.au/Current/C2013C00032" TargetMode="External"/><Relationship Id="rId408" Type="http://schemas.openxmlformats.org/officeDocument/2006/relationships/hyperlink" Target="https://www.legislation.gov.au/latest/C2016C00186" TargetMode="External"/><Relationship Id="rId615" Type="http://schemas.openxmlformats.org/officeDocument/2006/relationships/hyperlink" Target="http://www.comlaw.gov.au/Current/C2013C00032" TargetMode="External"/><Relationship Id="rId212" Type="http://schemas.openxmlformats.org/officeDocument/2006/relationships/hyperlink" Target="https://www.opc.gov.au/drafting-resources/client-advisers" TargetMode="External"/><Relationship Id="rId254" Type="http://schemas.openxmlformats.org/officeDocument/2006/relationships/hyperlink" Target="https://www.legislation.gov.au/latest/C2016C00186" TargetMode="External"/><Relationship Id="rId657" Type="http://schemas.openxmlformats.org/officeDocument/2006/relationships/hyperlink" Target="mailto:instrument.instructions@opc.gov.au?subject=Instructions%20on" TargetMode="External"/><Relationship Id="rId49" Type="http://schemas.openxmlformats.org/officeDocument/2006/relationships/hyperlink" Target="https://www.legislation.gov.au/latest/C2016C00186" TargetMode="External"/><Relationship Id="rId114" Type="http://schemas.openxmlformats.org/officeDocument/2006/relationships/hyperlink" Target="https://www.comlaw.gov.au/Current/F2015L01475/" TargetMode="External"/><Relationship Id="rId296" Type="http://schemas.openxmlformats.org/officeDocument/2006/relationships/image" Target="media/image8.png"/><Relationship Id="rId461" Type="http://schemas.openxmlformats.org/officeDocument/2006/relationships/hyperlink" Target="http://www.comlaw.gov.au/Current/C2013C00032" TargetMode="External"/><Relationship Id="rId517" Type="http://schemas.openxmlformats.org/officeDocument/2006/relationships/hyperlink" Target="https://www.legislation.gov.au/latest/C2016C00186" TargetMode="External"/><Relationship Id="rId559" Type="http://schemas.openxmlformats.org/officeDocument/2006/relationships/hyperlink" Target="http://www.comlaw.gov.au/Current/C2013C00032" TargetMode="External"/><Relationship Id="rId60" Type="http://schemas.openxmlformats.org/officeDocument/2006/relationships/hyperlink" Target="https://www.legislation.gov.au/latest/C2016C00186" TargetMode="External"/><Relationship Id="rId156" Type="http://schemas.openxmlformats.org/officeDocument/2006/relationships/hyperlink" Target="https://www.legislation.gov.au/latest/C2016C00186" TargetMode="External"/><Relationship Id="rId198" Type="http://schemas.openxmlformats.org/officeDocument/2006/relationships/hyperlink" Target="https://www.legislation.gov.au/latest/F2015L01475" TargetMode="External"/><Relationship Id="rId321" Type="http://schemas.openxmlformats.org/officeDocument/2006/relationships/hyperlink" Target="https://lodge.legislation.gov.au" TargetMode="External"/><Relationship Id="rId363" Type="http://schemas.openxmlformats.org/officeDocument/2006/relationships/hyperlink" Target="https://www.legislation.gov.au/latest/C2016C00186" TargetMode="External"/><Relationship Id="rId419" Type="http://schemas.openxmlformats.org/officeDocument/2006/relationships/hyperlink" Target="http://www.comlaw.gov.au/Current/C2004C01588" TargetMode="External"/><Relationship Id="rId570" Type="http://schemas.openxmlformats.org/officeDocument/2006/relationships/hyperlink" Target="http://www.comlaw.gov.au/Current/C2013C00032" TargetMode="External"/><Relationship Id="rId626" Type="http://schemas.openxmlformats.org/officeDocument/2006/relationships/hyperlink" Target="http://www.comlaw.gov.au/Current/C2013C00032" TargetMode="External"/><Relationship Id="rId223" Type="http://schemas.openxmlformats.org/officeDocument/2006/relationships/hyperlink" Target="https://www.legislation.gov.au/latest/F2016L00229" TargetMode="External"/><Relationship Id="rId430" Type="http://schemas.openxmlformats.org/officeDocument/2006/relationships/hyperlink" Target="https://www.legislation.gov.au/latest/C2016C00186" TargetMode="External"/><Relationship Id="rId668" Type="http://schemas.openxmlformats.org/officeDocument/2006/relationships/hyperlink" Target="mailto:humanrights@ag.gov.au" TargetMode="External"/><Relationship Id="rId18" Type="http://schemas.openxmlformats.org/officeDocument/2006/relationships/header" Target="header1.xml"/><Relationship Id="rId265" Type="http://schemas.openxmlformats.org/officeDocument/2006/relationships/hyperlink" Target="https://www.opc.gov.au/drafting-resources/drafting-directions" TargetMode="External"/><Relationship Id="rId472" Type="http://schemas.openxmlformats.org/officeDocument/2006/relationships/hyperlink" Target="https://www.legislation.gov.au/latest/C2016C00186" TargetMode="External"/><Relationship Id="rId528" Type="http://schemas.openxmlformats.org/officeDocument/2006/relationships/hyperlink" Target="http://www.comlaw.gov.au/Current/C2013C00032" TargetMode="External"/><Relationship Id="rId125" Type="http://schemas.openxmlformats.org/officeDocument/2006/relationships/hyperlink" Target="https://www.legislation.gov.au/latest/C2016C00186" TargetMode="External"/><Relationship Id="rId167" Type="http://schemas.openxmlformats.org/officeDocument/2006/relationships/hyperlink" Target="https://www.legislation.gov.au/latest/C2016C00186" TargetMode="External"/><Relationship Id="rId332" Type="http://schemas.openxmlformats.org/officeDocument/2006/relationships/hyperlink" Target="https://www.legislation.gov.au/latest/C2016C00186" TargetMode="External"/><Relationship Id="rId374" Type="http://schemas.openxmlformats.org/officeDocument/2006/relationships/hyperlink" Target="https://www.legislation.gov.au/latest/C2016C00186" TargetMode="External"/><Relationship Id="rId581" Type="http://schemas.openxmlformats.org/officeDocument/2006/relationships/hyperlink" Target="https://www.comlaw.gov.au/Current/F2015L01475/" TargetMode="External"/><Relationship Id="rId71" Type="http://schemas.openxmlformats.org/officeDocument/2006/relationships/hyperlink" Target="https://www.legislation.gov.au/latest/C2016C00186" TargetMode="External"/><Relationship Id="rId92" Type="http://schemas.openxmlformats.org/officeDocument/2006/relationships/hyperlink" Target="https://www.legislation.gov.au/latest/F2015L01475" TargetMode="External"/><Relationship Id="rId213" Type="http://schemas.openxmlformats.org/officeDocument/2006/relationships/hyperlink" Target="https://www.legislation.gov.au/latest/C2016C00186" TargetMode="External"/><Relationship Id="rId234" Type="http://schemas.openxmlformats.org/officeDocument/2006/relationships/hyperlink" Target="https://lodge.legislation.gov.au" TargetMode="External"/><Relationship Id="rId420" Type="http://schemas.openxmlformats.org/officeDocument/2006/relationships/hyperlink" Target="https://www.legislation.gov.au/latest/C2016C00151" TargetMode="External"/><Relationship Id="rId616" Type="http://schemas.openxmlformats.org/officeDocument/2006/relationships/hyperlink" Target="https://www.legislation.gov.au/latest/C2016C00186" TargetMode="External"/><Relationship Id="rId637" Type="http://schemas.openxmlformats.org/officeDocument/2006/relationships/hyperlink" Target="http://www.legislation.gov.au/Current/C2004C01588" TargetMode="External"/><Relationship Id="rId658" Type="http://schemas.openxmlformats.org/officeDocument/2006/relationships/hyperlink" Target="https://www.opc.gov.au/drafting-resources/client-advisers" TargetMode="External"/><Relationship Id="rId67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legislation.gov.au/latest/C2016C00186" TargetMode="External"/><Relationship Id="rId255" Type="http://schemas.openxmlformats.org/officeDocument/2006/relationships/hyperlink" Target="https://www.legislation.gov.au/latest/C2016C00186" TargetMode="External"/><Relationship Id="rId276" Type="http://schemas.openxmlformats.org/officeDocument/2006/relationships/hyperlink" Target="https://www.legislation.gov.au/latest/F2016L00229" TargetMode="External"/><Relationship Id="rId297" Type="http://schemas.openxmlformats.org/officeDocument/2006/relationships/hyperlink" Target="https://www.legislation.gov.au/Details/F2016L00229" TargetMode="External"/><Relationship Id="rId441" Type="http://schemas.openxmlformats.org/officeDocument/2006/relationships/hyperlink" Target="http://www.comlaw.gov.au/Current/C2013C00032" TargetMode="External"/><Relationship Id="rId462" Type="http://schemas.openxmlformats.org/officeDocument/2006/relationships/hyperlink" Target="http://www.comlaw.gov.au/Current/C2013C00032" TargetMode="External"/><Relationship Id="rId483" Type="http://schemas.openxmlformats.org/officeDocument/2006/relationships/hyperlink" Target="https://www.legislation.gov.au/latest/C2016C00186" TargetMode="External"/><Relationship Id="rId518" Type="http://schemas.openxmlformats.org/officeDocument/2006/relationships/hyperlink" Target="https://www.legislation.gov.au/latest/C2016C00186" TargetMode="External"/><Relationship Id="rId539" Type="http://schemas.openxmlformats.org/officeDocument/2006/relationships/hyperlink" Target="https://www.legislation.gov.au/latest/C2016C00186" TargetMode="External"/><Relationship Id="rId40" Type="http://schemas.openxmlformats.org/officeDocument/2006/relationships/hyperlink" Target="https://www.legislation.gov.au/latest/C2016C00186" TargetMode="External"/><Relationship Id="rId115" Type="http://schemas.openxmlformats.org/officeDocument/2006/relationships/hyperlink" Target="https://www.legislation.gov.au/latest/F2015L01475" TargetMode="External"/><Relationship Id="rId136" Type="http://schemas.openxmlformats.org/officeDocument/2006/relationships/hyperlink" Target="https://www.legislation.gov.au/latest/C2016C00186" TargetMode="External"/><Relationship Id="rId157" Type="http://schemas.openxmlformats.org/officeDocument/2006/relationships/hyperlink" Target="https://www.legislation.gov.au/latest/C2016C00186" TargetMode="External"/><Relationship Id="rId178" Type="http://schemas.openxmlformats.org/officeDocument/2006/relationships/hyperlink" Target="https://www.legislation.gov.au/latest/C2016C00186" TargetMode="External"/><Relationship Id="rId301" Type="http://schemas.openxmlformats.org/officeDocument/2006/relationships/image" Target="media/image10.png"/><Relationship Id="rId322" Type="http://schemas.openxmlformats.org/officeDocument/2006/relationships/hyperlink" Target="mailto:lodge@legislation.gov.au" TargetMode="External"/><Relationship Id="rId343" Type="http://schemas.openxmlformats.org/officeDocument/2006/relationships/hyperlink" Target="https://www.legislation.gov.au/latest/C2016C00186" TargetMode="External"/><Relationship Id="rId364" Type="http://schemas.openxmlformats.org/officeDocument/2006/relationships/hyperlink" Target="https://www.legislation.gov.au/latest/C2016C00186" TargetMode="External"/><Relationship Id="rId550" Type="http://schemas.openxmlformats.org/officeDocument/2006/relationships/hyperlink" Target="https://www.legislation.gov.au/latest/C2016C00186" TargetMode="External"/><Relationship Id="rId61" Type="http://schemas.openxmlformats.org/officeDocument/2006/relationships/hyperlink" Target="https://www.legislation.gov.au/latest/C2016C00186" TargetMode="External"/><Relationship Id="rId82" Type="http://schemas.openxmlformats.org/officeDocument/2006/relationships/hyperlink" Target="https://www.legislation.gov.au/latest/C2016C00186" TargetMode="External"/><Relationship Id="rId199" Type="http://schemas.openxmlformats.org/officeDocument/2006/relationships/hyperlink" Target="mailto:CriminalLaw[at]ag.gov.au" TargetMode="External"/><Relationship Id="rId203" Type="http://schemas.openxmlformats.org/officeDocument/2006/relationships/hyperlink" Target="https://www.opc.gov.au/drafting-resources/drafting-directions" TargetMode="External"/><Relationship Id="rId385" Type="http://schemas.openxmlformats.org/officeDocument/2006/relationships/hyperlink" Target="http://www.comlaw.gov.au/Current/C2013C00210" TargetMode="External"/><Relationship Id="rId571" Type="http://schemas.openxmlformats.org/officeDocument/2006/relationships/hyperlink" Target="https://www.legislation.gov.au/latest/C2016C00186" TargetMode="External"/><Relationship Id="rId592" Type="http://schemas.openxmlformats.org/officeDocument/2006/relationships/hyperlink" Target="http://www.comlaw.gov.au/Current/C2013C00032" TargetMode="External"/><Relationship Id="rId606" Type="http://schemas.openxmlformats.org/officeDocument/2006/relationships/hyperlink" Target="http://www.comlaw.gov.au/Current/C2013C00032" TargetMode="External"/><Relationship Id="rId627" Type="http://schemas.openxmlformats.org/officeDocument/2006/relationships/hyperlink" Target="http://www.comlaw.gov.au/Current/C2013C00032" TargetMode="External"/><Relationship Id="rId648" Type="http://schemas.openxmlformats.org/officeDocument/2006/relationships/hyperlink" Target="https://www.pmc.gov.au/resource-centre/government/legislation-handbook" TargetMode="External"/><Relationship Id="rId669" Type="http://schemas.openxmlformats.org/officeDocument/2006/relationships/hyperlink" Target="mailto:CriminalLaw[at]ag.gov.au" TargetMode="External"/><Relationship Id="rId19" Type="http://schemas.openxmlformats.org/officeDocument/2006/relationships/header" Target="header2.xml"/><Relationship Id="rId224" Type="http://schemas.openxmlformats.org/officeDocument/2006/relationships/hyperlink" Target="https://www.legislation.gov.au/latest/F2016L00229" TargetMode="External"/><Relationship Id="rId245" Type="http://schemas.openxmlformats.org/officeDocument/2006/relationships/hyperlink" Target="https://www.legislation.gov.au/latest/C2016C00186" TargetMode="External"/><Relationship Id="rId266" Type="http://schemas.openxmlformats.org/officeDocument/2006/relationships/hyperlink" Target="https://www.legislation.gov.au/latest/C2016C00186" TargetMode="External"/><Relationship Id="rId287" Type="http://schemas.openxmlformats.org/officeDocument/2006/relationships/hyperlink" Target="https://www.comlaw.gov.au/Current/F2016L00229" TargetMode="External"/><Relationship Id="rId410" Type="http://schemas.openxmlformats.org/officeDocument/2006/relationships/hyperlink" Target="http://www.comlaw.gov.au/Current/C2013C00032" TargetMode="External"/><Relationship Id="rId431" Type="http://schemas.openxmlformats.org/officeDocument/2006/relationships/hyperlink" Target="http://www.comlaw.gov.au/Current/C2013C00032" TargetMode="External"/><Relationship Id="rId452" Type="http://schemas.openxmlformats.org/officeDocument/2006/relationships/hyperlink" Target="https://www.legislation.gov.au/latest/F2016L00229" TargetMode="External"/><Relationship Id="rId473" Type="http://schemas.openxmlformats.org/officeDocument/2006/relationships/hyperlink" Target="http://www.comlaw.gov.au/Current/C2013C00032" TargetMode="External"/><Relationship Id="rId494" Type="http://schemas.openxmlformats.org/officeDocument/2006/relationships/hyperlink" Target="http://www.comlaw.gov.au/Current/C2013C00032" TargetMode="External"/><Relationship Id="rId508" Type="http://schemas.openxmlformats.org/officeDocument/2006/relationships/hyperlink" Target="https://www.legislation.gov.au/latest/C2016C00186" TargetMode="External"/><Relationship Id="rId529" Type="http://schemas.openxmlformats.org/officeDocument/2006/relationships/hyperlink" Target="http://www.comlaw.gov.au/Current/C2013C00032" TargetMode="External"/><Relationship Id="rId680" Type="http://schemas.openxmlformats.org/officeDocument/2006/relationships/theme" Target="theme/theme1.xml"/><Relationship Id="rId30" Type="http://schemas.openxmlformats.org/officeDocument/2006/relationships/hyperlink" Target="https://www.legislation.gov.au/latest/C2016C00186" TargetMode="External"/><Relationship Id="rId105" Type="http://schemas.openxmlformats.org/officeDocument/2006/relationships/hyperlink" Target="https://www.legislation.gov.au/latest/C2016C00186" TargetMode="External"/><Relationship Id="rId126" Type="http://schemas.openxmlformats.org/officeDocument/2006/relationships/hyperlink" Target="https://www.legislation.gov.au/Details/F2018C00409" TargetMode="External"/><Relationship Id="rId147" Type="http://schemas.openxmlformats.org/officeDocument/2006/relationships/hyperlink" Target="https://www.opc.gov.au/drafting-resources/drafting-directions" TargetMode="External"/><Relationship Id="rId168" Type="http://schemas.openxmlformats.org/officeDocument/2006/relationships/hyperlink" Target="https://www.legislation.gov.au/latest/C2016C00186" TargetMode="External"/><Relationship Id="rId312" Type="http://schemas.openxmlformats.org/officeDocument/2006/relationships/hyperlink" Target="mailto:lodge@legislation.gov.au" TargetMode="External"/><Relationship Id="rId333" Type="http://schemas.openxmlformats.org/officeDocument/2006/relationships/hyperlink" Target="https://www.legislation.gov.au/latest/C2016C00186" TargetMode="External"/><Relationship Id="rId354" Type="http://schemas.openxmlformats.org/officeDocument/2006/relationships/hyperlink" Target="https://www.comlaw.gov.au/Current/F2016L00229" TargetMode="External"/><Relationship Id="rId540" Type="http://schemas.openxmlformats.org/officeDocument/2006/relationships/hyperlink" Target="http://www.comlaw.gov.au/Current/C2013C00032" TargetMode="External"/><Relationship Id="rId51" Type="http://schemas.openxmlformats.org/officeDocument/2006/relationships/hyperlink" Target="https://www.legislation.gov.au/latest/C2016C00186" TargetMode="External"/><Relationship Id="rId72" Type="http://schemas.openxmlformats.org/officeDocument/2006/relationships/hyperlink" Target="https://www.legislation.gov.au/latest/C2016C00186" TargetMode="External"/><Relationship Id="rId93" Type="http://schemas.openxmlformats.org/officeDocument/2006/relationships/hyperlink" Target="https://www.comlaw.gov.au/Current/F2015L01475/" TargetMode="External"/><Relationship Id="rId189" Type="http://schemas.openxmlformats.org/officeDocument/2006/relationships/hyperlink" Target="https://www.legislation.gov.au/latest/C2016C00186" TargetMode="External"/><Relationship Id="rId375" Type="http://schemas.openxmlformats.org/officeDocument/2006/relationships/hyperlink" Target="https://www.legislation.gov.au/latest/C2016C00186" TargetMode="External"/><Relationship Id="rId396" Type="http://schemas.openxmlformats.org/officeDocument/2006/relationships/hyperlink" Target="https://www.legislation.gov.au/latest/C2016C00195" TargetMode="External"/><Relationship Id="rId561" Type="http://schemas.openxmlformats.org/officeDocument/2006/relationships/hyperlink" Target="https://www.legislation.gov.au/latest/C2016C00186" TargetMode="External"/><Relationship Id="rId582" Type="http://schemas.openxmlformats.org/officeDocument/2006/relationships/hyperlink" Target="https://www.comlaw.gov.au/Current/F2015L01475/" TargetMode="External"/><Relationship Id="rId617" Type="http://schemas.openxmlformats.org/officeDocument/2006/relationships/hyperlink" Target="https://www.legislation.gov.au/latest/C2016C00186" TargetMode="External"/><Relationship Id="rId638" Type="http://schemas.openxmlformats.org/officeDocument/2006/relationships/hyperlink" Target="https://www.legislation.gov.au/latest/C2016C00151" TargetMode="External"/><Relationship Id="rId659" Type="http://schemas.openxmlformats.org/officeDocument/2006/relationships/hyperlink" Target="mailto:compilations@opc.gov.au" TargetMode="External"/><Relationship Id="rId3" Type="http://schemas.openxmlformats.org/officeDocument/2006/relationships/styles" Target="styles.xml"/><Relationship Id="rId214" Type="http://schemas.openxmlformats.org/officeDocument/2006/relationships/hyperlink" Target="https://www.legislation.gov.au/latest/C2016C00186" TargetMode="External"/><Relationship Id="rId235" Type="http://schemas.openxmlformats.org/officeDocument/2006/relationships/hyperlink" Target="https://www.legislation.gov.au/latest/C2016C00186" TargetMode="External"/><Relationship Id="rId256" Type="http://schemas.openxmlformats.org/officeDocument/2006/relationships/hyperlink" Target="mailto:lodge@legislation.gov.au" TargetMode="External"/><Relationship Id="rId277" Type="http://schemas.openxmlformats.org/officeDocument/2006/relationships/hyperlink" Target="https://www.legislation.gov.au/latest/C2016C00186" TargetMode="External"/><Relationship Id="rId298" Type="http://schemas.openxmlformats.org/officeDocument/2006/relationships/hyperlink" Target="https://www.legislation.gov.au/latest/F2016L00229" TargetMode="External"/><Relationship Id="rId400" Type="http://schemas.openxmlformats.org/officeDocument/2006/relationships/hyperlink" Target="http://www.comlaw.gov.au/Current/C2013C00032" TargetMode="External"/><Relationship Id="rId421" Type="http://schemas.openxmlformats.org/officeDocument/2006/relationships/hyperlink" Target="https://www.legislation.gov.au/Latest/C2015C00191" TargetMode="External"/><Relationship Id="rId442" Type="http://schemas.openxmlformats.org/officeDocument/2006/relationships/hyperlink" Target="https://www.legislation.gov.au/latest/C2016C00186" TargetMode="External"/><Relationship Id="rId463" Type="http://schemas.openxmlformats.org/officeDocument/2006/relationships/hyperlink" Target="https://www.legislation.gov.au/latest/C2016C00186" TargetMode="External"/><Relationship Id="rId484" Type="http://schemas.openxmlformats.org/officeDocument/2006/relationships/hyperlink" Target="http://www.comlaw.gov.au/Current/C2013C00032" TargetMode="External"/><Relationship Id="rId519" Type="http://schemas.openxmlformats.org/officeDocument/2006/relationships/hyperlink" Target="mailto:adminlaw@ag.gov.au" TargetMode="External"/><Relationship Id="rId670" Type="http://schemas.openxmlformats.org/officeDocument/2006/relationships/hyperlink" Target="mailto:helpdesk-obpr@pmc.gov.au" TargetMode="External"/><Relationship Id="rId116" Type="http://schemas.openxmlformats.org/officeDocument/2006/relationships/hyperlink" Target="https://www.legislation.gov.au/latest/C2016C00186" TargetMode="External"/><Relationship Id="rId137" Type="http://schemas.openxmlformats.org/officeDocument/2006/relationships/hyperlink" Target="https://www.legislation.gov.au/latest/C2016C00186" TargetMode="External"/><Relationship Id="rId158" Type="http://schemas.openxmlformats.org/officeDocument/2006/relationships/hyperlink" Target="https://www.legislation.gov.au/latest/C2016C00186" TargetMode="External"/><Relationship Id="rId302" Type="http://schemas.openxmlformats.org/officeDocument/2006/relationships/hyperlink" Target="http://www.comlaw.gov.au/Current/C2004A01224" TargetMode="External"/><Relationship Id="rId323" Type="http://schemas.openxmlformats.org/officeDocument/2006/relationships/hyperlink" Target="mailto:lodge@legislation.gov.au" TargetMode="External"/><Relationship Id="rId344" Type="http://schemas.openxmlformats.org/officeDocument/2006/relationships/hyperlink" Target="https://www.legislation.gov.au/latest/C2016C00186" TargetMode="External"/><Relationship Id="rId530" Type="http://schemas.openxmlformats.org/officeDocument/2006/relationships/hyperlink" Target="https://www.legislation.gov.au/latest/C2016C00186" TargetMode="External"/><Relationship Id="rId20" Type="http://schemas.openxmlformats.org/officeDocument/2006/relationships/footer" Target="footer1.xml"/><Relationship Id="rId41" Type="http://schemas.openxmlformats.org/officeDocument/2006/relationships/hyperlink" Target="https://www.legislation.gov.au/latest/F2015L01475" TargetMode="External"/><Relationship Id="rId62" Type="http://schemas.openxmlformats.org/officeDocument/2006/relationships/hyperlink" Target="https://www.legislation.gov.au/latest/C2016C00186" TargetMode="External"/><Relationship Id="rId83" Type="http://schemas.openxmlformats.org/officeDocument/2006/relationships/hyperlink" Target="https://www.legislation.gov.au/latest/F2015L01475" TargetMode="External"/><Relationship Id="rId179" Type="http://schemas.openxmlformats.org/officeDocument/2006/relationships/hyperlink" Target="https://www.opc.gov.au/drafting-resources/drafting-manuals" TargetMode="External"/><Relationship Id="rId365" Type="http://schemas.openxmlformats.org/officeDocument/2006/relationships/hyperlink" Target="https://www.legislation.gov.au/latest/C2016C00186" TargetMode="External"/><Relationship Id="rId386" Type="http://schemas.openxmlformats.org/officeDocument/2006/relationships/hyperlink" Target="https://www.legislation.gov.au/latest/C2016C00151" TargetMode="External"/><Relationship Id="rId551" Type="http://schemas.openxmlformats.org/officeDocument/2006/relationships/hyperlink" Target="http://www.comlaw.gov.au/Current/C2013C00032" TargetMode="External"/><Relationship Id="rId572" Type="http://schemas.openxmlformats.org/officeDocument/2006/relationships/hyperlink" Target="mailto:sunsetting@ag.gov.au" TargetMode="External"/><Relationship Id="rId593" Type="http://schemas.openxmlformats.org/officeDocument/2006/relationships/hyperlink" Target="https://lodge.legislation.gov.au" TargetMode="External"/><Relationship Id="rId607" Type="http://schemas.openxmlformats.org/officeDocument/2006/relationships/hyperlink" Target="http://www.comlaw.gov.au/Current/C2013C00032" TargetMode="External"/><Relationship Id="rId628" Type="http://schemas.openxmlformats.org/officeDocument/2006/relationships/hyperlink" Target="https://www.legislation.gov.au/latest/C2016C00186" TargetMode="External"/><Relationship Id="rId649" Type="http://schemas.openxmlformats.org/officeDocument/2006/relationships/hyperlink" Target="https://www.opc.gov.au/drafting-resources/client-advisers" TargetMode="External"/><Relationship Id="rId190" Type="http://schemas.openxmlformats.org/officeDocument/2006/relationships/hyperlink" Target="https://www.legislation.gov.au/latest/C2016C00186" TargetMode="External"/><Relationship Id="rId204" Type="http://schemas.openxmlformats.org/officeDocument/2006/relationships/hyperlink" Target="https://www.legislation.gov.au/latest/C2016C00278" TargetMode="External"/><Relationship Id="rId225" Type="http://schemas.openxmlformats.org/officeDocument/2006/relationships/hyperlink" Target="https://www.legislation.gov.au/latest/C2016C00186" TargetMode="External"/><Relationship Id="rId246" Type="http://schemas.openxmlformats.org/officeDocument/2006/relationships/hyperlink" Target="https://www.legislation.gov.au/latest/C2016C00186" TargetMode="External"/><Relationship Id="rId267" Type="http://schemas.openxmlformats.org/officeDocument/2006/relationships/hyperlink" Target="https://www.legislation.gov.au/latest/F2016L00229" TargetMode="External"/><Relationship Id="rId288" Type="http://schemas.openxmlformats.org/officeDocument/2006/relationships/hyperlink" Target="https://www.legislation.gov.au/latest/F2016L00229" TargetMode="External"/><Relationship Id="rId411" Type="http://schemas.openxmlformats.org/officeDocument/2006/relationships/hyperlink" Target="https://www.legislation.gov.au/latest/C2016C00186" TargetMode="External"/><Relationship Id="rId432" Type="http://schemas.openxmlformats.org/officeDocument/2006/relationships/hyperlink" Target="http://www.comlaw.gov.au/Current/C2013C00032" TargetMode="External"/><Relationship Id="rId453" Type="http://schemas.openxmlformats.org/officeDocument/2006/relationships/hyperlink" Target="https://www.legislation.gov.au/latest/F2016L00229" TargetMode="External"/><Relationship Id="rId474" Type="http://schemas.openxmlformats.org/officeDocument/2006/relationships/hyperlink" Target="http://www.comlaw.gov.au/Current/C2013C00032" TargetMode="External"/><Relationship Id="rId509" Type="http://schemas.openxmlformats.org/officeDocument/2006/relationships/hyperlink" Target="http://www.comlaw.gov.au/Current/C2013C00032" TargetMode="External"/><Relationship Id="rId660" Type="http://schemas.openxmlformats.org/officeDocument/2006/relationships/hyperlink" Target="mailto:lodge@legislation.gov.au" TargetMode="External"/><Relationship Id="rId106" Type="http://schemas.openxmlformats.org/officeDocument/2006/relationships/hyperlink" Target="https://www.legislation.gov.au/latest/C2016C00186" TargetMode="External"/><Relationship Id="rId127" Type="http://schemas.openxmlformats.org/officeDocument/2006/relationships/hyperlink" Target="https://www.opc.gov.au/drafting-resources/client-advisers" TargetMode="External"/><Relationship Id="rId313" Type="http://schemas.openxmlformats.org/officeDocument/2006/relationships/hyperlink" Target="https://lodge.legislation.gov.au" TargetMode="External"/><Relationship Id="rId495" Type="http://schemas.openxmlformats.org/officeDocument/2006/relationships/hyperlink" Target="https://www.legislation.gov.au/latest/C2016C00186" TargetMode="External"/><Relationship Id="rId10" Type="http://schemas.openxmlformats.org/officeDocument/2006/relationships/hyperlink" Target="https://www.legislation.gov.au/latest/C2016C00186" TargetMode="External"/><Relationship Id="rId31" Type="http://schemas.openxmlformats.org/officeDocument/2006/relationships/hyperlink" Target="https://www.legislation.gov.au/Latest/C2018A00078" TargetMode="External"/><Relationship Id="rId52" Type="http://schemas.openxmlformats.org/officeDocument/2006/relationships/hyperlink" Target="https://www.legislation.gov.au/latest/C2016C00186" TargetMode="External"/><Relationship Id="rId73" Type="http://schemas.openxmlformats.org/officeDocument/2006/relationships/hyperlink" Target="https://www.legislation.gov.au/latest/C2016C00186" TargetMode="External"/><Relationship Id="rId94" Type="http://schemas.openxmlformats.org/officeDocument/2006/relationships/hyperlink" Target="https://www.legislation.gov.au/latest/F2015L01475" TargetMode="External"/><Relationship Id="rId148" Type="http://schemas.openxmlformats.org/officeDocument/2006/relationships/image" Target="media/image3.png"/><Relationship Id="rId169" Type="http://schemas.openxmlformats.org/officeDocument/2006/relationships/hyperlink" Target="http://www.comlaw.gov.au/Current/C2013C00210" TargetMode="External"/><Relationship Id="rId334" Type="http://schemas.openxmlformats.org/officeDocument/2006/relationships/hyperlink" Target="https://www.legislation.gov.au/latest/C2016C00186" TargetMode="External"/><Relationship Id="rId355" Type="http://schemas.openxmlformats.org/officeDocument/2006/relationships/hyperlink" Target="https://www.legislation.gov.au/latest/F2016L00229" TargetMode="External"/><Relationship Id="rId376" Type="http://schemas.openxmlformats.org/officeDocument/2006/relationships/hyperlink" Target="https://www.legislation.gov.au/latest/C2016C00186" TargetMode="External"/><Relationship Id="rId397" Type="http://schemas.openxmlformats.org/officeDocument/2006/relationships/hyperlink" Target="http://www.comlaw.gov.au/Current/C2013C00032" TargetMode="External"/><Relationship Id="rId520" Type="http://schemas.openxmlformats.org/officeDocument/2006/relationships/hyperlink" Target="http://www.comlaw.gov.au/Current/C2013C00032" TargetMode="External"/><Relationship Id="rId541" Type="http://schemas.openxmlformats.org/officeDocument/2006/relationships/hyperlink" Target="http://www.comlaw.gov.au/Current/C2013C00032" TargetMode="External"/><Relationship Id="rId562" Type="http://schemas.openxmlformats.org/officeDocument/2006/relationships/hyperlink" Target="http://www.comlaw.gov.au/Current/C2013C00032" TargetMode="External"/><Relationship Id="rId583" Type="http://schemas.openxmlformats.org/officeDocument/2006/relationships/hyperlink" Target="https://www.legislation.gov.au/latest/F2015L01475" TargetMode="External"/><Relationship Id="rId618" Type="http://schemas.openxmlformats.org/officeDocument/2006/relationships/hyperlink" Target="http://www.comlaw.gov.au/Current/C2013C00032" TargetMode="External"/><Relationship Id="rId639" Type="http://schemas.openxmlformats.org/officeDocument/2006/relationships/hyperlink" Target="https://www.legislation.gov.au/latest/C2016C00186" TargetMode="External"/><Relationship Id="rId4" Type="http://schemas.openxmlformats.org/officeDocument/2006/relationships/settings" Target="settings.xml"/><Relationship Id="rId180" Type="http://schemas.openxmlformats.org/officeDocument/2006/relationships/hyperlink" Target="https://www.legislation.gov.au/latest/C2016C00186" TargetMode="External"/><Relationship Id="rId215" Type="http://schemas.openxmlformats.org/officeDocument/2006/relationships/hyperlink" Target="https://www.legislation.gov.au/latest/C2015C00398" TargetMode="External"/><Relationship Id="rId236" Type="http://schemas.openxmlformats.org/officeDocument/2006/relationships/hyperlink" Target="https://www.legislation.gov.au/latest/C2016C00186" TargetMode="External"/><Relationship Id="rId257" Type="http://schemas.openxmlformats.org/officeDocument/2006/relationships/hyperlink" Target="mailto:compilations@opc.gov.au" TargetMode="External"/><Relationship Id="rId278" Type="http://schemas.openxmlformats.org/officeDocument/2006/relationships/hyperlink" Target="https://www.legislation.gov.au/latest/C2016C00186" TargetMode="External"/><Relationship Id="rId401" Type="http://schemas.openxmlformats.org/officeDocument/2006/relationships/hyperlink" Target="http://www.comlaw.gov.au/Current/C2013C00032" TargetMode="External"/><Relationship Id="rId422" Type="http://schemas.openxmlformats.org/officeDocument/2006/relationships/hyperlink" Target="https://www.legislation.gov.au/Latest/C2021C00563" TargetMode="External"/><Relationship Id="rId443" Type="http://schemas.openxmlformats.org/officeDocument/2006/relationships/hyperlink" Target="http://www.comlaw.gov.au/Current/C2013C00032" TargetMode="External"/><Relationship Id="rId464" Type="http://schemas.openxmlformats.org/officeDocument/2006/relationships/hyperlink" Target="http://www.comlaw.gov.au/Current/C2013C00032" TargetMode="External"/><Relationship Id="rId650" Type="http://schemas.openxmlformats.org/officeDocument/2006/relationships/hyperlink" Target="https://www.opc.gov.au/drafting-resources/drafting-manuals" TargetMode="External"/><Relationship Id="rId303" Type="http://schemas.openxmlformats.org/officeDocument/2006/relationships/image" Target="media/image11.png"/><Relationship Id="rId485" Type="http://schemas.openxmlformats.org/officeDocument/2006/relationships/hyperlink" Target="http://www.comlaw.gov.au/Current/C2013C00032" TargetMode="External"/><Relationship Id="rId42" Type="http://schemas.openxmlformats.org/officeDocument/2006/relationships/hyperlink" Target="https://www.legislation.gov.au/latest/C2016C00186" TargetMode="External"/><Relationship Id="rId84" Type="http://schemas.openxmlformats.org/officeDocument/2006/relationships/hyperlink" Target="https://www.legislation.gov.au/latest/C2016C00186" TargetMode="External"/><Relationship Id="rId138" Type="http://schemas.openxmlformats.org/officeDocument/2006/relationships/hyperlink" Target="https://www.legislation.gov.au/latest/C2016C00186" TargetMode="External"/><Relationship Id="rId345" Type="http://schemas.openxmlformats.org/officeDocument/2006/relationships/hyperlink" Target="https://www.legislation.gov.au/latest/C2016C00186" TargetMode="External"/><Relationship Id="rId387" Type="http://schemas.openxmlformats.org/officeDocument/2006/relationships/hyperlink" Target="http://www.comlaw.gov.au/Current/C2013C00032" TargetMode="External"/><Relationship Id="rId510" Type="http://schemas.openxmlformats.org/officeDocument/2006/relationships/hyperlink" Target="http://www.comlaw.gov.au/Current/C2013C00032" TargetMode="External"/><Relationship Id="rId552" Type="http://schemas.openxmlformats.org/officeDocument/2006/relationships/hyperlink" Target="http://www.comlaw.gov.au/Current/C2013C00032" TargetMode="External"/><Relationship Id="rId594" Type="http://schemas.openxmlformats.org/officeDocument/2006/relationships/hyperlink" Target="mailto:sunsetting@ag.gov.au" TargetMode="External"/><Relationship Id="rId608" Type="http://schemas.openxmlformats.org/officeDocument/2006/relationships/hyperlink" Target="http://www.comlaw.gov.au/Current/C2013C00032" TargetMode="External"/><Relationship Id="rId191" Type="http://schemas.openxmlformats.org/officeDocument/2006/relationships/hyperlink" Target="https://www.legislation.gov.au/latest/C2016C00186" TargetMode="External"/><Relationship Id="rId205" Type="http://schemas.openxmlformats.org/officeDocument/2006/relationships/hyperlink" Target="https://www.legislation.gov.au/latest/C2015C00252" TargetMode="External"/><Relationship Id="rId247" Type="http://schemas.openxmlformats.org/officeDocument/2006/relationships/hyperlink" Target="https://www.legislation.gov.au/latest/C2016C00186" TargetMode="External"/><Relationship Id="rId412" Type="http://schemas.openxmlformats.org/officeDocument/2006/relationships/hyperlink" Target="https://www.legislation.gov.au/latest/C2016C00195" TargetMode="External"/><Relationship Id="rId107" Type="http://schemas.openxmlformats.org/officeDocument/2006/relationships/hyperlink" Target="https://www.legislation.gov.au/latest/C2016C00186" TargetMode="External"/><Relationship Id="rId289" Type="http://schemas.openxmlformats.org/officeDocument/2006/relationships/image" Target="media/image5.png"/><Relationship Id="rId454" Type="http://schemas.openxmlformats.org/officeDocument/2006/relationships/hyperlink" Target="http://www.comlaw.gov.au/Current/C2013C00032" TargetMode="External"/><Relationship Id="rId496" Type="http://schemas.openxmlformats.org/officeDocument/2006/relationships/hyperlink" Target="http://www.comlaw.gov.au/Current/C2013C00032" TargetMode="External"/><Relationship Id="rId661" Type="http://schemas.openxmlformats.org/officeDocument/2006/relationships/hyperlink" Target="mailto:sunsetting@opc.gov.au" TargetMode="External"/><Relationship Id="rId11" Type="http://schemas.openxmlformats.org/officeDocument/2006/relationships/hyperlink" Target="https://www.legislation.gov.au/latest/F2015L01475" TargetMode="External"/><Relationship Id="rId53" Type="http://schemas.openxmlformats.org/officeDocument/2006/relationships/hyperlink" Target="https://www.legislation.gov.au/latest/C2016C00186" TargetMode="External"/><Relationship Id="rId149" Type="http://schemas.openxmlformats.org/officeDocument/2006/relationships/image" Target="media/image4.png"/><Relationship Id="rId314" Type="http://schemas.openxmlformats.org/officeDocument/2006/relationships/hyperlink" Target="https://www.comlaw.gov.au/Current/F2016L00229" TargetMode="External"/><Relationship Id="rId356" Type="http://schemas.openxmlformats.org/officeDocument/2006/relationships/hyperlink" Target="https://www.legislation.gov.au/Latest/C2016C00741" TargetMode="External"/><Relationship Id="rId398" Type="http://schemas.openxmlformats.org/officeDocument/2006/relationships/hyperlink" Target="https://www.legislation.gov.au/latest/C2016C00186" TargetMode="External"/><Relationship Id="rId521" Type="http://schemas.openxmlformats.org/officeDocument/2006/relationships/hyperlink" Target="http://www.comlaw.gov.au/Current/C2013C00032" TargetMode="External"/><Relationship Id="rId563" Type="http://schemas.openxmlformats.org/officeDocument/2006/relationships/hyperlink" Target="http://www.comlaw.gov.au/Current/C2013C00032" TargetMode="External"/><Relationship Id="rId619" Type="http://schemas.openxmlformats.org/officeDocument/2006/relationships/hyperlink" Target="http://www.comlaw.gov.au/Current/C2013C00032" TargetMode="External"/><Relationship Id="rId95" Type="http://schemas.openxmlformats.org/officeDocument/2006/relationships/hyperlink" Target="https://www.comlaw.gov.au/Current/F2015L01475/" TargetMode="External"/><Relationship Id="rId160" Type="http://schemas.openxmlformats.org/officeDocument/2006/relationships/hyperlink" Target="https://www.legislation.gov.au/latest/C2016C00186" TargetMode="External"/><Relationship Id="rId216" Type="http://schemas.openxmlformats.org/officeDocument/2006/relationships/hyperlink" Target="https://www.naa.gov.au/information-management/records-authorities/types-records-authorities/general-records-authority-31" TargetMode="External"/><Relationship Id="rId423" Type="http://schemas.openxmlformats.org/officeDocument/2006/relationships/hyperlink" Target="http://www.comlaw.gov.au/Current/C2013C00032" TargetMode="External"/><Relationship Id="rId258" Type="http://schemas.openxmlformats.org/officeDocument/2006/relationships/hyperlink" Target="mailto:lodge@legislation.gov.au" TargetMode="External"/><Relationship Id="rId465" Type="http://schemas.openxmlformats.org/officeDocument/2006/relationships/hyperlink" Target="http://www.comlaw.gov.au/Current/C2013C00032" TargetMode="External"/><Relationship Id="rId630" Type="http://schemas.openxmlformats.org/officeDocument/2006/relationships/hyperlink" Target="http://www.comlaw.gov.au/Current/C2013C00032" TargetMode="External"/><Relationship Id="rId672" Type="http://schemas.openxmlformats.org/officeDocument/2006/relationships/hyperlink" Target="mailto:exco@pmc.gov.au" TargetMode="External"/><Relationship Id="rId22" Type="http://schemas.openxmlformats.org/officeDocument/2006/relationships/header" Target="header3.xml"/><Relationship Id="rId64" Type="http://schemas.openxmlformats.org/officeDocument/2006/relationships/hyperlink" Target="https://www.legislation.gov.au/latest/C2016C00186" TargetMode="External"/><Relationship Id="rId118" Type="http://schemas.openxmlformats.org/officeDocument/2006/relationships/hyperlink" Target="https://www.comlaw.gov.au/Current/F2015L01475/" TargetMode="External"/><Relationship Id="rId325" Type="http://schemas.openxmlformats.org/officeDocument/2006/relationships/hyperlink" Target="https://www.legislation.gov.au/Feedback" TargetMode="External"/><Relationship Id="rId367" Type="http://schemas.openxmlformats.org/officeDocument/2006/relationships/hyperlink" Target="https://www.legislation.gov.au/Details/F2018C00409" TargetMode="External"/><Relationship Id="rId532" Type="http://schemas.openxmlformats.org/officeDocument/2006/relationships/hyperlink" Target="http://www.comlaw.gov.au/Current/C2013C00032" TargetMode="External"/><Relationship Id="rId574" Type="http://schemas.openxmlformats.org/officeDocument/2006/relationships/hyperlink" Target="http://www.comlaw.gov.au/Current/C2013C00032" TargetMode="External"/><Relationship Id="rId171" Type="http://schemas.openxmlformats.org/officeDocument/2006/relationships/hyperlink" Target="https://www.legislation.gov.au/latest/C2016C00186" TargetMode="External"/><Relationship Id="rId227" Type="http://schemas.openxmlformats.org/officeDocument/2006/relationships/hyperlink" Target="https://www.legislation.gov.au/latest/C2016C00186" TargetMode="External"/><Relationship Id="rId269" Type="http://schemas.openxmlformats.org/officeDocument/2006/relationships/hyperlink" Target="https://www.legislation.gov.au/latest/C2016C00186" TargetMode="External"/><Relationship Id="rId434" Type="http://schemas.openxmlformats.org/officeDocument/2006/relationships/hyperlink" Target="http://www.comlaw.gov.au/Current/C2013C00032" TargetMode="External"/><Relationship Id="rId476" Type="http://schemas.openxmlformats.org/officeDocument/2006/relationships/hyperlink" Target="http://www.comlaw.gov.au/Current/C2013C00210" TargetMode="External"/><Relationship Id="rId641" Type="http://schemas.openxmlformats.org/officeDocument/2006/relationships/hyperlink" Target="https://www.legislation.gov.au/Latest/F2016L00229" TargetMode="External"/><Relationship Id="rId33" Type="http://schemas.openxmlformats.org/officeDocument/2006/relationships/hyperlink" Target="https://www.legislation.gov.au/latest/C2016C00186" TargetMode="External"/><Relationship Id="rId129" Type="http://schemas.openxmlformats.org/officeDocument/2006/relationships/hyperlink" Target="https://www.legislation.gov.au/latest/C2016C00186" TargetMode="External"/><Relationship Id="rId280" Type="http://schemas.openxmlformats.org/officeDocument/2006/relationships/hyperlink" Target="https://www.comlaw.gov.au/Current/F2016L00229" TargetMode="External"/><Relationship Id="rId336" Type="http://schemas.openxmlformats.org/officeDocument/2006/relationships/hyperlink" Target="https://www.legislation.gov.au/latest/C2016C00186" TargetMode="External"/><Relationship Id="rId501" Type="http://schemas.openxmlformats.org/officeDocument/2006/relationships/hyperlink" Target="http://www.comlaw.gov.au/Current/C2013C00032" TargetMode="External"/><Relationship Id="rId543" Type="http://schemas.openxmlformats.org/officeDocument/2006/relationships/hyperlink" Target="https://www.legislation.gov.au/latest/C2016C00186" TargetMode="External"/><Relationship Id="rId75" Type="http://schemas.openxmlformats.org/officeDocument/2006/relationships/hyperlink" Target="https://www.comlaw.gov.au/Current/F2015L01475/" TargetMode="External"/><Relationship Id="rId140" Type="http://schemas.openxmlformats.org/officeDocument/2006/relationships/image" Target="media/image2.png"/><Relationship Id="rId182" Type="http://schemas.openxmlformats.org/officeDocument/2006/relationships/hyperlink" Target="http://www.comlaw.gov.au/Current/C2013C00210" TargetMode="External"/><Relationship Id="rId378" Type="http://schemas.openxmlformats.org/officeDocument/2006/relationships/hyperlink" Target="https://www.legislation.gov.au/latest/C2016C00186" TargetMode="External"/><Relationship Id="rId403" Type="http://schemas.openxmlformats.org/officeDocument/2006/relationships/hyperlink" Target="https://www.legislation.gov.au/latest/C2016C00186" TargetMode="External"/><Relationship Id="rId585" Type="http://schemas.openxmlformats.org/officeDocument/2006/relationships/hyperlink" Target="http://www.comlaw.gov.au/Current/C2013C00032" TargetMode="External"/><Relationship Id="rId6" Type="http://schemas.openxmlformats.org/officeDocument/2006/relationships/footnotes" Target="footnotes.xml"/><Relationship Id="rId238" Type="http://schemas.openxmlformats.org/officeDocument/2006/relationships/hyperlink" Target="https://www.legislation.gov.au/latest/C2016C00186" TargetMode="External"/><Relationship Id="rId445" Type="http://schemas.openxmlformats.org/officeDocument/2006/relationships/hyperlink" Target="https://www.legislation.gov.au/latest/C2016C00186" TargetMode="External"/><Relationship Id="rId487" Type="http://schemas.openxmlformats.org/officeDocument/2006/relationships/hyperlink" Target="http://www.comlaw.gov.au/Current/C2013C00032" TargetMode="External"/><Relationship Id="rId610" Type="http://schemas.openxmlformats.org/officeDocument/2006/relationships/hyperlink" Target="http://www.comlaw.gov.au/Current/C2013C00032" TargetMode="External"/><Relationship Id="rId652" Type="http://schemas.openxmlformats.org/officeDocument/2006/relationships/hyperlink" Target="https://www.opc.gov.au/drafting-resources/drafting-directions" TargetMode="External"/><Relationship Id="rId291" Type="http://schemas.openxmlformats.org/officeDocument/2006/relationships/image" Target="media/image7.png"/><Relationship Id="rId305" Type="http://schemas.openxmlformats.org/officeDocument/2006/relationships/hyperlink" Target="mailto:lodge@legislation.gov.au" TargetMode="External"/><Relationship Id="rId347" Type="http://schemas.openxmlformats.org/officeDocument/2006/relationships/hyperlink" Target="https://www.legislation.gov.au/latest/C2016C00186" TargetMode="External"/><Relationship Id="rId512" Type="http://schemas.openxmlformats.org/officeDocument/2006/relationships/hyperlink" Target="https://www.comlaw.gov.au/Current/F2015L01475" TargetMode="External"/><Relationship Id="rId44" Type="http://schemas.openxmlformats.org/officeDocument/2006/relationships/hyperlink" Target="https://www.legislation.gov.au/latest/C2016C00186" TargetMode="External"/><Relationship Id="rId86" Type="http://schemas.openxmlformats.org/officeDocument/2006/relationships/hyperlink" Target="https://www.legislation.gov.au/latest/F2015L01475" TargetMode="External"/><Relationship Id="rId151" Type="http://schemas.openxmlformats.org/officeDocument/2006/relationships/hyperlink" Target="https://www.legislation.gov.au/latest/C2016C00186" TargetMode="External"/><Relationship Id="rId389" Type="http://schemas.openxmlformats.org/officeDocument/2006/relationships/hyperlink" Target="http://www.comlaw.gov.au/Current/C2013C00032" TargetMode="External"/><Relationship Id="rId554" Type="http://schemas.openxmlformats.org/officeDocument/2006/relationships/hyperlink" Target="https://www.legislation.gov.au/latest/C2016C00186" TargetMode="External"/><Relationship Id="rId596" Type="http://schemas.openxmlformats.org/officeDocument/2006/relationships/hyperlink" Target="https://www.legislation.gov.au/latest/C2016C00186" TargetMode="External"/><Relationship Id="rId193" Type="http://schemas.openxmlformats.org/officeDocument/2006/relationships/hyperlink" Target="http://www.comlaw.gov.au/Current/C2013C00210" TargetMode="External"/><Relationship Id="rId207" Type="http://schemas.openxmlformats.org/officeDocument/2006/relationships/hyperlink" Target="https://www.legislation.gov.au/Content/Disclaimer" TargetMode="External"/><Relationship Id="rId249" Type="http://schemas.openxmlformats.org/officeDocument/2006/relationships/hyperlink" Target="https://www.legislation.gov.au/latest/C2016C00186" TargetMode="External"/><Relationship Id="rId414" Type="http://schemas.openxmlformats.org/officeDocument/2006/relationships/hyperlink" Target="file:///C:\Users\milesA\Downloads\Scrutiny%20of%20Delegated%20Legislation%20Committee%20Guidelines%201st%20Edition%20(3).pdf" TargetMode="External"/><Relationship Id="rId456" Type="http://schemas.openxmlformats.org/officeDocument/2006/relationships/hyperlink" Target="http://www.comlaw.gov.au/Current/C2013C00032" TargetMode="External"/><Relationship Id="rId498" Type="http://schemas.openxmlformats.org/officeDocument/2006/relationships/hyperlink" Target="http://www.comlaw.gov.au/Current/C2013C00032" TargetMode="External"/><Relationship Id="rId621" Type="http://schemas.openxmlformats.org/officeDocument/2006/relationships/hyperlink" Target="http://www.comlaw.gov.au/Current/C2013C00032" TargetMode="External"/><Relationship Id="rId663" Type="http://schemas.openxmlformats.org/officeDocument/2006/relationships/hyperlink" Target="mailto:lodge@legislation.gov.au" TargetMode="External"/><Relationship Id="rId13" Type="http://schemas.openxmlformats.org/officeDocument/2006/relationships/hyperlink" Target="https://www.legislation.gov.au/Details/F2018C00409" TargetMode="External"/><Relationship Id="rId109" Type="http://schemas.openxmlformats.org/officeDocument/2006/relationships/hyperlink" Target="https://www.legislation.gov.au/latest/C2016C00186" TargetMode="External"/><Relationship Id="rId260" Type="http://schemas.openxmlformats.org/officeDocument/2006/relationships/hyperlink" Target="https://www.legislation.gov.au/latest/C2016C00186" TargetMode="External"/><Relationship Id="rId316" Type="http://schemas.openxmlformats.org/officeDocument/2006/relationships/hyperlink" Target="https://www.legislation.gov.au/latest/C2016C00186" TargetMode="External"/><Relationship Id="rId523" Type="http://schemas.openxmlformats.org/officeDocument/2006/relationships/hyperlink" Target="https://www.legislation.gov.au/latest/C2016C00186" TargetMode="External"/><Relationship Id="rId55" Type="http://schemas.openxmlformats.org/officeDocument/2006/relationships/hyperlink" Target="https://www.legislation.gov.au/latest/C2016C00186" TargetMode="External"/><Relationship Id="rId97" Type="http://schemas.openxmlformats.org/officeDocument/2006/relationships/hyperlink" Target="https://www.comlaw.gov.au/Current/F2015L01475/" TargetMode="External"/><Relationship Id="rId120" Type="http://schemas.openxmlformats.org/officeDocument/2006/relationships/hyperlink" Target="mailto:adminlaw@ag.gov.au" TargetMode="External"/><Relationship Id="rId358" Type="http://schemas.openxmlformats.org/officeDocument/2006/relationships/hyperlink" Target="https://www.legislation.gov.au/Content/Disclaimer" TargetMode="External"/><Relationship Id="rId565" Type="http://schemas.openxmlformats.org/officeDocument/2006/relationships/hyperlink" Target="https://www.legislation.gov.au/latest/C2016C00186" TargetMode="External"/><Relationship Id="rId162" Type="http://schemas.openxmlformats.org/officeDocument/2006/relationships/hyperlink" Target="https://www.legislation.gov.au/latest/C2016C00186" TargetMode="External"/><Relationship Id="rId218" Type="http://schemas.openxmlformats.org/officeDocument/2006/relationships/hyperlink" Target="https://www.legislation.gov.au/latest/F2016L00229" TargetMode="External"/><Relationship Id="rId425" Type="http://schemas.openxmlformats.org/officeDocument/2006/relationships/hyperlink" Target="https://www.legislation.gov.au/latest/C2016C00186" TargetMode="External"/><Relationship Id="rId467" Type="http://schemas.openxmlformats.org/officeDocument/2006/relationships/hyperlink" Target="http://www.comlaw.gov.au/Current/C2013C00032" TargetMode="External"/><Relationship Id="rId632" Type="http://schemas.openxmlformats.org/officeDocument/2006/relationships/hyperlink" Target="mailto:sunsetting@ag.gov.au" TargetMode="External"/><Relationship Id="rId271" Type="http://schemas.openxmlformats.org/officeDocument/2006/relationships/hyperlink" Target="https://www.legislation.gov.au/latest/C2016C00186" TargetMode="External"/><Relationship Id="rId674" Type="http://schemas.openxmlformats.org/officeDocument/2006/relationships/hyperlink" Target="mailto:human.rights@aph.gov.au" TargetMode="External"/><Relationship Id="rId24" Type="http://schemas.openxmlformats.org/officeDocument/2006/relationships/hyperlink" Target="https://www.legislation.gov.au/Details/C2017C00300" TargetMode="External"/><Relationship Id="rId66" Type="http://schemas.openxmlformats.org/officeDocument/2006/relationships/hyperlink" Target="https://www.legislation.gov.au/latest/C2016C00186" TargetMode="External"/><Relationship Id="rId131" Type="http://schemas.openxmlformats.org/officeDocument/2006/relationships/hyperlink" Target="https://www.legislation.gov.au/latest/C2016C00151" TargetMode="External"/><Relationship Id="rId327" Type="http://schemas.openxmlformats.org/officeDocument/2006/relationships/hyperlink" Target="https://www.legislation.gov.au/latest/C2016C00186" TargetMode="External"/><Relationship Id="rId369" Type="http://schemas.openxmlformats.org/officeDocument/2006/relationships/hyperlink" Target="https://www.legislation.gov.au/latest/C2016C00186" TargetMode="External"/><Relationship Id="rId534" Type="http://schemas.openxmlformats.org/officeDocument/2006/relationships/hyperlink" Target="https://www.legislation.gov.au/latest/C2016C00186" TargetMode="External"/><Relationship Id="rId576" Type="http://schemas.openxmlformats.org/officeDocument/2006/relationships/hyperlink" Target="mailto:helpdesk-obpr@pmc.gov.au" TargetMode="External"/><Relationship Id="rId173" Type="http://schemas.openxmlformats.org/officeDocument/2006/relationships/hyperlink" Target="https://www.legislation.gov.au/latest/C2016C00151" TargetMode="External"/><Relationship Id="rId229" Type="http://schemas.openxmlformats.org/officeDocument/2006/relationships/hyperlink" Target="https://www.legislation.gov.au/latest/C2016C00186" TargetMode="External"/><Relationship Id="rId380" Type="http://schemas.openxmlformats.org/officeDocument/2006/relationships/hyperlink" Target="https://www.legislation.gov.au/latest/C2016C00186" TargetMode="External"/><Relationship Id="rId436" Type="http://schemas.openxmlformats.org/officeDocument/2006/relationships/hyperlink" Target="http://www.comlaw.gov.au/Current/C2013C00032" TargetMode="External"/><Relationship Id="rId601" Type="http://schemas.openxmlformats.org/officeDocument/2006/relationships/hyperlink" Target="https://www.legislation.gov.au/latest/C2016C00186" TargetMode="External"/><Relationship Id="rId643" Type="http://schemas.openxmlformats.org/officeDocument/2006/relationships/hyperlink" Target="http://www.ag.gov.au/Publications/Pages/GuidetoFramingCommonwealthOffencesInfringementNoticesandEnforcementPowers.aspx" TargetMode="External"/><Relationship Id="rId240" Type="http://schemas.openxmlformats.org/officeDocument/2006/relationships/hyperlink" Target="https://www.legislation.gov.au/latest/C2016C00186" TargetMode="External"/><Relationship Id="rId478" Type="http://schemas.openxmlformats.org/officeDocument/2006/relationships/hyperlink" Target="http://www.comlaw.gov.au/Current/C2013C00032" TargetMode="External"/><Relationship Id="rId35" Type="http://schemas.openxmlformats.org/officeDocument/2006/relationships/hyperlink" Target="https://www.legislation.gov.au/latest/C2016C00186" TargetMode="External"/><Relationship Id="rId77" Type="http://schemas.openxmlformats.org/officeDocument/2006/relationships/hyperlink" Target="https://www.legislation.gov.au/latest/C2016C00186" TargetMode="External"/><Relationship Id="rId100" Type="http://schemas.openxmlformats.org/officeDocument/2006/relationships/hyperlink" Target="https://www.legislation.gov.au/latest/F2015L01475" TargetMode="External"/><Relationship Id="rId282" Type="http://schemas.openxmlformats.org/officeDocument/2006/relationships/hyperlink" Target="https://www.comlaw.gov.au/Current/F2016L00229" TargetMode="External"/><Relationship Id="rId338" Type="http://schemas.openxmlformats.org/officeDocument/2006/relationships/hyperlink" Target="https://www.legislation.gov.au/latest/C2016C00186" TargetMode="External"/><Relationship Id="rId503" Type="http://schemas.openxmlformats.org/officeDocument/2006/relationships/hyperlink" Target="https://www.legislation.gov.au/latest/C2016C00186" TargetMode="External"/><Relationship Id="rId545" Type="http://schemas.openxmlformats.org/officeDocument/2006/relationships/hyperlink" Target="http://www.comlaw.gov.au/Current/C2013C00032" TargetMode="External"/><Relationship Id="rId587" Type="http://schemas.openxmlformats.org/officeDocument/2006/relationships/hyperlink" Target="https://www.legislation.gov.au/latest/C2016C00186" TargetMode="External"/><Relationship Id="rId8" Type="http://schemas.openxmlformats.org/officeDocument/2006/relationships/image" Target="media/image1.jpeg"/><Relationship Id="rId142" Type="http://schemas.openxmlformats.org/officeDocument/2006/relationships/hyperlink" Target="https://www.legislation.gov.au/latest/C2016C00186" TargetMode="External"/><Relationship Id="rId184" Type="http://schemas.openxmlformats.org/officeDocument/2006/relationships/hyperlink" Target="https://www.legislation.gov.au/latest/C2016C00186" TargetMode="External"/><Relationship Id="rId391" Type="http://schemas.openxmlformats.org/officeDocument/2006/relationships/hyperlink" Target="https://www.legislation.gov.au/latest/C2016C00186" TargetMode="External"/><Relationship Id="rId405" Type="http://schemas.openxmlformats.org/officeDocument/2006/relationships/hyperlink" Target="http://www.comlaw.gov.au/Current/C2013C00032" TargetMode="External"/><Relationship Id="rId447" Type="http://schemas.openxmlformats.org/officeDocument/2006/relationships/hyperlink" Target="http://www.comlaw.gov.au/Current/C2013C00032" TargetMode="External"/><Relationship Id="rId612" Type="http://schemas.openxmlformats.org/officeDocument/2006/relationships/hyperlink" Target="https://www.legislation.gov.au/latest/C2016C00186" TargetMode="External"/><Relationship Id="rId251" Type="http://schemas.openxmlformats.org/officeDocument/2006/relationships/hyperlink" Target="https://www.legislation.gov.au/latest/C2016C00186" TargetMode="External"/><Relationship Id="rId489" Type="http://schemas.openxmlformats.org/officeDocument/2006/relationships/hyperlink" Target="https://www.legislation.gov.au/latest/C2016C00186" TargetMode="External"/><Relationship Id="rId654" Type="http://schemas.openxmlformats.org/officeDocument/2006/relationships/hyperlink" Target="http://www.aph.gov.au/Parliamentary_Business/Committees/Senate/Regulations_and_Ordinances/Guidelines%20" TargetMode="External"/><Relationship Id="rId46" Type="http://schemas.openxmlformats.org/officeDocument/2006/relationships/hyperlink" Target="https://www.legislation.gov.au/latest/C2016C00186" TargetMode="External"/><Relationship Id="rId293" Type="http://schemas.openxmlformats.org/officeDocument/2006/relationships/hyperlink" Target="mailto:lodge@legislation.gov.au" TargetMode="External"/><Relationship Id="rId307" Type="http://schemas.openxmlformats.org/officeDocument/2006/relationships/hyperlink" Target="https://www.legislation.gov.au/latest/C2016C00186" TargetMode="External"/><Relationship Id="rId349" Type="http://schemas.openxmlformats.org/officeDocument/2006/relationships/hyperlink" Target="https://www.legislation.gov.au/latest/C2016C00186" TargetMode="External"/><Relationship Id="rId514" Type="http://schemas.openxmlformats.org/officeDocument/2006/relationships/hyperlink" Target="https://www.legislation.gov.au/latest/F2015L01475" TargetMode="External"/><Relationship Id="rId556" Type="http://schemas.openxmlformats.org/officeDocument/2006/relationships/hyperlink" Target="http://www.comlaw.gov.au/Current/C2013C00032" TargetMode="External"/><Relationship Id="rId88" Type="http://schemas.openxmlformats.org/officeDocument/2006/relationships/hyperlink" Target="https://www.legislation.gov.au/latest/F2015L01475" TargetMode="External"/><Relationship Id="rId111" Type="http://schemas.openxmlformats.org/officeDocument/2006/relationships/hyperlink" Target="https://www.legislation.gov.au/latest/C2016C00186" TargetMode="External"/><Relationship Id="rId153" Type="http://schemas.openxmlformats.org/officeDocument/2006/relationships/hyperlink" Target="https://www.comlaw.gov.au/Current/F2015L01475" TargetMode="External"/><Relationship Id="rId195" Type="http://schemas.openxmlformats.org/officeDocument/2006/relationships/hyperlink" Target="https://www.legislation.gov.au/latest/C2016C00186" TargetMode="External"/><Relationship Id="rId209" Type="http://schemas.openxmlformats.org/officeDocument/2006/relationships/hyperlink" Target="https://www.legislation.gov.au/latest/F2016L00229" TargetMode="External"/><Relationship Id="rId360" Type="http://schemas.openxmlformats.org/officeDocument/2006/relationships/hyperlink" Target="mailto:lodge@legislation.gov.au" TargetMode="External"/><Relationship Id="rId416" Type="http://schemas.openxmlformats.org/officeDocument/2006/relationships/hyperlink" Target="http://www.comlaw.gov.au/Current/C2013C00032" TargetMode="External"/><Relationship Id="rId598" Type="http://schemas.openxmlformats.org/officeDocument/2006/relationships/hyperlink" Target="http://www.comlaw.gov.au/Current/C2013C00032" TargetMode="External"/><Relationship Id="rId220" Type="http://schemas.openxmlformats.org/officeDocument/2006/relationships/hyperlink" Target="mailto:lodge@legislation.gov.au" TargetMode="External"/><Relationship Id="rId458" Type="http://schemas.openxmlformats.org/officeDocument/2006/relationships/hyperlink" Target="http://www.comlaw.gov.au/Current/C2013C00032" TargetMode="External"/><Relationship Id="rId623" Type="http://schemas.openxmlformats.org/officeDocument/2006/relationships/hyperlink" Target="https://www.legislation.gov.au/latest/C2016C00186" TargetMode="External"/><Relationship Id="rId665" Type="http://schemas.openxmlformats.org/officeDocument/2006/relationships/hyperlink" Target="mailto:table.legislation.sen@aph.gov.au" TargetMode="External"/><Relationship Id="rId15" Type="http://schemas.openxmlformats.org/officeDocument/2006/relationships/hyperlink" Target="https://www.legislation.gov.au/latest/C2016C00186" TargetMode="External"/><Relationship Id="rId57" Type="http://schemas.openxmlformats.org/officeDocument/2006/relationships/hyperlink" Target="https://www.legislation.gov.au/latest/F2015L01475" TargetMode="External"/><Relationship Id="rId262" Type="http://schemas.openxmlformats.org/officeDocument/2006/relationships/hyperlink" Target="mailto:lodge@legislation.gov.au" TargetMode="External"/><Relationship Id="rId318" Type="http://schemas.openxmlformats.org/officeDocument/2006/relationships/hyperlink" Target="http://www.legislation.gov.au/Current/C2013C00032" TargetMode="External"/><Relationship Id="rId525" Type="http://schemas.openxmlformats.org/officeDocument/2006/relationships/hyperlink" Target="http://www.comlaw.gov.au/Current/C2013C00032" TargetMode="External"/><Relationship Id="rId567" Type="http://schemas.openxmlformats.org/officeDocument/2006/relationships/hyperlink" Target="https://www.legislation.gov.au/latest/C2016C00186" TargetMode="External"/><Relationship Id="rId99" Type="http://schemas.openxmlformats.org/officeDocument/2006/relationships/hyperlink" Target="https://www.comlaw.gov.au/Current/F2015L01475/" TargetMode="External"/><Relationship Id="rId122" Type="http://schemas.openxmlformats.org/officeDocument/2006/relationships/hyperlink" Target="https://www.legislation.gov.au/latest/C2016C00186" TargetMode="External"/><Relationship Id="rId164" Type="http://schemas.openxmlformats.org/officeDocument/2006/relationships/hyperlink" Target="https://www.legislation.gov.au/latest/C2016C00151" TargetMode="External"/><Relationship Id="rId371" Type="http://schemas.openxmlformats.org/officeDocument/2006/relationships/hyperlink" Target="https://www.legislation.gov.au/latest/C2016C00151" TargetMode="External"/><Relationship Id="rId427" Type="http://schemas.openxmlformats.org/officeDocument/2006/relationships/hyperlink" Target="http://www.comlaw.gov.au/Current/C2013C00032" TargetMode="External"/><Relationship Id="rId469" Type="http://schemas.openxmlformats.org/officeDocument/2006/relationships/hyperlink" Target="https://www.legislation.gov.au/latest/C2016C00186" TargetMode="External"/><Relationship Id="rId634" Type="http://schemas.openxmlformats.org/officeDocument/2006/relationships/hyperlink" Target="http://www.comlaw.gov.au/Current/C2013C00032" TargetMode="External"/><Relationship Id="rId676" Type="http://schemas.openxmlformats.org/officeDocument/2006/relationships/footer" Target="footer7.xml"/><Relationship Id="rId26" Type="http://schemas.openxmlformats.org/officeDocument/2006/relationships/hyperlink" Target="https://www.legislation.gov.au/Latest/C2005C00002" TargetMode="External"/><Relationship Id="rId231" Type="http://schemas.openxmlformats.org/officeDocument/2006/relationships/hyperlink" Target="https://www.legislation.gov.au" TargetMode="External"/><Relationship Id="rId273" Type="http://schemas.openxmlformats.org/officeDocument/2006/relationships/hyperlink" Target="https://www.legislation.gov.au/latest/F2016L00229" TargetMode="External"/><Relationship Id="rId329" Type="http://schemas.openxmlformats.org/officeDocument/2006/relationships/hyperlink" Target="https://www.legislation.gov.au/latest/C2016C00186" TargetMode="External"/><Relationship Id="rId480" Type="http://schemas.openxmlformats.org/officeDocument/2006/relationships/hyperlink" Target="https://www.legislation.gov.au/latest/C2016C00186" TargetMode="External"/><Relationship Id="rId536" Type="http://schemas.openxmlformats.org/officeDocument/2006/relationships/hyperlink" Target="http://www.comlaw.gov.au/Current/C2013C00032" TargetMode="External"/><Relationship Id="rId68" Type="http://schemas.openxmlformats.org/officeDocument/2006/relationships/hyperlink" Target="https://www.legislation.gov.au/latest/C2016C00186" TargetMode="External"/><Relationship Id="rId133" Type="http://schemas.openxmlformats.org/officeDocument/2006/relationships/hyperlink" Target="https://www.legislation.gov.au/latest/C2016C00186" TargetMode="External"/><Relationship Id="rId175" Type="http://schemas.openxmlformats.org/officeDocument/2006/relationships/hyperlink" Target="https://www.legislation.gov.au/latest/C2016C00186" TargetMode="External"/><Relationship Id="rId340" Type="http://schemas.openxmlformats.org/officeDocument/2006/relationships/hyperlink" Target="mailto:lodge@legislation.gov.au" TargetMode="External"/><Relationship Id="rId578" Type="http://schemas.openxmlformats.org/officeDocument/2006/relationships/hyperlink" Target="http://www.comlaw.gov.au/Current/C2013C00032" TargetMode="External"/><Relationship Id="rId200" Type="http://schemas.openxmlformats.org/officeDocument/2006/relationships/hyperlink" Target="https://www.opc.gov.au/drafting-resources/drafting-directions" TargetMode="External"/><Relationship Id="rId382" Type="http://schemas.openxmlformats.org/officeDocument/2006/relationships/hyperlink" Target="https://www.legislation.gov.au/latest/C2016C00186" TargetMode="External"/><Relationship Id="rId438" Type="http://schemas.openxmlformats.org/officeDocument/2006/relationships/hyperlink" Target="https://www.legislation.gov.au/latest/C2016C00195" TargetMode="External"/><Relationship Id="rId603" Type="http://schemas.openxmlformats.org/officeDocument/2006/relationships/hyperlink" Target="http://www.comlaw.gov.au/Current/C2013C00032" TargetMode="External"/><Relationship Id="rId645" Type="http://schemas.openxmlformats.org/officeDocument/2006/relationships/hyperlink" Target="https://www.policyhub.gov.au/resources/australian-government-guide-regulation" TargetMode="External"/><Relationship Id="rId242" Type="http://schemas.openxmlformats.org/officeDocument/2006/relationships/hyperlink" Target="https://www.legislation.gov.au/latest/C2016C00186" TargetMode="External"/><Relationship Id="rId284" Type="http://schemas.openxmlformats.org/officeDocument/2006/relationships/hyperlink" Target="https://www.comlaw.gov.au/Current/F2016L00229" TargetMode="External"/><Relationship Id="rId491" Type="http://schemas.openxmlformats.org/officeDocument/2006/relationships/hyperlink" Target="https://www.legislation.gov.au/latest/C2016C00186" TargetMode="External"/><Relationship Id="rId505" Type="http://schemas.openxmlformats.org/officeDocument/2006/relationships/hyperlink" Target="http://www.comlaw.gov.au/Current/C2013C00032" TargetMode="External"/><Relationship Id="rId37" Type="http://schemas.openxmlformats.org/officeDocument/2006/relationships/hyperlink" Target="https://www.legislation.gov.au/latest/C2016C00186" TargetMode="External"/><Relationship Id="rId79" Type="http://schemas.openxmlformats.org/officeDocument/2006/relationships/hyperlink" Target="https://www.comlaw.gov.au/Current/F2015L01475/" TargetMode="External"/><Relationship Id="rId102" Type="http://schemas.openxmlformats.org/officeDocument/2006/relationships/hyperlink" Target="https://www.legislation.gov.au/latest/C2016C00186" TargetMode="External"/><Relationship Id="rId144" Type="http://schemas.openxmlformats.org/officeDocument/2006/relationships/hyperlink" Target="https://www.legislation.gov.au/latest/C2016C00186" TargetMode="External"/><Relationship Id="rId547" Type="http://schemas.openxmlformats.org/officeDocument/2006/relationships/hyperlink" Target="https://www.legislation.gov.au/latest/C2016C00186" TargetMode="External"/><Relationship Id="rId589" Type="http://schemas.openxmlformats.org/officeDocument/2006/relationships/hyperlink" Target="http://www.comlaw.gov.au/Current/C2013C00032" TargetMode="External"/><Relationship Id="rId90" Type="http://schemas.openxmlformats.org/officeDocument/2006/relationships/hyperlink" Target="https://www.legislation.gov.au/latest/F2015L01475" TargetMode="External"/><Relationship Id="rId186" Type="http://schemas.openxmlformats.org/officeDocument/2006/relationships/hyperlink" Target="https://www.legislation.gov.au/latest/C2016C00186" TargetMode="External"/><Relationship Id="rId351" Type="http://schemas.openxmlformats.org/officeDocument/2006/relationships/hyperlink" Target="mailto:lodge@legislation.gov.au" TargetMode="External"/><Relationship Id="rId393" Type="http://schemas.openxmlformats.org/officeDocument/2006/relationships/hyperlink" Target="https://www.legislation.gov.au/latest/C2016C00186" TargetMode="External"/><Relationship Id="rId407" Type="http://schemas.openxmlformats.org/officeDocument/2006/relationships/hyperlink" Target="http://www.comlaw.gov.au/Current/C2013C00032" TargetMode="External"/><Relationship Id="rId449" Type="http://schemas.openxmlformats.org/officeDocument/2006/relationships/hyperlink" Target="http://www.comlaw.gov.au/Current/C2013C00032" TargetMode="External"/><Relationship Id="rId614" Type="http://schemas.openxmlformats.org/officeDocument/2006/relationships/hyperlink" Target="http://www.comlaw.gov.au/Current/C2013C00032" TargetMode="External"/><Relationship Id="rId656" Type="http://schemas.openxmlformats.org/officeDocument/2006/relationships/footer" Target="footer5.xml"/><Relationship Id="rId211" Type="http://schemas.openxmlformats.org/officeDocument/2006/relationships/hyperlink" Target="https://www.opc.gov.au/drafting-resources/drafting-directions" TargetMode="External"/><Relationship Id="rId253" Type="http://schemas.openxmlformats.org/officeDocument/2006/relationships/hyperlink" Target="https://www.legislation.gov.au/latest/C2016C00186" TargetMode="External"/><Relationship Id="rId295" Type="http://schemas.openxmlformats.org/officeDocument/2006/relationships/hyperlink" Target="https://www.legislation.gov.au/latest/C2016C00186" TargetMode="External"/><Relationship Id="rId309" Type="http://schemas.openxmlformats.org/officeDocument/2006/relationships/hyperlink" Target="mailto:lodge@legislation.gov.au" TargetMode="External"/><Relationship Id="rId460" Type="http://schemas.openxmlformats.org/officeDocument/2006/relationships/hyperlink" Target="https://www.legislation.gov.au/latest/C2016C00186" TargetMode="External"/><Relationship Id="rId516" Type="http://schemas.openxmlformats.org/officeDocument/2006/relationships/hyperlink" Target="http://www.comlaw.gov.au/Current/C2013C00032" TargetMode="External"/><Relationship Id="rId48" Type="http://schemas.openxmlformats.org/officeDocument/2006/relationships/hyperlink" Target="https://www.legislation.gov.au/latest/C2016C00186" TargetMode="External"/><Relationship Id="rId113" Type="http://schemas.openxmlformats.org/officeDocument/2006/relationships/hyperlink" Target="https://www.legislation.gov.au/latest/C2016C00186" TargetMode="External"/><Relationship Id="rId320" Type="http://schemas.openxmlformats.org/officeDocument/2006/relationships/hyperlink" Target="https://www.legislation.gov.au/latest/F2016L00229" TargetMode="External"/><Relationship Id="rId558" Type="http://schemas.openxmlformats.org/officeDocument/2006/relationships/hyperlink" Target="https://www.legislation.gov.au/latest/C2016C00186" TargetMode="External"/><Relationship Id="rId155" Type="http://schemas.openxmlformats.org/officeDocument/2006/relationships/hyperlink" Target="https://www.legislation.gov.au/latest/F2015L01475" TargetMode="External"/><Relationship Id="rId197" Type="http://schemas.openxmlformats.org/officeDocument/2006/relationships/hyperlink" Target="https://www.comlaw.gov.au/Current/F2015L01475/" TargetMode="External"/><Relationship Id="rId362" Type="http://schemas.openxmlformats.org/officeDocument/2006/relationships/hyperlink" Target="http://www.comlaw.gov.au/Current/C2013C00032" TargetMode="External"/><Relationship Id="rId418" Type="http://schemas.openxmlformats.org/officeDocument/2006/relationships/hyperlink" Target="https://www.legislation.gov.au/latest/C2016C00186" TargetMode="External"/><Relationship Id="rId625" Type="http://schemas.openxmlformats.org/officeDocument/2006/relationships/hyperlink" Target="https://www.legislation.gov.au/latest/C2016C00186" TargetMode="External"/><Relationship Id="rId222" Type="http://schemas.openxmlformats.org/officeDocument/2006/relationships/hyperlink" Target="https://www.legislation.gov.au/latest/F2016L00229" TargetMode="External"/><Relationship Id="rId264" Type="http://schemas.openxmlformats.org/officeDocument/2006/relationships/hyperlink" Target="https://www.legislation.gov.au/latest/F2016L00229" TargetMode="External"/><Relationship Id="rId471" Type="http://schemas.openxmlformats.org/officeDocument/2006/relationships/hyperlink" Target="http://www.comlaw.gov.au/Current/C2013C00032" TargetMode="External"/><Relationship Id="rId667" Type="http://schemas.openxmlformats.org/officeDocument/2006/relationships/hyperlink" Target="mailto:sunsetting@ag.gov.au" TargetMode="External"/><Relationship Id="rId17" Type="http://schemas.openxmlformats.org/officeDocument/2006/relationships/hyperlink" Target="https://www.legislation.gov.au/latest/F2016L00229" TargetMode="External"/><Relationship Id="rId59" Type="http://schemas.openxmlformats.org/officeDocument/2006/relationships/hyperlink" Target="https://www.legislation.gov.au/latest/C2016C00186" TargetMode="External"/><Relationship Id="rId124" Type="http://schemas.openxmlformats.org/officeDocument/2006/relationships/hyperlink" Target="https://www.legislation.gov.au/latest/C2016C00186" TargetMode="External"/><Relationship Id="rId527" Type="http://schemas.openxmlformats.org/officeDocument/2006/relationships/hyperlink" Target="https://www.legislation.gov.au/latest/C2016C00186" TargetMode="External"/><Relationship Id="rId569" Type="http://schemas.openxmlformats.org/officeDocument/2006/relationships/hyperlink" Target="http://www.comlaw.gov.au/Current/C2013C00032" TargetMode="External"/><Relationship Id="rId70" Type="http://schemas.openxmlformats.org/officeDocument/2006/relationships/hyperlink" Target="https://www.legislation.gov.au/latest/C2016C00186" TargetMode="External"/><Relationship Id="rId166" Type="http://schemas.openxmlformats.org/officeDocument/2006/relationships/hyperlink" Target="https://www.legislation.gov.au/latest/C2016C00186" TargetMode="External"/><Relationship Id="rId331" Type="http://schemas.openxmlformats.org/officeDocument/2006/relationships/hyperlink" Target="https://www.legislation.gov.au/latest/C2016C00186" TargetMode="External"/><Relationship Id="rId373" Type="http://schemas.openxmlformats.org/officeDocument/2006/relationships/hyperlink" Target="https://www.legislation.gov.au/latest/C2016C00186" TargetMode="External"/><Relationship Id="rId429" Type="http://schemas.openxmlformats.org/officeDocument/2006/relationships/hyperlink" Target="http://www.comlaw.gov.au/Current/C2013C00032" TargetMode="External"/><Relationship Id="rId580" Type="http://schemas.openxmlformats.org/officeDocument/2006/relationships/hyperlink" Target="https://www.legislation.gov.au/latest/C2016C00186" TargetMode="External"/><Relationship Id="rId636" Type="http://schemas.openxmlformats.org/officeDocument/2006/relationships/hyperlink" Target="mailto:instrument.instructions@opc.gov.au?subject=Instructions%20on" TargetMode="External"/><Relationship Id="rId1" Type="http://schemas.openxmlformats.org/officeDocument/2006/relationships/customXml" Target="../customXml/item1.xml"/><Relationship Id="rId233" Type="http://schemas.openxmlformats.org/officeDocument/2006/relationships/hyperlink" Target="https://www.opc.gov.au/" TargetMode="External"/><Relationship Id="rId440" Type="http://schemas.openxmlformats.org/officeDocument/2006/relationships/hyperlink" Target="http://www.comlaw.gov.au/Current/C2013C00032" TargetMode="External"/><Relationship Id="rId678" Type="http://schemas.openxmlformats.org/officeDocument/2006/relationships/footer" Target="footer8.xml"/><Relationship Id="rId28" Type="http://schemas.openxmlformats.org/officeDocument/2006/relationships/hyperlink" Target="https://www.legislation.gov.au/latest/C2016C00179" TargetMode="External"/><Relationship Id="rId275" Type="http://schemas.openxmlformats.org/officeDocument/2006/relationships/hyperlink" Target="https://www.legislation.gov.au/latest/F2016L00229" TargetMode="External"/><Relationship Id="rId300" Type="http://schemas.openxmlformats.org/officeDocument/2006/relationships/hyperlink" Target="https://www.legislation.gov.au/latest/C2016C00186" TargetMode="External"/><Relationship Id="rId482" Type="http://schemas.openxmlformats.org/officeDocument/2006/relationships/hyperlink" Target="http://www.comlaw.gov.au/Current/C2013C00032" TargetMode="External"/><Relationship Id="rId538" Type="http://schemas.openxmlformats.org/officeDocument/2006/relationships/hyperlink" Target="https://www.legislation.gov.au/latest/C2016C00186" TargetMode="External"/><Relationship Id="rId81" Type="http://schemas.openxmlformats.org/officeDocument/2006/relationships/hyperlink" Target="https://www.legislation.gov.au/latest/C2016C00186" TargetMode="External"/><Relationship Id="rId135" Type="http://schemas.openxmlformats.org/officeDocument/2006/relationships/hyperlink" Target="https://www.legislation.gov.au/latest/C2016C00186" TargetMode="External"/><Relationship Id="rId177" Type="http://schemas.openxmlformats.org/officeDocument/2006/relationships/hyperlink" Target="https://www.legislation.gov.au/latest/C2016C00151" TargetMode="External"/><Relationship Id="rId342" Type="http://schemas.openxmlformats.org/officeDocument/2006/relationships/hyperlink" Target="https://www.legislation.gov.au/latest/F2016L00229" TargetMode="External"/><Relationship Id="rId384" Type="http://schemas.openxmlformats.org/officeDocument/2006/relationships/hyperlink" Target="mailto:helpdesk-obpr@pmc.gov.au" TargetMode="External"/><Relationship Id="rId591" Type="http://schemas.openxmlformats.org/officeDocument/2006/relationships/hyperlink" Target="https://www.legislation.gov.au/latest/C2016C00186" TargetMode="External"/><Relationship Id="rId605" Type="http://schemas.openxmlformats.org/officeDocument/2006/relationships/hyperlink" Target="https://www.legislation.gov.au/latest/C2016C00186" TargetMode="External"/><Relationship Id="rId202" Type="http://schemas.openxmlformats.org/officeDocument/2006/relationships/hyperlink" Target="https://www.legislation.gov.au/latest/C2016C00186" TargetMode="External"/><Relationship Id="rId244" Type="http://schemas.openxmlformats.org/officeDocument/2006/relationships/hyperlink" Target="https://www.legislation.gov.au/latest/C2016C00186" TargetMode="External"/><Relationship Id="rId647" Type="http://schemas.openxmlformats.org/officeDocument/2006/relationships/hyperlink" Target="https://www.pmc.gov.au/sites/default/files/publications/pmc-tabling-guidelines.pdf" TargetMode="External"/><Relationship Id="rId39" Type="http://schemas.openxmlformats.org/officeDocument/2006/relationships/hyperlink" Target="https://www.legislation.gov.au/latest/C2016C00186" TargetMode="External"/><Relationship Id="rId286" Type="http://schemas.openxmlformats.org/officeDocument/2006/relationships/hyperlink" Target="https://www.legislation.gov.au/latest/C2016C00186" TargetMode="External"/><Relationship Id="rId451" Type="http://schemas.openxmlformats.org/officeDocument/2006/relationships/hyperlink" Target="https://www.legislation.gov.au/latest/C2016C00186" TargetMode="External"/><Relationship Id="rId493" Type="http://schemas.openxmlformats.org/officeDocument/2006/relationships/hyperlink" Target="http://www.comlaw.gov.au/Current/C2013C00032" TargetMode="External"/><Relationship Id="rId507" Type="http://schemas.openxmlformats.org/officeDocument/2006/relationships/hyperlink" Target="https://www.legislation.gov.au/latest/C2016C00186" TargetMode="External"/><Relationship Id="rId549" Type="http://schemas.openxmlformats.org/officeDocument/2006/relationships/hyperlink" Target="http://www.comlaw.gov.au/Current/C2013C00032" TargetMode="External"/><Relationship Id="rId50" Type="http://schemas.openxmlformats.org/officeDocument/2006/relationships/hyperlink" Target="https://www.legislation.gov.au/latest/C2016C00186" TargetMode="External"/><Relationship Id="rId104" Type="http://schemas.openxmlformats.org/officeDocument/2006/relationships/hyperlink" Target="https://www.legislation.gov.au/latest/C2016C00186" TargetMode="External"/><Relationship Id="rId146" Type="http://schemas.openxmlformats.org/officeDocument/2006/relationships/hyperlink" Target="https://www.legislation.gov.au/latest/C2016C00186" TargetMode="External"/><Relationship Id="rId188" Type="http://schemas.openxmlformats.org/officeDocument/2006/relationships/hyperlink" Target="https://www.legislation.gov.au/latest/C2016C00186" TargetMode="External"/><Relationship Id="rId311" Type="http://schemas.openxmlformats.org/officeDocument/2006/relationships/hyperlink" Target="mailto:compilations@opc.gov.au" TargetMode="External"/><Relationship Id="rId353" Type="http://schemas.openxmlformats.org/officeDocument/2006/relationships/hyperlink" Target="https://www.legislation.gov.au/latest/F2016L00229" TargetMode="External"/><Relationship Id="rId395" Type="http://schemas.openxmlformats.org/officeDocument/2006/relationships/hyperlink" Target="https://www.legislation.gov.au/latest/C2016C00186" TargetMode="External"/><Relationship Id="rId409" Type="http://schemas.openxmlformats.org/officeDocument/2006/relationships/hyperlink" Target="http://www.comlaw.gov.au/Current/C2013C00032" TargetMode="External"/><Relationship Id="rId560" Type="http://schemas.openxmlformats.org/officeDocument/2006/relationships/hyperlink" Target="http://www.comlaw.gov.au/Current/C2013C0003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g.gov.au/LegalSystem/AdministrativeLaw/Pages/LegislationAct2003.aspx" TargetMode="External"/><Relationship Id="rId13" Type="http://schemas.openxmlformats.org/officeDocument/2006/relationships/hyperlink" Target="http://www.comlaw.gov.au/Current/C2014C00044" TargetMode="External"/><Relationship Id="rId18" Type="http://schemas.openxmlformats.org/officeDocument/2006/relationships/hyperlink" Target="https://obpr.pmc.gov.au/resources/guidance-obpr-procedures/sunsetting-legislative-instruments" TargetMode="External"/><Relationship Id="rId26" Type="http://schemas.openxmlformats.org/officeDocument/2006/relationships/hyperlink" Target="http://www.ag.gov.au/RightsAndProtections/HumanRights/Human-rights-scrutiny/Pages/default.aspx%20" TargetMode="External"/><Relationship Id="rId39" Type="http://schemas.openxmlformats.org/officeDocument/2006/relationships/hyperlink" Target="https://www.ag.gov.au/LegalSystem/AdministrativeLaw/Pages/LegislationAct2003.aspx" TargetMode="External"/><Relationship Id="rId3" Type="http://schemas.openxmlformats.org/officeDocument/2006/relationships/hyperlink" Target="https://www.ag.gov.au/LegalSystem/AdministrativeLaw/Pages/LegislationAct2003.aspx" TargetMode="External"/><Relationship Id="rId21" Type="http://schemas.openxmlformats.org/officeDocument/2006/relationships/hyperlink" Target="https://www.pmc.gov.au/resource-centre/government/federal-exec-council-handbook" TargetMode="External"/><Relationship Id="rId34" Type="http://schemas.openxmlformats.org/officeDocument/2006/relationships/hyperlink" Target="https://www.ag.gov.au/LegalSystem/AdministrativeLaw/Pages/LegislationAct2003.aspx" TargetMode="External"/><Relationship Id="rId42" Type="http://schemas.openxmlformats.org/officeDocument/2006/relationships/hyperlink" Target="https://www.ag.gov.au/LegalSystem/AdministrativeLaw/Pages/LegislationAct2003.aspx" TargetMode="External"/><Relationship Id="rId7" Type="http://schemas.openxmlformats.org/officeDocument/2006/relationships/hyperlink" Target="https://www.pmc.gov.au/resource-centre/government/federal-exec-council-handbook" TargetMode="External"/><Relationship Id="rId12" Type="http://schemas.openxmlformats.org/officeDocument/2006/relationships/hyperlink" Target="http://www.w3.org/WAI/" TargetMode="External"/><Relationship Id="rId17" Type="http://schemas.openxmlformats.org/officeDocument/2006/relationships/hyperlink" Target="https://www.aph.gov.au/Parliamentary_Business/Committees/Senate/Regulations_and_Ordinances" TargetMode="External"/><Relationship Id="rId25" Type="http://schemas.openxmlformats.org/officeDocument/2006/relationships/hyperlink" Target="http://www.aph.gov.au/Parliamentary_Business/Committees/Senate/Regulations_and_Ordinances" TargetMode="External"/><Relationship Id="rId33" Type="http://schemas.openxmlformats.org/officeDocument/2006/relationships/hyperlink" Target="http://www.judgments.fedcourt.gov.au/judgments/Judgments/fca/single/2015/2015fca0834" TargetMode="External"/><Relationship Id="rId38" Type="http://schemas.openxmlformats.org/officeDocument/2006/relationships/hyperlink" Target="http://www.legislation.gov.au/Browse/BySunsetDate/LegislativeInstruments/SunsettingSoon" TargetMode="External"/><Relationship Id="rId2" Type="http://schemas.openxmlformats.org/officeDocument/2006/relationships/hyperlink" Target="https://www.ag.gov.au/legal-system/publications/report-35-rule-making-commonwealth-agencies-1992" TargetMode="External"/><Relationship Id="rId16" Type="http://schemas.openxmlformats.org/officeDocument/2006/relationships/hyperlink" Target="https://www.pmc.gov.au/resource-centre/government/federal-exec-council-handbook" TargetMode="External"/><Relationship Id="rId20" Type="http://schemas.openxmlformats.org/officeDocument/2006/relationships/hyperlink" Target="https://www.pmc.gov.au/resource-centre/government/guidance-caretaker-conventions" TargetMode="External"/><Relationship Id="rId29" Type="http://schemas.openxmlformats.org/officeDocument/2006/relationships/hyperlink" Target="http://www.aph.gov.au/Parliamentary_Business/Chamber_documents/Senate_chamber_documents/Journals_of_the_Senate" TargetMode="External"/><Relationship Id="rId41" Type="http://schemas.openxmlformats.org/officeDocument/2006/relationships/hyperlink" Target="https://www.ag.gov.au/LegalSystem/AdministrativeLaw/Pages/LegislationAct2003.aspx" TargetMode="External"/><Relationship Id="rId1" Type="http://schemas.openxmlformats.org/officeDocument/2006/relationships/hyperlink" Target="https://www.pmc.gov.au/resource-centre/government/legislation-handbook" TargetMode="External"/><Relationship Id="rId6" Type="http://schemas.openxmlformats.org/officeDocument/2006/relationships/hyperlink" Target="https://www.pmc.gov.au/resource-centre/government/legislation-handbook" TargetMode="External"/><Relationship Id="rId11" Type="http://schemas.openxmlformats.org/officeDocument/2006/relationships/hyperlink" Target="https://www.protectivesecurity.gov.au/information/sensitive-classified-information/Pages/default.aspx" TargetMode="External"/><Relationship Id="rId24" Type="http://schemas.openxmlformats.org/officeDocument/2006/relationships/hyperlink" Target="https://www.ag.gov.au/legal-system/publications/guide-framing-commonwealth-offences-infringement-notices-and-enforcement-powers" TargetMode="External"/><Relationship Id="rId32" Type="http://schemas.openxmlformats.org/officeDocument/2006/relationships/hyperlink" Target="http://www.austlii.edu.au/au/cases/cth/HCA/1943/21.html" TargetMode="External"/><Relationship Id="rId37" Type="http://schemas.openxmlformats.org/officeDocument/2006/relationships/hyperlink" Target="https://www.pmc.gov.au/sites/default/files/publications/pmc-tabling-guidelines.pdf" TargetMode="External"/><Relationship Id="rId40" Type="http://schemas.openxmlformats.org/officeDocument/2006/relationships/hyperlink" Target="https://www.ag.gov.au/LegalSystem/AdministrativeLaw/Pages/LegislationAct2003.aspx" TargetMode="External"/><Relationship Id="rId5" Type="http://schemas.openxmlformats.org/officeDocument/2006/relationships/hyperlink" Target="https://www.opc.gov.au/" TargetMode="External"/><Relationship Id="rId15" Type="http://schemas.openxmlformats.org/officeDocument/2006/relationships/hyperlink" Target="https://www.ags.gov.au/publications/legal-briefing/lb-20220321" TargetMode="External"/><Relationship Id="rId23" Type="http://schemas.openxmlformats.org/officeDocument/2006/relationships/hyperlink" Target="https://www.ag.gov.au/LegalSystem/AdministrativeLaw/Pages/practice-guides/what-decisions-should-be-subject-to-merit-review-1999.aspx" TargetMode="External"/><Relationship Id="rId28" Type="http://schemas.openxmlformats.org/officeDocument/2006/relationships/hyperlink" Target="https://www.ag.gov.au/LegalSystem/AdministrativeLaw/Pages/LegislationAct2003.aspx" TargetMode="External"/><Relationship Id="rId36" Type="http://schemas.openxmlformats.org/officeDocument/2006/relationships/hyperlink" Target="https://www.legislation.gov.au/Content/SunsettingLists" TargetMode="External"/><Relationship Id="rId10" Type="http://schemas.openxmlformats.org/officeDocument/2006/relationships/hyperlink" Target="http://www.ag.gov.au/Publications/Pages/GuidetoFramingCommonwealthOffencesInfringementNoticesandEnforcementPowers.aspx" TargetMode="External"/><Relationship Id="rId19" Type="http://schemas.openxmlformats.org/officeDocument/2006/relationships/hyperlink" Target="https://obpr.pmc.gov.au/" TargetMode="External"/><Relationship Id="rId31" Type="http://schemas.openxmlformats.org/officeDocument/2006/relationships/hyperlink" Target="https://www.pmc.gov.au/sites/default/files/publications/pmc-tabling-guidelines.pdf" TargetMode="External"/><Relationship Id="rId44" Type="http://schemas.openxmlformats.org/officeDocument/2006/relationships/hyperlink" Target="https://www.pmc.gov.au/resource-centre/government/legislation-handbook" TargetMode="External"/><Relationship Id="rId4" Type="http://schemas.openxmlformats.org/officeDocument/2006/relationships/hyperlink" Target="https://www.ag.gov.au/legal-system/publications/report-operation-sunsetting-provisions-legislation-act-2003" TargetMode="External"/><Relationship Id="rId9" Type="http://schemas.openxmlformats.org/officeDocument/2006/relationships/hyperlink" Target="https://www.dta.gov.au/help-and-advice/guides-and-tools/commonwealth-library-deposit-and-free-issue-schemes" TargetMode="External"/><Relationship Id="rId14" Type="http://schemas.openxmlformats.org/officeDocument/2006/relationships/hyperlink" Target="https://www.ag.gov.au/LegalSystem/AdministrativeLaw/Pages/LegislationAct2003.aspx" TargetMode="External"/><Relationship Id="rId22" Type="http://schemas.openxmlformats.org/officeDocument/2006/relationships/hyperlink" Target="http://www.ag.gov.au/RightsAndProtections/HumanRights/Human-rights-scrutiny/Pages/default.aspx" TargetMode="External"/><Relationship Id="rId27" Type="http://schemas.openxmlformats.org/officeDocument/2006/relationships/hyperlink" Target="http://www.aph.gov.au/Parliamentary_Business/Committees/Joint/Human_Rights" TargetMode="External"/><Relationship Id="rId30" Type="http://schemas.openxmlformats.org/officeDocument/2006/relationships/hyperlink" Target="http://www.aph.gov.au/Parliamentary_Business/Chamber_documents/HoR/Votes_and_Proceedings" TargetMode="External"/><Relationship Id="rId35" Type="http://schemas.openxmlformats.org/officeDocument/2006/relationships/hyperlink" Target="https://www.ag.gov.au/LegalSystem/AdministrativeLaw/Pages/LegislationAct2003.aspx" TargetMode="External"/><Relationship Id="rId43" Type="http://schemas.openxmlformats.org/officeDocument/2006/relationships/hyperlink" Target="https://www.pmc.gov.au/sites/default/files/publications/pmc-tabling-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Memos\m_int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CE30-4FC2-4B07-B025-A7A4C1F5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m_intnal.dotx</Template>
  <TotalTime>0</TotalTime>
  <Pages>96</Pages>
  <Words>38222</Words>
  <Characters>201816</Characters>
  <Application>Microsoft Office Word</Application>
  <DocSecurity>0</DocSecurity>
  <Lines>3737</Lines>
  <Paragraphs>2017</Paragraphs>
  <ScaleCrop>false</ScaleCrop>
  <HeadingPairs>
    <vt:vector size="2" baseType="variant">
      <vt:variant>
        <vt:lpstr>Title</vt:lpstr>
      </vt:variant>
      <vt:variant>
        <vt:i4>1</vt:i4>
      </vt:variant>
    </vt:vector>
  </HeadingPairs>
  <TitlesOfParts>
    <vt:vector size="1" baseType="lpstr">
      <vt:lpstr>Instruments Handbook</vt:lpstr>
    </vt:vector>
  </TitlesOfParts>
  <Manager/>
  <Company/>
  <LinksUpToDate>false</LinksUpToDate>
  <CharactersWithSpaces>238021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Instruments Handbook</dc:title>
  <dc:subject>Instruments Handbook</dc:subject>
  <dc:creator/>
  <dc:description/>
  <cp:lastModifiedBy/>
  <cp:revision>1</cp:revision>
  <dcterms:created xsi:type="dcterms:W3CDTF">2022-09-01T07:13:00Z</dcterms:created>
  <dcterms:modified xsi:type="dcterms:W3CDTF">2022-09-01T07:13:00Z</dcterms:modified>
  <cp:category>Other - Final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UNOFFICIAL</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Type">
    <vt:lpwstr>M</vt:lpwstr>
  </property>
</Properties>
</file>