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D58B5" w14:textId="09038B98" w:rsidR="00FD6C52" w:rsidRPr="00622DDB" w:rsidRDefault="00FD6C52" w:rsidP="00FD6C52">
      <w:pPr>
        <w:pStyle w:val="Head1"/>
      </w:pPr>
      <w:bookmarkStart w:id="0" w:name="_GoBack"/>
      <w:bookmarkEnd w:id="0"/>
      <w:r>
        <w:t>Office Procedural Circular No. 2.7</w:t>
      </w:r>
      <w:r w:rsidRPr="00622DDB">
        <w:br/>
        <w:t xml:space="preserve">Audit </w:t>
      </w:r>
      <w:r w:rsidR="00D93CD2">
        <w:t xml:space="preserve">and Risk </w:t>
      </w:r>
      <w:r w:rsidRPr="00622DDB">
        <w:t>Committee</w:t>
      </w:r>
      <w:r>
        <w:t xml:space="preserve"> Charter</w:t>
      </w:r>
    </w:p>
    <w:p w14:paraId="2000F93D" w14:textId="1AA67E5B" w:rsidR="00FD6C52" w:rsidRPr="008149F9" w:rsidRDefault="00FD6C52" w:rsidP="00FD6C52">
      <w:pPr>
        <w:pStyle w:val="Release"/>
      </w:pPr>
      <w:r w:rsidRPr="008149F9">
        <w:t xml:space="preserve">Document release </w:t>
      </w:r>
      <w:r w:rsidR="00E61563" w:rsidRPr="008149F9">
        <w:t>5</w:t>
      </w:r>
      <w:r w:rsidRPr="008149F9">
        <w:t>.0</w:t>
      </w:r>
    </w:p>
    <w:p w14:paraId="606658B3" w14:textId="15883B64" w:rsidR="00FD6C52" w:rsidRDefault="00FD6C52" w:rsidP="00FD6C52">
      <w:pPr>
        <w:pStyle w:val="Issued"/>
      </w:pPr>
      <w:r w:rsidRPr="008149F9">
        <w:t>Reissued</w:t>
      </w:r>
      <w:r w:rsidR="002C7AA2" w:rsidRPr="008149F9">
        <w:t xml:space="preserve"> </w:t>
      </w:r>
      <w:r w:rsidR="008149F9" w:rsidRPr="008149F9">
        <w:t>July</w:t>
      </w:r>
      <w:r w:rsidR="00E61563" w:rsidRPr="008149F9">
        <w:t xml:space="preserve"> </w:t>
      </w:r>
      <w:r w:rsidRPr="008149F9">
        <w:t>202</w:t>
      </w:r>
      <w:r w:rsidR="00E61563" w:rsidRPr="008149F9">
        <w:t>1</w:t>
      </w:r>
    </w:p>
    <w:p w14:paraId="5165A611" w14:textId="77777777" w:rsidR="00FD6C52" w:rsidRPr="004E18B8" w:rsidRDefault="00FD6C52" w:rsidP="00FD6C52">
      <w:pPr>
        <w:spacing w:before="120"/>
        <w:rPr>
          <w:sz w:val="28"/>
        </w:rPr>
      </w:pPr>
    </w:p>
    <w:p w14:paraId="43A0A840" w14:textId="77777777" w:rsidR="00FD6C52" w:rsidRPr="00622DDB" w:rsidRDefault="00FD6C52" w:rsidP="00FD6C52">
      <w:pPr>
        <w:spacing w:before="120"/>
        <w:rPr>
          <w:b/>
          <w:sz w:val="28"/>
        </w:rPr>
      </w:pPr>
      <w:r w:rsidRPr="00622DDB">
        <w:rPr>
          <w:b/>
          <w:sz w:val="28"/>
        </w:rPr>
        <w:t>Contents</w:t>
      </w:r>
    </w:p>
    <w:p w14:paraId="0563836F" w14:textId="33788BAB" w:rsidR="00FD6C52" w:rsidRDefault="00FD6C52" w:rsidP="00FD6C52">
      <w:pPr>
        <w:pStyle w:val="TOC2"/>
        <w:tabs>
          <w:tab w:val="right" w:leader="dot" w:pos="9017"/>
        </w:tabs>
        <w:rPr>
          <w:rFonts w:asciiTheme="minorHAnsi" w:eastAsiaTheme="minorEastAsia" w:hAnsiTheme="minorHAnsi" w:cstheme="minorBidi"/>
          <w:b w:val="0"/>
          <w:noProof/>
          <w:sz w:val="22"/>
          <w:szCs w:val="22"/>
        </w:rPr>
      </w:pPr>
      <w:r w:rsidRPr="00496E47">
        <w:fldChar w:fldCharType="begin"/>
      </w:r>
      <w:r w:rsidRPr="00622DDB">
        <w:instrText xml:space="preserve"> TOC \o "2-9" </w:instrText>
      </w:r>
      <w:r w:rsidRPr="00496E47">
        <w:fldChar w:fldCharType="separate"/>
      </w:r>
      <w:r>
        <w:rPr>
          <w:noProof/>
        </w:rPr>
        <w:t>Part 1—Introduction</w:t>
      </w:r>
      <w:r w:rsidRPr="00496E47">
        <w:rPr>
          <w:b w:val="0"/>
          <w:noProof/>
          <w:sz w:val="20"/>
        </w:rPr>
        <w:tab/>
      </w:r>
      <w:r w:rsidRPr="00496E47">
        <w:rPr>
          <w:b w:val="0"/>
          <w:noProof/>
          <w:sz w:val="20"/>
        </w:rPr>
        <w:fldChar w:fldCharType="begin"/>
      </w:r>
      <w:r w:rsidRPr="00496E47">
        <w:rPr>
          <w:b w:val="0"/>
          <w:noProof/>
          <w:sz w:val="20"/>
        </w:rPr>
        <w:instrText xml:space="preserve"> PAGEREF _Toc423364141 \h </w:instrText>
      </w:r>
      <w:r w:rsidRPr="00496E47">
        <w:rPr>
          <w:b w:val="0"/>
          <w:noProof/>
          <w:sz w:val="20"/>
        </w:rPr>
      </w:r>
      <w:r w:rsidRPr="00496E47">
        <w:rPr>
          <w:b w:val="0"/>
          <w:noProof/>
          <w:sz w:val="20"/>
        </w:rPr>
        <w:fldChar w:fldCharType="separate"/>
      </w:r>
      <w:r w:rsidR="00BA3964">
        <w:rPr>
          <w:b w:val="0"/>
          <w:noProof/>
          <w:sz w:val="20"/>
        </w:rPr>
        <w:t>1</w:t>
      </w:r>
      <w:r w:rsidRPr="00496E47">
        <w:rPr>
          <w:b w:val="0"/>
          <w:noProof/>
          <w:sz w:val="20"/>
        </w:rPr>
        <w:fldChar w:fldCharType="end"/>
      </w:r>
    </w:p>
    <w:p w14:paraId="55B5E72E" w14:textId="476954F3" w:rsidR="00FD6C52" w:rsidRDefault="00FD6C52" w:rsidP="00FD6C52">
      <w:pPr>
        <w:pStyle w:val="TOC3"/>
        <w:tabs>
          <w:tab w:val="right" w:leader="dot" w:pos="9017"/>
        </w:tabs>
        <w:rPr>
          <w:rFonts w:asciiTheme="minorHAnsi" w:eastAsiaTheme="minorEastAsia" w:hAnsiTheme="minorHAnsi" w:cstheme="minorBidi"/>
          <w:noProof/>
          <w:sz w:val="22"/>
          <w:szCs w:val="22"/>
        </w:rPr>
      </w:pPr>
      <w:r>
        <w:rPr>
          <w:noProof/>
        </w:rPr>
        <w:t>Background</w:t>
      </w:r>
      <w:r w:rsidRPr="00496E47">
        <w:rPr>
          <w:noProof/>
          <w:sz w:val="20"/>
        </w:rPr>
        <w:tab/>
      </w:r>
      <w:r w:rsidRPr="00496E47">
        <w:rPr>
          <w:noProof/>
          <w:sz w:val="20"/>
        </w:rPr>
        <w:fldChar w:fldCharType="begin"/>
      </w:r>
      <w:r w:rsidRPr="00496E47">
        <w:rPr>
          <w:noProof/>
          <w:sz w:val="20"/>
        </w:rPr>
        <w:instrText xml:space="preserve"> PAGEREF _Toc423364142 \h </w:instrText>
      </w:r>
      <w:r w:rsidRPr="00496E47">
        <w:rPr>
          <w:noProof/>
          <w:sz w:val="20"/>
        </w:rPr>
      </w:r>
      <w:r w:rsidRPr="00496E47">
        <w:rPr>
          <w:noProof/>
          <w:sz w:val="20"/>
        </w:rPr>
        <w:fldChar w:fldCharType="separate"/>
      </w:r>
      <w:r w:rsidR="00BA3964">
        <w:rPr>
          <w:noProof/>
          <w:sz w:val="20"/>
        </w:rPr>
        <w:t>1</w:t>
      </w:r>
      <w:r w:rsidRPr="00496E47">
        <w:rPr>
          <w:noProof/>
          <w:sz w:val="20"/>
        </w:rPr>
        <w:fldChar w:fldCharType="end"/>
      </w:r>
    </w:p>
    <w:p w14:paraId="3E72AFD8" w14:textId="4D7B106C" w:rsidR="00FD6C52" w:rsidRDefault="00FD6C52" w:rsidP="00FD6C52">
      <w:pPr>
        <w:pStyle w:val="TOC3"/>
        <w:tabs>
          <w:tab w:val="right" w:leader="dot" w:pos="9017"/>
        </w:tabs>
        <w:rPr>
          <w:rFonts w:asciiTheme="minorHAnsi" w:eastAsiaTheme="minorEastAsia" w:hAnsiTheme="minorHAnsi" w:cstheme="minorBidi"/>
          <w:noProof/>
          <w:sz w:val="22"/>
          <w:szCs w:val="22"/>
        </w:rPr>
      </w:pPr>
      <w:r>
        <w:rPr>
          <w:noProof/>
        </w:rPr>
        <w:t>Membership of Committee</w:t>
      </w:r>
      <w:r w:rsidRPr="00496E47">
        <w:rPr>
          <w:noProof/>
          <w:sz w:val="20"/>
        </w:rPr>
        <w:tab/>
      </w:r>
      <w:r w:rsidRPr="00496E47">
        <w:rPr>
          <w:noProof/>
          <w:sz w:val="20"/>
        </w:rPr>
        <w:fldChar w:fldCharType="begin"/>
      </w:r>
      <w:r w:rsidRPr="00496E47">
        <w:rPr>
          <w:noProof/>
          <w:sz w:val="20"/>
        </w:rPr>
        <w:instrText xml:space="preserve"> PAGEREF _Toc423364143 \h </w:instrText>
      </w:r>
      <w:r w:rsidRPr="00496E47">
        <w:rPr>
          <w:noProof/>
          <w:sz w:val="20"/>
        </w:rPr>
      </w:r>
      <w:r w:rsidRPr="00496E47">
        <w:rPr>
          <w:noProof/>
          <w:sz w:val="20"/>
        </w:rPr>
        <w:fldChar w:fldCharType="separate"/>
      </w:r>
      <w:r w:rsidR="00BA3964">
        <w:rPr>
          <w:noProof/>
          <w:sz w:val="20"/>
        </w:rPr>
        <w:t>1</w:t>
      </w:r>
      <w:r w:rsidRPr="00496E47">
        <w:rPr>
          <w:noProof/>
          <w:sz w:val="20"/>
        </w:rPr>
        <w:fldChar w:fldCharType="end"/>
      </w:r>
    </w:p>
    <w:p w14:paraId="50D0CD08" w14:textId="65A650F5" w:rsidR="00FD6C52" w:rsidRDefault="00FD6C52" w:rsidP="00FD6C52">
      <w:pPr>
        <w:pStyle w:val="TOC2"/>
        <w:tabs>
          <w:tab w:val="right" w:leader="dot" w:pos="9017"/>
        </w:tabs>
        <w:rPr>
          <w:rFonts w:asciiTheme="minorHAnsi" w:eastAsiaTheme="minorEastAsia" w:hAnsiTheme="minorHAnsi" w:cstheme="minorBidi"/>
          <w:b w:val="0"/>
          <w:noProof/>
          <w:sz w:val="22"/>
          <w:szCs w:val="22"/>
        </w:rPr>
      </w:pPr>
      <w:r>
        <w:rPr>
          <w:noProof/>
        </w:rPr>
        <w:t>Part 2—Functions of Committee</w:t>
      </w:r>
      <w:r w:rsidRPr="00496E47">
        <w:rPr>
          <w:b w:val="0"/>
          <w:noProof/>
          <w:sz w:val="20"/>
        </w:rPr>
        <w:tab/>
      </w:r>
      <w:r w:rsidRPr="00496E47">
        <w:rPr>
          <w:b w:val="0"/>
          <w:noProof/>
          <w:sz w:val="20"/>
        </w:rPr>
        <w:fldChar w:fldCharType="begin"/>
      </w:r>
      <w:r w:rsidRPr="00496E47">
        <w:rPr>
          <w:b w:val="0"/>
          <w:noProof/>
          <w:sz w:val="20"/>
        </w:rPr>
        <w:instrText xml:space="preserve"> PAGEREF _Toc423364144 \h </w:instrText>
      </w:r>
      <w:r w:rsidRPr="00496E47">
        <w:rPr>
          <w:b w:val="0"/>
          <w:noProof/>
          <w:sz w:val="20"/>
        </w:rPr>
      </w:r>
      <w:r w:rsidRPr="00496E47">
        <w:rPr>
          <w:b w:val="0"/>
          <w:noProof/>
          <w:sz w:val="20"/>
        </w:rPr>
        <w:fldChar w:fldCharType="separate"/>
      </w:r>
      <w:r w:rsidR="00BA3964">
        <w:rPr>
          <w:b w:val="0"/>
          <w:noProof/>
          <w:sz w:val="20"/>
        </w:rPr>
        <w:t>2</w:t>
      </w:r>
      <w:r w:rsidRPr="00496E47">
        <w:rPr>
          <w:b w:val="0"/>
          <w:noProof/>
          <w:sz w:val="20"/>
        </w:rPr>
        <w:fldChar w:fldCharType="end"/>
      </w:r>
    </w:p>
    <w:p w14:paraId="75568465" w14:textId="2515B7E3" w:rsidR="00FD6C52" w:rsidRDefault="00FD6C52" w:rsidP="00FD6C52">
      <w:pPr>
        <w:pStyle w:val="TOC3"/>
        <w:tabs>
          <w:tab w:val="right" w:leader="dot" w:pos="9017"/>
        </w:tabs>
        <w:rPr>
          <w:rFonts w:asciiTheme="minorHAnsi" w:eastAsiaTheme="minorEastAsia" w:hAnsiTheme="minorHAnsi" w:cstheme="minorBidi"/>
          <w:noProof/>
          <w:sz w:val="22"/>
          <w:szCs w:val="22"/>
        </w:rPr>
      </w:pPr>
      <w:r>
        <w:rPr>
          <w:noProof/>
        </w:rPr>
        <w:t>Functions</w:t>
      </w:r>
      <w:r w:rsidRPr="00496E47">
        <w:rPr>
          <w:noProof/>
          <w:sz w:val="20"/>
        </w:rPr>
        <w:tab/>
      </w:r>
      <w:r w:rsidRPr="00496E47">
        <w:rPr>
          <w:noProof/>
          <w:sz w:val="20"/>
        </w:rPr>
        <w:fldChar w:fldCharType="begin"/>
      </w:r>
      <w:r w:rsidRPr="00496E47">
        <w:rPr>
          <w:noProof/>
          <w:sz w:val="20"/>
        </w:rPr>
        <w:instrText xml:space="preserve"> PAGEREF _Toc423364145 \h </w:instrText>
      </w:r>
      <w:r w:rsidRPr="00496E47">
        <w:rPr>
          <w:noProof/>
          <w:sz w:val="20"/>
        </w:rPr>
      </w:r>
      <w:r w:rsidRPr="00496E47">
        <w:rPr>
          <w:noProof/>
          <w:sz w:val="20"/>
        </w:rPr>
        <w:fldChar w:fldCharType="separate"/>
      </w:r>
      <w:r w:rsidR="00BA3964">
        <w:rPr>
          <w:noProof/>
          <w:sz w:val="20"/>
        </w:rPr>
        <w:t>2</w:t>
      </w:r>
      <w:r w:rsidRPr="00496E47">
        <w:rPr>
          <w:noProof/>
          <w:sz w:val="20"/>
        </w:rPr>
        <w:fldChar w:fldCharType="end"/>
      </w:r>
    </w:p>
    <w:p w14:paraId="13220464" w14:textId="1AF96806" w:rsidR="00FD6C52" w:rsidRDefault="00FD6C52" w:rsidP="00FD6C52">
      <w:pPr>
        <w:pStyle w:val="TOC3"/>
        <w:tabs>
          <w:tab w:val="right" w:leader="dot" w:pos="9017"/>
        </w:tabs>
        <w:rPr>
          <w:rFonts w:asciiTheme="minorHAnsi" w:eastAsiaTheme="minorEastAsia" w:hAnsiTheme="minorHAnsi" w:cstheme="minorBidi"/>
          <w:noProof/>
          <w:sz w:val="22"/>
          <w:szCs w:val="22"/>
        </w:rPr>
      </w:pPr>
      <w:r>
        <w:rPr>
          <w:noProof/>
        </w:rPr>
        <w:t>Risk management</w:t>
      </w:r>
      <w:r w:rsidRPr="00496E47">
        <w:rPr>
          <w:noProof/>
          <w:sz w:val="20"/>
        </w:rPr>
        <w:tab/>
      </w:r>
      <w:r w:rsidRPr="00496E47">
        <w:rPr>
          <w:noProof/>
          <w:sz w:val="20"/>
        </w:rPr>
        <w:fldChar w:fldCharType="begin"/>
      </w:r>
      <w:r w:rsidRPr="00496E47">
        <w:rPr>
          <w:noProof/>
          <w:sz w:val="20"/>
        </w:rPr>
        <w:instrText xml:space="preserve"> PAGEREF _Toc423364146 \h </w:instrText>
      </w:r>
      <w:r w:rsidRPr="00496E47">
        <w:rPr>
          <w:noProof/>
          <w:sz w:val="20"/>
        </w:rPr>
      </w:r>
      <w:r w:rsidRPr="00496E47">
        <w:rPr>
          <w:noProof/>
          <w:sz w:val="20"/>
        </w:rPr>
        <w:fldChar w:fldCharType="separate"/>
      </w:r>
      <w:r w:rsidR="00BA3964">
        <w:rPr>
          <w:noProof/>
          <w:sz w:val="20"/>
        </w:rPr>
        <w:t>3</w:t>
      </w:r>
      <w:r w:rsidRPr="00496E47">
        <w:rPr>
          <w:noProof/>
          <w:sz w:val="20"/>
        </w:rPr>
        <w:fldChar w:fldCharType="end"/>
      </w:r>
    </w:p>
    <w:p w14:paraId="1B0F20CF" w14:textId="5F6F2D46" w:rsidR="00FD6C52" w:rsidRDefault="00FD6C52" w:rsidP="00FD6C52">
      <w:pPr>
        <w:pStyle w:val="TOC2"/>
        <w:tabs>
          <w:tab w:val="right" w:leader="dot" w:pos="9017"/>
        </w:tabs>
        <w:rPr>
          <w:rFonts w:asciiTheme="minorHAnsi" w:eastAsiaTheme="minorEastAsia" w:hAnsiTheme="minorHAnsi" w:cstheme="minorBidi"/>
          <w:b w:val="0"/>
          <w:noProof/>
          <w:sz w:val="22"/>
          <w:szCs w:val="22"/>
        </w:rPr>
      </w:pPr>
      <w:r>
        <w:rPr>
          <w:noProof/>
        </w:rPr>
        <w:t>Part 3—Administrative arrangements</w:t>
      </w:r>
      <w:r w:rsidRPr="00496E47">
        <w:rPr>
          <w:b w:val="0"/>
          <w:noProof/>
          <w:sz w:val="20"/>
        </w:rPr>
        <w:tab/>
      </w:r>
      <w:r w:rsidRPr="00496E47">
        <w:rPr>
          <w:b w:val="0"/>
          <w:noProof/>
          <w:sz w:val="20"/>
        </w:rPr>
        <w:fldChar w:fldCharType="begin"/>
      </w:r>
      <w:r w:rsidRPr="00496E47">
        <w:rPr>
          <w:b w:val="0"/>
          <w:noProof/>
          <w:sz w:val="20"/>
        </w:rPr>
        <w:instrText xml:space="preserve"> PAGEREF _Toc423364147 \h </w:instrText>
      </w:r>
      <w:r w:rsidRPr="00496E47">
        <w:rPr>
          <w:b w:val="0"/>
          <w:noProof/>
          <w:sz w:val="20"/>
        </w:rPr>
      </w:r>
      <w:r w:rsidRPr="00496E47">
        <w:rPr>
          <w:b w:val="0"/>
          <w:noProof/>
          <w:sz w:val="20"/>
        </w:rPr>
        <w:fldChar w:fldCharType="separate"/>
      </w:r>
      <w:r w:rsidR="00BA3964">
        <w:rPr>
          <w:b w:val="0"/>
          <w:noProof/>
          <w:sz w:val="20"/>
        </w:rPr>
        <w:t>3</w:t>
      </w:r>
      <w:r w:rsidRPr="00496E47">
        <w:rPr>
          <w:b w:val="0"/>
          <w:noProof/>
          <w:sz w:val="20"/>
        </w:rPr>
        <w:fldChar w:fldCharType="end"/>
      </w:r>
    </w:p>
    <w:p w14:paraId="2E6A6CAF" w14:textId="0171BC8D" w:rsidR="00FD6C52" w:rsidRDefault="00FD6C52" w:rsidP="00FD6C52">
      <w:pPr>
        <w:pStyle w:val="TOC3"/>
        <w:tabs>
          <w:tab w:val="right" w:leader="dot" w:pos="9017"/>
        </w:tabs>
        <w:rPr>
          <w:rFonts w:asciiTheme="minorHAnsi" w:eastAsiaTheme="minorEastAsia" w:hAnsiTheme="minorHAnsi" w:cstheme="minorBidi"/>
          <w:noProof/>
          <w:sz w:val="22"/>
          <w:szCs w:val="22"/>
        </w:rPr>
      </w:pPr>
      <w:r>
        <w:rPr>
          <w:noProof/>
        </w:rPr>
        <w:t>Meetings</w:t>
      </w:r>
      <w:r w:rsidRPr="00496E47">
        <w:rPr>
          <w:noProof/>
          <w:sz w:val="20"/>
        </w:rPr>
        <w:tab/>
      </w:r>
      <w:r w:rsidRPr="00496E47">
        <w:rPr>
          <w:noProof/>
          <w:sz w:val="20"/>
        </w:rPr>
        <w:fldChar w:fldCharType="begin"/>
      </w:r>
      <w:r w:rsidRPr="00496E47">
        <w:rPr>
          <w:noProof/>
          <w:sz w:val="20"/>
        </w:rPr>
        <w:instrText xml:space="preserve"> PAGEREF _Toc423364148 \h </w:instrText>
      </w:r>
      <w:r w:rsidRPr="00496E47">
        <w:rPr>
          <w:noProof/>
          <w:sz w:val="20"/>
        </w:rPr>
      </w:r>
      <w:r w:rsidRPr="00496E47">
        <w:rPr>
          <w:noProof/>
          <w:sz w:val="20"/>
        </w:rPr>
        <w:fldChar w:fldCharType="separate"/>
      </w:r>
      <w:r w:rsidR="00BA3964">
        <w:rPr>
          <w:noProof/>
          <w:sz w:val="20"/>
        </w:rPr>
        <w:t>3</w:t>
      </w:r>
      <w:r w:rsidRPr="00496E47">
        <w:rPr>
          <w:noProof/>
          <w:sz w:val="20"/>
        </w:rPr>
        <w:fldChar w:fldCharType="end"/>
      </w:r>
    </w:p>
    <w:p w14:paraId="43D833FD" w14:textId="5789E127" w:rsidR="00FD6C52" w:rsidRPr="00496E47" w:rsidRDefault="00FD6C52" w:rsidP="00FD6C52">
      <w:pPr>
        <w:pStyle w:val="TOC3"/>
        <w:tabs>
          <w:tab w:val="right" w:leader="dot" w:pos="9017"/>
        </w:tabs>
        <w:rPr>
          <w:rFonts w:eastAsiaTheme="minorEastAsia"/>
          <w:noProof/>
          <w:sz w:val="20"/>
          <w:szCs w:val="22"/>
        </w:rPr>
      </w:pPr>
      <w:r>
        <w:rPr>
          <w:noProof/>
        </w:rPr>
        <w:t>Secretariat</w:t>
      </w:r>
      <w:r w:rsidRPr="00496E47">
        <w:rPr>
          <w:noProof/>
          <w:sz w:val="20"/>
        </w:rPr>
        <w:tab/>
      </w:r>
      <w:r w:rsidRPr="00496E47">
        <w:rPr>
          <w:noProof/>
          <w:sz w:val="20"/>
        </w:rPr>
        <w:fldChar w:fldCharType="begin"/>
      </w:r>
      <w:r w:rsidRPr="00496E47">
        <w:rPr>
          <w:noProof/>
          <w:sz w:val="20"/>
        </w:rPr>
        <w:instrText xml:space="preserve"> PAGEREF _Toc423364149 \h </w:instrText>
      </w:r>
      <w:r w:rsidRPr="00496E47">
        <w:rPr>
          <w:noProof/>
          <w:sz w:val="20"/>
        </w:rPr>
      </w:r>
      <w:r w:rsidRPr="00496E47">
        <w:rPr>
          <w:noProof/>
          <w:sz w:val="20"/>
        </w:rPr>
        <w:fldChar w:fldCharType="separate"/>
      </w:r>
      <w:r w:rsidR="00BA3964">
        <w:rPr>
          <w:noProof/>
          <w:sz w:val="20"/>
        </w:rPr>
        <w:t>4</w:t>
      </w:r>
      <w:r w:rsidRPr="00496E47">
        <w:rPr>
          <w:noProof/>
          <w:sz w:val="20"/>
        </w:rPr>
        <w:fldChar w:fldCharType="end"/>
      </w:r>
    </w:p>
    <w:p w14:paraId="584F5683" w14:textId="77777777" w:rsidR="00FD6C52" w:rsidRPr="00622DDB" w:rsidRDefault="00FD6C52" w:rsidP="00FD6C52">
      <w:pPr>
        <w:pStyle w:val="TOC2"/>
      </w:pPr>
      <w:r w:rsidRPr="00496E47">
        <w:rPr>
          <w:b w:val="0"/>
          <w:sz w:val="20"/>
        </w:rPr>
        <w:fldChar w:fldCharType="end"/>
      </w:r>
    </w:p>
    <w:p w14:paraId="76B6C51D" w14:textId="77777777" w:rsidR="00FD6C52" w:rsidRPr="00622DDB" w:rsidRDefault="00FD6C52" w:rsidP="00FD6C52">
      <w:pPr>
        <w:pStyle w:val="Head2"/>
      </w:pPr>
      <w:bookmarkStart w:id="1" w:name="_Toc423364141"/>
      <w:r w:rsidRPr="00622DDB">
        <w:t>Part 1—Introduction</w:t>
      </w:r>
      <w:bookmarkEnd w:id="1"/>
    </w:p>
    <w:p w14:paraId="5CB4EE75" w14:textId="77777777" w:rsidR="00FD6C52" w:rsidRPr="00622DDB" w:rsidRDefault="00FD6C52" w:rsidP="00FD6C52">
      <w:pPr>
        <w:pStyle w:val="Head3"/>
        <w:keepNext w:val="0"/>
        <w:spacing w:after="0"/>
      </w:pPr>
      <w:bookmarkStart w:id="2" w:name="_Toc423364142"/>
      <w:r w:rsidRPr="00622DDB">
        <w:t>Background</w:t>
      </w:r>
      <w:bookmarkEnd w:id="2"/>
    </w:p>
    <w:p w14:paraId="242CE156" w14:textId="7AE945C2" w:rsidR="00FD6C52" w:rsidRPr="00622DDB" w:rsidRDefault="00FD6C52" w:rsidP="00FD6C52">
      <w:pPr>
        <w:pStyle w:val="BodyNum"/>
      </w:pPr>
      <w:r w:rsidRPr="00622DDB">
        <w:t>First Parliamentary Counsel (</w:t>
      </w:r>
      <w:r w:rsidRPr="00622DDB">
        <w:rPr>
          <w:b/>
          <w:i/>
        </w:rPr>
        <w:t>FPC</w:t>
      </w:r>
      <w:r>
        <w:t xml:space="preserve">) has established the Audit </w:t>
      </w:r>
      <w:r w:rsidR="00321AE3">
        <w:t xml:space="preserve">and Risk </w:t>
      </w:r>
      <w:r>
        <w:t>C</w:t>
      </w:r>
      <w:r w:rsidRPr="00622DDB">
        <w:t>ommitt</w:t>
      </w:r>
      <w:r>
        <w:t>ee in compliance with section 45</w:t>
      </w:r>
      <w:r w:rsidRPr="00622DDB">
        <w:t xml:space="preserve"> of the </w:t>
      </w:r>
      <w:r>
        <w:rPr>
          <w:i/>
        </w:rPr>
        <w:t>Public Governance, Performance and Accountability Act 2013</w:t>
      </w:r>
      <w:r w:rsidRPr="00622DDB">
        <w:t xml:space="preserve"> (</w:t>
      </w:r>
      <w:r>
        <w:rPr>
          <w:b/>
          <w:i/>
        </w:rPr>
        <w:t>PGPA</w:t>
      </w:r>
      <w:r w:rsidRPr="00622DDB">
        <w:rPr>
          <w:b/>
          <w:i/>
        </w:rPr>
        <w:t xml:space="preserve"> Act</w:t>
      </w:r>
      <w:r w:rsidRPr="00622DDB">
        <w:t xml:space="preserve">) and </w:t>
      </w:r>
      <w:r>
        <w:t xml:space="preserve">section 17 </w:t>
      </w:r>
      <w:r w:rsidRPr="00622DDB">
        <w:t xml:space="preserve">of the </w:t>
      </w:r>
      <w:r>
        <w:rPr>
          <w:i/>
        </w:rPr>
        <w:t>Public Governance, Performance and Accountability Rule 2014</w:t>
      </w:r>
      <w:r w:rsidRPr="00622DDB">
        <w:t xml:space="preserve"> (</w:t>
      </w:r>
      <w:r>
        <w:rPr>
          <w:b/>
          <w:i/>
        </w:rPr>
        <w:t>PGPA</w:t>
      </w:r>
      <w:r w:rsidRPr="00622DDB">
        <w:rPr>
          <w:b/>
          <w:i/>
        </w:rPr>
        <w:t xml:space="preserve"> </w:t>
      </w:r>
      <w:r>
        <w:rPr>
          <w:b/>
          <w:i/>
        </w:rPr>
        <w:t>rule</w:t>
      </w:r>
      <w:r w:rsidRPr="00622DDB">
        <w:t>).</w:t>
      </w:r>
    </w:p>
    <w:p w14:paraId="68CD6A1F" w14:textId="77777777" w:rsidR="00FD6C52" w:rsidRPr="00622DDB" w:rsidRDefault="00FD6C52" w:rsidP="00FD6C52">
      <w:pPr>
        <w:pStyle w:val="Head3"/>
      </w:pPr>
      <w:bookmarkStart w:id="3" w:name="_Toc423364143"/>
      <w:r>
        <w:t>Membership of C</w:t>
      </w:r>
      <w:r w:rsidRPr="00622DDB">
        <w:t>ommittee</w:t>
      </w:r>
      <w:bookmarkEnd w:id="3"/>
    </w:p>
    <w:p w14:paraId="2B6D04D9" w14:textId="4388303B" w:rsidR="00FD6C52" w:rsidRDefault="00FD6C52" w:rsidP="00FD6C52">
      <w:pPr>
        <w:pStyle w:val="BodyNum"/>
      </w:pPr>
      <w:r>
        <w:t xml:space="preserve">The Committee consists of three independent </w:t>
      </w:r>
      <w:r w:rsidR="00E06C5F">
        <w:t xml:space="preserve">(external) </w:t>
      </w:r>
      <w:r>
        <w:t xml:space="preserve">members appointed by FPC. </w:t>
      </w:r>
      <w:r w:rsidR="00342BE4">
        <w:t>As per subsection 17(4) of the PGPA rule,</w:t>
      </w:r>
      <w:r>
        <w:t xml:space="preserve"> all </w:t>
      </w:r>
      <w:r w:rsidR="00342BE4">
        <w:t>Audit</w:t>
      </w:r>
      <w:r w:rsidR="00321AE3">
        <w:t xml:space="preserve"> and Risk </w:t>
      </w:r>
      <w:r w:rsidR="00342BE4">
        <w:t>Committee</w:t>
      </w:r>
      <w:r>
        <w:t xml:space="preserve"> members must be persons who are not officials of OPC and a majority of members must be persons who are not officials of any Commonwealth entity. </w:t>
      </w:r>
    </w:p>
    <w:p w14:paraId="1D803B40" w14:textId="35448D37" w:rsidR="00000786" w:rsidRPr="00E46269" w:rsidRDefault="009C147B" w:rsidP="00FD6C52">
      <w:pPr>
        <w:pStyle w:val="BodyNum"/>
      </w:pPr>
      <w:r>
        <w:t>FPC will appoint the C</w:t>
      </w:r>
      <w:r w:rsidRPr="00622DDB">
        <w:t>hair of the</w:t>
      </w:r>
      <w:r>
        <w:t xml:space="preserve"> C</w:t>
      </w:r>
      <w:r w:rsidRPr="00622DDB">
        <w:t>ommittee.</w:t>
      </w:r>
      <w:r>
        <w:t xml:space="preserve"> </w:t>
      </w:r>
      <w:r w:rsidR="00000786">
        <w:t>I</w:t>
      </w:r>
      <w:r w:rsidR="00FD6C52" w:rsidRPr="00622DDB">
        <w:t>ndependent</w:t>
      </w:r>
      <w:r w:rsidR="00000786">
        <w:t xml:space="preserve"> (external) </w:t>
      </w:r>
      <w:r w:rsidR="00000786" w:rsidRPr="00E46269">
        <w:t xml:space="preserve">members are appointed for a minimum </w:t>
      </w:r>
      <w:r w:rsidRPr="00E46269">
        <w:t>three</w:t>
      </w:r>
      <w:r w:rsidR="00000786" w:rsidRPr="00E46269">
        <w:t xml:space="preserve"> year term. Membership should be reviewed after this to ensure ongoing </w:t>
      </w:r>
      <w:r w:rsidR="00E06C5F" w:rsidRPr="00E46269">
        <w:t>independence (maximum term is 10</w:t>
      </w:r>
      <w:r w:rsidR="00000786" w:rsidRPr="00E46269">
        <w:t xml:space="preserve"> years). </w:t>
      </w:r>
    </w:p>
    <w:p w14:paraId="5B6DBB5F" w14:textId="77777777" w:rsidR="00FD6C52" w:rsidRDefault="00FD6C52" w:rsidP="009C147B">
      <w:pPr>
        <w:pStyle w:val="BodyNum"/>
      </w:pPr>
      <w:r w:rsidRPr="00CF22AD">
        <w:t>Any member of the Committee can approach FPC on any ma</w:t>
      </w:r>
      <w:r w:rsidRPr="00622DDB">
        <w:t xml:space="preserve">tter </w:t>
      </w:r>
      <w:r>
        <w:t>relevant to the functions of the C</w:t>
      </w:r>
      <w:r w:rsidRPr="00622DDB">
        <w:t>ommittee.</w:t>
      </w:r>
    </w:p>
    <w:p w14:paraId="1BBA2366" w14:textId="77777777" w:rsidR="00FD6C52" w:rsidRDefault="00FD6C52" w:rsidP="00FD6C52">
      <w:pPr>
        <w:pStyle w:val="BodyNum"/>
      </w:pPr>
      <w:r>
        <w:lastRenderedPageBreak/>
        <w:t xml:space="preserve">In accordance with subsection 17(3) of the PGPA rule, audit committee members must have appropriate qualifications, knowledge, skills or experience to assist the committee to perform its functions. </w:t>
      </w:r>
      <w:r w:rsidRPr="00622DDB">
        <w:t>All members, taken collectively, will have a broad range of skills and experience relevant to the operations of OPC. At least one member of the Committee should have accounting or related financial management experience with an understanding of accounting and auditing standards in a public sector environment.</w:t>
      </w:r>
    </w:p>
    <w:p w14:paraId="4EECCB82" w14:textId="77777777" w:rsidR="00FD6C52" w:rsidRPr="005C0B6F" w:rsidRDefault="00FD6C52" w:rsidP="00FD6C52">
      <w:pPr>
        <w:pStyle w:val="Head3"/>
      </w:pPr>
      <w:r w:rsidRPr="005C0B6F">
        <w:t>Observers</w:t>
      </w:r>
      <w:r>
        <w:t xml:space="preserve"> and advisors</w:t>
      </w:r>
    </w:p>
    <w:p w14:paraId="6D4810B1" w14:textId="22B22DB3" w:rsidR="009C147B" w:rsidRDefault="009C147B" w:rsidP="00FD6C52">
      <w:pPr>
        <w:pStyle w:val="BodyNum"/>
      </w:pPr>
      <w:bookmarkStart w:id="4" w:name="_Toc423364144"/>
      <w:r>
        <w:t>The Chair may approve any OPC officer attending a Committee meeting or meetings as an observer</w:t>
      </w:r>
      <w:r w:rsidR="00D60EA5">
        <w:t xml:space="preserve"> </w:t>
      </w:r>
      <w:r w:rsidR="001E7934">
        <w:t>or participant</w:t>
      </w:r>
      <w:r>
        <w:t xml:space="preserve">. </w:t>
      </w:r>
    </w:p>
    <w:p w14:paraId="458B3E37" w14:textId="7646C24D" w:rsidR="00FD6C52" w:rsidRDefault="00FD6C52" w:rsidP="00FD6C52">
      <w:pPr>
        <w:pStyle w:val="BodyNum"/>
      </w:pPr>
      <w:r w:rsidRPr="00622DDB">
        <w:t xml:space="preserve">OPC’s ANAO </w:t>
      </w:r>
      <w:r w:rsidR="00B73CE8">
        <w:t>a</w:t>
      </w:r>
      <w:r w:rsidRPr="00622DDB">
        <w:t xml:space="preserve">udit </w:t>
      </w:r>
      <w:r w:rsidR="00B73CE8">
        <w:t xml:space="preserve">representative </w:t>
      </w:r>
      <w:r w:rsidRPr="00622DDB">
        <w:t>will be invited to attend each meeting, unless requested not to do so by the Chair of the Committee. Others, for example the internal auditor, may attend Committee meetings by invitation.</w:t>
      </w:r>
    </w:p>
    <w:p w14:paraId="09DEAEAF" w14:textId="77777777" w:rsidR="00FD6C52" w:rsidRPr="00622DDB" w:rsidRDefault="00FD6C52" w:rsidP="00FD6C52">
      <w:pPr>
        <w:pStyle w:val="Head2"/>
      </w:pPr>
      <w:r w:rsidRPr="00622DDB">
        <w:t>Part 2—</w:t>
      </w:r>
      <w:r>
        <w:t>Functions of C</w:t>
      </w:r>
      <w:r w:rsidRPr="00622DDB">
        <w:t>ommittee</w:t>
      </w:r>
      <w:bookmarkEnd w:id="4"/>
    </w:p>
    <w:p w14:paraId="3EE02154" w14:textId="77777777" w:rsidR="00FD6C52" w:rsidRPr="00622DDB" w:rsidRDefault="00FD6C52" w:rsidP="00FD6C52">
      <w:pPr>
        <w:pStyle w:val="Head3"/>
      </w:pPr>
      <w:bookmarkStart w:id="5" w:name="_Toc423364145"/>
      <w:r w:rsidRPr="00622DDB">
        <w:t>Functions</w:t>
      </w:r>
      <w:bookmarkEnd w:id="5"/>
    </w:p>
    <w:p w14:paraId="376B5E5F" w14:textId="2EFC89B3" w:rsidR="00FD6C52" w:rsidRDefault="00FD6C52" w:rsidP="00FD6C52">
      <w:pPr>
        <w:pStyle w:val="BodyNum"/>
      </w:pPr>
      <w:r w:rsidRPr="00622DDB">
        <w:t xml:space="preserve">The functions </w:t>
      </w:r>
      <w:r>
        <w:t>of the Audit</w:t>
      </w:r>
      <w:r w:rsidR="00321AE3">
        <w:t xml:space="preserve"> and Risk </w:t>
      </w:r>
      <w:r>
        <w:t xml:space="preserve">Committee include the functions set out in subsection 17(2) of the PGPA rule which deal with reviewing </w:t>
      </w:r>
      <w:r w:rsidR="00CF22AD">
        <w:t xml:space="preserve">and giving independent advice regarding </w:t>
      </w:r>
      <w:r>
        <w:t>the appropriateness of FPC’s:</w:t>
      </w:r>
    </w:p>
    <w:p w14:paraId="2D102799" w14:textId="036EBDA7" w:rsidR="00FD6C52" w:rsidRDefault="00FD6C52" w:rsidP="00FD6C52">
      <w:pPr>
        <w:pStyle w:val="BodyPara"/>
      </w:pPr>
      <w:r>
        <w:t xml:space="preserve">financial reporting; </w:t>
      </w:r>
    </w:p>
    <w:p w14:paraId="5FCBDE30" w14:textId="4A6E520F" w:rsidR="00FD6C52" w:rsidRDefault="00FD6C52" w:rsidP="00FD6C52">
      <w:pPr>
        <w:pStyle w:val="BodyPara"/>
      </w:pPr>
      <w:r>
        <w:t xml:space="preserve">performance reporting; </w:t>
      </w:r>
    </w:p>
    <w:p w14:paraId="2B17CDD3" w14:textId="77777777" w:rsidR="00FD6C52" w:rsidRDefault="00FD6C52" w:rsidP="00FD6C52">
      <w:pPr>
        <w:pStyle w:val="BodyPara"/>
      </w:pPr>
      <w:r>
        <w:t xml:space="preserve">system of risk oversight and management; and </w:t>
      </w:r>
    </w:p>
    <w:p w14:paraId="4B3FF131" w14:textId="054EF19A" w:rsidR="00FD6C52" w:rsidRDefault="00FD6C52" w:rsidP="00FD6C52">
      <w:pPr>
        <w:pStyle w:val="BodyPara"/>
      </w:pPr>
      <w:r>
        <w:t>system of internal control</w:t>
      </w:r>
      <w:r w:rsidR="001363B1">
        <w:t>.</w:t>
      </w:r>
    </w:p>
    <w:p w14:paraId="6F14C0F6" w14:textId="77777777" w:rsidR="00FD6C52" w:rsidRPr="00612BDF" w:rsidRDefault="00FD6C52" w:rsidP="00FD6C52">
      <w:pPr>
        <w:pStyle w:val="Body"/>
      </w:pPr>
      <w:r>
        <w:t>for OPC.</w:t>
      </w:r>
    </w:p>
    <w:p w14:paraId="0A3B873F" w14:textId="63B1026E" w:rsidR="00FD6C52" w:rsidRPr="00983ACC" w:rsidRDefault="00FD6C52" w:rsidP="00FD6C52">
      <w:pPr>
        <w:pStyle w:val="BodyNum"/>
      </w:pPr>
      <w:r>
        <w:t>More specifically, the functions of the Audit</w:t>
      </w:r>
      <w:r w:rsidR="00321AE3">
        <w:t xml:space="preserve"> and Risk </w:t>
      </w:r>
      <w:r>
        <w:t>Committee include</w:t>
      </w:r>
      <w:r w:rsidR="00DB5DC9">
        <w:t xml:space="preserve"> reviewing</w:t>
      </w:r>
      <w:r>
        <w:t>:</w:t>
      </w:r>
    </w:p>
    <w:p w14:paraId="28C02254" w14:textId="563752C6" w:rsidR="00FD6C52" w:rsidRDefault="00FD6C52" w:rsidP="00FD6C52">
      <w:pPr>
        <w:pStyle w:val="BodyPara"/>
      </w:pPr>
      <w:r>
        <w:t xml:space="preserve">processes and systems for preparing financial reporting information; </w:t>
      </w:r>
    </w:p>
    <w:p w14:paraId="6DF1AAF5" w14:textId="00E6A3A6" w:rsidR="00FD6C52" w:rsidRDefault="00FD6C52" w:rsidP="00FD6C52">
      <w:pPr>
        <w:pStyle w:val="BodyPara"/>
      </w:pPr>
      <w:r>
        <w:t xml:space="preserve">processes in place to stay informed throughout the year of any changes or additional requirements in relation to financial reporting; </w:t>
      </w:r>
    </w:p>
    <w:p w14:paraId="6B386CEA" w14:textId="14FC0AC3" w:rsidR="00FD6C52" w:rsidRDefault="00FD6C52" w:rsidP="00FD6C52">
      <w:pPr>
        <w:pStyle w:val="BodyPara"/>
      </w:pPr>
      <w:r>
        <w:t xml:space="preserve">OPC’s </w:t>
      </w:r>
      <w:r w:rsidRPr="00622DDB">
        <w:t xml:space="preserve">financial statements; </w:t>
      </w:r>
    </w:p>
    <w:p w14:paraId="6EB74D35" w14:textId="39955D93" w:rsidR="00FD6C52" w:rsidRPr="00622DDB" w:rsidRDefault="00FD6C52" w:rsidP="00FD6C52">
      <w:pPr>
        <w:pStyle w:val="BodyPara"/>
      </w:pPr>
      <w:r>
        <w:t xml:space="preserve">systems and procedures for assessing, monitoring, verifying and reporting the achievement of OPC’s performance; </w:t>
      </w:r>
    </w:p>
    <w:p w14:paraId="0919E25E" w14:textId="0419928F" w:rsidR="00FD6C52" w:rsidRDefault="00FD6C52" w:rsidP="00FD6C52">
      <w:pPr>
        <w:pStyle w:val="BodyPara"/>
      </w:pPr>
      <w:r>
        <w:t xml:space="preserve">the annual performance statements; </w:t>
      </w:r>
    </w:p>
    <w:p w14:paraId="410DEA38" w14:textId="6EFBAEF9" w:rsidR="00FD6C52" w:rsidRDefault="00FD6C52" w:rsidP="00FD6C52">
      <w:pPr>
        <w:pStyle w:val="BodyPara"/>
      </w:pPr>
      <w:r>
        <w:t xml:space="preserve">responsibilities for risk management set out in paragraph </w:t>
      </w:r>
      <w:r>
        <w:fldChar w:fldCharType="begin"/>
      </w:r>
      <w:r>
        <w:instrText xml:space="preserve"> REF _Ref418241404 \r \h </w:instrText>
      </w:r>
      <w:r>
        <w:fldChar w:fldCharType="separate"/>
      </w:r>
      <w:r w:rsidR="00BA3964">
        <w:rPr>
          <w:b/>
          <w:bCs/>
          <w:lang w:val="en-US"/>
        </w:rPr>
        <w:t>Error! Reference source not found.</w:t>
      </w:r>
      <w:r>
        <w:fldChar w:fldCharType="end"/>
      </w:r>
      <w:r w:rsidR="00CB29B2">
        <w:t>0</w:t>
      </w:r>
      <w:r>
        <w:t xml:space="preserve">; </w:t>
      </w:r>
    </w:p>
    <w:p w14:paraId="4DDF376A" w14:textId="5A391192" w:rsidR="00FD6C52" w:rsidRPr="00622DDB" w:rsidRDefault="00FD6C52" w:rsidP="00FD6C52">
      <w:pPr>
        <w:pStyle w:val="BodyPara"/>
      </w:pPr>
      <w:r w:rsidRPr="00622DDB">
        <w:t xml:space="preserve">annual </w:t>
      </w:r>
      <w:r>
        <w:t>internal</w:t>
      </w:r>
      <w:r w:rsidRPr="00622DDB">
        <w:t xml:space="preserve"> audit plan of OPC; </w:t>
      </w:r>
    </w:p>
    <w:p w14:paraId="075DCBE2" w14:textId="14F23EDE" w:rsidR="00FD6C52" w:rsidRPr="00622DDB" w:rsidRDefault="00FD6C52" w:rsidP="00FD6C52">
      <w:pPr>
        <w:pStyle w:val="BodyPara"/>
      </w:pPr>
      <w:r w:rsidRPr="00622DDB">
        <w:lastRenderedPageBreak/>
        <w:t xml:space="preserve">all audit reports including the identification and dissemination of good practices; </w:t>
      </w:r>
    </w:p>
    <w:p w14:paraId="34633F92" w14:textId="2C62968D" w:rsidR="00FD6C52" w:rsidRDefault="00FD6C52" w:rsidP="00FD6C52">
      <w:pPr>
        <w:pStyle w:val="BodyPara"/>
      </w:pPr>
      <w:r>
        <w:t xml:space="preserve">the effectiveness of systems of monitoring OPC’s compliance with laws, regulations and government policy; and </w:t>
      </w:r>
    </w:p>
    <w:p w14:paraId="5E8A8CCB" w14:textId="5D367923" w:rsidR="00FD6C52" w:rsidRPr="00622DDB" w:rsidRDefault="00FD6C52" w:rsidP="00FD6C52">
      <w:pPr>
        <w:pStyle w:val="BodyPara"/>
      </w:pPr>
      <w:r>
        <w:t>management’s approach to maintaining an effective internal control framework and whether processes are in place for assessing compliance with key policies and procedures.</w:t>
      </w:r>
    </w:p>
    <w:p w14:paraId="04482FE6" w14:textId="77777777" w:rsidR="00FD6C52" w:rsidRPr="00622DDB" w:rsidRDefault="00FD6C52" w:rsidP="00FD6C52">
      <w:pPr>
        <w:pStyle w:val="Head3"/>
      </w:pPr>
      <w:bookmarkStart w:id="6" w:name="_Toc423364146"/>
      <w:r w:rsidRPr="00622DDB">
        <w:t>Risk management</w:t>
      </w:r>
      <w:bookmarkEnd w:id="6"/>
    </w:p>
    <w:p w14:paraId="60625076" w14:textId="51C5BE36" w:rsidR="00E96CDD" w:rsidRDefault="00E96CDD" w:rsidP="00FD6C52">
      <w:pPr>
        <w:pStyle w:val="BodyNum"/>
      </w:pPr>
      <w:r>
        <w:t xml:space="preserve">The Committee will review and provide </w:t>
      </w:r>
      <w:r w:rsidR="002D0783">
        <w:t>advice</w:t>
      </w:r>
      <w:r>
        <w:t xml:space="preserve"> of the appropriateness of OPC’s:</w:t>
      </w:r>
    </w:p>
    <w:p w14:paraId="36B5AAC4" w14:textId="20828583" w:rsidR="00E96CDD" w:rsidRDefault="00E96CDD" w:rsidP="00E96CDD">
      <w:pPr>
        <w:pStyle w:val="BodyPara"/>
      </w:pPr>
      <w:r>
        <w:t xml:space="preserve">risk management policy framework and the necessary internal controls for the effective identification and management of the </w:t>
      </w:r>
      <w:r w:rsidR="00B73CE8">
        <w:t>agency</w:t>
      </w:r>
      <w:r>
        <w:t>'s risks, in accordance with the Commonwealth Risk Management Policy;</w:t>
      </w:r>
    </w:p>
    <w:p w14:paraId="7264EA41" w14:textId="77777777" w:rsidR="00E96CDD" w:rsidRDefault="00E96CDD" w:rsidP="00E96CDD">
      <w:pPr>
        <w:pStyle w:val="BodyPara"/>
      </w:pPr>
      <w:r>
        <w:t xml:space="preserve">approach to managing the </w:t>
      </w:r>
      <w:r w:rsidR="009C147B">
        <w:t>agency</w:t>
      </w:r>
      <w:r>
        <w:t>'s key risks;</w:t>
      </w:r>
    </w:p>
    <w:p w14:paraId="247BC3A4" w14:textId="12DCACD0" w:rsidR="000360C3" w:rsidRDefault="00E96CDD" w:rsidP="000360C3">
      <w:pPr>
        <w:pStyle w:val="BodyPara"/>
      </w:pPr>
      <w:r>
        <w:t xml:space="preserve">process for developing and implementing the </w:t>
      </w:r>
      <w:r w:rsidR="00B73CE8">
        <w:t>agency</w:t>
      </w:r>
      <w:r>
        <w:t xml:space="preserve">'s fraud control arrangements consistent with the Commonwealth Fraud Control Framework, and satisfy that the </w:t>
      </w:r>
      <w:r w:rsidR="00B73CE8">
        <w:t>agency</w:t>
      </w:r>
      <w:r>
        <w:t xml:space="preserve"> has adequate processes for detecting, capturing and effectively responding to fraud risks;</w:t>
      </w:r>
      <w:r w:rsidR="001363B1">
        <w:t xml:space="preserve"> and</w:t>
      </w:r>
    </w:p>
    <w:p w14:paraId="3B0D2027" w14:textId="77777777" w:rsidR="000360C3" w:rsidRDefault="00E96CDD" w:rsidP="000360C3">
      <w:pPr>
        <w:pStyle w:val="BodyPara"/>
      </w:pPr>
      <w:r>
        <w:t xml:space="preserve">articulation of key roles and responsibilities relating to risk management and adherence to them by officials of the </w:t>
      </w:r>
      <w:r w:rsidR="000360C3">
        <w:t>agency</w:t>
      </w:r>
      <w:r>
        <w:t>.</w:t>
      </w:r>
    </w:p>
    <w:p w14:paraId="594AFBCC" w14:textId="77777777" w:rsidR="00FD6C52" w:rsidRDefault="00FD6C52" w:rsidP="00FD6C52">
      <w:pPr>
        <w:pStyle w:val="Head3"/>
      </w:pPr>
      <w:r>
        <w:t>Deliverables</w:t>
      </w:r>
    </w:p>
    <w:p w14:paraId="2CAA95B4" w14:textId="40B1F3B4" w:rsidR="00FD6C52" w:rsidRDefault="00FD6C52" w:rsidP="00FD6C52">
      <w:pPr>
        <w:pStyle w:val="BodyNum"/>
      </w:pPr>
      <w:r>
        <w:t xml:space="preserve">The Committee will provide advice to </w:t>
      </w:r>
      <w:r w:rsidR="00B73CE8">
        <w:t xml:space="preserve">the </w:t>
      </w:r>
      <w:r>
        <w:t>FPC on the Committee’s ongoing monitoring of the internal audit plan and the appropriateness of OPC’s financial reporting; performance reporting; system of risk oversight and management; and system of internal control; after the September meeting each year. The Secretariat will draft the document for discussion and approval at the September meeting.</w:t>
      </w:r>
    </w:p>
    <w:p w14:paraId="273DF701" w14:textId="77777777" w:rsidR="00FD6C52" w:rsidRDefault="00FD6C52" w:rsidP="00FD6C52">
      <w:pPr>
        <w:pStyle w:val="BodyNum"/>
      </w:pPr>
      <w:r>
        <w:t>The Chair of the Committee will provide a written or verbal update to FPC after each meeting.</w:t>
      </w:r>
    </w:p>
    <w:p w14:paraId="0F39A853" w14:textId="77777777" w:rsidR="00FD6C52" w:rsidRPr="00622DDB" w:rsidRDefault="00FD6C52" w:rsidP="00FD6C52">
      <w:pPr>
        <w:pStyle w:val="Head2"/>
      </w:pPr>
      <w:bookmarkStart w:id="7" w:name="_Toc423364147"/>
      <w:r w:rsidRPr="00622DDB">
        <w:t>Part 3—Administrative arrangements</w:t>
      </w:r>
      <w:bookmarkEnd w:id="7"/>
    </w:p>
    <w:p w14:paraId="31FB2C27" w14:textId="77777777" w:rsidR="00FD6C52" w:rsidRDefault="00FD6C52" w:rsidP="00FD6C52">
      <w:pPr>
        <w:pStyle w:val="Head3"/>
      </w:pPr>
      <w:bookmarkStart w:id="8" w:name="_Toc423364148"/>
      <w:r>
        <w:t>Annual Work Plan</w:t>
      </w:r>
    </w:p>
    <w:p w14:paraId="0BD9B042" w14:textId="04548990" w:rsidR="00FD6C52" w:rsidRDefault="00FD6C52" w:rsidP="00FD6C52">
      <w:pPr>
        <w:pStyle w:val="BodyNum"/>
      </w:pPr>
      <w:r>
        <w:t xml:space="preserve">Each year the Committee will </w:t>
      </w:r>
      <w:r w:rsidR="00B73CE8">
        <w:t xml:space="preserve">endorse </w:t>
      </w:r>
      <w:r>
        <w:t xml:space="preserve">a forward work plan that outlines the meeting schedule, agenda items and the activities to be undertaken to ensure the Committee achieves the functions of its Charter. </w:t>
      </w:r>
    </w:p>
    <w:p w14:paraId="394B9085" w14:textId="77777777" w:rsidR="00FD6C52" w:rsidRDefault="00FD6C52" w:rsidP="00FD6C52">
      <w:pPr>
        <w:pStyle w:val="Head3"/>
      </w:pPr>
      <w:r>
        <w:t>Induction for new members</w:t>
      </w:r>
    </w:p>
    <w:p w14:paraId="22F40F2B" w14:textId="77777777" w:rsidR="00FD6C52" w:rsidRDefault="00FD6C52" w:rsidP="00FD6C52">
      <w:pPr>
        <w:pStyle w:val="BodyNum"/>
      </w:pPr>
      <w:r>
        <w:t xml:space="preserve"> The Secretariat will provide new members with a package of corporate information including governance policy documents, Internal Audit plan, ANAO Financial Statement </w:t>
      </w:r>
      <w:r>
        <w:lastRenderedPageBreak/>
        <w:t>documents and Committee minutes and a briefing from FPC on their appointment to assist them to meet their Committee responsibilities.</w:t>
      </w:r>
    </w:p>
    <w:p w14:paraId="07F697BA" w14:textId="77777777" w:rsidR="00FD6C52" w:rsidRPr="00622DDB" w:rsidRDefault="00FD6C52" w:rsidP="00FD6C52">
      <w:pPr>
        <w:pStyle w:val="Head3"/>
      </w:pPr>
      <w:r w:rsidRPr="00622DDB">
        <w:t>Meetings</w:t>
      </w:r>
      <w:bookmarkEnd w:id="8"/>
    </w:p>
    <w:p w14:paraId="1A276967" w14:textId="77777777" w:rsidR="00FD6C52" w:rsidRPr="00622DDB" w:rsidRDefault="00FD6C52" w:rsidP="00FD6C52">
      <w:pPr>
        <w:pStyle w:val="BodyNum"/>
      </w:pPr>
      <w:r w:rsidRPr="00622DDB">
        <w:t xml:space="preserve">The Committee will meet at least </w:t>
      </w:r>
      <w:r>
        <w:t>four times</w:t>
      </w:r>
      <w:r w:rsidRPr="00622DDB">
        <w:t xml:space="preserve"> a year. The Committee will meet at such times as the Chair of the Committee considers necessary or as FPC requests.</w:t>
      </w:r>
    </w:p>
    <w:p w14:paraId="75035C0C" w14:textId="6D1D69FF" w:rsidR="00FD6C52" w:rsidRPr="00622DDB" w:rsidRDefault="00FD6C52" w:rsidP="00FD6C52">
      <w:pPr>
        <w:pStyle w:val="BodyNum"/>
      </w:pPr>
      <w:r>
        <w:t xml:space="preserve">A quorum consists of </w:t>
      </w:r>
      <w:r w:rsidR="002553AA">
        <w:t xml:space="preserve">two </w:t>
      </w:r>
      <w:r>
        <w:t>members</w:t>
      </w:r>
      <w:r w:rsidRPr="00622DDB">
        <w:t>.</w:t>
      </w:r>
      <w:r>
        <w:t xml:space="preserve"> The quorum must be in place at all times during the meeting.</w:t>
      </w:r>
    </w:p>
    <w:p w14:paraId="1CEF2B14" w14:textId="77777777" w:rsidR="00FD6C52" w:rsidRPr="00622DDB" w:rsidRDefault="00FD6C52" w:rsidP="00FD6C52">
      <w:pPr>
        <w:pStyle w:val="BodyNum"/>
      </w:pPr>
      <w:r w:rsidRPr="00622DDB">
        <w:t>Meeting dates and agenda items will be agreed by the Committee members.</w:t>
      </w:r>
    </w:p>
    <w:p w14:paraId="1E545557" w14:textId="77777777" w:rsidR="00FD6C52" w:rsidRPr="00622DDB" w:rsidRDefault="00FD6C52" w:rsidP="00FD6C52">
      <w:pPr>
        <w:pStyle w:val="Head3"/>
      </w:pPr>
      <w:bookmarkStart w:id="9" w:name="_Toc423364149"/>
      <w:r w:rsidRPr="00622DDB">
        <w:t>Secretariat</w:t>
      </w:r>
      <w:bookmarkEnd w:id="9"/>
    </w:p>
    <w:p w14:paraId="245AB17D" w14:textId="77777777" w:rsidR="00FD6C52" w:rsidRPr="00622DDB" w:rsidRDefault="00FD6C52" w:rsidP="00FD6C52">
      <w:pPr>
        <w:pStyle w:val="BodyNum"/>
      </w:pPr>
      <w:r w:rsidRPr="00622DDB">
        <w:t>The General Manager</w:t>
      </w:r>
      <w:r>
        <w:t>, Corporate</w:t>
      </w:r>
      <w:r w:rsidRPr="00622DDB">
        <w:t xml:space="preserve"> will </w:t>
      </w:r>
      <w:r>
        <w:t xml:space="preserve">be the Secretariat for the Committee and </w:t>
      </w:r>
      <w:r w:rsidRPr="00622DDB">
        <w:t>arrange:</w:t>
      </w:r>
    </w:p>
    <w:p w14:paraId="4657DBCE" w14:textId="1C785E3D" w:rsidR="00FD6C52" w:rsidRPr="00622DDB" w:rsidRDefault="00FD6C52" w:rsidP="00FD6C52">
      <w:pPr>
        <w:pStyle w:val="BodyParaBullet"/>
      </w:pPr>
      <w:r w:rsidRPr="00622DDB">
        <w:t>secretariat support to the Committee;</w:t>
      </w:r>
    </w:p>
    <w:p w14:paraId="33984E0C" w14:textId="50C414B7" w:rsidR="00FD6C52" w:rsidRPr="00622DDB" w:rsidRDefault="00FD6C52" w:rsidP="00FD6C52">
      <w:pPr>
        <w:pStyle w:val="BodyParaBullet"/>
      </w:pPr>
      <w:r w:rsidRPr="00622DDB">
        <w:t>the circulation of the agenda and supporting papers for each meeting, after approval by the Chair of the Committee;</w:t>
      </w:r>
    </w:p>
    <w:p w14:paraId="74F6DE86" w14:textId="0D5B800F" w:rsidR="00FD6C52" w:rsidRPr="00622DDB" w:rsidRDefault="00FD6C52" w:rsidP="00FD6C52">
      <w:pPr>
        <w:pStyle w:val="BodyParaBullet"/>
      </w:pPr>
      <w:r w:rsidRPr="00622DDB">
        <w:t>the circulation of the agenda and supporting papers one week before the meeting, where practicable;</w:t>
      </w:r>
    </w:p>
    <w:p w14:paraId="3DC3B56A" w14:textId="0A4C6F2F" w:rsidR="00FD6C52" w:rsidRPr="00622DDB" w:rsidRDefault="00FD6C52" w:rsidP="00FD6C52">
      <w:pPr>
        <w:pStyle w:val="BodyParaBullet"/>
      </w:pPr>
      <w:r w:rsidRPr="00622DDB">
        <w:t>the preparation of minutes of each meeting;</w:t>
      </w:r>
    </w:p>
    <w:p w14:paraId="18136B5E" w14:textId="77777777" w:rsidR="00FD6C52" w:rsidRDefault="00FD6C52" w:rsidP="00FD6C52">
      <w:pPr>
        <w:pStyle w:val="BodyParaBullet"/>
      </w:pPr>
      <w:r w:rsidRPr="00622DDB">
        <w:t>the circulation of the minutes to each member and attendees, as appropriate, as soon as practicable after they have been approved by the Chair of the Committee</w:t>
      </w:r>
      <w:r>
        <w:t>, and</w:t>
      </w:r>
    </w:p>
    <w:p w14:paraId="3C0AB00B" w14:textId="77777777" w:rsidR="00FD6C52" w:rsidRPr="00622DDB" w:rsidRDefault="00FD6C52" w:rsidP="00FD6C52">
      <w:pPr>
        <w:pStyle w:val="BodyParaBullet"/>
      </w:pPr>
      <w:r>
        <w:t>maintenance of the register of members</w:t>
      </w:r>
      <w:r w:rsidRPr="00622DDB">
        <w:t>.</w:t>
      </w:r>
    </w:p>
    <w:p w14:paraId="011066FF" w14:textId="77777777" w:rsidR="00FD6C52" w:rsidRDefault="00FD6C52" w:rsidP="00FD6C52">
      <w:pPr>
        <w:pStyle w:val="Head3"/>
      </w:pPr>
      <w:r>
        <w:t>Assessing Committee performance</w:t>
      </w:r>
    </w:p>
    <w:p w14:paraId="6D4C05AC" w14:textId="77777777" w:rsidR="00FD6C52" w:rsidRDefault="00FD6C52" w:rsidP="00FD6C52">
      <w:pPr>
        <w:pStyle w:val="BodyNum"/>
      </w:pPr>
      <w:r>
        <w:t>The Chair of the Committee in consultation with FPC, will undertake a review of the performance of the Committee at least every two years. The review will be undertaken on a self-assessment basis with appropriate input sought from FPC, Committee members, senior management, internal audit, the ANAO and any other relevant stakeholders, as determined by FPC.</w:t>
      </w:r>
    </w:p>
    <w:p w14:paraId="18828ACE" w14:textId="77777777" w:rsidR="00FD6C52" w:rsidRDefault="00FD6C52" w:rsidP="00FD6C52">
      <w:pPr>
        <w:pStyle w:val="Head3"/>
      </w:pPr>
      <w:r>
        <w:t>Review of Charter</w:t>
      </w:r>
    </w:p>
    <w:p w14:paraId="6313AE77" w14:textId="77777777" w:rsidR="00FD6C52" w:rsidRDefault="00FD6C52" w:rsidP="00FD6C52">
      <w:pPr>
        <w:pStyle w:val="BodyNum"/>
      </w:pPr>
      <w:r>
        <w:t>The Committee will review this Charter in consultation with FPC at least once a year. Any substantive changes will be recommended by the Committee and formally approved by FPC.</w:t>
      </w:r>
    </w:p>
    <w:p w14:paraId="0518FCD3" w14:textId="2BDA0214" w:rsidR="00FD6C52" w:rsidRDefault="00FD6C52" w:rsidP="00FD6C52">
      <w:pPr>
        <w:pStyle w:val="BodyNum"/>
        <w:numPr>
          <w:ilvl w:val="0"/>
          <w:numId w:val="0"/>
        </w:numPr>
      </w:pPr>
    </w:p>
    <w:p w14:paraId="658E88EA" w14:textId="77777777" w:rsidR="00580213" w:rsidRPr="006840DE" w:rsidRDefault="00580213" w:rsidP="00FD6C52">
      <w:pPr>
        <w:pStyle w:val="BodyNum"/>
        <w:numPr>
          <w:ilvl w:val="0"/>
          <w:numId w:val="0"/>
        </w:numPr>
      </w:pPr>
    </w:p>
    <w:p w14:paraId="35D4FFFB" w14:textId="32C6136D" w:rsidR="002D0783" w:rsidRDefault="002D0783" w:rsidP="00FD6C52">
      <w:pPr>
        <w:pStyle w:val="BodyNum"/>
        <w:numPr>
          <w:ilvl w:val="0"/>
          <w:numId w:val="0"/>
        </w:numPr>
      </w:pPr>
      <w:r>
        <w:lastRenderedPageBreak/>
        <w:t>Meredith Leigh</w:t>
      </w:r>
    </w:p>
    <w:p w14:paraId="2AA7EC37" w14:textId="3940DBDD" w:rsidR="00FD6C52" w:rsidRPr="005E5A2D" w:rsidRDefault="002D0783" w:rsidP="00FD6C52">
      <w:pPr>
        <w:pStyle w:val="BodyNum"/>
        <w:numPr>
          <w:ilvl w:val="0"/>
          <w:numId w:val="0"/>
        </w:numPr>
      </w:pPr>
      <w:r>
        <w:t xml:space="preserve">Acting </w:t>
      </w:r>
      <w:r w:rsidR="00FD6C52" w:rsidRPr="005E5A2D">
        <w:t>First Parliamentary Counsel</w:t>
      </w:r>
    </w:p>
    <w:p w14:paraId="071DD15A" w14:textId="0A6D2430" w:rsidR="00FD6C52" w:rsidRDefault="008149F9" w:rsidP="00FD6C52">
      <w:pPr>
        <w:pStyle w:val="Blocks"/>
      </w:pPr>
      <w:r>
        <w:t>6 July</w:t>
      </w:r>
      <w:r w:rsidR="00FD6C52">
        <w:t xml:space="preserve"> 202</w:t>
      </w:r>
      <w:r w:rsidR="002D0783">
        <w:t>1</w:t>
      </w:r>
    </w:p>
    <w:p w14:paraId="1DF5153B" w14:textId="77777777" w:rsidR="00FD6C52" w:rsidRDefault="00FD6C52" w:rsidP="00FD6C52">
      <w:pPr>
        <w:pStyle w:val="Blocks"/>
      </w:pPr>
    </w:p>
    <w:tbl>
      <w:tblPr>
        <w:tblW w:w="0" w:type="auto"/>
        <w:tblInd w:w="113" w:type="dxa"/>
        <w:tblLayout w:type="fixed"/>
        <w:tblLook w:val="0000" w:firstRow="0" w:lastRow="0" w:firstColumn="0" w:lastColumn="0" w:noHBand="0" w:noVBand="0"/>
      </w:tblPr>
      <w:tblGrid>
        <w:gridCol w:w="3009"/>
        <w:gridCol w:w="3009"/>
        <w:gridCol w:w="2977"/>
      </w:tblGrid>
      <w:tr w:rsidR="00FD6C52" w:rsidRPr="005E5A2D" w14:paraId="487E1803" w14:textId="77777777" w:rsidTr="0061002A">
        <w:trPr>
          <w:tblHeader/>
        </w:trPr>
        <w:tc>
          <w:tcPr>
            <w:tcW w:w="8995" w:type="dxa"/>
            <w:gridSpan w:val="3"/>
            <w:tcBorders>
              <w:top w:val="single" w:sz="12" w:space="0" w:color="auto"/>
              <w:bottom w:val="single" w:sz="6" w:space="0" w:color="auto"/>
            </w:tcBorders>
            <w:shd w:val="clear" w:color="auto" w:fill="auto"/>
          </w:tcPr>
          <w:p w14:paraId="5E3C405D" w14:textId="77777777" w:rsidR="00FD6C52" w:rsidRPr="005E5A2D" w:rsidRDefault="00FD6C52" w:rsidP="0061002A">
            <w:pPr>
              <w:pStyle w:val="Tabletext"/>
              <w:keepNext/>
              <w:rPr>
                <w:b/>
              </w:rPr>
            </w:pPr>
            <w:r w:rsidRPr="005E5A2D">
              <w:rPr>
                <w:b/>
              </w:rPr>
              <w:t>Document History</w:t>
            </w:r>
          </w:p>
        </w:tc>
      </w:tr>
      <w:tr w:rsidR="00FD6C52" w:rsidRPr="005E5A2D" w14:paraId="01BB112D" w14:textId="77777777" w:rsidTr="0061002A">
        <w:trPr>
          <w:tblHeader/>
        </w:trPr>
        <w:tc>
          <w:tcPr>
            <w:tcW w:w="3009" w:type="dxa"/>
            <w:tcBorders>
              <w:top w:val="single" w:sz="6" w:space="0" w:color="auto"/>
              <w:bottom w:val="single" w:sz="12" w:space="0" w:color="auto"/>
            </w:tcBorders>
            <w:shd w:val="clear" w:color="auto" w:fill="auto"/>
          </w:tcPr>
          <w:p w14:paraId="286BF7F8" w14:textId="77777777" w:rsidR="00FD6C52" w:rsidRPr="005E5A2D" w:rsidRDefault="00FD6C52" w:rsidP="0061002A">
            <w:pPr>
              <w:pStyle w:val="Tabletext"/>
              <w:keepNext/>
              <w:rPr>
                <w:b/>
              </w:rPr>
            </w:pPr>
            <w:r w:rsidRPr="005E5A2D">
              <w:rPr>
                <w:b/>
              </w:rPr>
              <w:t>Release number</w:t>
            </w:r>
          </w:p>
        </w:tc>
        <w:tc>
          <w:tcPr>
            <w:tcW w:w="3009" w:type="dxa"/>
            <w:tcBorders>
              <w:top w:val="single" w:sz="6" w:space="0" w:color="auto"/>
              <w:bottom w:val="single" w:sz="12" w:space="0" w:color="auto"/>
            </w:tcBorders>
            <w:shd w:val="clear" w:color="auto" w:fill="auto"/>
          </w:tcPr>
          <w:p w14:paraId="5114A681" w14:textId="77777777" w:rsidR="00FD6C52" w:rsidRPr="005E5A2D" w:rsidRDefault="00FD6C52" w:rsidP="0061002A">
            <w:pPr>
              <w:pStyle w:val="Tabletext"/>
              <w:keepNext/>
              <w:rPr>
                <w:b/>
              </w:rPr>
            </w:pPr>
            <w:r w:rsidRPr="005E5A2D">
              <w:rPr>
                <w:b/>
              </w:rPr>
              <w:t>Release date</w:t>
            </w:r>
          </w:p>
        </w:tc>
        <w:tc>
          <w:tcPr>
            <w:tcW w:w="2977" w:type="dxa"/>
            <w:tcBorders>
              <w:top w:val="single" w:sz="6" w:space="0" w:color="auto"/>
              <w:bottom w:val="single" w:sz="12" w:space="0" w:color="auto"/>
            </w:tcBorders>
            <w:shd w:val="clear" w:color="auto" w:fill="auto"/>
          </w:tcPr>
          <w:p w14:paraId="204492A9" w14:textId="77777777" w:rsidR="00FD6C52" w:rsidRPr="005E5A2D" w:rsidRDefault="00FD6C52" w:rsidP="0061002A">
            <w:pPr>
              <w:pStyle w:val="Tabletext"/>
              <w:keepNext/>
              <w:rPr>
                <w:b/>
              </w:rPr>
            </w:pPr>
            <w:r w:rsidRPr="005E5A2D">
              <w:rPr>
                <w:b/>
              </w:rPr>
              <w:t>Document number</w:t>
            </w:r>
          </w:p>
        </w:tc>
      </w:tr>
      <w:tr w:rsidR="00FD6C52" w:rsidRPr="005E5A2D" w14:paraId="5F2C6A0F" w14:textId="77777777" w:rsidTr="0061002A">
        <w:tc>
          <w:tcPr>
            <w:tcW w:w="3009" w:type="dxa"/>
            <w:tcBorders>
              <w:top w:val="single" w:sz="12" w:space="0" w:color="auto"/>
              <w:bottom w:val="single" w:sz="2" w:space="0" w:color="auto"/>
            </w:tcBorders>
            <w:shd w:val="clear" w:color="auto" w:fill="auto"/>
          </w:tcPr>
          <w:p w14:paraId="008E8C2C" w14:textId="77777777" w:rsidR="00FD6C52" w:rsidRPr="005E5A2D" w:rsidRDefault="00FD6C52" w:rsidP="0061002A">
            <w:pPr>
              <w:pStyle w:val="Tabletext"/>
            </w:pPr>
            <w:r w:rsidRPr="005E5A2D">
              <w:t>1.0</w:t>
            </w:r>
          </w:p>
        </w:tc>
        <w:tc>
          <w:tcPr>
            <w:tcW w:w="3009" w:type="dxa"/>
            <w:tcBorders>
              <w:top w:val="single" w:sz="12" w:space="0" w:color="auto"/>
              <w:bottom w:val="single" w:sz="2" w:space="0" w:color="auto"/>
            </w:tcBorders>
            <w:shd w:val="clear" w:color="auto" w:fill="auto"/>
          </w:tcPr>
          <w:p w14:paraId="77A41687" w14:textId="77777777" w:rsidR="00FD6C52" w:rsidRPr="005E5A2D" w:rsidRDefault="00FD6C52" w:rsidP="0061002A">
            <w:pPr>
              <w:pStyle w:val="Tabletext"/>
            </w:pPr>
            <w:r>
              <w:t>April 2003</w:t>
            </w:r>
          </w:p>
        </w:tc>
        <w:tc>
          <w:tcPr>
            <w:tcW w:w="2977" w:type="dxa"/>
            <w:tcBorders>
              <w:top w:val="single" w:sz="12" w:space="0" w:color="auto"/>
              <w:bottom w:val="single" w:sz="2" w:space="0" w:color="auto"/>
            </w:tcBorders>
            <w:shd w:val="clear" w:color="auto" w:fill="auto"/>
          </w:tcPr>
          <w:p w14:paraId="6D011FC3" w14:textId="77777777" w:rsidR="00FD6C52" w:rsidRPr="005E5A2D" w:rsidRDefault="00FD6C52" w:rsidP="0061002A">
            <w:pPr>
              <w:pStyle w:val="Tabletext"/>
            </w:pPr>
            <w:r w:rsidRPr="005E5A2D">
              <w:t>s02e</w:t>
            </w:r>
            <w:r>
              <w:t>e355</w:t>
            </w:r>
            <w:r w:rsidRPr="005E5A2D">
              <w:t>.v</w:t>
            </w:r>
            <w:r>
              <w:t>01</w:t>
            </w:r>
            <w:r w:rsidRPr="005E5A2D">
              <w:t>.doc</w:t>
            </w:r>
            <w:r>
              <w:t>x</w:t>
            </w:r>
          </w:p>
        </w:tc>
      </w:tr>
      <w:tr w:rsidR="00FD6C52" w:rsidRPr="005E5A2D" w14:paraId="14F06853" w14:textId="77777777" w:rsidTr="0061002A">
        <w:tc>
          <w:tcPr>
            <w:tcW w:w="3009" w:type="dxa"/>
            <w:tcBorders>
              <w:top w:val="single" w:sz="2" w:space="0" w:color="auto"/>
              <w:bottom w:val="single" w:sz="2" w:space="0" w:color="auto"/>
            </w:tcBorders>
            <w:shd w:val="clear" w:color="auto" w:fill="auto"/>
          </w:tcPr>
          <w:p w14:paraId="45EDA2C8" w14:textId="77777777" w:rsidR="00FD6C52" w:rsidRDefault="00FD6C52" w:rsidP="0061002A">
            <w:pPr>
              <w:pStyle w:val="Tabletext"/>
            </w:pPr>
          </w:p>
        </w:tc>
        <w:tc>
          <w:tcPr>
            <w:tcW w:w="3009" w:type="dxa"/>
            <w:tcBorders>
              <w:top w:val="single" w:sz="2" w:space="0" w:color="auto"/>
              <w:bottom w:val="single" w:sz="2" w:space="0" w:color="auto"/>
            </w:tcBorders>
            <w:shd w:val="clear" w:color="auto" w:fill="auto"/>
          </w:tcPr>
          <w:p w14:paraId="488AAA9F" w14:textId="77777777" w:rsidR="00FD6C52" w:rsidRPr="005E5A2D" w:rsidRDefault="00FD6C52" w:rsidP="0061002A">
            <w:pPr>
              <w:pStyle w:val="Tabletext"/>
            </w:pPr>
            <w:r>
              <w:t>08</w:t>
            </w:r>
            <w:r w:rsidRPr="005E5A2D">
              <w:t xml:space="preserve"> </w:t>
            </w:r>
            <w:r>
              <w:t>July</w:t>
            </w:r>
            <w:r w:rsidRPr="005E5A2D">
              <w:t xml:space="preserve"> 2009</w:t>
            </w:r>
          </w:p>
        </w:tc>
        <w:tc>
          <w:tcPr>
            <w:tcW w:w="2977" w:type="dxa"/>
            <w:tcBorders>
              <w:top w:val="single" w:sz="2" w:space="0" w:color="auto"/>
              <w:bottom w:val="single" w:sz="2" w:space="0" w:color="auto"/>
            </w:tcBorders>
            <w:shd w:val="clear" w:color="auto" w:fill="auto"/>
          </w:tcPr>
          <w:p w14:paraId="0AC0790C" w14:textId="77777777" w:rsidR="00FD6C52" w:rsidRPr="005E5A2D" w:rsidRDefault="00FD6C52" w:rsidP="0061002A">
            <w:pPr>
              <w:pStyle w:val="Tabletext"/>
            </w:pPr>
            <w:r w:rsidRPr="005E5A2D">
              <w:t>s02e</w:t>
            </w:r>
            <w:r>
              <w:t>e355</w:t>
            </w:r>
            <w:r w:rsidRPr="005E5A2D">
              <w:t>.v</w:t>
            </w:r>
            <w:r>
              <w:t>08</w:t>
            </w:r>
            <w:r w:rsidRPr="005E5A2D">
              <w:t>.doc</w:t>
            </w:r>
            <w:r>
              <w:t>x</w:t>
            </w:r>
          </w:p>
        </w:tc>
      </w:tr>
      <w:tr w:rsidR="00FD6C52" w:rsidRPr="005E5A2D" w14:paraId="3A794CCA" w14:textId="77777777" w:rsidTr="0061002A">
        <w:tc>
          <w:tcPr>
            <w:tcW w:w="3009" w:type="dxa"/>
            <w:tcBorders>
              <w:top w:val="single" w:sz="2" w:space="0" w:color="auto"/>
              <w:bottom w:val="single" w:sz="2" w:space="0" w:color="auto"/>
            </w:tcBorders>
            <w:shd w:val="clear" w:color="auto" w:fill="auto"/>
          </w:tcPr>
          <w:p w14:paraId="65DEFD02" w14:textId="77777777" w:rsidR="00FD6C52" w:rsidRPr="005E5A2D" w:rsidRDefault="00FD6C52" w:rsidP="0061002A">
            <w:pPr>
              <w:pStyle w:val="Tabletext"/>
            </w:pPr>
            <w:r>
              <w:t>2</w:t>
            </w:r>
            <w:r w:rsidRPr="005E5A2D">
              <w:t>.0</w:t>
            </w:r>
          </w:p>
        </w:tc>
        <w:tc>
          <w:tcPr>
            <w:tcW w:w="3009" w:type="dxa"/>
            <w:tcBorders>
              <w:top w:val="single" w:sz="2" w:space="0" w:color="auto"/>
              <w:bottom w:val="single" w:sz="2" w:space="0" w:color="auto"/>
            </w:tcBorders>
            <w:shd w:val="clear" w:color="auto" w:fill="auto"/>
          </w:tcPr>
          <w:p w14:paraId="369D3328" w14:textId="77777777" w:rsidR="00FD6C52" w:rsidRPr="005E5A2D" w:rsidRDefault="00FD6C52" w:rsidP="0061002A">
            <w:pPr>
              <w:pStyle w:val="Tabletext"/>
            </w:pPr>
            <w:r>
              <w:t>19</w:t>
            </w:r>
            <w:r w:rsidRPr="005E5A2D">
              <w:t xml:space="preserve"> </w:t>
            </w:r>
            <w:r>
              <w:t>August</w:t>
            </w:r>
            <w:r w:rsidRPr="005E5A2D">
              <w:t xml:space="preserve"> </w:t>
            </w:r>
            <w:r>
              <w:t>2011</w:t>
            </w:r>
          </w:p>
        </w:tc>
        <w:tc>
          <w:tcPr>
            <w:tcW w:w="2977" w:type="dxa"/>
            <w:tcBorders>
              <w:top w:val="single" w:sz="2" w:space="0" w:color="auto"/>
              <w:bottom w:val="single" w:sz="2" w:space="0" w:color="auto"/>
            </w:tcBorders>
            <w:shd w:val="clear" w:color="auto" w:fill="auto"/>
          </w:tcPr>
          <w:p w14:paraId="47C061EB" w14:textId="77777777" w:rsidR="00FD6C52" w:rsidRPr="005E5A2D" w:rsidRDefault="00FD6C52" w:rsidP="0061002A">
            <w:pPr>
              <w:pStyle w:val="Tabletext"/>
            </w:pPr>
            <w:r w:rsidRPr="005E5A2D">
              <w:t>s02e</w:t>
            </w:r>
            <w:r>
              <w:t>e355</w:t>
            </w:r>
            <w:r w:rsidRPr="005E5A2D">
              <w:t>.v</w:t>
            </w:r>
            <w:r>
              <w:t>10</w:t>
            </w:r>
            <w:r w:rsidRPr="005E5A2D">
              <w:t>.doc</w:t>
            </w:r>
            <w:r>
              <w:t>x</w:t>
            </w:r>
          </w:p>
        </w:tc>
      </w:tr>
      <w:tr w:rsidR="00FD6C52" w:rsidRPr="005E5A2D" w14:paraId="1FA4E6C6" w14:textId="77777777" w:rsidTr="0061002A">
        <w:tc>
          <w:tcPr>
            <w:tcW w:w="3009" w:type="dxa"/>
            <w:tcBorders>
              <w:top w:val="single" w:sz="2" w:space="0" w:color="auto"/>
              <w:bottom w:val="single" w:sz="2" w:space="0" w:color="auto"/>
            </w:tcBorders>
            <w:shd w:val="clear" w:color="auto" w:fill="auto"/>
          </w:tcPr>
          <w:p w14:paraId="5A83A1BF" w14:textId="77777777" w:rsidR="00FD6C52" w:rsidRDefault="00FD6C52" w:rsidP="0061002A">
            <w:pPr>
              <w:pStyle w:val="Tabletext"/>
            </w:pPr>
            <w:r>
              <w:t>3.0</w:t>
            </w:r>
          </w:p>
        </w:tc>
        <w:tc>
          <w:tcPr>
            <w:tcW w:w="3009" w:type="dxa"/>
            <w:tcBorders>
              <w:top w:val="single" w:sz="2" w:space="0" w:color="auto"/>
              <w:bottom w:val="single" w:sz="2" w:space="0" w:color="auto"/>
            </w:tcBorders>
            <w:shd w:val="clear" w:color="auto" w:fill="auto"/>
          </w:tcPr>
          <w:p w14:paraId="06E0F75A" w14:textId="77777777" w:rsidR="00FD6C52" w:rsidRDefault="00FD6C52" w:rsidP="0061002A">
            <w:pPr>
              <w:pStyle w:val="Tabletext"/>
            </w:pPr>
            <w:r>
              <w:t>June 2015</w:t>
            </w:r>
          </w:p>
        </w:tc>
        <w:tc>
          <w:tcPr>
            <w:tcW w:w="2977" w:type="dxa"/>
            <w:tcBorders>
              <w:top w:val="single" w:sz="2" w:space="0" w:color="auto"/>
              <w:bottom w:val="single" w:sz="2" w:space="0" w:color="auto"/>
            </w:tcBorders>
            <w:shd w:val="clear" w:color="auto" w:fill="auto"/>
          </w:tcPr>
          <w:p w14:paraId="7F7DFECC" w14:textId="77777777" w:rsidR="00FD6C52" w:rsidRPr="005E5A2D" w:rsidRDefault="00FD6C52" w:rsidP="0061002A">
            <w:pPr>
              <w:pStyle w:val="Tabletext"/>
            </w:pPr>
            <w:r>
              <w:t>s02ee355.v16.docx</w:t>
            </w:r>
          </w:p>
        </w:tc>
      </w:tr>
      <w:tr w:rsidR="00FD6C52" w:rsidRPr="005E5A2D" w14:paraId="7A33764C" w14:textId="77777777" w:rsidTr="0061002A">
        <w:tc>
          <w:tcPr>
            <w:tcW w:w="3009" w:type="dxa"/>
            <w:tcBorders>
              <w:top w:val="single" w:sz="2" w:space="0" w:color="auto"/>
              <w:bottom w:val="single" w:sz="2" w:space="0" w:color="auto"/>
            </w:tcBorders>
            <w:shd w:val="clear" w:color="auto" w:fill="auto"/>
          </w:tcPr>
          <w:p w14:paraId="14360DC7" w14:textId="77777777" w:rsidR="00FD6C52" w:rsidRDefault="00FD6C52" w:rsidP="0061002A">
            <w:pPr>
              <w:pStyle w:val="Tabletext"/>
            </w:pPr>
            <w:r>
              <w:t>3.1 - renumbering only</w:t>
            </w:r>
          </w:p>
        </w:tc>
        <w:tc>
          <w:tcPr>
            <w:tcW w:w="3009" w:type="dxa"/>
            <w:tcBorders>
              <w:top w:val="single" w:sz="2" w:space="0" w:color="auto"/>
              <w:bottom w:val="single" w:sz="2" w:space="0" w:color="auto"/>
            </w:tcBorders>
            <w:shd w:val="clear" w:color="auto" w:fill="auto"/>
          </w:tcPr>
          <w:p w14:paraId="78BB4895" w14:textId="77777777" w:rsidR="00FD6C52" w:rsidRDefault="00FD6C52" w:rsidP="0061002A">
            <w:pPr>
              <w:pStyle w:val="Tabletext"/>
            </w:pPr>
            <w:r>
              <w:t>May 2017</w:t>
            </w:r>
          </w:p>
        </w:tc>
        <w:tc>
          <w:tcPr>
            <w:tcW w:w="2977" w:type="dxa"/>
            <w:tcBorders>
              <w:top w:val="single" w:sz="2" w:space="0" w:color="auto"/>
              <w:bottom w:val="single" w:sz="2" w:space="0" w:color="auto"/>
            </w:tcBorders>
            <w:shd w:val="clear" w:color="auto" w:fill="auto"/>
          </w:tcPr>
          <w:p w14:paraId="43DC6C4C" w14:textId="77777777" w:rsidR="00FD6C52" w:rsidRDefault="00FD6C52" w:rsidP="0061002A">
            <w:pPr>
              <w:pStyle w:val="Tabletext"/>
            </w:pPr>
            <w:r>
              <w:t>s02ee355.v19.docx</w:t>
            </w:r>
          </w:p>
        </w:tc>
      </w:tr>
      <w:tr w:rsidR="00FD6C52" w:rsidRPr="005E5A2D" w14:paraId="33B46516" w14:textId="77777777" w:rsidTr="00084FD0">
        <w:tc>
          <w:tcPr>
            <w:tcW w:w="3009" w:type="dxa"/>
            <w:tcBorders>
              <w:top w:val="single" w:sz="2" w:space="0" w:color="auto"/>
              <w:bottom w:val="single" w:sz="2" w:space="0" w:color="auto"/>
            </w:tcBorders>
            <w:shd w:val="clear" w:color="auto" w:fill="auto"/>
          </w:tcPr>
          <w:p w14:paraId="234E47E2" w14:textId="77777777" w:rsidR="00FD6C52" w:rsidRDefault="00FD6C52" w:rsidP="0061002A">
            <w:pPr>
              <w:pStyle w:val="Tabletext"/>
            </w:pPr>
            <w:r>
              <w:t>4.0</w:t>
            </w:r>
          </w:p>
        </w:tc>
        <w:tc>
          <w:tcPr>
            <w:tcW w:w="3009" w:type="dxa"/>
            <w:tcBorders>
              <w:top w:val="single" w:sz="2" w:space="0" w:color="auto"/>
              <w:bottom w:val="single" w:sz="2" w:space="0" w:color="auto"/>
            </w:tcBorders>
            <w:shd w:val="clear" w:color="auto" w:fill="auto"/>
          </w:tcPr>
          <w:p w14:paraId="0D286FC3" w14:textId="77777777" w:rsidR="00FD6C52" w:rsidRDefault="00FD6C52" w:rsidP="0061002A">
            <w:pPr>
              <w:pStyle w:val="Tabletext"/>
            </w:pPr>
            <w:r>
              <w:t>July 2020</w:t>
            </w:r>
          </w:p>
        </w:tc>
        <w:tc>
          <w:tcPr>
            <w:tcW w:w="2977" w:type="dxa"/>
            <w:tcBorders>
              <w:top w:val="single" w:sz="2" w:space="0" w:color="auto"/>
              <w:bottom w:val="single" w:sz="2" w:space="0" w:color="auto"/>
            </w:tcBorders>
            <w:shd w:val="clear" w:color="auto" w:fill="auto"/>
          </w:tcPr>
          <w:p w14:paraId="63544A54" w14:textId="77777777" w:rsidR="00FD6C52" w:rsidRDefault="00FD6C52" w:rsidP="002C7AA2">
            <w:pPr>
              <w:pStyle w:val="Tabletext"/>
            </w:pPr>
            <w:r>
              <w:t>s02ee355.v</w:t>
            </w:r>
            <w:r w:rsidR="002C7AA2">
              <w:t>27</w:t>
            </w:r>
            <w:r>
              <w:t>.docx</w:t>
            </w:r>
          </w:p>
        </w:tc>
      </w:tr>
      <w:tr w:rsidR="003A7E1C" w:rsidRPr="005E5A2D" w14:paraId="0C8A1BAF" w14:textId="77777777" w:rsidTr="0061002A">
        <w:tc>
          <w:tcPr>
            <w:tcW w:w="3009" w:type="dxa"/>
            <w:tcBorders>
              <w:top w:val="single" w:sz="2" w:space="0" w:color="auto"/>
              <w:bottom w:val="single" w:sz="12" w:space="0" w:color="auto"/>
            </w:tcBorders>
            <w:shd w:val="clear" w:color="auto" w:fill="auto"/>
          </w:tcPr>
          <w:p w14:paraId="6329E8C4" w14:textId="256E9499" w:rsidR="003A7E1C" w:rsidRDefault="003A7E1C" w:rsidP="0061002A">
            <w:pPr>
              <w:pStyle w:val="Tabletext"/>
            </w:pPr>
            <w:r>
              <w:t>5.0</w:t>
            </w:r>
          </w:p>
        </w:tc>
        <w:tc>
          <w:tcPr>
            <w:tcW w:w="3009" w:type="dxa"/>
            <w:tcBorders>
              <w:top w:val="single" w:sz="2" w:space="0" w:color="auto"/>
              <w:bottom w:val="single" w:sz="12" w:space="0" w:color="auto"/>
            </w:tcBorders>
            <w:shd w:val="clear" w:color="auto" w:fill="auto"/>
          </w:tcPr>
          <w:p w14:paraId="59D39AF7" w14:textId="15E859CB" w:rsidR="003A7E1C" w:rsidRDefault="00E1595E" w:rsidP="0061002A">
            <w:pPr>
              <w:pStyle w:val="Tabletext"/>
            </w:pPr>
            <w:r>
              <w:t>July</w:t>
            </w:r>
            <w:r w:rsidR="003A7E1C">
              <w:t xml:space="preserve"> 2021</w:t>
            </w:r>
          </w:p>
        </w:tc>
        <w:tc>
          <w:tcPr>
            <w:tcW w:w="2977" w:type="dxa"/>
            <w:tcBorders>
              <w:top w:val="single" w:sz="2" w:space="0" w:color="auto"/>
              <w:bottom w:val="single" w:sz="12" w:space="0" w:color="auto"/>
            </w:tcBorders>
            <w:shd w:val="clear" w:color="auto" w:fill="auto"/>
          </w:tcPr>
          <w:p w14:paraId="25ECE7EC" w14:textId="37F0C5F5" w:rsidR="003A7E1C" w:rsidRDefault="00E1595E" w:rsidP="002C7AA2">
            <w:pPr>
              <w:pStyle w:val="Tabletext"/>
            </w:pPr>
            <w:r>
              <w:t>s02ee355.v</w:t>
            </w:r>
            <w:r>
              <w:t>31</w:t>
            </w:r>
            <w:r>
              <w:t>.docx</w:t>
            </w:r>
          </w:p>
        </w:tc>
      </w:tr>
    </w:tbl>
    <w:p w14:paraId="2A96DE67" w14:textId="77777777" w:rsidR="00FD6C52" w:rsidRPr="00A77E13" w:rsidRDefault="00FD6C52" w:rsidP="00FD6C52">
      <w:pPr>
        <w:pStyle w:val="notemargin"/>
      </w:pPr>
      <w:r w:rsidRPr="00A77E13">
        <w:t>Note:</w:t>
      </w:r>
      <w:r w:rsidRPr="00A77E13">
        <w:tab/>
        <w:t>Before M</w:t>
      </w:r>
      <w:r>
        <w:t>ay</w:t>
      </w:r>
      <w:r w:rsidRPr="00A77E13">
        <w:t xml:space="preserve"> 2017, this </w:t>
      </w:r>
      <w:r>
        <w:t>OPC was Office Procedural Circular No. 61.</w:t>
      </w:r>
    </w:p>
    <w:p w14:paraId="78DECDFC" w14:textId="77777777" w:rsidR="00FD6C52" w:rsidRPr="00622DDB" w:rsidRDefault="00FD6C52" w:rsidP="00FD6C52">
      <w:pPr>
        <w:pStyle w:val="Blocks"/>
      </w:pPr>
    </w:p>
    <w:p w14:paraId="16914212" w14:textId="77777777" w:rsidR="00F00748" w:rsidRPr="00FD6C52" w:rsidRDefault="00F00748" w:rsidP="00FD6C52"/>
    <w:sectPr w:rsidR="00F00748" w:rsidRPr="00FD6C52" w:rsidSect="00007D6B">
      <w:headerReference w:type="even" r:id="rId8"/>
      <w:headerReference w:type="default" r:id="rId9"/>
      <w:footerReference w:type="even" r:id="rId10"/>
      <w:footerReference w:type="default" r:id="rId11"/>
      <w:headerReference w:type="first" r:id="rId12"/>
      <w:footerReference w:type="first" r:id="rId13"/>
      <w:pgSz w:w="11907" w:h="16839"/>
      <w:pgMar w:top="1559"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5A85F" w14:textId="77777777" w:rsidR="00B9069B" w:rsidRDefault="00B9069B" w:rsidP="00BF2F2A">
      <w:pPr>
        <w:spacing w:line="240" w:lineRule="auto"/>
      </w:pPr>
      <w:r>
        <w:separator/>
      </w:r>
    </w:p>
  </w:endnote>
  <w:endnote w:type="continuationSeparator" w:id="0">
    <w:p w14:paraId="72B94205" w14:textId="77777777" w:rsidR="00B9069B" w:rsidRDefault="00B9069B" w:rsidP="00BF2F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A37D6" w14:textId="5A6B42D8" w:rsidR="00007D6B" w:rsidRDefault="00007D6B" w:rsidP="00007D6B">
    <w:pPr>
      <w:pStyle w:val="Footer"/>
      <w:tabs>
        <w:tab w:val="clear" w:pos="4153"/>
        <w:tab w:val="clear" w:pos="8306"/>
        <w:tab w:val="right" w:pos="9000"/>
      </w:tabs>
    </w:pPr>
    <w:r>
      <w:rPr>
        <w:sz w:val="20"/>
      </w:rPr>
      <w:t xml:space="preserve">Page </w:t>
    </w:r>
    <w:r w:rsidR="004F166C">
      <w:rPr>
        <w:rStyle w:val="PageNumber"/>
        <w:sz w:val="20"/>
      </w:rPr>
      <w:fldChar w:fldCharType="begin"/>
    </w:r>
    <w:r>
      <w:rPr>
        <w:rStyle w:val="PageNumber"/>
        <w:sz w:val="20"/>
      </w:rPr>
      <w:instrText xml:space="preserve"> PAGE </w:instrText>
    </w:r>
    <w:r w:rsidR="004F166C">
      <w:rPr>
        <w:rStyle w:val="PageNumber"/>
        <w:sz w:val="20"/>
      </w:rPr>
      <w:fldChar w:fldCharType="separate"/>
    </w:r>
    <w:r w:rsidR="0046060E">
      <w:rPr>
        <w:rStyle w:val="PageNumber"/>
        <w:noProof/>
        <w:sz w:val="20"/>
      </w:rPr>
      <w:t>2</w:t>
    </w:r>
    <w:r w:rsidR="004F166C">
      <w:rPr>
        <w:rStyle w:val="PageNumber"/>
        <w:sz w:val="20"/>
      </w:rPr>
      <w:fldChar w:fldCharType="end"/>
    </w:r>
    <w:r>
      <w:rPr>
        <w:rStyle w:val="PageNumber"/>
        <w:sz w:val="20"/>
      </w:rPr>
      <w:tab/>
    </w:r>
    <w:r>
      <w:rPr>
        <w:sz w:val="16"/>
      </w:rPr>
      <w:t>[</w:t>
    </w:r>
    <w:r w:rsidR="002C51BF">
      <w:rPr>
        <w:noProof/>
        <w:sz w:val="16"/>
      </w:rPr>
      <w:t>s02ee355.v31.docx</w:t>
    </w:r>
    <w:r>
      <w:rPr>
        <w:sz w:val="16"/>
      </w:rPr>
      <w:t>] [</w:t>
    </w:r>
    <w:r w:rsidR="002C51BF">
      <w:rPr>
        <w:noProof/>
        <w:sz w:val="16"/>
      </w:rPr>
      <w:t>8 Jul 2021</w:t>
    </w:r>
    <w:r>
      <w:rPr>
        <w:sz w:val="16"/>
      </w:rPr>
      <w:t>] [</w:t>
    </w:r>
    <w:r w:rsidR="002C51BF">
      <w:rPr>
        <w:noProof/>
        <w:sz w:val="16"/>
      </w:rPr>
      <w:t>3:42 PM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01AAA" w14:textId="0669D408" w:rsidR="00007D6B" w:rsidRDefault="00007D6B" w:rsidP="00007D6B">
    <w:pPr>
      <w:tabs>
        <w:tab w:val="right" w:pos="9000"/>
      </w:tabs>
      <w:rPr>
        <w:sz w:val="16"/>
      </w:rPr>
    </w:pPr>
    <w:r>
      <w:rPr>
        <w:sz w:val="16"/>
      </w:rPr>
      <w:t>[</w:t>
    </w:r>
    <w:r w:rsidR="002C51BF">
      <w:rPr>
        <w:noProof/>
        <w:sz w:val="16"/>
      </w:rPr>
      <w:t>s02ee355.v31.docx</w:t>
    </w:r>
    <w:r>
      <w:rPr>
        <w:sz w:val="16"/>
      </w:rPr>
      <w:t>] [</w:t>
    </w:r>
    <w:r w:rsidR="002C51BF">
      <w:rPr>
        <w:noProof/>
        <w:sz w:val="16"/>
      </w:rPr>
      <w:t>8 Jul 2021</w:t>
    </w:r>
    <w:r>
      <w:rPr>
        <w:sz w:val="16"/>
      </w:rPr>
      <w:t>] [</w:t>
    </w:r>
    <w:r w:rsidR="002C51BF">
      <w:rPr>
        <w:noProof/>
        <w:sz w:val="16"/>
      </w:rPr>
      <w:t>3:42 PM</w:t>
    </w:r>
    <w:r>
      <w:rPr>
        <w:sz w:val="16"/>
      </w:rPr>
      <w:t>]</w:t>
    </w:r>
    <w:r>
      <w:rPr>
        <w:sz w:val="16"/>
      </w:rPr>
      <w:tab/>
    </w:r>
    <w:r>
      <w:rPr>
        <w:sz w:val="20"/>
      </w:rPr>
      <w:t xml:space="preserve">Page </w:t>
    </w:r>
    <w:r w:rsidR="004F166C">
      <w:rPr>
        <w:rStyle w:val="PageNumber"/>
        <w:sz w:val="20"/>
      </w:rPr>
      <w:fldChar w:fldCharType="begin"/>
    </w:r>
    <w:r>
      <w:rPr>
        <w:rStyle w:val="PageNumber"/>
        <w:sz w:val="20"/>
      </w:rPr>
      <w:instrText xml:space="preserve"> PAGE </w:instrText>
    </w:r>
    <w:r w:rsidR="004F166C">
      <w:rPr>
        <w:rStyle w:val="PageNumber"/>
        <w:sz w:val="20"/>
      </w:rPr>
      <w:fldChar w:fldCharType="separate"/>
    </w:r>
    <w:r w:rsidR="0046060E">
      <w:rPr>
        <w:rStyle w:val="PageNumber"/>
        <w:noProof/>
        <w:sz w:val="20"/>
      </w:rPr>
      <w:t>5</w:t>
    </w:r>
    <w:r w:rsidR="004F166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712C7" w14:textId="2409DAF8" w:rsidR="00007D6B" w:rsidRDefault="00007D6B" w:rsidP="00007D6B">
    <w:pPr>
      <w:tabs>
        <w:tab w:val="right" w:pos="9000"/>
      </w:tabs>
      <w:rPr>
        <w:sz w:val="16"/>
      </w:rPr>
    </w:pPr>
    <w:r>
      <w:rPr>
        <w:sz w:val="16"/>
      </w:rPr>
      <w:t>[</w:t>
    </w:r>
    <w:r w:rsidR="002C51BF">
      <w:rPr>
        <w:noProof/>
        <w:sz w:val="16"/>
      </w:rPr>
      <w:t>s02ee355.v31.docx</w:t>
    </w:r>
    <w:r>
      <w:rPr>
        <w:sz w:val="16"/>
      </w:rPr>
      <w:t>] [</w:t>
    </w:r>
    <w:r w:rsidR="002C51BF">
      <w:rPr>
        <w:noProof/>
        <w:sz w:val="16"/>
      </w:rPr>
      <w:t>8 Jul 2021</w:t>
    </w:r>
    <w:r>
      <w:rPr>
        <w:sz w:val="16"/>
      </w:rPr>
      <w:t>] [</w:t>
    </w:r>
    <w:r w:rsidR="002C51BF">
      <w:rPr>
        <w:noProof/>
        <w:sz w:val="16"/>
      </w:rPr>
      <w:t>3:42 PM</w:t>
    </w:r>
    <w:r>
      <w:rPr>
        <w:sz w:val="16"/>
      </w:rPr>
      <w:t>]</w:t>
    </w:r>
    <w:r>
      <w:rPr>
        <w:sz w:val="16"/>
      </w:rPr>
      <w:tab/>
    </w:r>
    <w:r>
      <w:rPr>
        <w:sz w:val="20"/>
      </w:rPr>
      <w:t xml:space="preserve">Page </w:t>
    </w:r>
    <w:r w:rsidR="004F166C">
      <w:rPr>
        <w:rStyle w:val="PageNumber"/>
        <w:sz w:val="20"/>
      </w:rPr>
      <w:fldChar w:fldCharType="begin"/>
    </w:r>
    <w:r>
      <w:rPr>
        <w:rStyle w:val="PageNumber"/>
        <w:sz w:val="20"/>
      </w:rPr>
      <w:instrText xml:space="preserve"> PAGE </w:instrText>
    </w:r>
    <w:r w:rsidR="004F166C">
      <w:rPr>
        <w:rStyle w:val="PageNumber"/>
        <w:sz w:val="20"/>
      </w:rPr>
      <w:fldChar w:fldCharType="separate"/>
    </w:r>
    <w:r w:rsidR="0046060E">
      <w:rPr>
        <w:rStyle w:val="PageNumber"/>
        <w:noProof/>
        <w:sz w:val="20"/>
      </w:rPr>
      <w:t>1</w:t>
    </w:r>
    <w:r w:rsidR="004F166C">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1C4FF" w14:textId="77777777" w:rsidR="00B9069B" w:rsidRDefault="00B9069B" w:rsidP="00BF2F2A">
      <w:pPr>
        <w:spacing w:line="240" w:lineRule="auto"/>
      </w:pPr>
      <w:r>
        <w:separator/>
      </w:r>
    </w:p>
  </w:footnote>
  <w:footnote w:type="continuationSeparator" w:id="0">
    <w:p w14:paraId="31C7BEAA" w14:textId="77777777" w:rsidR="00B9069B" w:rsidRDefault="00B9069B" w:rsidP="00BF2F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CC44A" w14:textId="302A4C0B" w:rsidR="00007D6B" w:rsidRDefault="004F166C" w:rsidP="00007D6B">
    <w:pPr>
      <w:pStyle w:val="Header"/>
    </w:pPr>
    <w:r>
      <w:rPr>
        <w:rStyle w:val="PageNumber"/>
      </w:rPr>
      <w:fldChar w:fldCharType="begin"/>
    </w:r>
    <w:r w:rsidR="00007D6B">
      <w:rPr>
        <w:rStyle w:val="PageNumber"/>
      </w:rPr>
      <w:instrText xml:space="preserve"> STYLEREF "Head 1" </w:instrText>
    </w:r>
    <w:r>
      <w:rPr>
        <w:rStyle w:val="PageNumber"/>
      </w:rPr>
      <w:fldChar w:fldCharType="separate"/>
    </w:r>
    <w:r w:rsidR="00BA3964">
      <w:rPr>
        <w:rStyle w:val="PageNumber"/>
        <w:noProof/>
      </w:rPr>
      <w:t>Office Procedural Circular No. 2.7</w:t>
    </w:r>
    <w:r w:rsidR="00BA3964">
      <w:rPr>
        <w:rStyle w:val="PageNumber"/>
        <w:noProof/>
      </w:rPr>
      <w:br/>
      <w:t>Audit and Risk Committee Charter</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10877" w14:textId="5421437C" w:rsidR="00007D6B" w:rsidRDefault="004F166C" w:rsidP="00007D6B">
    <w:pPr>
      <w:pStyle w:val="Header"/>
      <w:jc w:val="right"/>
    </w:pPr>
    <w:r>
      <w:rPr>
        <w:rStyle w:val="PageNumber"/>
      </w:rPr>
      <w:fldChar w:fldCharType="begin"/>
    </w:r>
    <w:r w:rsidR="00007D6B">
      <w:rPr>
        <w:rStyle w:val="PageNumber"/>
      </w:rPr>
      <w:instrText xml:space="preserve"> STYLEREF "Head 1" </w:instrText>
    </w:r>
    <w:r>
      <w:rPr>
        <w:rStyle w:val="PageNumber"/>
      </w:rPr>
      <w:fldChar w:fldCharType="separate"/>
    </w:r>
    <w:r w:rsidR="00BA3964">
      <w:rPr>
        <w:rStyle w:val="PageNumber"/>
        <w:noProof/>
      </w:rPr>
      <w:t>Office Procedural Circular No. 2.7</w:t>
    </w:r>
    <w:r w:rsidR="00BA3964">
      <w:rPr>
        <w:rStyle w:val="PageNumber"/>
        <w:noProof/>
      </w:rPr>
      <w:br/>
      <w:t>Audit and Risk Committee Charter</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FA1FC" w14:textId="77777777" w:rsidR="007C2D36" w:rsidRDefault="007C2D36" w:rsidP="00007D6B">
    <w:pPr>
      <w:pStyle w:val="Header"/>
      <w:jc w:val="right"/>
      <w:rPr>
        <w:rStyle w:val="PageNumber"/>
      </w:rPr>
    </w:pPr>
  </w:p>
  <w:p w14:paraId="35A63C1B" w14:textId="3F75CD2A" w:rsidR="00007D6B" w:rsidRDefault="004F166C" w:rsidP="00007D6B">
    <w:pPr>
      <w:pStyle w:val="Header"/>
      <w:jc w:val="right"/>
      <w:rPr>
        <w:rStyle w:val="PageNumber"/>
      </w:rPr>
    </w:pPr>
    <w:r>
      <w:rPr>
        <w:rStyle w:val="PageNumber"/>
      </w:rPr>
      <w:fldChar w:fldCharType="begin"/>
    </w:r>
    <w:r w:rsidR="00007D6B">
      <w:rPr>
        <w:rStyle w:val="PageNumber"/>
      </w:rPr>
      <w:instrText xml:space="preserve"> STYLEREF "Head 1" </w:instrText>
    </w:r>
    <w:r>
      <w:rPr>
        <w:rStyle w:val="PageNumber"/>
      </w:rPr>
      <w:fldChar w:fldCharType="separate"/>
    </w:r>
    <w:r w:rsidR="00BA3964">
      <w:rPr>
        <w:rStyle w:val="PageNumber"/>
        <w:noProof/>
      </w:rPr>
      <w:t>Office Procedural Circular No. 2.7</w:t>
    </w:r>
    <w:r w:rsidR="00BA3964">
      <w:rPr>
        <w:rStyle w:val="PageNumber"/>
        <w:noProof/>
      </w:rPr>
      <w:br/>
      <w:t>Audit and Risk Committee Charter</w:t>
    </w:r>
    <w:r>
      <w:rPr>
        <w:rStyle w:val="PageNumber"/>
      </w:rPr>
      <w:fldChar w:fldCharType="end"/>
    </w:r>
  </w:p>
  <w:p w14:paraId="455C9F71" w14:textId="77777777" w:rsidR="00007D6B" w:rsidRDefault="00007D6B" w:rsidP="00007D6B">
    <w:pPr>
      <w:pStyle w:val="Header"/>
      <w:spacing w:before="240" w:after="600"/>
      <w:jc w:val="center"/>
      <w:rPr>
        <w:b/>
        <w:caps/>
        <w:sz w:val="36"/>
        <w:lang w:val="en-US"/>
      </w:rPr>
    </w:pPr>
    <w:r>
      <w:rPr>
        <w:b/>
        <w:caps/>
        <w:sz w:val="36"/>
        <w:lang w:val="en-US"/>
      </w:rPr>
      <w:t>Parliamentary Counsel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4C3C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2847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5ECF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9ABD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835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2CAB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6AD5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12B8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7019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A8D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FEE"/>
    <w:rsid w:val="00000786"/>
    <w:rsid w:val="00007D6B"/>
    <w:rsid w:val="00010455"/>
    <w:rsid w:val="000136AF"/>
    <w:rsid w:val="000360C3"/>
    <w:rsid w:val="0004210C"/>
    <w:rsid w:val="00056743"/>
    <w:rsid w:val="000614BF"/>
    <w:rsid w:val="00066ACF"/>
    <w:rsid w:val="00084FD0"/>
    <w:rsid w:val="00086414"/>
    <w:rsid w:val="000A1F2E"/>
    <w:rsid w:val="000A4AB1"/>
    <w:rsid w:val="000C2D07"/>
    <w:rsid w:val="000C53CC"/>
    <w:rsid w:val="000D05EF"/>
    <w:rsid w:val="000D0F68"/>
    <w:rsid w:val="000D2750"/>
    <w:rsid w:val="000F158B"/>
    <w:rsid w:val="000F7B24"/>
    <w:rsid w:val="0010745C"/>
    <w:rsid w:val="00115020"/>
    <w:rsid w:val="00120B21"/>
    <w:rsid w:val="001363B1"/>
    <w:rsid w:val="00146709"/>
    <w:rsid w:val="00166C2F"/>
    <w:rsid w:val="001939E1"/>
    <w:rsid w:val="00195382"/>
    <w:rsid w:val="00196D36"/>
    <w:rsid w:val="001A1DF4"/>
    <w:rsid w:val="001C69C4"/>
    <w:rsid w:val="001E3590"/>
    <w:rsid w:val="001E7407"/>
    <w:rsid w:val="001E7934"/>
    <w:rsid w:val="001F5A4F"/>
    <w:rsid w:val="00216322"/>
    <w:rsid w:val="0021798D"/>
    <w:rsid w:val="00246EDF"/>
    <w:rsid w:val="00253D1B"/>
    <w:rsid w:val="002553AA"/>
    <w:rsid w:val="00282BCE"/>
    <w:rsid w:val="00295FBA"/>
    <w:rsid w:val="002970D7"/>
    <w:rsid w:val="00297ECB"/>
    <w:rsid w:val="002B0185"/>
    <w:rsid w:val="002C51BF"/>
    <w:rsid w:val="002C7AA2"/>
    <w:rsid w:val="002D043A"/>
    <w:rsid w:val="002D0783"/>
    <w:rsid w:val="002F2001"/>
    <w:rsid w:val="00321AE3"/>
    <w:rsid w:val="00332C53"/>
    <w:rsid w:val="003350AE"/>
    <w:rsid w:val="00342BE4"/>
    <w:rsid w:val="00352B0F"/>
    <w:rsid w:val="003565C5"/>
    <w:rsid w:val="00360FB0"/>
    <w:rsid w:val="00367518"/>
    <w:rsid w:val="003862E3"/>
    <w:rsid w:val="003A7E1C"/>
    <w:rsid w:val="003B5735"/>
    <w:rsid w:val="003D0BFE"/>
    <w:rsid w:val="003D5700"/>
    <w:rsid w:val="00400934"/>
    <w:rsid w:val="00400FAC"/>
    <w:rsid w:val="004116CD"/>
    <w:rsid w:val="00412F47"/>
    <w:rsid w:val="00424CA9"/>
    <w:rsid w:val="004327BD"/>
    <w:rsid w:val="0044291A"/>
    <w:rsid w:val="00444626"/>
    <w:rsid w:val="00456CC4"/>
    <w:rsid w:val="0046060E"/>
    <w:rsid w:val="004653F8"/>
    <w:rsid w:val="00496E47"/>
    <w:rsid w:val="00496F97"/>
    <w:rsid w:val="004A27BA"/>
    <w:rsid w:val="004C0C01"/>
    <w:rsid w:val="004D66CA"/>
    <w:rsid w:val="004F166C"/>
    <w:rsid w:val="00516B8D"/>
    <w:rsid w:val="00526454"/>
    <w:rsid w:val="00537FBC"/>
    <w:rsid w:val="00552E23"/>
    <w:rsid w:val="00580213"/>
    <w:rsid w:val="0058244E"/>
    <w:rsid w:val="00584811"/>
    <w:rsid w:val="00586F93"/>
    <w:rsid w:val="00594161"/>
    <w:rsid w:val="00594749"/>
    <w:rsid w:val="005C0B6F"/>
    <w:rsid w:val="00600219"/>
    <w:rsid w:val="00612BDF"/>
    <w:rsid w:val="006207A3"/>
    <w:rsid w:val="00622C63"/>
    <w:rsid w:val="00622DDB"/>
    <w:rsid w:val="00637AB5"/>
    <w:rsid w:val="00661E85"/>
    <w:rsid w:val="00664FCE"/>
    <w:rsid w:val="0066568F"/>
    <w:rsid w:val="00677CC2"/>
    <w:rsid w:val="00680F77"/>
    <w:rsid w:val="006840DE"/>
    <w:rsid w:val="0069207B"/>
    <w:rsid w:val="006959EC"/>
    <w:rsid w:val="006C7F8C"/>
    <w:rsid w:val="00703FD6"/>
    <w:rsid w:val="00705613"/>
    <w:rsid w:val="00715963"/>
    <w:rsid w:val="00721511"/>
    <w:rsid w:val="007276BC"/>
    <w:rsid w:val="00731E00"/>
    <w:rsid w:val="00733990"/>
    <w:rsid w:val="007647AB"/>
    <w:rsid w:val="007715C9"/>
    <w:rsid w:val="00774EDD"/>
    <w:rsid w:val="007757EC"/>
    <w:rsid w:val="0077732B"/>
    <w:rsid w:val="0077765A"/>
    <w:rsid w:val="007B35AE"/>
    <w:rsid w:val="007C2D36"/>
    <w:rsid w:val="007D1A8A"/>
    <w:rsid w:val="007D2EC2"/>
    <w:rsid w:val="007F0ABA"/>
    <w:rsid w:val="008073A1"/>
    <w:rsid w:val="008115D5"/>
    <w:rsid w:val="008149F9"/>
    <w:rsid w:val="00826DE0"/>
    <w:rsid w:val="00856A31"/>
    <w:rsid w:val="0087284D"/>
    <w:rsid w:val="008754D0"/>
    <w:rsid w:val="0087677E"/>
    <w:rsid w:val="00896FAF"/>
    <w:rsid w:val="008B6A1A"/>
    <w:rsid w:val="008D5EA7"/>
    <w:rsid w:val="008E0A31"/>
    <w:rsid w:val="008E2265"/>
    <w:rsid w:val="008E3B8C"/>
    <w:rsid w:val="00905FEE"/>
    <w:rsid w:val="00933E45"/>
    <w:rsid w:val="0094622F"/>
    <w:rsid w:val="00983026"/>
    <w:rsid w:val="00983ACC"/>
    <w:rsid w:val="00991C76"/>
    <w:rsid w:val="009A11B3"/>
    <w:rsid w:val="009B54C3"/>
    <w:rsid w:val="009B7690"/>
    <w:rsid w:val="009C147B"/>
    <w:rsid w:val="009E6D05"/>
    <w:rsid w:val="00A02A7F"/>
    <w:rsid w:val="00A166F4"/>
    <w:rsid w:val="00A231E2"/>
    <w:rsid w:val="00A40DD8"/>
    <w:rsid w:val="00A434D5"/>
    <w:rsid w:val="00A64912"/>
    <w:rsid w:val="00A70A74"/>
    <w:rsid w:val="00AB33F0"/>
    <w:rsid w:val="00AC7A0A"/>
    <w:rsid w:val="00AD5641"/>
    <w:rsid w:val="00AF0B88"/>
    <w:rsid w:val="00AF6DF2"/>
    <w:rsid w:val="00AF7DF9"/>
    <w:rsid w:val="00B33B3C"/>
    <w:rsid w:val="00B55C51"/>
    <w:rsid w:val="00B73CE8"/>
    <w:rsid w:val="00B9069B"/>
    <w:rsid w:val="00BA1C84"/>
    <w:rsid w:val="00BA3964"/>
    <w:rsid w:val="00BD097F"/>
    <w:rsid w:val="00BD4BCB"/>
    <w:rsid w:val="00BE719A"/>
    <w:rsid w:val="00BE720A"/>
    <w:rsid w:val="00BF2F2A"/>
    <w:rsid w:val="00C00C5D"/>
    <w:rsid w:val="00C42BF8"/>
    <w:rsid w:val="00C50043"/>
    <w:rsid w:val="00C523F9"/>
    <w:rsid w:val="00C61CDD"/>
    <w:rsid w:val="00C7573B"/>
    <w:rsid w:val="00C865AA"/>
    <w:rsid w:val="00C95FB8"/>
    <w:rsid w:val="00CA1F65"/>
    <w:rsid w:val="00CB29B2"/>
    <w:rsid w:val="00CC6F58"/>
    <w:rsid w:val="00CD0510"/>
    <w:rsid w:val="00CE55AF"/>
    <w:rsid w:val="00CF0BB2"/>
    <w:rsid w:val="00CF22AD"/>
    <w:rsid w:val="00D02C42"/>
    <w:rsid w:val="00D02E41"/>
    <w:rsid w:val="00D111ED"/>
    <w:rsid w:val="00D13441"/>
    <w:rsid w:val="00D2463D"/>
    <w:rsid w:val="00D60EA5"/>
    <w:rsid w:val="00D6145D"/>
    <w:rsid w:val="00D70DFB"/>
    <w:rsid w:val="00D766DF"/>
    <w:rsid w:val="00D90D6A"/>
    <w:rsid w:val="00D90DD5"/>
    <w:rsid w:val="00D93CD2"/>
    <w:rsid w:val="00DB5DC9"/>
    <w:rsid w:val="00DB751D"/>
    <w:rsid w:val="00DE7965"/>
    <w:rsid w:val="00DE7DCD"/>
    <w:rsid w:val="00DF6B8F"/>
    <w:rsid w:val="00E06C5F"/>
    <w:rsid w:val="00E1595E"/>
    <w:rsid w:val="00E26938"/>
    <w:rsid w:val="00E46269"/>
    <w:rsid w:val="00E61563"/>
    <w:rsid w:val="00E66A31"/>
    <w:rsid w:val="00E74DC7"/>
    <w:rsid w:val="00E80BEF"/>
    <w:rsid w:val="00E96CDD"/>
    <w:rsid w:val="00EC706D"/>
    <w:rsid w:val="00EF2E3A"/>
    <w:rsid w:val="00F00748"/>
    <w:rsid w:val="00F01AA0"/>
    <w:rsid w:val="00F04811"/>
    <w:rsid w:val="00F078DC"/>
    <w:rsid w:val="00F23E5F"/>
    <w:rsid w:val="00F34996"/>
    <w:rsid w:val="00F51269"/>
    <w:rsid w:val="00F7045A"/>
    <w:rsid w:val="00FA42E8"/>
    <w:rsid w:val="00FB0D40"/>
    <w:rsid w:val="00FB41BB"/>
    <w:rsid w:val="00FC242E"/>
    <w:rsid w:val="00FD6C52"/>
    <w:rsid w:val="00FE5D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2DBED"/>
  <w15:docId w15:val="{81502417-98C7-4343-917F-92E7B8EF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22DDB"/>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22DDB"/>
  </w:style>
  <w:style w:type="paragraph" w:customStyle="1" w:styleId="OPCParaBase">
    <w:name w:val="OPCParaBase"/>
    <w:qFormat/>
    <w:rsid w:val="00622DDB"/>
    <w:pPr>
      <w:spacing w:line="260" w:lineRule="atLeast"/>
    </w:pPr>
    <w:rPr>
      <w:rFonts w:eastAsia="Times New Roman" w:cs="Times New Roman"/>
      <w:sz w:val="22"/>
      <w:lang w:eastAsia="en-AU"/>
    </w:rPr>
  </w:style>
  <w:style w:type="paragraph" w:customStyle="1" w:styleId="ShortT">
    <w:name w:val="ShortT"/>
    <w:basedOn w:val="OPCParaBase"/>
    <w:next w:val="Normal"/>
    <w:qFormat/>
    <w:rsid w:val="00622DDB"/>
    <w:pPr>
      <w:spacing w:line="240" w:lineRule="auto"/>
    </w:pPr>
    <w:rPr>
      <w:b/>
      <w:sz w:val="40"/>
    </w:rPr>
  </w:style>
  <w:style w:type="paragraph" w:customStyle="1" w:styleId="ActHead1">
    <w:name w:val="ActHead 1"/>
    <w:aliases w:val="c"/>
    <w:basedOn w:val="OPCParaBase"/>
    <w:next w:val="Normal"/>
    <w:qFormat/>
    <w:rsid w:val="00622D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2DD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2DD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2DD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22D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2D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2D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2D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2DD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22DDB"/>
  </w:style>
  <w:style w:type="paragraph" w:customStyle="1" w:styleId="Blocks">
    <w:name w:val="Blocks"/>
    <w:aliases w:val="bb"/>
    <w:basedOn w:val="OPCParaBase"/>
    <w:qFormat/>
    <w:rsid w:val="00622DDB"/>
    <w:pPr>
      <w:spacing w:line="240" w:lineRule="auto"/>
    </w:pPr>
    <w:rPr>
      <w:sz w:val="24"/>
    </w:rPr>
  </w:style>
  <w:style w:type="paragraph" w:customStyle="1" w:styleId="BoxText">
    <w:name w:val="BoxText"/>
    <w:aliases w:val="bt"/>
    <w:basedOn w:val="OPCParaBase"/>
    <w:rsid w:val="00622DD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2DDB"/>
    <w:rPr>
      <w:b/>
    </w:rPr>
  </w:style>
  <w:style w:type="paragraph" w:customStyle="1" w:styleId="BoxHeadItalic">
    <w:name w:val="BoxHeadItalic"/>
    <w:aliases w:val="bhi"/>
    <w:basedOn w:val="BoxText"/>
    <w:next w:val="Normal"/>
    <w:qFormat/>
    <w:rsid w:val="00622DDB"/>
    <w:rPr>
      <w:i/>
    </w:rPr>
  </w:style>
  <w:style w:type="paragraph" w:customStyle="1" w:styleId="BoxList">
    <w:name w:val="BoxList"/>
    <w:aliases w:val="bl"/>
    <w:basedOn w:val="BoxText"/>
    <w:qFormat/>
    <w:rsid w:val="00622DDB"/>
    <w:pPr>
      <w:ind w:left="1559" w:hanging="425"/>
    </w:pPr>
  </w:style>
  <w:style w:type="paragraph" w:customStyle="1" w:styleId="BoxNote">
    <w:name w:val="BoxNote"/>
    <w:aliases w:val="bn"/>
    <w:basedOn w:val="BoxText"/>
    <w:qFormat/>
    <w:rsid w:val="00622DDB"/>
    <w:pPr>
      <w:tabs>
        <w:tab w:val="left" w:pos="1985"/>
      </w:tabs>
      <w:spacing w:before="122" w:line="198" w:lineRule="exact"/>
      <w:ind w:left="2948" w:hanging="1814"/>
    </w:pPr>
    <w:rPr>
      <w:sz w:val="18"/>
    </w:rPr>
  </w:style>
  <w:style w:type="paragraph" w:customStyle="1" w:styleId="BoxPara">
    <w:name w:val="BoxPara"/>
    <w:aliases w:val="bp"/>
    <w:basedOn w:val="BoxText"/>
    <w:qFormat/>
    <w:rsid w:val="00622DDB"/>
    <w:pPr>
      <w:tabs>
        <w:tab w:val="right" w:pos="2268"/>
      </w:tabs>
      <w:ind w:left="2552" w:hanging="1418"/>
    </w:pPr>
  </w:style>
  <w:style w:type="paragraph" w:customStyle="1" w:styleId="BoxStep">
    <w:name w:val="BoxStep"/>
    <w:aliases w:val="bs"/>
    <w:basedOn w:val="BoxText"/>
    <w:qFormat/>
    <w:rsid w:val="00622DDB"/>
    <w:pPr>
      <w:ind w:left="1985" w:hanging="851"/>
    </w:pPr>
  </w:style>
  <w:style w:type="character" w:customStyle="1" w:styleId="CharAmPartNo">
    <w:name w:val="CharAmPartNo"/>
    <w:basedOn w:val="OPCCharBase"/>
    <w:uiPriority w:val="1"/>
    <w:qFormat/>
    <w:rsid w:val="00622DDB"/>
  </w:style>
  <w:style w:type="character" w:customStyle="1" w:styleId="CharAmPartText">
    <w:name w:val="CharAmPartText"/>
    <w:basedOn w:val="OPCCharBase"/>
    <w:uiPriority w:val="1"/>
    <w:qFormat/>
    <w:rsid w:val="00622DDB"/>
  </w:style>
  <w:style w:type="character" w:customStyle="1" w:styleId="CharAmSchNo">
    <w:name w:val="CharAmSchNo"/>
    <w:basedOn w:val="OPCCharBase"/>
    <w:uiPriority w:val="1"/>
    <w:qFormat/>
    <w:rsid w:val="00622DDB"/>
  </w:style>
  <w:style w:type="character" w:customStyle="1" w:styleId="CharAmSchText">
    <w:name w:val="CharAmSchText"/>
    <w:basedOn w:val="OPCCharBase"/>
    <w:uiPriority w:val="1"/>
    <w:qFormat/>
    <w:rsid w:val="00622DDB"/>
  </w:style>
  <w:style w:type="character" w:customStyle="1" w:styleId="CharBoldItalic">
    <w:name w:val="CharBoldItalic"/>
    <w:basedOn w:val="OPCCharBase"/>
    <w:uiPriority w:val="1"/>
    <w:qFormat/>
    <w:rsid w:val="00622DDB"/>
    <w:rPr>
      <w:b/>
      <w:i/>
    </w:rPr>
  </w:style>
  <w:style w:type="character" w:customStyle="1" w:styleId="CharChapNo">
    <w:name w:val="CharChapNo"/>
    <w:basedOn w:val="OPCCharBase"/>
    <w:uiPriority w:val="1"/>
    <w:qFormat/>
    <w:rsid w:val="00622DDB"/>
  </w:style>
  <w:style w:type="character" w:customStyle="1" w:styleId="CharChapText">
    <w:name w:val="CharChapText"/>
    <w:basedOn w:val="OPCCharBase"/>
    <w:uiPriority w:val="1"/>
    <w:qFormat/>
    <w:rsid w:val="00622DDB"/>
  </w:style>
  <w:style w:type="character" w:customStyle="1" w:styleId="CharDivNo">
    <w:name w:val="CharDivNo"/>
    <w:basedOn w:val="OPCCharBase"/>
    <w:uiPriority w:val="1"/>
    <w:qFormat/>
    <w:rsid w:val="00622DDB"/>
  </w:style>
  <w:style w:type="character" w:customStyle="1" w:styleId="CharDivText">
    <w:name w:val="CharDivText"/>
    <w:basedOn w:val="OPCCharBase"/>
    <w:uiPriority w:val="1"/>
    <w:qFormat/>
    <w:rsid w:val="00622DDB"/>
  </w:style>
  <w:style w:type="character" w:customStyle="1" w:styleId="CharItalic">
    <w:name w:val="CharItalic"/>
    <w:basedOn w:val="OPCCharBase"/>
    <w:uiPriority w:val="1"/>
    <w:qFormat/>
    <w:rsid w:val="00622DDB"/>
    <w:rPr>
      <w:i/>
    </w:rPr>
  </w:style>
  <w:style w:type="character" w:customStyle="1" w:styleId="CharPartNo">
    <w:name w:val="CharPartNo"/>
    <w:basedOn w:val="OPCCharBase"/>
    <w:uiPriority w:val="1"/>
    <w:qFormat/>
    <w:rsid w:val="00622DDB"/>
  </w:style>
  <w:style w:type="character" w:customStyle="1" w:styleId="CharPartText">
    <w:name w:val="CharPartText"/>
    <w:basedOn w:val="OPCCharBase"/>
    <w:uiPriority w:val="1"/>
    <w:qFormat/>
    <w:rsid w:val="00622DDB"/>
  </w:style>
  <w:style w:type="character" w:customStyle="1" w:styleId="CharSectno">
    <w:name w:val="CharSectno"/>
    <w:basedOn w:val="OPCCharBase"/>
    <w:uiPriority w:val="1"/>
    <w:qFormat/>
    <w:rsid w:val="00622DDB"/>
  </w:style>
  <w:style w:type="character" w:customStyle="1" w:styleId="CharSubdNo">
    <w:name w:val="CharSubdNo"/>
    <w:basedOn w:val="OPCCharBase"/>
    <w:uiPriority w:val="1"/>
    <w:qFormat/>
    <w:rsid w:val="00622DDB"/>
  </w:style>
  <w:style w:type="character" w:customStyle="1" w:styleId="CharSubdText">
    <w:name w:val="CharSubdText"/>
    <w:basedOn w:val="OPCCharBase"/>
    <w:uiPriority w:val="1"/>
    <w:qFormat/>
    <w:rsid w:val="00622DDB"/>
  </w:style>
  <w:style w:type="paragraph" w:customStyle="1" w:styleId="CTA--">
    <w:name w:val="CTA --"/>
    <w:basedOn w:val="OPCParaBase"/>
    <w:next w:val="Normal"/>
    <w:rsid w:val="00622DDB"/>
    <w:pPr>
      <w:spacing w:before="60" w:line="240" w:lineRule="atLeast"/>
      <w:ind w:left="142" w:hanging="142"/>
    </w:pPr>
    <w:rPr>
      <w:sz w:val="20"/>
    </w:rPr>
  </w:style>
  <w:style w:type="paragraph" w:customStyle="1" w:styleId="CTA-">
    <w:name w:val="CTA -"/>
    <w:basedOn w:val="OPCParaBase"/>
    <w:rsid w:val="00622DDB"/>
    <w:pPr>
      <w:spacing w:before="60" w:line="240" w:lineRule="atLeast"/>
      <w:ind w:left="85" w:hanging="85"/>
    </w:pPr>
    <w:rPr>
      <w:sz w:val="20"/>
    </w:rPr>
  </w:style>
  <w:style w:type="paragraph" w:customStyle="1" w:styleId="CTA---">
    <w:name w:val="CTA ---"/>
    <w:basedOn w:val="OPCParaBase"/>
    <w:next w:val="Normal"/>
    <w:rsid w:val="00622DDB"/>
    <w:pPr>
      <w:spacing w:before="60" w:line="240" w:lineRule="atLeast"/>
      <w:ind w:left="198" w:hanging="198"/>
    </w:pPr>
    <w:rPr>
      <w:sz w:val="20"/>
    </w:rPr>
  </w:style>
  <w:style w:type="paragraph" w:customStyle="1" w:styleId="CTA----">
    <w:name w:val="CTA ----"/>
    <w:basedOn w:val="OPCParaBase"/>
    <w:next w:val="Normal"/>
    <w:rsid w:val="00622DDB"/>
    <w:pPr>
      <w:spacing w:before="60" w:line="240" w:lineRule="atLeast"/>
      <w:ind w:left="255" w:hanging="255"/>
    </w:pPr>
    <w:rPr>
      <w:sz w:val="20"/>
    </w:rPr>
  </w:style>
  <w:style w:type="paragraph" w:customStyle="1" w:styleId="CTA1a">
    <w:name w:val="CTA 1(a)"/>
    <w:basedOn w:val="OPCParaBase"/>
    <w:rsid w:val="00622DDB"/>
    <w:pPr>
      <w:tabs>
        <w:tab w:val="right" w:pos="414"/>
      </w:tabs>
      <w:spacing w:before="40" w:line="240" w:lineRule="atLeast"/>
      <w:ind w:left="675" w:hanging="675"/>
    </w:pPr>
    <w:rPr>
      <w:sz w:val="20"/>
    </w:rPr>
  </w:style>
  <w:style w:type="paragraph" w:customStyle="1" w:styleId="CTA1ai">
    <w:name w:val="CTA 1(a)(i)"/>
    <w:basedOn w:val="OPCParaBase"/>
    <w:rsid w:val="00622DDB"/>
    <w:pPr>
      <w:tabs>
        <w:tab w:val="right" w:pos="1004"/>
      </w:tabs>
      <w:spacing w:before="40" w:line="240" w:lineRule="atLeast"/>
      <w:ind w:left="1253" w:hanging="1253"/>
    </w:pPr>
    <w:rPr>
      <w:sz w:val="20"/>
    </w:rPr>
  </w:style>
  <w:style w:type="paragraph" w:customStyle="1" w:styleId="CTA2a">
    <w:name w:val="CTA 2(a)"/>
    <w:basedOn w:val="OPCParaBase"/>
    <w:rsid w:val="00622DDB"/>
    <w:pPr>
      <w:tabs>
        <w:tab w:val="right" w:pos="482"/>
      </w:tabs>
      <w:spacing w:before="40" w:line="240" w:lineRule="atLeast"/>
      <w:ind w:left="748" w:hanging="748"/>
    </w:pPr>
    <w:rPr>
      <w:sz w:val="20"/>
    </w:rPr>
  </w:style>
  <w:style w:type="paragraph" w:customStyle="1" w:styleId="CTA2ai">
    <w:name w:val="CTA 2(a)(i)"/>
    <w:basedOn w:val="OPCParaBase"/>
    <w:rsid w:val="00622DDB"/>
    <w:pPr>
      <w:tabs>
        <w:tab w:val="right" w:pos="1089"/>
      </w:tabs>
      <w:spacing w:before="40" w:line="240" w:lineRule="atLeast"/>
      <w:ind w:left="1327" w:hanging="1327"/>
    </w:pPr>
    <w:rPr>
      <w:sz w:val="20"/>
    </w:rPr>
  </w:style>
  <w:style w:type="paragraph" w:customStyle="1" w:styleId="CTA3a">
    <w:name w:val="CTA 3(a)"/>
    <w:basedOn w:val="OPCParaBase"/>
    <w:rsid w:val="00622DDB"/>
    <w:pPr>
      <w:tabs>
        <w:tab w:val="right" w:pos="556"/>
      </w:tabs>
      <w:spacing w:before="40" w:line="240" w:lineRule="atLeast"/>
      <w:ind w:left="805" w:hanging="805"/>
    </w:pPr>
    <w:rPr>
      <w:sz w:val="20"/>
    </w:rPr>
  </w:style>
  <w:style w:type="paragraph" w:customStyle="1" w:styleId="CTA3ai">
    <w:name w:val="CTA 3(a)(i)"/>
    <w:basedOn w:val="OPCParaBase"/>
    <w:rsid w:val="00622DDB"/>
    <w:pPr>
      <w:tabs>
        <w:tab w:val="right" w:pos="1140"/>
      </w:tabs>
      <w:spacing w:before="40" w:line="240" w:lineRule="atLeast"/>
      <w:ind w:left="1361" w:hanging="1361"/>
    </w:pPr>
    <w:rPr>
      <w:sz w:val="20"/>
    </w:rPr>
  </w:style>
  <w:style w:type="paragraph" w:customStyle="1" w:styleId="CTA4a">
    <w:name w:val="CTA 4(a)"/>
    <w:basedOn w:val="OPCParaBase"/>
    <w:rsid w:val="00622DDB"/>
    <w:pPr>
      <w:tabs>
        <w:tab w:val="right" w:pos="624"/>
      </w:tabs>
      <w:spacing w:before="40" w:line="240" w:lineRule="atLeast"/>
      <w:ind w:left="873" w:hanging="873"/>
    </w:pPr>
    <w:rPr>
      <w:sz w:val="20"/>
    </w:rPr>
  </w:style>
  <w:style w:type="paragraph" w:customStyle="1" w:styleId="CTA4ai">
    <w:name w:val="CTA 4(a)(i)"/>
    <w:basedOn w:val="OPCParaBase"/>
    <w:rsid w:val="00622DDB"/>
    <w:pPr>
      <w:tabs>
        <w:tab w:val="right" w:pos="1213"/>
      </w:tabs>
      <w:spacing w:before="40" w:line="240" w:lineRule="atLeast"/>
      <w:ind w:left="1452" w:hanging="1452"/>
    </w:pPr>
    <w:rPr>
      <w:sz w:val="20"/>
    </w:rPr>
  </w:style>
  <w:style w:type="paragraph" w:customStyle="1" w:styleId="CTACAPS">
    <w:name w:val="CTA CAPS"/>
    <w:basedOn w:val="OPCParaBase"/>
    <w:rsid w:val="00622DDB"/>
    <w:pPr>
      <w:spacing w:before="60" w:line="240" w:lineRule="atLeast"/>
    </w:pPr>
    <w:rPr>
      <w:sz w:val="20"/>
    </w:rPr>
  </w:style>
  <w:style w:type="paragraph" w:customStyle="1" w:styleId="CTAright">
    <w:name w:val="CTA right"/>
    <w:basedOn w:val="OPCParaBase"/>
    <w:rsid w:val="00622DDB"/>
    <w:pPr>
      <w:spacing w:before="60" w:line="240" w:lineRule="auto"/>
      <w:jc w:val="right"/>
    </w:pPr>
    <w:rPr>
      <w:sz w:val="20"/>
    </w:rPr>
  </w:style>
  <w:style w:type="paragraph" w:customStyle="1" w:styleId="subsection">
    <w:name w:val="subsection"/>
    <w:aliases w:val="ss"/>
    <w:basedOn w:val="OPCParaBase"/>
    <w:rsid w:val="00622DDB"/>
    <w:pPr>
      <w:tabs>
        <w:tab w:val="right" w:pos="1021"/>
      </w:tabs>
      <w:spacing w:before="180" w:line="240" w:lineRule="auto"/>
      <w:ind w:left="1134" w:hanging="1134"/>
    </w:pPr>
  </w:style>
  <w:style w:type="paragraph" w:customStyle="1" w:styleId="Definition">
    <w:name w:val="Definition"/>
    <w:aliases w:val="dd"/>
    <w:basedOn w:val="OPCParaBase"/>
    <w:rsid w:val="00622DDB"/>
    <w:pPr>
      <w:spacing w:before="180" w:line="240" w:lineRule="auto"/>
      <w:ind w:left="1134"/>
    </w:pPr>
  </w:style>
  <w:style w:type="paragraph" w:customStyle="1" w:styleId="ETAsubitem">
    <w:name w:val="ETA(subitem)"/>
    <w:basedOn w:val="OPCParaBase"/>
    <w:rsid w:val="00622DDB"/>
    <w:pPr>
      <w:tabs>
        <w:tab w:val="right" w:pos="340"/>
      </w:tabs>
      <w:spacing w:before="60" w:line="240" w:lineRule="auto"/>
      <w:ind w:left="454" w:hanging="454"/>
    </w:pPr>
    <w:rPr>
      <w:sz w:val="20"/>
    </w:rPr>
  </w:style>
  <w:style w:type="paragraph" w:customStyle="1" w:styleId="ETApara">
    <w:name w:val="ETA(para)"/>
    <w:basedOn w:val="OPCParaBase"/>
    <w:rsid w:val="00622DDB"/>
    <w:pPr>
      <w:tabs>
        <w:tab w:val="right" w:pos="754"/>
      </w:tabs>
      <w:spacing w:before="60" w:line="240" w:lineRule="auto"/>
      <w:ind w:left="828" w:hanging="828"/>
    </w:pPr>
    <w:rPr>
      <w:sz w:val="20"/>
    </w:rPr>
  </w:style>
  <w:style w:type="paragraph" w:customStyle="1" w:styleId="ETAsubpara">
    <w:name w:val="ETA(subpara)"/>
    <w:basedOn w:val="OPCParaBase"/>
    <w:rsid w:val="00622DDB"/>
    <w:pPr>
      <w:tabs>
        <w:tab w:val="right" w:pos="1083"/>
      </w:tabs>
      <w:spacing w:before="60" w:line="240" w:lineRule="auto"/>
      <w:ind w:left="1191" w:hanging="1191"/>
    </w:pPr>
    <w:rPr>
      <w:sz w:val="20"/>
    </w:rPr>
  </w:style>
  <w:style w:type="paragraph" w:customStyle="1" w:styleId="ETAsub-subpara">
    <w:name w:val="ETA(sub-subpara)"/>
    <w:basedOn w:val="OPCParaBase"/>
    <w:rsid w:val="00622DDB"/>
    <w:pPr>
      <w:tabs>
        <w:tab w:val="right" w:pos="1412"/>
      </w:tabs>
      <w:spacing w:before="60" w:line="240" w:lineRule="auto"/>
      <w:ind w:left="1525" w:hanging="1525"/>
    </w:pPr>
    <w:rPr>
      <w:sz w:val="20"/>
    </w:rPr>
  </w:style>
  <w:style w:type="paragraph" w:customStyle="1" w:styleId="Formula">
    <w:name w:val="Formula"/>
    <w:basedOn w:val="OPCParaBase"/>
    <w:rsid w:val="00622DDB"/>
    <w:pPr>
      <w:spacing w:line="240" w:lineRule="auto"/>
      <w:ind w:left="1134"/>
    </w:pPr>
    <w:rPr>
      <w:sz w:val="20"/>
    </w:rPr>
  </w:style>
  <w:style w:type="paragraph" w:styleId="Header">
    <w:name w:val="header"/>
    <w:basedOn w:val="OPCParaBase"/>
    <w:link w:val="HeaderChar"/>
    <w:unhideWhenUsed/>
    <w:rsid w:val="00622DDB"/>
    <w:pPr>
      <w:tabs>
        <w:tab w:val="center" w:pos="4150"/>
        <w:tab w:val="center" w:pos="4321"/>
        <w:tab w:val="right" w:pos="8307"/>
        <w:tab w:val="right" w:pos="8641"/>
      </w:tabs>
      <w:spacing w:line="240" w:lineRule="auto"/>
    </w:pPr>
    <w:rPr>
      <w:sz w:val="24"/>
    </w:rPr>
  </w:style>
  <w:style w:type="character" w:customStyle="1" w:styleId="HeaderChar">
    <w:name w:val="Header Char"/>
    <w:basedOn w:val="DefaultParagraphFont"/>
    <w:link w:val="Header"/>
    <w:rsid w:val="00622DDB"/>
    <w:rPr>
      <w:rFonts w:eastAsia="Times New Roman" w:cs="Times New Roman"/>
      <w:sz w:val="24"/>
      <w:lang w:eastAsia="en-AU"/>
    </w:rPr>
  </w:style>
  <w:style w:type="paragraph" w:customStyle="1" w:styleId="House">
    <w:name w:val="House"/>
    <w:basedOn w:val="OPCParaBase"/>
    <w:rsid w:val="00622DDB"/>
    <w:pPr>
      <w:spacing w:line="240" w:lineRule="auto"/>
    </w:pPr>
    <w:rPr>
      <w:sz w:val="28"/>
    </w:rPr>
  </w:style>
  <w:style w:type="paragraph" w:customStyle="1" w:styleId="Item">
    <w:name w:val="Item"/>
    <w:aliases w:val="i"/>
    <w:basedOn w:val="OPCParaBase"/>
    <w:next w:val="ItemHead"/>
    <w:rsid w:val="00622DDB"/>
    <w:pPr>
      <w:keepLines/>
      <w:spacing w:before="80" w:line="240" w:lineRule="auto"/>
      <w:ind w:left="709"/>
    </w:pPr>
  </w:style>
  <w:style w:type="paragraph" w:customStyle="1" w:styleId="ItemHead">
    <w:name w:val="ItemHead"/>
    <w:aliases w:val="ih"/>
    <w:basedOn w:val="OPCParaBase"/>
    <w:next w:val="Item"/>
    <w:rsid w:val="00622DDB"/>
    <w:pPr>
      <w:keepLines/>
      <w:spacing w:before="220" w:line="240" w:lineRule="auto"/>
      <w:ind w:left="709" w:hanging="709"/>
    </w:pPr>
    <w:rPr>
      <w:rFonts w:ascii="Arial" w:hAnsi="Arial"/>
      <w:b/>
      <w:kern w:val="28"/>
      <w:sz w:val="24"/>
    </w:rPr>
  </w:style>
  <w:style w:type="paragraph" w:customStyle="1" w:styleId="LongT">
    <w:name w:val="LongT"/>
    <w:basedOn w:val="OPCParaBase"/>
    <w:rsid w:val="00622DDB"/>
    <w:pPr>
      <w:spacing w:line="240" w:lineRule="auto"/>
    </w:pPr>
    <w:rPr>
      <w:b/>
      <w:sz w:val="32"/>
    </w:rPr>
  </w:style>
  <w:style w:type="paragraph" w:customStyle="1" w:styleId="notedraft">
    <w:name w:val="note(draft)"/>
    <w:aliases w:val="nd"/>
    <w:basedOn w:val="OPCParaBase"/>
    <w:rsid w:val="00622DDB"/>
    <w:pPr>
      <w:spacing w:before="240" w:line="240" w:lineRule="auto"/>
      <w:ind w:left="284" w:hanging="284"/>
    </w:pPr>
    <w:rPr>
      <w:i/>
      <w:sz w:val="24"/>
    </w:rPr>
  </w:style>
  <w:style w:type="paragraph" w:customStyle="1" w:styleId="notemargin">
    <w:name w:val="note(margin)"/>
    <w:aliases w:val="nm"/>
    <w:basedOn w:val="OPCParaBase"/>
    <w:rsid w:val="00622DDB"/>
    <w:pPr>
      <w:tabs>
        <w:tab w:val="left" w:pos="709"/>
      </w:tabs>
      <w:spacing w:before="122" w:line="198" w:lineRule="exact"/>
      <w:ind w:left="709" w:hanging="709"/>
    </w:pPr>
    <w:rPr>
      <w:sz w:val="18"/>
    </w:rPr>
  </w:style>
  <w:style w:type="paragraph" w:customStyle="1" w:styleId="notepara">
    <w:name w:val="note(para)"/>
    <w:aliases w:val="na"/>
    <w:basedOn w:val="OPCParaBase"/>
    <w:rsid w:val="00622DDB"/>
    <w:pPr>
      <w:spacing w:before="40" w:line="198" w:lineRule="exact"/>
      <w:ind w:left="2354" w:hanging="369"/>
    </w:pPr>
    <w:rPr>
      <w:sz w:val="18"/>
    </w:rPr>
  </w:style>
  <w:style w:type="paragraph" w:customStyle="1" w:styleId="noteParlAmend">
    <w:name w:val="note(ParlAmend)"/>
    <w:aliases w:val="npp"/>
    <w:basedOn w:val="OPCParaBase"/>
    <w:next w:val="ParlAmend"/>
    <w:rsid w:val="00622DDB"/>
    <w:pPr>
      <w:spacing w:line="240" w:lineRule="auto"/>
      <w:jc w:val="right"/>
    </w:pPr>
    <w:rPr>
      <w:rFonts w:ascii="Arial" w:hAnsi="Arial"/>
      <w:b/>
      <w:i/>
    </w:rPr>
  </w:style>
  <w:style w:type="paragraph" w:customStyle="1" w:styleId="notetext">
    <w:name w:val="note(text)"/>
    <w:aliases w:val="n"/>
    <w:basedOn w:val="OPCParaBase"/>
    <w:rsid w:val="00622DDB"/>
    <w:pPr>
      <w:spacing w:before="122" w:line="198" w:lineRule="exact"/>
      <w:ind w:left="1985" w:hanging="851"/>
    </w:pPr>
    <w:rPr>
      <w:sz w:val="18"/>
    </w:rPr>
  </w:style>
  <w:style w:type="paragraph" w:customStyle="1" w:styleId="Page1">
    <w:name w:val="Page1"/>
    <w:basedOn w:val="OPCParaBase"/>
    <w:rsid w:val="00622DDB"/>
    <w:pPr>
      <w:spacing w:before="5600" w:line="240" w:lineRule="auto"/>
    </w:pPr>
    <w:rPr>
      <w:b/>
      <w:sz w:val="32"/>
    </w:rPr>
  </w:style>
  <w:style w:type="paragraph" w:customStyle="1" w:styleId="PageBreak">
    <w:name w:val="PageBreak"/>
    <w:aliases w:val="pb"/>
    <w:basedOn w:val="OPCParaBase"/>
    <w:rsid w:val="00622DDB"/>
    <w:pPr>
      <w:spacing w:line="240" w:lineRule="auto"/>
    </w:pPr>
    <w:rPr>
      <w:sz w:val="10"/>
    </w:rPr>
  </w:style>
  <w:style w:type="paragraph" w:customStyle="1" w:styleId="paragraphsub">
    <w:name w:val="paragraph(sub)"/>
    <w:aliases w:val="aa"/>
    <w:basedOn w:val="OPCParaBase"/>
    <w:rsid w:val="00622DDB"/>
    <w:pPr>
      <w:tabs>
        <w:tab w:val="right" w:pos="1985"/>
      </w:tabs>
      <w:spacing w:before="40" w:line="240" w:lineRule="auto"/>
      <w:ind w:left="2098" w:hanging="2098"/>
    </w:pPr>
  </w:style>
  <w:style w:type="paragraph" w:customStyle="1" w:styleId="paragraphsub-sub">
    <w:name w:val="paragraph(sub-sub)"/>
    <w:aliases w:val="aaa"/>
    <w:basedOn w:val="OPCParaBase"/>
    <w:rsid w:val="00622DDB"/>
    <w:pPr>
      <w:tabs>
        <w:tab w:val="right" w:pos="2722"/>
      </w:tabs>
      <w:spacing w:before="40" w:line="240" w:lineRule="auto"/>
      <w:ind w:left="2835" w:hanging="2835"/>
    </w:pPr>
  </w:style>
  <w:style w:type="paragraph" w:customStyle="1" w:styleId="paragraph">
    <w:name w:val="paragraph"/>
    <w:aliases w:val="a"/>
    <w:basedOn w:val="OPCParaBase"/>
    <w:rsid w:val="00622DDB"/>
    <w:pPr>
      <w:tabs>
        <w:tab w:val="right" w:pos="1531"/>
      </w:tabs>
      <w:spacing w:before="40" w:line="240" w:lineRule="auto"/>
      <w:ind w:left="1644" w:hanging="1644"/>
    </w:pPr>
  </w:style>
  <w:style w:type="paragraph" w:customStyle="1" w:styleId="ParlAmend">
    <w:name w:val="ParlAmend"/>
    <w:aliases w:val="pp"/>
    <w:basedOn w:val="OPCParaBase"/>
    <w:rsid w:val="00622DDB"/>
    <w:pPr>
      <w:spacing w:before="240" w:line="240" w:lineRule="atLeast"/>
      <w:ind w:hanging="567"/>
    </w:pPr>
    <w:rPr>
      <w:sz w:val="24"/>
    </w:rPr>
  </w:style>
  <w:style w:type="paragraph" w:customStyle="1" w:styleId="Penalty">
    <w:name w:val="Penalty"/>
    <w:basedOn w:val="OPCParaBase"/>
    <w:rsid w:val="00622DDB"/>
    <w:pPr>
      <w:tabs>
        <w:tab w:val="left" w:pos="2977"/>
      </w:tabs>
      <w:spacing w:before="180" w:line="240" w:lineRule="auto"/>
      <w:ind w:left="1985" w:hanging="851"/>
    </w:pPr>
  </w:style>
  <w:style w:type="paragraph" w:customStyle="1" w:styleId="Portfolio">
    <w:name w:val="Portfolio"/>
    <w:basedOn w:val="OPCParaBase"/>
    <w:rsid w:val="00622DDB"/>
    <w:pPr>
      <w:spacing w:line="240" w:lineRule="auto"/>
    </w:pPr>
    <w:rPr>
      <w:i/>
      <w:sz w:val="20"/>
    </w:rPr>
  </w:style>
  <w:style w:type="paragraph" w:customStyle="1" w:styleId="Preamble">
    <w:name w:val="Preamble"/>
    <w:basedOn w:val="OPCParaBase"/>
    <w:next w:val="Normal"/>
    <w:rsid w:val="00622DD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2DDB"/>
    <w:pPr>
      <w:spacing w:line="240" w:lineRule="auto"/>
    </w:pPr>
    <w:rPr>
      <w:i/>
      <w:sz w:val="20"/>
    </w:rPr>
  </w:style>
  <w:style w:type="paragraph" w:customStyle="1" w:styleId="Session">
    <w:name w:val="Session"/>
    <w:basedOn w:val="OPCParaBase"/>
    <w:rsid w:val="00622DDB"/>
    <w:pPr>
      <w:spacing w:line="240" w:lineRule="auto"/>
    </w:pPr>
    <w:rPr>
      <w:sz w:val="28"/>
    </w:rPr>
  </w:style>
  <w:style w:type="paragraph" w:customStyle="1" w:styleId="Sponsor">
    <w:name w:val="Sponsor"/>
    <w:basedOn w:val="OPCParaBase"/>
    <w:rsid w:val="00622DDB"/>
    <w:pPr>
      <w:spacing w:line="240" w:lineRule="auto"/>
    </w:pPr>
    <w:rPr>
      <w:i/>
    </w:rPr>
  </w:style>
  <w:style w:type="paragraph" w:customStyle="1" w:styleId="Subitem">
    <w:name w:val="Subitem"/>
    <w:aliases w:val="iss"/>
    <w:basedOn w:val="OPCParaBase"/>
    <w:rsid w:val="00622DDB"/>
    <w:pPr>
      <w:spacing w:before="180" w:line="240" w:lineRule="auto"/>
      <w:ind w:left="709" w:hanging="709"/>
    </w:pPr>
  </w:style>
  <w:style w:type="paragraph" w:customStyle="1" w:styleId="SubitemHead">
    <w:name w:val="SubitemHead"/>
    <w:aliases w:val="issh"/>
    <w:basedOn w:val="OPCParaBase"/>
    <w:rsid w:val="00622D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2DDB"/>
    <w:pPr>
      <w:spacing w:before="40" w:line="240" w:lineRule="auto"/>
      <w:ind w:left="1134"/>
    </w:pPr>
  </w:style>
  <w:style w:type="paragraph" w:customStyle="1" w:styleId="SubsectionHead">
    <w:name w:val="SubsectionHead"/>
    <w:aliases w:val="ssh"/>
    <w:basedOn w:val="OPCParaBase"/>
    <w:next w:val="subsection"/>
    <w:rsid w:val="00622DDB"/>
    <w:pPr>
      <w:keepNext/>
      <w:keepLines/>
      <w:spacing w:before="240" w:line="240" w:lineRule="auto"/>
      <w:ind w:left="1134"/>
    </w:pPr>
    <w:rPr>
      <w:i/>
    </w:rPr>
  </w:style>
  <w:style w:type="paragraph" w:customStyle="1" w:styleId="Tablea">
    <w:name w:val="Table(a)"/>
    <w:aliases w:val="ta"/>
    <w:basedOn w:val="OPCParaBase"/>
    <w:rsid w:val="00622DDB"/>
    <w:pPr>
      <w:spacing w:before="60" w:line="240" w:lineRule="auto"/>
      <w:ind w:left="284" w:hanging="284"/>
    </w:pPr>
    <w:rPr>
      <w:sz w:val="20"/>
    </w:rPr>
  </w:style>
  <w:style w:type="paragraph" w:customStyle="1" w:styleId="TableAA">
    <w:name w:val="Table(AA)"/>
    <w:aliases w:val="taaa"/>
    <w:basedOn w:val="OPCParaBase"/>
    <w:rsid w:val="00622DD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2DD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2DDB"/>
    <w:pPr>
      <w:spacing w:before="60" w:line="240" w:lineRule="atLeast"/>
    </w:pPr>
    <w:rPr>
      <w:sz w:val="20"/>
    </w:rPr>
  </w:style>
  <w:style w:type="paragraph" w:customStyle="1" w:styleId="TLPBoxTextnote">
    <w:name w:val="TLPBoxText(note"/>
    <w:aliases w:val="right)"/>
    <w:basedOn w:val="OPCParaBase"/>
    <w:rsid w:val="00622D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2DDB"/>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622DDB"/>
    <w:pPr>
      <w:spacing w:before="122" w:line="198" w:lineRule="exact"/>
      <w:ind w:left="1985" w:hanging="851"/>
      <w:jc w:val="right"/>
    </w:pPr>
    <w:rPr>
      <w:sz w:val="18"/>
    </w:rPr>
  </w:style>
  <w:style w:type="paragraph" w:customStyle="1" w:styleId="TLPTableBullet">
    <w:name w:val="TLPTableBullet"/>
    <w:aliases w:val="ttb"/>
    <w:basedOn w:val="OPCParaBase"/>
    <w:rsid w:val="00622DDB"/>
    <w:pPr>
      <w:spacing w:line="240" w:lineRule="exact"/>
      <w:ind w:left="284" w:hanging="284"/>
    </w:pPr>
    <w:rPr>
      <w:sz w:val="20"/>
    </w:rPr>
  </w:style>
  <w:style w:type="paragraph" w:styleId="TOC1">
    <w:name w:val="toc 1"/>
    <w:basedOn w:val="OPCParaBase"/>
    <w:next w:val="Normal"/>
    <w:uiPriority w:val="39"/>
    <w:unhideWhenUsed/>
    <w:rsid w:val="00622DDB"/>
    <w:pPr>
      <w:spacing w:line="240" w:lineRule="auto"/>
    </w:pPr>
    <w:rPr>
      <w:sz w:val="24"/>
    </w:rPr>
  </w:style>
  <w:style w:type="paragraph" w:styleId="TOC2">
    <w:name w:val="toc 2"/>
    <w:basedOn w:val="OPCParaBase"/>
    <w:next w:val="Normal"/>
    <w:uiPriority w:val="39"/>
    <w:unhideWhenUsed/>
    <w:rsid w:val="00622DDB"/>
    <w:pPr>
      <w:spacing w:line="240" w:lineRule="auto"/>
      <w:ind w:left="238"/>
    </w:pPr>
    <w:rPr>
      <w:b/>
      <w:sz w:val="24"/>
    </w:rPr>
  </w:style>
  <w:style w:type="paragraph" w:styleId="TOC3">
    <w:name w:val="toc 3"/>
    <w:basedOn w:val="OPCParaBase"/>
    <w:next w:val="Normal"/>
    <w:uiPriority w:val="39"/>
    <w:unhideWhenUsed/>
    <w:rsid w:val="00622DDB"/>
    <w:pPr>
      <w:spacing w:line="240" w:lineRule="auto"/>
      <w:ind w:left="482"/>
    </w:pPr>
    <w:rPr>
      <w:sz w:val="24"/>
    </w:rPr>
  </w:style>
  <w:style w:type="paragraph" w:styleId="TOC4">
    <w:name w:val="toc 4"/>
    <w:basedOn w:val="OPCParaBase"/>
    <w:next w:val="Normal"/>
    <w:uiPriority w:val="39"/>
    <w:unhideWhenUsed/>
    <w:rsid w:val="00622DDB"/>
    <w:pPr>
      <w:spacing w:line="240" w:lineRule="auto"/>
      <w:ind w:left="720"/>
    </w:pPr>
    <w:rPr>
      <w:sz w:val="24"/>
    </w:rPr>
  </w:style>
  <w:style w:type="paragraph" w:styleId="TOC5">
    <w:name w:val="toc 5"/>
    <w:basedOn w:val="OPCParaBase"/>
    <w:next w:val="Normal"/>
    <w:uiPriority w:val="39"/>
    <w:semiHidden/>
    <w:unhideWhenUsed/>
    <w:rsid w:val="00622DDB"/>
    <w:pPr>
      <w:spacing w:line="240" w:lineRule="auto"/>
      <w:ind w:left="958"/>
    </w:pPr>
    <w:rPr>
      <w:sz w:val="24"/>
    </w:rPr>
  </w:style>
  <w:style w:type="paragraph" w:styleId="TOC6">
    <w:name w:val="toc 6"/>
    <w:basedOn w:val="OPCParaBase"/>
    <w:next w:val="Normal"/>
    <w:uiPriority w:val="39"/>
    <w:semiHidden/>
    <w:unhideWhenUsed/>
    <w:rsid w:val="00622DDB"/>
    <w:pPr>
      <w:spacing w:line="240" w:lineRule="auto"/>
      <w:ind w:left="1202"/>
    </w:pPr>
    <w:rPr>
      <w:sz w:val="24"/>
    </w:rPr>
  </w:style>
  <w:style w:type="paragraph" w:styleId="TOC7">
    <w:name w:val="toc 7"/>
    <w:basedOn w:val="OPCParaBase"/>
    <w:next w:val="Normal"/>
    <w:uiPriority w:val="39"/>
    <w:semiHidden/>
    <w:unhideWhenUsed/>
    <w:rsid w:val="00622DDB"/>
    <w:pPr>
      <w:spacing w:line="240" w:lineRule="auto"/>
      <w:ind w:left="1440"/>
    </w:pPr>
    <w:rPr>
      <w:sz w:val="24"/>
    </w:rPr>
  </w:style>
  <w:style w:type="paragraph" w:styleId="TOC8">
    <w:name w:val="toc 8"/>
    <w:basedOn w:val="OPCParaBase"/>
    <w:next w:val="Normal"/>
    <w:uiPriority w:val="39"/>
    <w:semiHidden/>
    <w:unhideWhenUsed/>
    <w:rsid w:val="00622DDB"/>
    <w:pPr>
      <w:spacing w:line="240" w:lineRule="auto"/>
      <w:ind w:left="1678"/>
    </w:pPr>
    <w:rPr>
      <w:sz w:val="24"/>
    </w:rPr>
  </w:style>
  <w:style w:type="paragraph" w:styleId="TOC9">
    <w:name w:val="toc 9"/>
    <w:basedOn w:val="OPCParaBase"/>
    <w:next w:val="Normal"/>
    <w:uiPriority w:val="39"/>
    <w:unhideWhenUsed/>
    <w:rsid w:val="00622DDB"/>
    <w:pPr>
      <w:spacing w:line="240" w:lineRule="auto"/>
      <w:ind w:left="1922"/>
    </w:pPr>
    <w:rPr>
      <w:sz w:val="24"/>
    </w:rPr>
  </w:style>
  <w:style w:type="paragraph" w:customStyle="1" w:styleId="TofSectsGroupHeading">
    <w:name w:val="TofSects(GroupHeading)"/>
    <w:basedOn w:val="OPCParaBase"/>
    <w:next w:val="TofSectsSection"/>
    <w:rsid w:val="00622DDB"/>
    <w:pPr>
      <w:keepLines/>
      <w:spacing w:before="240" w:after="120" w:line="240" w:lineRule="auto"/>
      <w:ind w:left="794"/>
    </w:pPr>
    <w:rPr>
      <w:b/>
      <w:kern w:val="28"/>
      <w:sz w:val="20"/>
    </w:rPr>
  </w:style>
  <w:style w:type="paragraph" w:customStyle="1" w:styleId="TofSectsHeading">
    <w:name w:val="TofSects(Heading)"/>
    <w:basedOn w:val="OPCParaBase"/>
    <w:rsid w:val="00622DDB"/>
    <w:pPr>
      <w:spacing w:before="240" w:after="120" w:line="240" w:lineRule="auto"/>
    </w:pPr>
    <w:rPr>
      <w:b/>
      <w:sz w:val="24"/>
    </w:rPr>
  </w:style>
  <w:style w:type="paragraph" w:customStyle="1" w:styleId="TofSectsSection">
    <w:name w:val="TofSects(Section)"/>
    <w:basedOn w:val="OPCParaBase"/>
    <w:rsid w:val="00622DDB"/>
    <w:pPr>
      <w:keepLines/>
      <w:spacing w:before="40" w:line="240" w:lineRule="auto"/>
      <w:ind w:left="1588" w:hanging="794"/>
    </w:pPr>
    <w:rPr>
      <w:kern w:val="28"/>
      <w:sz w:val="18"/>
    </w:rPr>
  </w:style>
  <w:style w:type="paragraph" w:customStyle="1" w:styleId="TofSectsSubdiv">
    <w:name w:val="TofSects(Subdiv)"/>
    <w:basedOn w:val="OPCParaBase"/>
    <w:rsid w:val="00622DDB"/>
    <w:pPr>
      <w:keepLines/>
      <w:spacing w:before="80" w:line="240" w:lineRule="auto"/>
      <w:ind w:left="1588" w:hanging="794"/>
    </w:pPr>
    <w:rPr>
      <w:kern w:val="28"/>
    </w:rPr>
  </w:style>
  <w:style w:type="paragraph" w:customStyle="1" w:styleId="WRStyle">
    <w:name w:val="WR Style"/>
    <w:aliases w:val="WR"/>
    <w:basedOn w:val="OPCParaBase"/>
    <w:rsid w:val="00622DDB"/>
    <w:pPr>
      <w:spacing w:before="240" w:line="240" w:lineRule="auto"/>
      <w:ind w:left="284" w:hanging="284"/>
    </w:pPr>
    <w:rPr>
      <w:b/>
      <w:i/>
      <w:kern w:val="28"/>
      <w:sz w:val="24"/>
    </w:rPr>
  </w:style>
  <w:style w:type="paragraph" w:customStyle="1" w:styleId="Body">
    <w:name w:val="Body"/>
    <w:aliases w:val="b"/>
    <w:basedOn w:val="OPCParaBase"/>
    <w:rsid w:val="00622DDB"/>
    <w:pPr>
      <w:spacing w:before="240" w:line="240" w:lineRule="auto"/>
    </w:pPr>
    <w:rPr>
      <w:sz w:val="24"/>
    </w:rPr>
  </w:style>
  <w:style w:type="paragraph" w:customStyle="1" w:styleId="BodyNum">
    <w:name w:val="BodyNum"/>
    <w:aliases w:val="b1"/>
    <w:basedOn w:val="OPCParaBase"/>
    <w:rsid w:val="00622DDB"/>
    <w:pPr>
      <w:numPr>
        <w:numId w:val="13"/>
      </w:numPr>
      <w:spacing w:before="240" w:line="240" w:lineRule="auto"/>
    </w:pPr>
    <w:rPr>
      <w:sz w:val="24"/>
    </w:rPr>
  </w:style>
  <w:style w:type="paragraph" w:customStyle="1" w:styleId="BodyPara">
    <w:name w:val="BodyPara"/>
    <w:aliases w:val="ba"/>
    <w:basedOn w:val="OPCParaBase"/>
    <w:rsid w:val="00622DDB"/>
    <w:pPr>
      <w:numPr>
        <w:ilvl w:val="1"/>
        <w:numId w:val="13"/>
      </w:numPr>
      <w:spacing w:before="240" w:line="240" w:lineRule="auto"/>
    </w:pPr>
    <w:rPr>
      <w:sz w:val="24"/>
    </w:rPr>
  </w:style>
  <w:style w:type="paragraph" w:customStyle="1" w:styleId="BodyParaBullet">
    <w:name w:val="BodyParaBullet"/>
    <w:aliases w:val="bpb"/>
    <w:basedOn w:val="OPCParaBase"/>
    <w:rsid w:val="00622DDB"/>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22DDB"/>
    <w:pPr>
      <w:numPr>
        <w:ilvl w:val="3"/>
        <w:numId w:val="13"/>
      </w:numPr>
      <w:spacing w:before="240" w:line="240" w:lineRule="auto"/>
    </w:pPr>
    <w:rPr>
      <w:sz w:val="24"/>
    </w:rPr>
  </w:style>
  <w:style w:type="numbering" w:customStyle="1" w:styleId="OPCBodyList">
    <w:name w:val="OPCBodyList"/>
    <w:uiPriority w:val="99"/>
    <w:rsid w:val="00622DDB"/>
    <w:pPr>
      <w:numPr>
        <w:numId w:val="13"/>
      </w:numPr>
    </w:pPr>
  </w:style>
  <w:style w:type="paragraph" w:customStyle="1" w:styleId="Head1">
    <w:name w:val="Head 1"/>
    <w:aliases w:val="1"/>
    <w:basedOn w:val="OPCParaBase"/>
    <w:next w:val="BodyNum"/>
    <w:rsid w:val="00622DDB"/>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22DDB"/>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22DDB"/>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622DD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622DD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622DDB"/>
    <w:pPr>
      <w:spacing w:before="122" w:line="198" w:lineRule="exact"/>
      <w:ind w:left="2353" w:hanging="709"/>
    </w:pPr>
    <w:rPr>
      <w:sz w:val="18"/>
    </w:rPr>
  </w:style>
  <w:style w:type="paragraph" w:styleId="Footer">
    <w:name w:val="footer"/>
    <w:link w:val="FooterChar"/>
    <w:rsid w:val="00622DD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22DDB"/>
    <w:rPr>
      <w:rFonts w:eastAsia="Times New Roman" w:cs="Times New Roman"/>
      <w:sz w:val="22"/>
      <w:szCs w:val="24"/>
      <w:lang w:eastAsia="en-AU"/>
    </w:rPr>
  </w:style>
  <w:style w:type="character" w:styleId="PageNumber">
    <w:name w:val="page number"/>
    <w:basedOn w:val="DefaultParagraphFont"/>
    <w:rsid w:val="00622DDB"/>
  </w:style>
  <w:style w:type="paragraph" w:styleId="BalloonText">
    <w:name w:val="Balloon Text"/>
    <w:basedOn w:val="Normal"/>
    <w:link w:val="BalloonTextChar"/>
    <w:uiPriority w:val="99"/>
    <w:semiHidden/>
    <w:unhideWhenUsed/>
    <w:rsid w:val="00622D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DDB"/>
    <w:rPr>
      <w:rFonts w:ascii="Tahoma" w:hAnsi="Tahoma" w:cs="Tahoma"/>
      <w:sz w:val="16"/>
      <w:szCs w:val="16"/>
    </w:rPr>
  </w:style>
  <w:style w:type="paragraph" w:customStyle="1" w:styleId="Issued">
    <w:name w:val="Issued"/>
    <w:basedOn w:val="Body"/>
    <w:rsid w:val="00F00748"/>
    <w:rPr>
      <w:b/>
      <w:sz w:val="28"/>
    </w:rPr>
  </w:style>
  <w:style w:type="paragraph" w:customStyle="1" w:styleId="Release">
    <w:name w:val="Release"/>
    <w:basedOn w:val="Body"/>
    <w:rsid w:val="00F00748"/>
    <w:rPr>
      <w:b/>
    </w:rPr>
  </w:style>
  <w:style w:type="character" w:styleId="CommentReference">
    <w:name w:val="annotation reference"/>
    <w:basedOn w:val="DefaultParagraphFont"/>
    <w:uiPriority w:val="99"/>
    <w:semiHidden/>
    <w:unhideWhenUsed/>
    <w:rsid w:val="009C147B"/>
    <w:rPr>
      <w:sz w:val="16"/>
      <w:szCs w:val="16"/>
    </w:rPr>
  </w:style>
  <w:style w:type="paragraph" w:styleId="CommentText">
    <w:name w:val="annotation text"/>
    <w:basedOn w:val="Normal"/>
    <w:link w:val="CommentTextChar"/>
    <w:uiPriority w:val="99"/>
    <w:semiHidden/>
    <w:unhideWhenUsed/>
    <w:rsid w:val="009C147B"/>
    <w:pPr>
      <w:spacing w:line="240" w:lineRule="auto"/>
    </w:pPr>
    <w:rPr>
      <w:sz w:val="20"/>
    </w:rPr>
  </w:style>
  <w:style w:type="character" w:customStyle="1" w:styleId="CommentTextChar">
    <w:name w:val="Comment Text Char"/>
    <w:basedOn w:val="DefaultParagraphFont"/>
    <w:link w:val="CommentText"/>
    <w:uiPriority w:val="99"/>
    <w:semiHidden/>
    <w:rsid w:val="009C147B"/>
  </w:style>
  <w:style w:type="paragraph" w:styleId="CommentSubject">
    <w:name w:val="annotation subject"/>
    <w:basedOn w:val="CommentText"/>
    <w:next w:val="CommentText"/>
    <w:link w:val="CommentSubjectChar"/>
    <w:uiPriority w:val="99"/>
    <w:semiHidden/>
    <w:unhideWhenUsed/>
    <w:rsid w:val="009C147B"/>
    <w:rPr>
      <w:b/>
      <w:bCs/>
    </w:rPr>
  </w:style>
  <w:style w:type="character" w:customStyle="1" w:styleId="CommentSubjectChar">
    <w:name w:val="Comment Subject Char"/>
    <w:basedOn w:val="CommentTextChar"/>
    <w:link w:val="CommentSubject"/>
    <w:uiPriority w:val="99"/>
    <w:semiHidden/>
    <w:rsid w:val="009C147B"/>
    <w:rPr>
      <w:b/>
      <w:bCs/>
    </w:rPr>
  </w:style>
  <w:style w:type="paragraph" w:styleId="Revision">
    <w:name w:val="Revision"/>
    <w:hidden/>
    <w:uiPriority w:val="99"/>
    <w:semiHidden/>
    <w:rsid w:val="00E4626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OfficeProcedural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6237C-2AB0-4B31-A92F-ABC3345F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OfficeProceduralCircular.dotx</Template>
  <TotalTime>0</TotalTime>
  <Pages>2</Pages>
  <Words>1156</Words>
  <Characters>6418</Characters>
  <Application>Microsoft Office Word</Application>
  <DocSecurity>0</DocSecurity>
  <Lines>168</Lines>
  <Paragraphs>122</Paragraphs>
  <ScaleCrop>false</ScaleCrop>
  <HeadingPairs>
    <vt:vector size="2" baseType="variant">
      <vt:variant>
        <vt:lpstr>Title</vt:lpstr>
      </vt:variant>
      <vt:variant>
        <vt:i4>1</vt:i4>
      </vt:variant>
    </vt:vector>
  </HeadingPairs>
  <TitlesOfParts>
    <vt:vector size="1" baseType="lpstr">
      <vt:lpstr>Office Procedural Circular No. 2.7 Audit Committee Charter</vt:lpstr>
    </vt:vector>
  </TitlesOfParts>
  <Company>Office of Parliamentary Counsel</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Procedural Circular No. 2.7 Audit Committee Charter</dc:title>
  <dc:subject/>
  <dc:creator>Glenyce Francis</dc:creator>
  <cp:keywords/>
  <dc:description/>
  <cp:lastModifiedBy>Rasanen, Karina</cp:lastModifiedBy>
  <cp:revision>3</cp:revision>
  <cp:lastPrinted>2021-05-21T05:27:00Z</cp:lastPrinted>
  <dcterms:created xsi:type="dcterms:W3CDTF">2021-07-08T05:42:00Z</dcterms:created>
  <dcterms:modified xsi:type="dcterms:W3CDTF">2021-07-08T05:42:00Z</dcterms:modified>
  <cp:category>For internal use; Other - Final for Folio (endorsed at WCC 24 June 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ChangedTitle">
    <vt:lpwstr>Office Procedural Circular No. 2.7 Audit and Risk Committee Charter</vt:lpwstr>
  </property>
  <property fmtid="{D5CDD505-2E9C-101B-9397-08002B2CF9AE}" pid="5" name="DoNotAsk">
    <vt:lpwstr>1</vt:lpwstr>
  </property>
</Properties>
</file>