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8A" w:rsidRDefault="00474B8A" w:rsidP="00474B8A">
      <w:pPr>
        <w:rPr>
          <w:sz w:val="40"/>
        </w:rPr>
      </w:pPr>
      <w:bookmarkStart w:id="0" w:name="OPCFixDocStart"/>
      <w:bookmarkStart w:id="1" w:name="_GoBack"/>
      <w:bookmarkEnd w:id="0"/>
      <w:bookmarkEnd w:id="1"/>
    </w:p>
    <w:p w:rsidR="00474B8A" w:rsidRDefault="00474B8A" w:rsidP="00474B8A">
      <w:pPr>
        <w:rPr>
          <w:sz w:val="40"/>
        </w:rPr>
      </w:pPr>
    </w:p>
    <w:p w:rsidR="00474B8A" w:rsidRDefault="00474B8A" w:rsidP="00474B8A">
      <w:pPr>
        <w:rPr>
          <w:sz w:val="40"/>
        </w:rPr>
      </w:pPr>
    </w:p>
    <w:p w:rsidR="00474B8A" w:rsidRDefault="00474B8A" w:rsidP="00474B8A">
      <w:pPr>
        <w:rPr>
          <w:sz w:val="40"/>
        </w:rPr>
      </w:pPr>
    </w:p>
    <w:p w:rsidR="00474B8A" w:rsidRDefault="00474B8A" w:rsidP="00474B8A">
      <w:pPr>
        <w:rPr>
          <w:sz w:val="40"/>
        </w:rPr>
      </w:pPr>
    </w:p>
    <w:p w:rsidR="00474B8A" w:rsidRDefault="00474B8A" w:rsidP="00474B8A">
      <w:pPr>
        <w:pStyle w:val="Head1"/>
        <w:rPr>
          <w:sz w:val="52"/>
          <w:szCs w:val="52"/>
        </w:rPr>
      </w:pPr>
      <w:r>
        <w:rPr>
          <w:sz w:val="52"/>
          <w:szCs w:val="52"/>
        </w:rPr>
        <w:t>OPC Drafting Manual</w:t>
      </w:r>
    </w:p>
    <w:p w:rsidR="00474B8A" w:rsidRDefault="00474B8A" w:rsidP="00474B8A"/>
    <w:p w:rsidR="00474B8A" w:rsidRDefault="00474B8A" w:rsidP="00474B8A">
      <w:pPr>
        <w:pStyle w:val="Body"/>
      </w:pPr>
    </w:p>
    <w:p w:rsidR="00474B8A" w:rsidRDefault="00474B8A" w:rsidP="00474B8A">
      <w:pPr>
        <w:pStyle w:val="Body"/>
      </w:pPr>
    </w:p>
    <w:p w:rsidR="00474B8A" w:rsidRDefault="00474B8A" w:rsidP="00474B8A">
      <w:pPr>
        <w:pStyle w:val="Body"/>
      </w:pPr>
    </w:p>
    <w:p w:rsidR="00474B8A" w:rsidRDefault="00474B8A" w:rsidP="00474B8A">
      <w:pPr>
        <w:pStyle w:val="Body"/>
      </w:pPr>
    </w:p>
    <w:p w:rsidR="00474B8A" w:rsidRPr="00650D9E" w:rsidRDefault="00474B8A" w:rsidP="00474B8A"/>
    <w:p w:rsidR="00474B8A" w:rsidRDefault="00474B8A" w:rsidP="00474B8A"/>
    <w:p w:rsidR="00474B8A" w:rsidRDefault="00474B8A" w:rsidP="00474B8A"/>
    <w:p w:rsidR="00474B8A" w:rsidRPr="00650D9E" w:rsidRDefault="00474B8A" w:rsidP="00474B8A"/>
    <w:p w:rsidR="00474B8A" w:rsidRDefault="00474B8A" w:rsidP="00474B8A">
      <w:pPr>
        <w:rPr>
          <w:sz w:val="36"/>
        </w:rPr>
      </w:pPr>
      <w:r>
        <w:rPr>
          <w:sz w:val="36"/>
        </w:rPr>
        <w:t xml:space="preserve">edition </w:t>
      </w:r>
      <w:r w:rsidR="00F34878">
        <w:rPr>
          <w:sz w:val="36"/>
        </w:rPr>
        <w:t>3.2</w:t>
      </w:r>
    </w:p>
    <w:p w:rsidR="00474B8A" w:rsidRPr="008D18BD" w:rsidRDefault="006F069B" w:rsidP="00474B8A">
      <w:pPr>
        <w:rPr>
          <w:sz w:val="28"/>
        </w:rPr>
      </w:pPr>
      <w:r>
        <w:rPr>
          <w:sz w:val="36"/>
        </w:rPr>
        <w:t>July</w:t>
      </w:r>
      <w:r w:rsidR="00F34878">
        <w:rPr>
          <w:sz w:val="36"/>
        </w:rPr>
        <w:t xml:space="preserve"> 2019</w:t>
      </w:r>
    </w:p>
    <w:p w:rsidR="00474B8A" w:rsidRDefault="00474B8A" w:rsidP="00474B8A">
      <w:pPr>
        <w:rPr>
          <w:sz w:val="28"/>
        </w:rPr>
      </w:pPr>
    </w:p>
    <w:p w:rsidR="00474B8A" w:rsidRDefault="00474B8A" w:rsidP="00474B8A">
      <w:pPr>
        <w:rPr>
          <w:sz w:val="28"/>
        </w:rPr>
      </w:pPr>
    </w:p>
    <w:p w:rsidR="00474B8A" w:rsidRDefault="00474B8A" w:rsidP="00474B8A">
      <w:pPr>
        <w:rPr>
          <w:sz w:val="32"/>
        </w:rPr>
      </w:pPr>
    </w:p>
    <w:p w:rsidR="00474B8A" w:rsidRDefault="00474B8A" w:rsidP="00474B8A">
      <w:pPr>
        <w:pStyle w:val="TOCHeading"/>
      </w:pPr>
      <w:r>
        <w:lastRenderedPageBreak/>
        <w:t>Contents</w:t>
      </w:r>
    </w:p>
    <w:p w:rsidR="002069A2" w:rsidRDefault="00474B8A">
      <w:pPr>
        <w:pStyle w:val="TOC2"/>
        <w:rPr>
          <w:rFonts w:asciiTheme="minorHAnsi" w:eastAsiaTheme="minorEastAsia" w:hAnsiTheme="minorHAnsi" w:cstheme="minorBidi"/>
          <w:b w:val="0"/>
          <w:noProof/>
          <w:kern w:val="0"/>
          <w:sz w:val="22"/>
          <w:szCs w:val="22"/>
        </w:rPr>
      </w:pPr>
      <w:r w:rsidRPr="009468E1">
        <w:rPr>
          <w:sz w:val="32"/>
        </w:rPr>
        <w:fldChar w:fldCharType="begin"/>
      </w:r>
      <w:r>
        <w:rPr>
          <w:sz w:val="32"/>
        </w:rPr>
        <w:instrText xml:space="preserve"> TOC \o "2-9" </w:instrText>
      </w:r>
      <w:r w:rsidRPr="009468E1">
        <w:rPr>
          <w:sz w:val="32"/>
        </w:rPr>
        <w:fldChar w:fldCharType="separate"/>
      </w:r>
      <w:r w:rsidR="002069A2">
        <w:rPr>
          <w:noProof/>
        </w:rPr>
        <w:t>Purpose of the manual</w:t>
      </w:r>
      <w:r w:rsidR="002069A2">
        <w:rPr>
          <w:noProof/>
        </w:rPr>
        <w:tab/>
      </w:r>
      <w:r w:rsidR="002069A2">
        <w:rPr>
          <w:noProof/>
        </w:rPr>
        <w:fldChar w:fldCharType="begin"/>
      </w:r>
      <w:r w:rsidR="002069A2">
        <w:rPr>
          <w:noProof/>
        </w:rPr>
        <w:instrText xml:space="preserve"> PAGEREF _Toc14677427 \h </w:instrText>
      </w:r>
      <w:r w:rsidR="002069A2">
        <w:rPr>
          <w:noProof/>
        </w:rPr>
      </w:r>
      <w:r w:rsidR="002069A2">
        <w:rPr>
          <w:noProof/>
        </w:rPr>
        <w:fldChar w:fldCharType="separate"/>
      </w:r>
      <w:r w:rsidR="002069A2">
        <w:rPr>
          <w:noProof/>
        </w:rPr>
        <w:t>5</w:t>
      </w:r>
      <w:r w:rsidR="002069A2">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Overview</w:t>
      </w:r>
      <w:r>
        <w:rPr>
          <w:noProof/>
        </w:rPr>
        <w:tab/>
      </w:r>
      <w:r>
        <w:rPr>
          <w:noProof/>
        </w:rPr>
        <w:tab/>
      </w:r>
      <w:r>
        <w:rPr>
          <w:noProof/>
        </w:rPr>
        <w:fldChar w:fldCharType="begin"/>
      </w:r>
      <w:r>
        <w:rPr>
          <w:noProof/>
        </w:rPr>
        <w:instrText xml:space="preserve"> PAGEREF _Toc14677428 \h </w:instrText>
      </w:r>
      <w:r>
        <w:rPr>
          <w:noProof/>
        </w:rPr>
      </w:r>
      <w:r>
        <w:rPr>
          <w:noProof/>
        </w:rPr>
        <w:fldChar w:fldCharType="separate"/>
      </w:r>
      <w:r>
        <w:rPr>
          <w:noProof/>
        </w:rPr>
        <w:t>5</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Relationship to other documents</w:t>
      </w:r>
      <w:r>
        <w:rPr>
          <w:noProof/>
        </w:rPr>
        <w:tab/>
      </w:r>
      <w:r>
        <w:rPr>
          <w:noProof/>
        </w:rPr>
        <w:fldChar w:fldCharType="begin"/>
      </w:r>
      <w:r>
        <w:rPr>
          <w:noProof/>
        </w:rPr>
        <w:instrText xml:space="preserve"> PAGEREF _Toc14677429 \h </w:instrText>
      </w:r>
      <w:r>
        <w:rPr>
          <w:noProof/>
        </w:rPr>
      </w:r>
      <w:r>
        <w:rPr>
          <w:noProof/>
        </w:rPr>
        <w:fldChar w:fldCharType="separate"/>
      </w:r>
      <w:r>
        <w:rPr>
          <w:noProof/>
        </w:rPr>
        <w:t>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Drafting Directions</w:t>
      </w:r>
      <w:r>
        <w:rPr>
          <w:noProof/>
        </w:rPr>
        <w:tab/>
      </w:r>
      <w:r>
        <w:rPr>
          <w:noProof/>
        </w:rPr>
        <w:fldChar w:fldCharType="begin"/>
      </w:r>
      <w:r>
        <w:rPr>
          <w:noProof/>
        </w:rPr>
        <w:instrText xml:space="preserve"> PAGEREF _Toc14677430 \h </w:instrText>
      </w:r>
      <w:r>
        <w:rPr>
          <w:noProof/>
        </w:rPr>
      </w:r>
      <w:r>
        <w:rPr>
          <w:noProof/>
        </w:rPr>
        <w:fldChar w:fldCharType="separate"/>
      </w:r>
      <w:r>
        <w:rPr>
          <w:noProof/>
        </w:rPr>
        <w:t>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Drafting Notes (including Instrument Drafting Notes)</w:t>
      </w:r>
      <w:r>
        <w:rPr>
          <w:noProof/>
        </w:rPr>
        <w:tab/>
      </w:r>
      <w:r>
        <w:rPr>
          <w:noProof/>
        </w:rPr>
        <w:fldChar w:fldCharType="begin"/>
      </w:r>
      <w:r>
        <w:rPr>
          <w:noProof/>
        </w:rPr>
        <w:instrText xml:space="preserve"> PAGEREF _Toc14677431 \h </w:instrText>
      </w:r>
      <w:r>
        <w:rPr>
          <w:noProof/>
        </w:rPr>
      </w:r>
      <w:r>
        <w:rPr>
          <w:noProof/>
        </w:rPr>
        <w:fldChar w:fldCharType="separate"/>
      </w:r>
      <w:r>
        <w:rPr>
          <w:noProof/>
        </w:rPr>
        <w:t>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FPC emails</w:t>
      </w:r>
      <w:r>
        <w:rPr>
          <w:noProof/>
        </w:rPr>
        <w:tab/>
      </w:r>
      <w:r>
        <w:rPr>
          <w:noProof/>
        </w:rPr>
        <w:tab/>
      </w:r>
      <w:r>
        <w:rPr>
          <w:noProof/>
        </w:rPr>
        <w:fldChar w:fldCharType="begin"/>
      </w:r>
      <w:r>
        <w:rPr>
          <w:noProof/>
        </w:rPr>
        <w:instrText xml:space="preserve"> PAGEREF _Toc14677432 \h </w:instrText>
      </w:r>
      <w:r>
        <w:rPr>
          <w:noProof/>
        </w:rPr>
      </w:r>
      <w:r>
        <w:rPr>
          <w:noProof/>
        </w:rPr>
        <w:fldChar w:fldCharType="separate"/>
      </w:r>
      <w:r>
        <w:rPr>
          <w:noProof/>
        </w:rPr>
        <w:t>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Relationship with this manual</w:t>
      </w:r>
      <w:r>
        <w:rPr>
          <w:noProof/>
        </w:rPr>
        <w:tab/>
      </w:r>
      <w:r>
        <w:rPr>
          <w:noProof/>
        </w:rPr>
        <w:fldChar w:fldCharType="begin"/>
      </w:r>
      <w:r>
        <w:rPr>
          <w:noProof/>
        </w:rPr>
        <w:instrText xml:space="preserve"> PAGEREF _Toc14677433 \h </w:instrText>
      </w:r>
      <w:r>
        <w:rPr>
          <w:noProof/>
        </w:rPr>
      </w:r>
      <w:r>
        <w:rPr>
          <w:noProof/>
        </w:rPr>
        <w:fldChar w:fldCharType="separate"/>
      </w:r>
      <w:r>
        <w:rPr>
          <w:noProof/>
        </w:rPr>
        <w:t>6</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Overview</w:t>
      </w:r>
      <w:r>
        <w:rPr>
          <w:noProof/>
        </w:rPr>
        <w:tab/>
      </w:r>
      <w:r>
        <w:rPr>
          <w:noProof/>
        </w:rPr>
        <w:tab/>
      </w:r>
      <w:r>
        <w:rPr>
          <w:noProof/>
        </w:rPr>
        <w:fldChar w:fldCharType="begin"/>
      </w:r>
      <w:r>
        <w:rPr>
          <w:noProof/>
        </w:rPr>
        <w:instrText xml:space="preserve"> PAGEREF _Toc14677434 \h </w:instrText>
      </w:r>
      <w:r>
        <w:rPr>
          <w:noProof/>
        </w:rPr>
      </w:r>
      <w:r>
        <w:rPr>
          <w:noProof/>
        </w:rPr>
        <w:fldChar w:fldCharType="separate"/>
      </w:r>
      <w:r>
        <w:rPr>
          <w:noProof/>
        </w:rPr>
        <w:t>6</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Format of legislation</w:t>
      </w:r>
      <w:r>
        <w:rPr>
          <w:noProof/>
        </w:rPr>
        <w:tab/>
      </w:r>
      <w:r>
        <w:rPr>
          <w:noProof/>
        </w:rPr>
        <w:fldChar w:fldCharType="begin"/>
      </w:r>
      <w:r>
        <w:rPr>
          <w:noProof/>
        </w:rPr>
        <w:instrText xml:space="preserve"> PAGEREF _Toc14677435 \h </w:instrText>
      </w:r>
      <w:r>
        <w:rPr>
          <w:noProof/>
        </w:rPr>
      </w:r>
      <w:r>
        <w:rPr>
          <w:noProof/>
        </w:rPr>
        <w:fldChar w:fldCharType="separate"/>
      </w:r>
      <w:r>
        <w:rPr>
          <w:noProof/>
        </w:rPr>
        <w:t>6</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Bill titles</w:t>
      </w:r>
      <w:r>
        <w:rPr>
          <w:noProof/>
        </w:rPr>
        <w:tab/>
      </w:r>
      <w:r>
        <w:rPr>
          <w:noProof/>
        </w:rPr>
        <w:tab/>
      </w:r>
      <w:r>
        <w:rPr>
          <w:noProof/>
        </w:rPr>
        <w:fldChar w:fldCharType="begin"/>
      </w:r>
      <w:r>
        <w:rPr>
          <w:noProof/>
        </w:rPr>
        <w:instrText xml:space="preserve"> PAGEREF _Toc14677436 \h </w:instrText>
      </w:r>
      <w:r>
        <w:rPr>
          <w:noProof/>
        </w:rPr>
      </w:r>
      <w:r>
        <w:rPr>
          <w:noProof/>
        </w:rPr>
        <w:fldChar w:fldCharType="separate"/>
      </w:r>
      <w:r>
        <w:rPr>
          <w:noProof/>
        </w:rPr>
        <w:t>6</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General</w:t>
      </w:r>
      <w:r>
        <w:rPr>
          <w:noProof/>
        </w:rPr>
        <w:tab/>
      </w:r>
      <w:r>
        <w:rPr>
          <w:noProof/>
        </w:rPr>
        <w:tab/>
      </w:r>
      <w:r>
        <w:rPr>
          <w:noProof/>
        </w:rPr>
        <w:fldChar w:fldCharType="begin"/>
      </w:r>
      <w:r>
        <w:rPr>
          <w:noProof/>
        </w:rPr>
        <w:instrText xml:space="preserve"> PAGEREF _Toc14677437 \h </w:instrText>
      </w:r>
      <w:r>
        <w:rPr>
          <w:noProof/>
        </w:rPr>
      </w:r>
      <w:r>
        <w:rPr>
          <w:noProof/>
        </w:rPr>
        <w:fldChar w:fldCharType="separate"/>
      </w:r>
      <w:r>
        <w:rPr>
          <w:noProof/>
        </w:rPr>
        <w:t>6</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Long titles for Bills</w:t>
      </w:r>
      <w:r>
        <w:rPr>
          <w:noProof/>
        </w:rPr>
        <w:tab/>
      </w:r>
      <w:r>
        <w:rPr>
          <w:noProof/>
        </w:rPr>
        <w:fldChar w:fldCharType="begin"/>
      </w:r>
      <w:r>
        <w:rPr>
          <w:noProof/>
        </w:rPr>
        <w:instrText xml:space="preserve"> PAGEREF _Toc14677438 \h </w:instrText>
      </w:r>
      <w:r>
        <w:rPr>
          <w:noProof/>
        </w:rPr>
      </w:r>
      <w:r>
        <w:rPr>
          <w:noProof/>
        </w:rPr>
        <w:fldChar w:fldCharType="separate"/>
      </w:r>
      <w:r>
        <w:rPr>
          <w:noProof/>
        </w:rPr>
        <w:t>6</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Short titles for Bills</w:t>
      </w:r>
      <w:r>
        <w:rPr>
          <w:noProof/>
        </w:rPr>
        <w:tab/>
      </w:r>
      <w:r>
        <w:rPr>
          <w:noProof/>
        </w:rPr>
        <w:fldChar w:fldCharType="begin"/>
      </w:r>
      <w:r>
        <w:rPr>
          <w:noProof/>
        </w:rPr>
        <w:instrText xml:space="preserve"> PAGEREF _Toc14677439 \h </w:instrText>
      </w:r>
      <w:r>
        <w:rPr>
          <w:noProof/>
        </w:rPr>
      </w:r>
      <w:r>
        <w:rPr>
          <w:noProof/>
        </w:rPr>
        <w:fldChar w:fldCharType="separate"/>
      </w:r>
      <w:r>
        <w:rPr>
          <w:noProof/>
        </w:rPr>
        <w:t>7</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Act numbers</w:t>
      </w:r>
      <w:r>
        <w:rPr>
          <w:noProof/>
        </w:rPr>
        <w:tab/>
      </w:r>
      <w:r>
        <w:rPr>
          <w:noProof/>
        </w:rPr>
        <w:fldChar w:fldCharType="begin"/>
      </w:r>
      <w:r>
        <w:rPr>
          <w:noProof/>
        </w:rPr>
        <w:instrText xml:space="preserve"> PAGEREF _Toc14677440 \h </w:instrText>
      </w:r>
      <w:r>
        <w:rPr>
          <w:noProof/>
        </w:rPr>
      </w:r>
      <w:r>
        <w:rPr>
          <w:noProof/>
        </w:rPr>
        <w:fldChar w:fldCharType="separate"/>
      </w:r>
      <w:r>
        <w:rPr>
          <w:noProof/>
        </w:rPr>
        <w:t>7</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Instrument names</w:t>
      </w:r>
      <w:r>
        <w:rPr>
          <w:noProof/>
        </w:rPr>
        <w:tab/>
      </w:r>
      <w:r>
        <w:rPr>
          <w:noProof/>
        </w:rPr>
        <w:fldChar w:fldCharType="begin"/>
      </w:r>
      <w:r>
        <w:rPr>
          <w:noProof/>
        </w:rPr>
        <w:instrText xml:space="preserve"> PAGEREF _Toc14677441 \h </w:instrText>
      </w:r>
      <w:r>
        <w:rPr>
          <w:noProof/>
        </w:rPr>
      </w:r>
      <w:r>
        <w:rPr>
          <w:noProof/>
        </w:rPr>
        <w:fldChar w:fldCharType="separate"/>
      </w:r>
      <w:r>
        <w:rPr>
          <w:noProof/>
        </w:rPr>
        <w:t>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General</w:t>
      </w:r>
      <w:r>
        <w:rPr>
          <w:noProof/>
        </w:rPr>
        <w:tab/>
      </w:r>
      <w:r>
        <w:rPr>
          <w:noProof/>
        </w:rPr>
        <w:tab/>
      </w:r>
      <w:r>
        <w:rPr>
          <w:noProof/>
        </w:rPr>
        <w:fldChar w:fldCharType="begin"/>
      </w:r>
      <w:r>
        <w:rPr>
          <w:noProof/>
        </w:rPr>
        <w:instrText xml:space="preserve"> PAGEREF _Toc14677442 \h </w:instrText>
      </w:r>
      <w:r>
        <w:rPr>
          <w:noProof/>
        </w:rPr>
      </w:r>
      <w:r>
        <w:rPr>
          <w:noProof/>
        </w:rPr>
        <w:fldChar w:fldCharType="separate"/>
      </w:r>
      <w:r>
        <w:rPr>
          <w:noProof/>
        </w:rPr>
        <w:t>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FRL numbers—legislative instruments</w:t>
      </w:r>
      <w:r>
        <w:rPr>
          <w:noProof/>
        </w:rPr>
        <w:tab/>
      </w:r>
      <w:r>
        <w:rPr>
          <w:noProof/>
        </w:rPr>
        <w:fldChar w:fldCharType="begin"/>
      </w:r>
      <w:r>
        <w:rPr>
          <w:noProof/>
        </w:rPr>
        <w:instrText xml:space="preserve"> PAGEREF _Toc14677443 \h </w:instrText>
      </w:r>
      <w:r>
        <w:rPr>
          <w:noProof/>
        </w:rPr>
      </w:r>
      <w:r>
        <w:rPr>
          <w:noProof/>
        </w:rPr>
        <w:fldChar w:fldCharType="separate"/>
      </w:r>
      <w:r>
        <w:rPr>
          <w:noProof/>
        </w:rPr>
        <w:t>8</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Portfolio for cover page of Bill</w:t>
      </w:r>
      <w:r>
        <w:rPr>
          <w:noProof/>
        </w:rPr>
        <w:tab/>
      </w:r>
      <w:r>
        <w:rPr>
          <w:noProof/>
        </w:rPr>
        <w:fldChar w:fldCharType="begin"/>
      </w:r>
      <w:r>
        <w:rPr>
          <w:noProof/>
        </w:rPr>
        <w:instrText xml:space="preserve"> PAGEREF _Toc14677444 \h </w:instrText>
      </w:r>
      <w:r>
        <w:rPr>
          <w:noProof/>
        </w:rPr>
      </w:r>
      <w:r>
        <w:rPr>
          <w:noProof/>
        </w:rPr>
        <w:fldChar w:fldCharType="separate"/>
      </w:r>
      <w:r>
        <w:rPr>
          <w:noProof/>
        </w:rPr>
        <w:t>8</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Ministerial title for signature page of regulations</w:t>
      </w:r>
      <w:r>
        <w:rPr>
          <w:noProof/>
        </w:rPr>
        <w:tab/>
      </w:r>
      <w:r>
        <w:rPr>
          <w:noProof/>
        </w:rPr>
        <w:fldChar w:fldCharType="begin"/>
      </w:r>
      <w:r>
        <w:rPr>
          <w:noProof/>
        </w:rPr>
        <w:instrText xml:space="preserve"> PAGEREF _Toc14677445 \h </w:instrText>
      </w:r>
      <w:r>
        <w:rPr>
          <w:noProof/>
        </w:rPr>
      </w:r>
      <w:r>
        <w:rPr>
          <w:noProof/>
        </w:rPr>
        <w:fldChar w:fldCharType="separate"/>
      </w:r>
      <w:r>
        <w:rPr>
          <w:noProof/>
        </w:rPr>
        <w:t>9</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Name and title of rule</w:t>
      </w:r>
      <w:r>
        <w:rPr>
          <w:noProof/>
        </w:rPr>
        <w:noBreakHyphen/>
        <w:t>maker for signature page of instruments</w:t>
      </w:r>
      <w:r>
        <w:rPr>
          <w:noProof/>
        </w:rPr>
        <w:tab/>
      </w:r>
      <w:r>
        <w:rPr>
          <w:noProof/>
        </w:rPr>
        <w:fldChar w:fldCharType="begin"/>
      </w:r>
      <w:r>
        <w:rPr>
          <w:noProof/>
        </w:rPr>
        <w:instrText xml:space="preserve"> PAGEREF _Toc14677446 \h </w:instrText>
      </w:r>
      <w:r>
        <w:rPr>
          <w:noProof/>
        </w:rPr>
      </w:r>
      <w:r>
        <w:rPr>
          <w:noProof/>
        </w:rPr>
        <w:fldChar w:fldCharType="separate"/>
      </w:r>
      <w:r>
        <w:rPr>
          <w:noProof/>
        </w:rPr>
        <w:t>9</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Commencement provisions</w:t>
      </w:r>
      <w:r>
        <w:rPr>
          <w:noProof/>
        </w:rPr>
        <w:tab/>
      </w:r>
      <w:r>
        <w:rPr>
          <w:noProof/>
        </w:rPr>
        <w:fldChar w:fldCharType="begin"/>
      </w:r>
      <w:r>
        <w:rPr>
          <w:noProof/>
        </w:rPr>
        <w:instrText xml:space="preserve"> PAGEREF _Toc14677447 \h </w:instrText>
      </w:r>
      <w:r>
        <w:rPr>
          <w:noProof/>
        </w:rPr>
      </w:r>
      <w:r>
        <w:rPr>
          <w:noProof/>
        </w:rPr>
        <w:fldChar w:fldCharType="separate"/>
      </w:r>
      <w:r>
        <w:rPr>
          <w:noProof/>
        </w:rPr>
        <w:t>9</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Amending forms</w:t>
      </w:r>
      <w:r>
        <w:rPr>
          <w:noProof/>
        </w:rPr>
        <w:tab/>
      </w:r>
      <w:r>
        <w:rPr>
          <w:noProof/>
        </w:rPr>
        <w:fldChar w:fldCharType="begin"/>
      </w:r>
      <w:r>
        <w:rPr>
          <w:noProof/>
        </w:rPr>
        <w:instrText xml:space="preserve"> PAGEREF _Toc14677448 \h </w:instrText>
      </w:r>
      <w:r>
        <w:rPr>
          <w:noProof/>
        </w:rPr>
      </w:r>
      <w:r>
        <w:rPr>
          <w:noProof/>
        </w:rPr>
        <w:fldChar w:fldCharType="separate"/>
      </w:r>
      <w:r>
        <w:rPr>
          <w:noProof/>
        </w:rPr>
        <w:t>10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Textual amendments</w:t>
      </w:r>
      <w:r>
        <w:rPr>
          <w:noProof/>
        </w:rPr>
        <w:tab/>
      </w:r>
      <w:r>
        <w:rPr>
          <w:noProof/>
        </w:rPr>
        <w:fldChar w:fldCharType="begin"/>
      </w:r>
      <w:r>
        <w:rPr>
          <w:noProof/>
        </w:rPr>
        <w:instrText xml:space="preserve"> PAGEREF _Toc14677449 \h </w:instrText>
      </w:r>
      <w:r>
        <w:rPr>
          <w:noProof/>
        </w:rPr>
      </w:r>
      <w:r>
        <w:rPr>
          <w:noProof/>
        </w:rPr>
        <w:fldChar w:fldCharType="separate"/>
      </w:r>
      <w:r>
        <w:rPr>
          <w:noProof/>
        </w:rPr>
        <w:t>10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Definitions</w:t>
      </w:r>
      <w:r>
        <w:rPr>
          <w:noProof/>
        </w:rPr>
        <w:tab/>
      </w:r>
      <w:r>
        <w:rPr>
          <w:noProof/>
        </w:rPr>
        <w:tab/>
      </w:r>
      <w:r>
        <w:rPr>
          <w:noProof/>
        </w:rPr>
        <w:fldChar w:fldCharType="begin"/>
      </w:r>
      <w:r>
        <w:rPr>
          <w:noProof/>
        </w:rPr>
        <w:instrText xml:space="preserve"> PAGEREF _Toc14677450 \h </w:instrText>
      </w:r>
      <w:r>
        <w:rPr>
          <w:noProof/>
        </w:rPr>
      </w:r>
      <w:r>
        <w:rPr>
          <w:noProof/>
        </w:rPr>
        <w:fldChar w:fldCharType="separate"/>
      </w:r>
      <w:r>
        <w:rPr>
          <w:noProof/>
        </w:rPr>
        <w:t>11</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_Toc14677451 \h </w:instrText>
      </w:r>
      <w:r>
        <w:rPr>
          <w:noProof/>
        </w:rPr>
      </w:r>
      <w:r>
        <w:rPr>
          <w:noProof/>
        </w:rPr>
        <w:fldChar w:fldCharType="separate"/>
      </w:r>
      <w:r>
        <w:rPr>
          <w:noProof/>
        </w:rPr>
        <w:t>11</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Asterisking to identify defined terms</w:t>
      </w:r>
      <w:r>
        <w:rPr>
          <w:noProof/>
        </w:rPr>
        <w:tab/>
      </w:r>
      <w:r>
        <w:rPr>
          <w:noProof/>
        </w:rPr>
        <w:fldChar w:fldCharType="begin"/>
      </w:r>
      <w:r>
        <w:rPr>
          <w:noProof/>
        </w:rPr>
        <w:instrText xml:space="preserve"> PAGEREF _Toc14677452 \h </w:instrText>
      </w:r>
      <w:r>
        <w:rPr>
          <w:noProof/>
        </w:rPr>
      </w:r>
      <w:r>
        <w:rPr>
          <w:noProof/>
        </w:rPr>
        <w:fldChar w:fldCharType="separate"/>
      </w:r>
      <w:r>
        <w:rPr>
          <w:noProof/>
        </w:rPr>
        <w:t>11</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Units of text in Acts and instruments</w:t>
      </w:r>
      <w:r>
        <w:rPr>
          <w:noProof/>
        </w:rPr>
        <w:tab/>
      </w:r>
      <w:r>
        <w:rPr>
          <w:noProof/>
        </w:rPr>
        <w:fldChar w:fldCharType="begin"/>
      </w:r>
      <w:r>
        <w:rPr>
          <w:noProof/>
        </w:rPr>
        <w:instrText xml:space="preserve"> PAGEREF _Toc14677453 \h </w:instrText>
      </w:r>
      <w:r>
        <w:rPr>
          <w:noProof/>
        </w:rPr>
      </w:r>
      <w:r>
        <w:rPr>
          <w:noProof/>
        </w:rPr>
        <w:fldChar w:fldCharType="separate"/>
      </w:r>
      <w:r>
        <w:rPr>
          <w:noProof/>
        </w:rPr>
        <w:t>11</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Numbering and lettering</w:t>
      </w:r>
      <w:r>
        <w:rPr>
          <w:noProof/>
        </w:rPr>
        <w:tab/>
      </w:r>
      <w:r>
        <w:rPr>
          <w:noProof/>
        </w:rPr>
        <w:fldChar w:fldCharType="begin"/>
      </w:r>
      <w:r>
        <w:rPr>
          <w:noProof/>
        </w:rPr>
        <w:instrText xml:space="preserve"> PAGEREF _Toc14677454 \h </w:instrText>
      </w:r>
      <w:r>
        <w:rPr>
          <w:noProof/>
        </w:rPr>
      </w:r>
      <w:r>
        <w:rPr>
          <w:noProof/>
        </w:rPr>
        <w:fldChar w:fldCharType="separate"/>
      </w:r>
      <w:r>
        <w:rPr>
          <w:noProof/>
        </w:rPr>
        <w:t>12</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General</w:t>
      </w:r>
      <w:r>
        <w:rPr>
          <w:noProof/>
        </w:rPr>
        <w:tab/>
      </w:r>
      <w:r>
        <w:rPr>
          <w:noProof/>
        </w:rPr>
        <w:tab/>
      </w:r>
      <w:r>
        <w:rPr>
          <w:noProof/>
        </w:rPr>
        <w:fldChar w:fldCharType="begin"/>
      </w:r>
      <w:r>
        <w:rPr>
          <w:noProof/>
        </w:rPr>
        <w:instrText xml:space="preserve"> PAGEREF _Toc14677455 \h </w:instrText>
      </w:r>
      <w:r>
        <w:rPr>
          <w:noProof/>
        </w:rPr>
      </w:r>
      <w:r>
        <w:rPr>
          <w:noProof/>
        </w:rPr>
        <w:fldChar w:fldCharType="separate"/>
      </w:r>
      <w:r>
        <w:rPr>
          <w:noProof/>
        </w:rPr>
        <w:t>12</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Naming conventions</w:t>
      </w:r>
      <w:r>
        <w:rPr>
          <w:noProof/>
        </w:rPr>
        <w:tab/>
      </w:r>
      <w:r>
        <w:rPr>
          <w:noProof/>
        </w:rPr>
        <w:fldChar w:fldCharType="begin"/>
      </w:r>
      <w:r>
        <w:rPr>
          <w:noProof/>
        </w:rPr>
        <w:instrText xml:space="preserve"> PAGEREF _Toc14677456 \h </w:instrText>
      </w:r>
      <w:r>
        <w:rPr>
          <w:noProof/>
        </w:rPr>
      </w:r>
      <w:r>
        <w:rPr>
          <w:noProof/>
        </w:rPr>
        <w:fldChar w:fldCharType="separate"/>
      </w:r>
      <w:r>
        <w:rPr>
          <w:noProof/>
        </w:rPr>
        <w:t>12</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Application provisions</w:t>
      </w:r>
      <w:r>
        <w:rPr>
          <w:noProof/>
        </w:rPr>
        <w:tab/>
      </w:r>
      <w:r>
        <w:rPr>
          <w:noProof/>
        </w:rPr>
        <w:fldChar w:fldCharType="begin"/>
      </w:r>
      <w:r>
        <w:rPr>
          <w:noProof/>
        </w:rPr>
        <w:instrText xml:space="preserve"> PAGEREF _Toc14677457 \h </w:instrText>
      </w:r>
      <w:r>
        <w:rPr>
          <w:noProof/>
        </w:rPr>
      </w:r>
      <w:r>
        <w:rPr>
          <w:noProof/>
        </w:rPr>
        <w:fldChar w:fldCharType="separate"/>
      </w:r>
      <w:r>
        <w:rPr>
          <w:noProof/>
        </w:rPr>
        <w:t>12</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Transitional provisions</w:t>
      </w:r>
      <w:r>
        <w:rPr>
          <w:noProof/>
        </w:rPr>
        <w:tab/>
      </w:r>
      <w:r>
        <w:rPr>
          <w:noProof/>
        </w:rPr>
        <w:fldChar w:fldCharType="begin"/>
      </w:r>
      <w:r>
        <w:rPr>
          <w:noProof/>
        </w:rPr>
        <w:instrText xml:space="preserve"> PAGEREF _Toc14677458 \h </w:instrText>
      </w:r>
      <w:r>
        <w:rPr>
          <w:noProof/>
        </w:rPr>
      </w:r>
      <w:r>
        <w:rPr>
          <w:noProof/>
        </w:rPr>
        <w:fldChar w:fldCharType="separate"/>
      </w:r>
      <w:r>
        <w:rPr>
          <w:noProof/>
        </w:rPr>
        <w:t>12</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Legislation with special formats and rules</w:t>
      </w:r>
      <w:r>
        <w:rPr>
          <w:noProof/>
        </w:rPr>
        <w:tab/>
      </w:r>
      <w:r>
        <w:rPr>
          <w:noProof/>
        </w:rPr>
        <w:fldChar w:fldCharType="begin"/>
      </w:r>
      <w:r>
        <w:rPr>
          <w:noProof/>
        </w:rPr>
        <w:instrText xml:space="preserve"> PAGEREF _Toc14677459 \h </w:instrText>
      </w:r>
      <w:r>
        <w:rPr>
          <w:noProof/>
        </w:rPr>
      </w:r>
      <w:r>
        <w:rPr>
          <w:noProof/>
        </w:rPr>
        <w:fldChar w:fldCharType="separate"/>
      </w:r>
      <w:r>
        <w:rPr>
          <w:noProof/>
        </w:rPr>
        <w:t>13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Tax Code Bills</w:t>
      </w:r>
      <w:r>
        <w:rPr>
          <w:noProof/>
        </w:rPr>
        <w:tab/>
      </w:r>
      <w:r>
        <w:rPr>
          <w:noProof/>
        </w:rPr>
        <w:fldChar w:fldCharType="begin"/>
      </w:r>
      <w:r>
        <w:rPr>
          <w:noProof/>
        </w:rPr>
        <w:instrText xml:space="preserve"> PAGEREF _Toc14677460 \h </w:instrText>
      </w:r>
      <w:r>
        <w:rPr>
          <w:noProof/>
        </w:rPr>
      </w:r>
      <w:r>
        <w:rPr>
          <w:noProof/>
        </w:rPr>
        <w:fldChar w:fldCharType="separate"/>
      </w:r>
      <w:r>
        <w:rPr>
          <w:noProof/>
        </w:rPr>
        <w:t>13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Social Security Bills</w:t>
      </w:r>
      <w:r>
        <w:rPr>
          <w:noProof/>
        </w:rPr>
        <w:tab/>
      </w:r>
      <w:r>
        <w:rPr>
          <w:noProof/>
        </w:rPr>
        <w:fldChar w:fldCharType="begin"/>
      </w:r>
      <w:r>
        <w:rPr>
          <w:noProof/>
        </w:rPr>
        <w:instrText xml:space="preserve"> PAGEREF _Toc14677461 \h </w:instrText>
      </w:r>
      <w:r>
        <w:rPr>
          <w:noProof/>
        </w:rPr>
      </w:r>
      <w:r>
        <w:rPr>
          <w:noProof/>
        </w:rPr>
        <w:fldChar w:fldCharType="separate"/>
      </w:r>
      <w:r>
        <w:rPr>
          <w:noProof/>
        </w:rPr>
        <w:t>13</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Plain English and plain language</w:t>
      </w:r>
      <w:r>
        <w:rPr>
          <w:noProof/>
        </w:rPr>
        <w:tab/>
      </w:r>
      <w:r>
        <w:rPr>
          <w:noProof/>
        </w:rPr>
        <w:fldChar w:fldCharType="begin"/>
      </w:r>
      <w:r>
        <w:rPr>
          <w:noProof/>
        </w:rPr>
        <w:instrText xml:space="preserve"> PAGEREF _Toc14677462 \h </w:instrText>
      </w:r>
      <w:r>
        <w:rPr>
          <w:noProof/>
        </w:rPr>
      </w:r>
      <w:r>
        <w:rPr>
          <w:noProof/>
        </w:rPr>
        <w:fldChar w:fldCharType="separate"/>
      </w:r>
      <w:r>
        <w:rPr>
          <w:noProof/>
        </w:rPr>
        <w:t>13</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lastRenderedPageBreak/>
        <w:t>Macquarie Dictionary and the Style Manual</w:t>
      </w:r>
      <w:r>
        <w:rPr>
          <w:noProof/>
        </w:rPr>
        <w:tab/>
      </w:r>
      <w:r>
        <w:rPr>
          <w:noProof/>
        </w:rPr>
        <w:fldChar w:fldCharType="begin"/>
      </w:r>
      <w:r>
        <w:rPr>
          <w:noProof/>
        </w:rPr>
        <w:instrText xml:space="preserve"> PAGEREF _Toc14677463 \h </w:instrText>
      </w:r>
      <w:r>
        <w:rPr>
          <w:noProof/>
        </w:rPr>
      </w:r>
      <w:r>
        <w:rPr>
          <w:noProof/>
        </w:rPr>
        <w:fldChar w:fldCharType="separate"/>
      </w:r>
      <w:r>
        <w:rPr>
          <w:noProof/>
        </w:rPr>
        <w:t>13</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Gender</w:t>
      </w:r>
      <w:r>
        <w:rPr>
          <w:noProof/>
        </w:rPr>
        <w:noBreakHyphen/>
        <w:t>neutral language</w:t>
      </w:r>
      <w:r>
        <w:rPr>
          <w:noProof/>
        </w:rPr>
        <w:tab/>
      </w:r>
      <w:r>
        <w:rPr>
          <w:noProof/>
        </w:rPr>
        <w:fldChar w:fldCharType="begin"/>
      </w:r>
      <w:r>
        <w:rPr>
          <w:noProof/>
        </w:rPr>
        <w:instrText xml:space="preserve"> PAGEREF _Toc14677464 \h </w:instrText>
      </w:r>
      <w:r>
        <w:rPr>
          <w:noProof/>
        </w:rPr>
      </w:r>
      <w:r>
        <w:rPr>
          <w:noProof/>
        </w:rPr>
        <w:fldChar w:fldCharType="separate"/>
      </w:r>
      <w:r>
        <w:rPr>
          <w:noProof/>
        </w:rPr>
        <w:t>14</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Use of various expressions in legislation</w:t>
      </w:r>
      <w:r>
        <w:rPr>
          <w:noProof/>
        </w:rPr>
        <w:tab/>
      </w:r>
      <w:r>
        <w:rPr>
          <w:noProof/>
        </w:rPr>
        <w:fldChar w:fldCharType="begin"/>
      </w:r>
      <w:r>
        <w:rPr>
          <w:noProof/>
        </w:rPr>
        <w:instrText xml:space="preserve"> PAGEREF _Toc14677465 \h </w:instrText>
      </w:r>
      <w:r>
        <w:rPr>
          <w:noProof/>
        </w:rPr>
      </w:r>
      <w:r>
        <w:rPr>
          <w:noProof/>
        </w:rPr>
        <w:fldChar w:fldCharType="separate"/>
      </w:r>
      <w:r>
        <w:rPr>
          <w:noProof/>
        </w:rPr>
        <w:t>14</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Constitutional law</w:t>
      </w:r>
      <w:r>
        <w:rPr>
          <w:noProof/>
        </w:rPr>
        <w:tab/>
      </w:r>
      <w:r>
        <w:rPr>
          <w:noProof/>
        </w:rPr>
        <w:fldChar w:fldCharType="begin"/>
      </w:r>
      <w:r>
        <w:rPr>
          <w:noProof/>
        </w:rPr>
        <w:instrText xml:space="preserve"> PAGEREF _Toc14677466 \h </w:instrText>
      </w:r>
      <w:r>
        <w:rPr>
          <w:noProof/>
        </w:rPr>
      </w:r>
      <w:r>
        <w:rPr>
          <w:noProof/>
        </w:rPr>
        <w:fldChar w:fldCharType="separate"/>
      </w:r>
      <w:r>
        <w:rPr>
          <w:noProof/>
        </w:rPr>
        <w:t>14</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Taxation</w:t>
      </w:r>
      <w:r>
        <w:rPr>
          <w:noProof/>
        </w:rPr>
        <w:tab/>
      </w:r>
      <w:r>
        <w:rPr>
          <w:noProof/>
        </w:rPr>
        <w:tab/>
      </w:r>
      <w:r>
        <w:rPr>
          <w:noProof/>
        </w:rPr>
        <w:fldChar w:fldCharType="begin"/>
      </w:r>
      <w:r>
        <w:rPr>
          <w:noProof/>
        </w:rPr>
        <w:instrText xml:space="preserve"> PAGEREF _Toc14677467 \h </w:instrText>
      </w:r>
      <w:r>
        <w:rPr>
          <w:noProof/>
        </w:rPr>
      </w:r>
      <w:r>
        <w:rPr>
          <w:noProof/>
        </w:rPr>
        <w:fldChar w:fldCharType="separate"/>
      </w:r>
      <w:r>
        <w:rPr>
          <w:noProof/>
        </w:rPr>
        <w:t>15</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Application of legislation in relation to various maritime and external areas</w:t>
      </w:r>
      <w:r>
        <w:rPr>
          <w:noProof/>
        </w:rPr>
        <w:tab/>
      </w:r>
      <w:r>
        <w:rPr>
          <w:noProof/>
        </w:rPr>
        <w:fldChar w:fldCharType="begin"/>
      </w:r>
      <w:r>
        <w:rPr>
          <w:noProof/>
        </w:rPr>
        <w:instrText xml:space="preserve"> PAGEREF _Toc14677468 \h </w:instrText>
      </w:r>
      <w:r>
        <w:rPr>
          <w:noProof/>
        </w:rPr>
      </w:r>
      <w:r>
        <w:rPr>
          <w:noProof/>
        </w:rPr>
        <w:fldChar w:fldCharType="separate"/>
      </w:r>
      <w:r>
        <w:rPr>
          <w:noProof/>
        </w:rPr>
        <w:t>15</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Exercise of powers etc. (including by Governor</w:t>
      </w:r>
      <w:r>
        <w:rPr>
          <w:noProof/>
        </w:rPr>
        <w:noBreakHyphen/>
        <w:t>General)</w:t>
      </w:r>
      <w:r>
        <w:rPr>
          <w:noProof/>
        </w:rPr>
        <w:tab/>
      </w:r>
      <w:r>
        <w:rPr>
          <w:noProof/>
        </w:rPr>
        <w:fldChar w:fldCharType="begin"/>
      </w:r>
      <w:r>
        <w:rPr>
          <w:noProof/>
        </w:rPr>
        <w:instrText xml:space="preserve"> PAGEREF _Toc14677469 \h </w:instrText>
      </w:r>
      <w:r>
        <w:rPr>
          <w:noProof/>
        </w:rPr>
      </w:r>
      <w:r>
        <w:rPr>
          <w:noProof/>
        </w:rPr>
        <w:fldChar w:fldCharType="separate"/>
      </w:r>
      <w:r>
        <w:rPr>
          <w:noProof/>
        </w:rPr>
        <w:t>15</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Offences, penalties, self</w:t>
      </w:r>
      <w:r>
        <w:rPr>
          <w:noProof/>
        </w:rPr>
        <w:noBreakHyphen/>
        <w:t>incrimination, secrecy provisions and enforcement powers</w:t>
      </w:r>
      <w:r>
        <w:rPr>
          <w:noProof/>
        </w:rPr>
        <w:tab/>
      </w:r>
      <w:r>
        <w:rPr>
          <w:noProof/>
        </w:rPr>
        <w:fldChar w:fldCharType="begin"/>
      </w:r>
      <w:r>
        <w:rPr>
          <w:noProof/>
        </w:rPr>
        <w:instrText xml:space="preserve"> PAGEREF _Toc14677470 \h </w:instrText>
      </w:r>
      <w:r>
        <w:rPr>
          <w:noProof/>
        </w:rPr>
      </w:r>
      <w:r>
        <w:rPr>
          <w:noProof/>
        </w:rPr>
        <w:fldChar w:fldCharType="separate"/>
      </w:r>
      <w:r>
        <w:rPr>
          <w:noProof/>
        </w:rPr>
        <w:t>16</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Statutory authorities</w:t>
      </w:r>
      <w:r>
        <w:rPr>
          <w:noProof/>
        </w:rPr>
        <w:tab/>
      </w:r>
      <w:r>
        <w:rPr>
          <w:noProof/>
        </w:rPr>
        <w:fldChar w:fldCharType="begin"/>
      </w:r>
      <w:r>
        <w:rPr>
          <w:noProof/>
        </w:rPr>
        <w:instrText xml:space="preserve"> PAGEREF _Toc14677471 \h </w:instrText>
      </w:r>
      <w:r>
        <w:rPr>
          <w:noProof/>
        </w:rPr>
      </w:r>
      <w:r>
        <w:rPr>
          <w:noProof/>
        </w:rPr>
        <w:fldChar w:fldCharType="separate"/>
      </w:r>
      <w:r>
        <w:rPr>
          <w:noProof/>
        </w:rPr>
        <w:t>17</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Tribunals and other administrative bodies</w:t>
      </w:r>
      <w:r>
        <w:rPr>
          <w:noProof/>
        </w:rPr>
        <w:tab/>
      </w:r>
      <w:r>
        <w:rPr>
          <w:noProof/>
        </w:rPr>
        <w:fldChar w:fldCharType="begin"/>
      </w:r>
      <w:r>
        <w:rPr>
          <w:noProof/>
        </w:rPr>
        <w:instrText xml:space="preserve"> PAGEREF _Toc14677472 \h </w:instrText>
      </w:r>
      <w:r>
        <w:rPr>
          <w:noProof/>
        </w:rPr>
      </w:r>
      <w:r>
        <w:rPr>
          <w:noProof/>
        </w:rPr>
        <w:fldChar w:fldCharType="separate"/>
      </w:r>
      <w:r>
        <w:rPr>
          <w:noProof/>
        </w:rPr>
        <w:t>17</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Subordinate instruments</w:t>
      </w:r>
      <w:r>
        <w:rPr>
          <w:noProof/>
        </w:rPr>
        <w:tab/>
      </w:r>
      <w:r>
        <w:rPr>
          <w:noProof/>
        </w:rPr>
        <w:fldChar w:fldCharType="begin"/>
      </w:r>
      <w:r>
        <w:rPr>
          <w:noProof/>
        </w:rPr>
        <w:instrText xml:space="preserve"> PAGEREF _Toc14677473 \h </w:instrText>
      </w:r>
      <w:r>
        <w:rPr>
          <w:noProof/>
        </w:rPr>
      </w:r>
      <w:r>
        <w:rPr>
          <w:noProof/>
        </w:rPr>
        <w:fldChar w:fldCharType="separate"/>
      </w:r>
      <w:r>
        <w:rPr>
          <w:noProof/>
        </w:rPr>
        <w:t>17</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Evidence and proof (including oaths and affirmations)</w:t>
      </w:r>
      <w:r>
        <w:rPr>
          <w:noProof/>
        </w:rPr>
        <w:tab/>
      </w:r>
      <w:r>
        <w:rPr>
          <w:noProof/>
        </w:rPr>
        <w:fldChar w:fldCharType="begin"/>
      </w:r>
      <w:r>
        <w:rPr>
          <w:noProof/>
        </w:rPr>
        <w:instrText xml:space="preserve"> PAGEREF _Toc14677474 \h </w:instrText>
      </w:r>
      <w:r>
        <w:rPr>
          <w:noProof/>
        </w:rPr>
      </w:r>
      <w:r>
        <w:rPr>
          <w:noProof/>
        </w:rPr>
        <w:fldChar w:fldCharType="separate"/>
      </w:r>
      <w:r>
        <w:rPr>
          <w:noProof/>
        </w:rPr>
        <w:t>18</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Australian governments or jurisdictions</w:t>
      </w:r>
      <w:r>
        <w:rPr>
          <w:noProof/>
        </w:rPr>
        <w:tab/>
      </w:r>
      <w:r>
        <w:rPr>
          <w:noProof/>
        </w:rPr>
        <w:fldChar w:fldCharType="begin"/>
      </w:r>
      <w:r>
        <w:rPr>
          <w:noProof/>
        </w:rPr>
        <w:instrText xml:space="preserve"> PAGEREF _Toc14677475 \h </w:instrText>
      </w:r>
      <w:r>
        <w:rPr>
          <w:noProof/>
        </w:rPr>
      </w:r>
      <w:r>
        <w:rPr>
          <w:noProof/>
        </w:rPr>
        <w:fldChar w:fldCharType="separate"/>
      </w:r>
      <w:r>
        <w:rPr>
          <w:noProof/>
        </w:rPr>
        <w:t>18</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Commonwealth agreements (including treaties and conventions etc.)</w:t>
      </w:r>
      <w:r>
        <w:rPr>
          <w:noProof/>
        </w:rPr>
        <w:tab/>
      </w:r>
      <w:r>
        <w:rPr>
          <w:noProof/>
        </w:rPr>
        <w:fldChar w:fldCharType="begin"/>
      </w:r>
      <w:r>
        <w:rPr>
          <w:noProof/>
        </w:rPr>
        <w:instrText xml:space="preserve"> PAGEREF _Toc14677476 \h </w:instrText>
      </w:r>
      <w:r>
        <w:rPr>
          <w:noProof/>
        </w:rPr>
      </w:r>
      <w:r>
        <w:rPr>
          <w:noProof/>
        </w:rPr>
        <w:fldChar w:fldCharType="separate"/>
      </w:r>
      <w:r>
        <w:rPr>
          <w:noProof/>
        </w:rPr>
        <w:t>18</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Appropriations and public money</w:t>
      </w:r>
      <w:r>
        <w:rPr>
          <w:noProof/>
        </w:rPr>
        <w:tab/>
      </w:r>
      <w:r>
        <w:rPr>
          <w:noProof/>
        </w:rPr>
        <w:fldChar w:fldCharType="begin"/>
      </w:r>
      <w:r>
        <w:rPr>
          <w:noProof/>
        </w:rPr>
        <w:instrText xml:space="preserve"> PAGEREF _Toc14677477 \h </w:instrText>
      </w:r>
      <w:r>
        <w:rPr>
          <w:noProof/>
        </w:rPr>
      </w:r>
      <w:r>
        <w:rPr>
          <w:noProof/>
        </w:rPr>
        <w:fldChar w:fldCharType="separate"/>
      </w:r>
      <w:r>
        <w:rPr>
          <w:noProof/>
        </w:rPr>
        <w:t>19</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Explanatory material</w:t>
      </w:r>
      <w:r>
        <w:rPr>
          <w:noProof/>
        </w:rPr>
        <w:tab/>
      </w:r>
      <w:r>
        <w:rPr>
          <w:noProof/>
        </w:rPr>
        <w:fldChar w:fldCharType="begin"/>
      </w:r>
      <w:r>
        <w:rPr>
          <w:noProof/>
        </w:rPr>
        <w:instrText xml:space="preserve"> PAGEREF _Toc14677478 \h </w:instrText>
      </w:r>
      <w:r>
        <w:rPr>
          <w:noProof/>
        </w:rPr>
      </w:r>
      <w:r>
        <w:rPr>
          <w:noProof/>
        </w:rPr>
        <w:fldChar w:fldCharType="separate"/>
      </w:r>
      <w:r>
        <w:rPr>
          <w:noProof/>
        </w:rPr>
        <w:t>19</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Introduction</w:t>
      </w:r>
      <w:r>
        <w:rPr>
          <w:noProof/>
        </w:rPr>
        <w:tab/>
      </w:r>
      <w:r>
        <w:rPr>
          <w:noProof/>
        </w:rPr>
        <w:tab/>
      </w:r>
      <w:r>
        <w:rPr>
          <w:noProof/>
        </w:rPr>
        <w:fldChar w:fldCharType="begin"/>
      </w:r>
      <w:r>
        <w:rPr>
          <w:noProof/>
        </w:rPr>
        <w:instrText xml:space="preserve"> PAGEREF _Toc14677479 \h </w:instrText>
      </w:r>
      <w:r>
        <w:rPr>
          <w:noProof/>
        </w:rPr>
      </w:r>
      <w:r>
        <w:rPr>
          <w:noProof/>
        </w:rPr>
        <w:fldChar w:fldCharType="separate"/>
      </w:r>
      <w:r>
        <w:rPr>
          <w:noProof/>
        </w:rPr>
        <w:t>20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Manuals</w:t>
      </w:r>
      <w:r>
        <w:rPr>
          <w:noProof/>
        </w:rPr>
        <w:tab/>
      </w:r>
      <w:r>
        <w:rPr>
          <w:noProof/>
        </w:rPr>
        <w:tab/>
      </w:r>
      <w:r>
        <w:rPr>
          <w:noProof/>
        </w:rPr>
        <w:fldChar w:fldCharType="begin"/>
      </w:r>
      <w:r>
        <w:rPr>
          <w:noProof/>
        </w:rPr>
        <w:instrText xml:space="preserve"> PAGEREF _Toc14677480 \h </w:instrText>
      </w:r>
      <w:r>
        <w:rPr>
          <w:noProof/>
        </w:rPr>
      </w:r>
      <w:r>
        <w:rPr>
          <w:noProof/>
        </w:rPr>
        <w:fldChar w:fldCharType="separate"/>
      </w:r>
      <w:r>
        <w:rPr>
          <w:noProof/>
        </w:rPr>
        <w:t>20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Office Procedural Circulars</w:t>
      </w:r>
      <w:r>
        <w:rPr>
          <w:noProof/>
        </w:rPr>
        <w:tab/>
      </w:r>
      <w:r>
        <w:rPr>
          <w:noProof/>
        </w:rPr>
        <w:fldChar w:fldCharType="begin"/>
      </w:r>
      <w:r>
        <w:rPr>
          <w:noProof/>
        </w:rPr>
        <w:instrText xml:space="preserve"> PAGEREF _Toc14677481 \h </w:instrText>
      </w:r>
      <w:r>
        <w:rPr>
          <w:noProof/>
        </w:rPr>
      </w:r>
      <w:r>
        <w:rPr>
          <w:noProof/>
        </w:rPr>
        <w:fldChar w:fldCharType="separate"/>
      </w:r>
      <w:r>
        <w:rPr>
          <w:noProof/>
        </w:rPr>
        <w:t>20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Information Technology Circulars and Word Notes</w:t>
      </w:r>
      <w:r>
        <w:rPr>
          <w:noProof/>
        </w:rPr>
        <w:tab/>
      </w:r>
      <w:r>
        <w:rPr>
          <w:noProof/>
        </w:rPr>
        <w:fldChar w:fldCharType="begin"/>
      </w:r>
      <w:r>
        <w:rPr>
          <w:noProof/>
        </w:rPr>
        <w:instrText xml:space="preserve"> PAGEREF _Toc14677482 \h </w:instrText>
      </w:r>
      <w:r>
        <w:rPr>
          <w:noProof/>
        </w:rPr>
      </w:r>
      <w:r>
        <w:rPr>
          <w:noProof/>
        </w:rPr>
        <w:fldChar w:fldCharType="separate"/>
      </w:r>
      <w:r>
        <w:rPr>
          <w:noProof/>
        </w:rPr>
        <w:t>20</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Procedural matters covered by Drafting Directions</w:t>
      </w:r>
      <w:r>
        <w:rPr>
          <w:noProof/>
        </w:rPr>
        <w:tab/>
      </w:r>
      <w:r>
        <w:rPr>
          <w:noProof/>
        </w:rPr>
        <w:fldChar w:fldCharType="begin"/>
      </w:r>
      <w:r>
        <w:rPr>
          <w:noProof/>
        </w:rPr>
        <w:instrText xml:space="preserve"> PAGEREF _Toc14677483 \h </w:instrText>
      </w:r>
      <w:r>
        <w:rPr>
          <w:noProof/>
        </w:rPr>
      </w:r>
      <w:r>
        <w:rPr>
          <w:noProof/>
        </w:rPr>
        <w:fldChar w:fldCharType="separate"/>
      </w:r>
      <w:r>
        <w:rPr>
          <w:noProof/>
        </w:rPr>
        <w:t>21</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_Toc14677484 \h </w:instrText>
      </w:r>
      <w:r>
        <w:rPr>
          <w:noProof/>
        </w:rPr>
      </w:r>
      <w:r>
        <w:rPr>
          <w:noProof/>
        </w:rPr>
        <w:fldChar w:fldCharType="separate"/>
      </w:r>
      <w:r>
        <w:rPr>
          <w:noProof/>
        </w:rPr>
        <w:t>21</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Relationships with instructors</w:t>
      </w:r>
      <w:r>
        <w:rPr>
          <w:noProof/>
        </w:rPr>
        <w:tab/>
      </w:r>
      <w:r>
        <w:rPr>
          <w:noProof/>
        </w:rPr>
        <w:fldChar w:fldCharType="begin"/>
      </w:r>
      <w:r>
        <w:rPr>
          <w:noProof/>
        </w:rPr>
        <w:instrText xml:space="preserve"> PAGEREF _Toc14677485 \h </w:instrText>
      </w:r>
      <w:r>
        <w:rPr>
          <w:noProof/>
        </w:rPr>
      </w:r>
      <w:r>
        <w:rPr>
          <w:noProof/>
        </w:rPr>
        <w:fldChar w:fldCharType="separate"/>
      </w:r>
      <w:r>
        <w:rPr>
          <w:noProof/>
        </w:rPr>
        <w:t>21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Who is our “client”</w:t>
      </w:r>
      <w:r>
        <w:rPr>
          <w:noProof/>
        </w:rPr>
        <w:tab/>
      </w:r>
      <w:r>
        <w:rPr>
          <w:noProof/>
        </w:rPr>
        <w:fldChar w:fldCharType="begin"/>
      </w:r>
      <w:r>
        <w:rPr>
          <w:noProof/>
        </w:rPr>
        <w:instrText xml:space="preserve"> PAGEREF _Toc14677486 \h </w:instrText>
      </w:r>
      <w:r>
        <w:rPr>
          <w:noProof/>
        </w:rPr>
      </w:r>
      <w:r>
        <w:rPr>
          <w:noProof/>
        </w:rPr>
        <w:fldChar w:fldCharType="separate"/>
      </w:r>
      <w:r>
        <w:rPr>
          <w:noProof/>
        </w:rPr>
        <w:t>21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Bills and instruments with multiple “instructors”</w:t>
      </w:r>
      <w:r>
        <w:rPr>
          <w:noProof/>
        </w:rPr>
        <w:tab/>
      </w:r>
      <w:r>
        <w:rPr>
          <w:noProof/>
        </w:rPr>
        <w:fldChar w:fldCharType="begin"/>
      </w:r>
      <w:r>
        <w:rPr>
          <w:noProof/>
        </w:rPr>
        <w:instrText xml:space="preserve"> PAGEREF _Toc14677487 \h </w:instrText>
      </w:r>
      <w:r>
        <w:rPr>
          <w:noProof/>
        </w:rPr>
      </w:r>
      <w:r>
        <w:rPr>
          <w:noProof/>
        </w:rPr>
        <w:fldChar w:fldCharType="separate"/>
      </w:r>
      <w:r>
        <w:rPr>
          <w:noProof/>
        </w:rPr>
        <w:t>21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Location of meetings</w:t>
      </w:r>
      <w:r>
        <w:rPr>
          <w:noProof/>
        </w:rPr>
        <w:tab/>
      </w:r>
      <w:r>
        <w:rPr>
          <w:noProof/>
        </w:rPr>
        <w:fldChar w:fldCharType="begin"/>
      </w:r>
      <w:r>
        <w:rPr>
          <w:noProof/>
        </w:rPr>
        <w:instrText xml:space="preserve"> PAGEREF _Toc14677488 \h </w:instrText>
      </w:r>
      <w:r>
        <w:rPr>
          <w:noProof/>
        </w:rPr>
      </w:r>
      <w:r>
        <w:rPr>
          <w:noProof/>
        </w:rPr>
        <w:fldChar w:fldCharType="separate"/>
      </w:r>
      <w:r>
        <w:rPr>
          <w:noProof/>
        </w:rPr>
        <w:t>22</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Other matters</w:t>
      </w:r>
      <w:r>
        <w:rPr>
          <w:noProof/>
        </w:rPr>
        <w:tab/>
      </w:r>
      <w:r>
        <w:rPr>
          <w:noProof/>
        </w:rPr>
        <w:tab/>
      </w:r>
      <w:r>
        <w:rPr>
          <w:noProof/>
        </w:rPr>
        <w:fldChar w:fldCharType="begin"/>
      </w:r>
      <w:r>
        <w:rPr>
          <w:noProof/>
        </w:rPr>
        <w:instrText xml:space="preserve"> PAGEREF _Toc14677489 \h </w:instrText>
      </w:r>
      <w:r>
        <w:rPr>
          <w:noProof/>
        </w:rPr>
      </w:r>
      <w:r>
        <w:rPr>
          <w:noProof/>
        </w:rPr>
        <w:fldChar w:fldCharType="separate"/>
      </w:r>
      <w:r>
        <w:rPr>
          <w:noProof/>
        </w:rPr>
        <w:t>22</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lastRenderedPageBreak/>
        <w:t>Referral of legislation to other agencies</w:t>
      </w:r>
      <w:r>
        <w:rPr>
          <w:noProof/>
        </w:rPr>
        <w:tab/>
      </w:r>
      <w:r>
        <w:rPr>
          <w:noProof/>
        </w:rPr>
        <w:fldChar w:fldCharType="begin"/>
      </w:r>
      <w:r>
        <w:rPr>
          <w:noProof/>
        </w:rPr>
        <w:instrText xml:space="preserve"> PAGEREF _Toc14677490 \h </w:instrText>
      </w:r>
      <w:r>
        <w:rPr>
          <w:noProof/>
        </w:rPr>
      </w:r>
      <w:r>
        <w:rPr>
          <w:noProof/>
        </w:rPr>
        <w:fldChar w:fldCharType="separate"/>
      </w:r>
      <w:r>
        <w:rPr>
          <w:noProof/>
        </w:rPr>
        <w:t>22</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Consultation with States and Territories under an intergovernmental agreement</w:t>
      </w:r>
      <w:r>
        <w:rPr>
          <w:noProof/>
        </w:rPr>
        <w:tab/>
      </w:r>
      <w:r>
        <w:rPr>
          <w:noProof/>
        </w:rPr>
        <w:fldChar w:fldCharType="begin"/>
      </w:r>
      <w:r>
        <w:rPr>
          <w:noProof/>
        </w:rPr>
        <w:instrText xml:space="preserve"> PAGEREF _Toc14677491 \h </w:instrText>
      </w:r>
      <w:r>
        <w:rPr>
          <w:noProof/>
        </w:rPr>
      </w:r>
      <w:r>
        <w:rPr>
          <w:noProof/>
        </w:rPr>
        <w:fldChar w:fldCharType="separate"/>
      </w:r>
      <w:r>
        <w:rPr>
          <w:noProof/>
        </w:rPr>
        <w:t>22</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Statute law revision amendments and technical errors in Bills and instruments</w:t>
      </w:r>
      <w:r>
        <w:rPr>
          <w:noProof/>
        </w:rPr>
        <w:tab/>
      </w:r>
      <w:r>
        <w:rPr>
          <w:noProof/>
        </w:rPr>
        <w:fldChar w:fldCharType="begin"/>
      </w:r>
      <w:r>
        <w:rPr>
          <w:noProof/>
        </w:rPr>
        <w:instrText xml:space="preserve"> PAGEREF _Toc14677492 \h </w:instrText>
      </w:r>
      <w:r>
        <w:rPr>
          <w:noProof/>
        </w:rPr>
      </w:r>
      <w:r>
        <w:rPr>
          <w:noProof/>
        </w:rPr>
        <w:fldChar w:fldCharType="separate"/>
      </w:r>
      <w:r>
        <w:rPr>
          <w:noProof/>
        </w:rPr>
        <w:t>23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Australian Government Solicitor advice</w:t>
      </w:r>
      <w:r>
        <w:rPr>
          <w:noProof/>
        </w:rPr>
        <w:tab/>
      </w:r>
      <w:r>
        <w:rPr>
          <w:noProof/>
        </w:rPr>
        <w:fldChar w:fldCharType="begin"/>
      </w:r>
      <w:r>
        <w:rPr>
          <w:noProof/>
        </w:rPr>
        <w:instrText xml:space="preserve"> PAGEREF _Toc14677493 \h </w:instrText>
      </w:r>
      <w:r>
        <w:rPr>
          <w:noProof/>
        </w:rPr>
      </w:r>
      <w:r>
        <w:rPr>
          <w:noProof/>
        </w:rPr>
        <w:fldChar w:fldCharType="separate"/>
      </w:r>
      <w:r>
        <w:rPr>
          <w:noProof/>
        </w:rPr>
        <w:t>23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Legislation Approval Process for Bills and parliamentary amendments</w:t>
      </w:r>
      <w:r>
        <w:rPr>
          <w:noProof/>
        </w:rPr>
        <w:tab/>
      </w:r>
      <w:r>
        <w:rPr>
          <w:noProof/>
        </w:rPr>
        <w:fldChar w:fldCharType="begin"/>
      </w:r>
      <w:r>
        <w:rPr>
          <w:noProof/>
        </w:rPr>
        <w:instrText xml:space="preserve"> PAGEREF _Toc14677494 \h </w:instrText>
      </w:r>
      <w:r>
        <w:rPr>
          <w:noProof/>
        </w:rPr>
      </w:r>
      <w:r>
        <w:rPr>
          <w:noProof/>
        </w:rPr>
        <w:fldChar w:fldCharType="separate"/>
      </w:r>
      <w:r>
        <w:rPr>
          <w:noProof/>
        </w:rPr>
        <w:t>24</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House of introduction</w:t>
      </w:r>
      <w:r>
        <w:rPr>
          <w:noProof/>
        </w:rPr>
        <w:tab/>
      </w:r>
      <w:r>
        <w:rPr>
          <w:noProof/>
        </w:rPr>
        <w:fldChar w:fldCharType="begin"/>
      </w:r>
      <w:r>
        <w:rPr>
          <w:noProof/>
        </w:rPr>
        <w:instrText xml:space="preserve"> PAGEREF _Toc14677495 \h </w:instrText>
      </w:r>
      <w:r>
        <w:rPr>
          <w:noProof/>
        </w:rPr>
      </w:r>
      <w:r>
        <w:rPr>
          <w:noProof/>
        </w:rPr>
        <w:fldChar w:fldCharType="separate"/>
      </w:r>
      <w:r>
        <w:rPr>
          <w:noProof/>
        </w:rPr>
        <w:t>25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Deputy Speaker’s and Chair’s amendments</w:t>
      </w:r>
      <w:r>
        <w:rPr>
          <w:noProof/>
        </w:rPr>
        <w:tab/>
      </w:r>
      <w:r>
        <w:rPr>
          <w:noProof/>
        </w:rPr>
        <w:fldChar w:fldCharType="begin"/>
      </w:r>
      <w:r>
        <w:rPr>
          <w:noProof/>
        </w:rPr>
        <w:instrText xml:space="preserve"> PAGEREF _Toc14677496 \h </w:instrText>
      </w:r>
      <w:r>
        <w:rPr>
          <w:noProof/>
        </w:rPr>
      </w:r>
      <w:r>
        <w:rPr>
          <w:noProof/>
        </w:rPr>
        <w:fldChar w:fldCharType="separate"/>
      </w:r>
      <w:r>
        <w:rPr>
          <w:noProof/>
        </w:rPr>
        <w:t>25</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Parliamentary amendments—procedural matters</w:t>
      </w:r>
      <w:r>
        <w:rPr>
          <w:noProof/>
        </w:rPr>
        <w:tab/>
      </w:r>
      <w:r>
        <w:rPr>
          <w:noProof/>
        </w:rPr>
        <w:fldChar w:fldCharType="begin"/>
      </w:r>
      <w:r>
        <w:rPr>
          <w:noProof/>
        </w:rPr>
        <w:instrText xml:space="preserve"> PAGEREF _Toc14677497 \h </w:instrText>
      </w:r>
      <w:r>
        <w:rPr>
          <w:noProof/>
        </w:rPr>
      </w:r>
      <w:r>
        <w:rPr>
          <w:noProof/>
        </w:rPr>
        <w:fldChar w:fldCharType="separate"/>
      </w:r>
      <w:r>
        <w:rPr>
          <w:noProof/>
        </w:rPr>
        <w:t>26</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Messages for Bills and parliamentary amendments</w:t>
      </w:r>
      <w:r>
        <w:rPr>
          <w:noProof/>
        </w:rPr>
        <w:tab/>
      </w:r>
      <w:r>
        <w:rPr>
          <w:noProof/>
        </w:rPr>
        <w:fldChar w:fldCharType="begin"/>
      </w:r>
      <w:r>
        <w:rPr>
          <w:noProof/>
        </w:rPr>
        <w:instrText xml:space="preserve"> PAGEREF _Toc14677498 \h </w:instrText>
      </w:r>
      <w:r>
        <w:rPr>
          <w:noProof/>
        </w:rPr>
      </w:r>
      <w:r>
        <w:rPr>
          <w:noProof/>
        </w:rPr>
        <w:fldChar w:fldCharType="separate"/>
      </w:r>
      <w:r>
        <w:rPr>
          <w:noProof/>
        </w:rPr>
        <w:t>26</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Parliamentary amendments and requests</w:t>
      </w:r>
      <w:r>
        <w:rPr>
          <w:noProof/>
        </w:rPr>
        <w:tab/>
      </w:r>
      <w:r>
        <w:rPr>
          <w:noProof/>
        </w:rPr>
        <w:fldChar w:fldCharType="begin"/>
      </w:r>
      <w:r>
        <w:rPr>
          <w:noProof/>
        </w:rPr>
        <w:instrText xml:space="preserve"> PAGEREF _Toc14677499 \h </w:instrText>
      </w:r>
      <w:r>
        <w:rPr>
          <w:noProof/>
        </w:rPr>
      </w:r>
      <w:r>
        <w:rPr>
          <w:noProof/>
        </w:rPr>
        <w:fldChar w:fldCharType="separate"/>
      </w:r>
      <w:r>
        <w:rPr>
          <w:noProof/>
        </w:rPr>
        <w:t>27</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Presentation of Bills for Royal Assent</w:t>
      </w:r>
      <w:r>
        <w:rPr>
          <w:noProof/>
        </w:rPr>
        <w:tab/>
      </w:r>
      <w:r>
        <w:rPr>
          <w:noProof/>
        </w:rPr>
        <w:fldChar w:fldCharType="begin"/>
      </w:r>
      <w:r>
        <w:rPr>
          <w:noProof/>
        </w:rPr>
        <w:instrText xml:space="preserve"> PAGEREF _Toc14677500 \h </w:instrText>
      </w:r>
      <w:r>
        <w:rPr>
          <w:noProof/>
        </w:rPr>
      </w:r>
      <w:r>
        <w:rPr>
          <w:noProof/>
        </w:rPr>
        <w:fldChar w:fldCharType="separate"/>
      </w:r>
      <w:r>
        <w:rPr>
          <w:noProof/>
        </w:rPr>
        <w:t>27</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Components of Bills and instruments</w:t>
      </w:r>
      <w:r>
        <w:rPr>
          <w:noProof/>
        </w:rPr>
        <w:tab/>
      </w:r>
      <w:r>
        <w:rPr>
          <w:noProof/>
        </w:rPr>
        <w:fldChar w:fldCharType="begin"/>
      </w:r>
      <w:r>
        <w:rPr>
          <w:noProof/>
        </w:rPr>
        <w:instrText xml:space="preserve"> PAGEREF _Toc14677501 \h </w:instrText>
      </w:r>
      <w:r>
        <w:rPr>
          <w:noProof/>
        </w:rPr>
      </w:r>
      <w:r>
        <w:rPr>
          <w:noProof/>
        </w:rPr>
        <w:fldChar w:fldCharType="separate"/>
      </w:r>
      <w:r>
        <w:rPr>
          <w:noProof/>
        </w:rPr>
        <w:t>28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Chapters</w:t>
      </w:r>
      <w:r>
        <w:rPr>
          <w:noProof/>
        </w:rPr>
        <w:tab/>
      </w:r>
      <w:r>
        <w:rPr>
          <w:noProof/>
        </w:rPr>
        <w:fldChar w:fldCharType="begin"/>
      </w:r>
      <w:r>
        <w:rPr>
          <w:noProof/>
        </w:rPr>
        <w:instrText xml:space="preserve"> PAGEREF _Toc14677502 \h </w:instrText>
      </w:r>
      <w:r>
        <w:rPr>
          <w:noProof/>
        </w:rPr>
      </w:r>
      <w:r>
        <w:rPr>
          <w:noProof/>
        </w:rPr>
        <w:fldChar w:fldCharType="separate"/>
      </w:r>
      <w:r>
        <w:rPr>
          <w:noProof/>
        </w:rPr>
        <w:t>28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Parts</w:t>
      </w:r>
      <w:r>
        <w:rPr>
          <w:noProof/>
        </w:rPr>
        <w:tab/>
      </w:r>
      <w:r>
        <w:rPr>
          <w:noProof/>
        </w:rPr>
        <w:fldChar w:fldCharType="begin"/>
      </w:r>
      <w:r>
        <w:rPr>
          <w:noProof/>
        </w:rPr>
        <w:instrText xml:space="preserve"> PAGEREF _Toc14677503 \h </w:instrText>
      </w:r>
      <w:r>
        <w:rPr>
          <w:noProof/>
        </w:rPr>
      </w:r>
      <w:r>
        <w:rPr>
          <w:noProof/>
        </w:rPr>
        <w:fldChar w:fldCharType="separate"/>
      </w:r>
      <w:r>
        <w:rPr>
          <w:noProof/>
        </w:rPr>
        <w:t>28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Divisions</w:t>
      </w:r>
      <w:r>
        <w:rPr>
          <w:noProof/>
        </w:rPr>
        <w:tab/>
      </w:r>
      <w:r>
        <w:rPr>
          <w:noProof/>
        </w:rPr>
        <w:fldChar w:fldCharType="begin"/>
      </w:r>
      <w:r>
        <w:rPr>
          <w:noProof/>
        </w:rPr>
        <w:instrText xml:space="preserve"> PAGEREF _Toc14677504 \h </w:instrText>
      </w:r>
      <w:r>
        <w:rPr>
          <w:noProof/>
        </w:rPr>
      </w:r>
      <w:r>
        <w:rPr>
          <w:noProof/>
        </w:rPr>
        <w:fldChar w:fldCharType="separate"/>
      </w:r>
      <w:r>
        <w:rPr>
          <w:noProof/>
        </w:rPr>
        <w:t>28</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Subdivisions</w:t>
      </w:r>
      <w:r>
        <w:rPr>
          <w:noProof/>
        </w:rPr>
        <w:tab/>
      </w:r>
      <w:r>
        <w:rPr>
          <w:noProof/>
        </w:rPr>
        <w:fldChar w:fldCharType="begin"/>
      </w:r>
      <w:r>
        <w:rPr>
          <w:noProof/>
        </w:rPr>
        <w:instrText xml:space="preserve"> PAGEREF _Toc14677505 \h </w:instrText>
      </w:r>
      <w:r>
        <w:rPr>
          <w:noProof/>
        </w:rPr>
      </w:r>
      <w:r>
        <w:rPr>
          <w:noProof/>
        </w:rPr>
        <w:fldChar w:fldCharType="separate"/>
      </w:r>
      <w:r>
        <w:rPr>
          <w:noProof/>
        </w:rPr>
        <w:t>29</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Sections</w:t>
      </w:r>
      <w:r>
        <w:rPr>
          <w:noProof/>
        </w:rPr>
        <w:tab/>
      </w:r>
      <w:r>
        <w:rPr>
          <w:noProof/>
        </w:rPr>
        <w:fldChar w:fldCharType="begin"/>
      </w:r>
      <w:r>
        <w:rPr>
          <w:noProof/>
        </w:rPr>
        <w:instrText xml:space="preserve"> PAGEREF _Toc14677506 \h </w:instrText>
      </w:r>
      <w:r>
        <w:rPr>
          <w:noProof/>
        </w:rPr>
      </w:r>
      <w:r>
        <w:rPr>
          <w:noProof/>
        </w:rPr>
        <w:fldChar w:fldCharType="separate"/>
      </w:r>
      <w:r>
        <w:rPr>
          <w:noProof/>
        </w:rPr>
        <w:t>29</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Subsections</w:t>
      </w:r>
      <w:r>
        <w:rPr>
          <w:noProof/>
        </w:rPr>
        <w:tab/>
      </w:r>
      <w:r>
        <w:rPr>
          <w:noProof/>
        </w:rPr>
        <w:fldChar w:fldCharType="begin"/>
      </w:r>
      <w:r>
        <w:rPr>
          <w:noProof/>
        </w:rPr>
        <w:instrText xml:space="preserve"> PAGEREF _Toc14677507 \h </w:instrText>
      </w:r>
      <w:r>
        <w:rPr>
          <w:noProof/>
        </w:rPr>
      </w:r>
      <w:r>
        <w:rPr>
          <w:noProof/>
        </w:rPr>
        <w:fldChar w:fldCharType="separate"/>
      </w:r>
      <w:r>
        <w:rPr>
          <w:noProof/>
        </w:rPr>
        <w:t>29</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Paragraphs</w:t>
      </w:r>
      <w:r>
        <w:rPr>
          <w:noProof/>
        </w:rPr>
        <w:tab/>
      </w:r>
      <w:r>
        <w:rPr>
          <w:noProof/>
        </w:rPr>
        <w:fldChar w:fldCharType="begin"/>
      </w:r>
      <w:r>
        <w:rPr>
          <w:noProof/>
        </w:rPr>
        <w:instrText xml:space="preserve"> PAGEREF _Toc14677508 \h </w:instrText>
      </w:r>
      <w:r>
        <w:rPr>
          <w:noProof/>
        </w:rPr>
      </w:r>
      <w:r>
        <w:rPr>
          <w:noProof/>
        </w:rPr>
        <w:fldChar w:fldCharType="separate"/>
      </w:r>
      <w:r>
        <w:rPr>
          <w:noProof/>
        </w:rPr>
        <w:t>29</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Subparagraphs</w:t>
      </w:r>
      <w:r>
        <w:rPr>
          <w:noProof/>
        </w:rPr>
        <w:tab/>
      </w:r>
      <w:r>
        <w:rPr>
          <w:noProof/>
        </w:rPr>
        <w:fldChar w:fldCharType="begin"/>
      </w:r>
      <w:r>
        <w:rPr>
          <w:noProof/>
        </w:rPr>
        <w:instrText xml:space="preserve"> PAGEREF _Toc14677509 \h </w:instrText>
      </w:r>
      <w:r>
        <w:rPr>
          <w:noProof/>
        </w:rPr>
      </w:r>
      <w:r>
        <w:rPr>
          <w:noProof/>
        </w:rPr>
        <w:fldChar w:fldCharType="separate"/>
      </w:r>
      <w:r>
        <w:rPr>
          <w:noProof/>
        </w:rPr>
        <w:t>29</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Sub</w:t>
      </w:r>
      <w:r>
        <w:rPr>
          <w:noProof/>
        </w:rPr>
        <w:noBreakHyphen/>
        <w:t>subparagraphs</w:t>
      </w:r>
      <w:r>
        <w:rPr>
          <w:noProof/>
        </w:rPr>
        <w:tab/>
      </w:r>
      <w:r>
        <w:rPr>
          <w:noProof/>
        </w:rPr>
        <w:fldChar w:fldCharType="begin"/>
      </w:r>
      <w:r>
        <w:rPr>
          <w:noProof/>
        </w:rPr>
        <w:instrText xml:space="preserve"> PAGEREF _Toc14677510 \h </w:instrText>
      </w:r>
      <w:r>
        <w:rPr>
          <w:noProof/>
        </w:rPr>
      </w:r>
      <w:r>
        <w:rPr>
          <w:noProof/>
        </w:rPr>
        <w:fldChar w:fldCharType="separate"/>
      </w:r>
      <w:r>
        <w:rPr>
          <w:noProof/>
        </w:rPr>
        <w:t>30</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Other components of Bills, Acts and instruments</w:t>
      </w:r>
      <w:r>
        <w:rPr>
          <w:noProof/>
        </w:rPr>
        <w:tab/>
      </w:r>
      <w:r>
        <w:rPr>
          <w:noProof/>
        </w:rPr>
        <w:fldChar w:fldCharType="begin"/>
      </w:r>
      <w:r>
        <w:rPr>
          <w:noProof/>
        </w:rPr>
        <w:instrText xml:space="preserve"> PAGEREF _Toc14677511 \h </w:instrText>
      </w:r>
      <w:r>
        <w:rPr>
          <w:noProof/>
        </w:rPr>
      </w:r>
      <w:r>
        <w:rPr>
          <w:noProof/>
        </w:rPr>
        <w:fldChar w:fldCharType="separate"/>
      </w:r>
      <w:r>
        <w:rPr>
          <w:noProof/>
        </w:rPr>
        <w:t>30</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Amending Schedules</w:t>
      </w:r>
      <w:r>
        <w:rPr>
          <w:noProof/>
        </w:rPr>
        <w:tab/>
      </w:r>
      <w:r>
        <w:rPr>
          <w:noProof/>
        </w:rPr>
        <w:fldChar w:fldCharType="begin"/>
      </w:r>
      <w:r>
        <w:rPr>
          <w:noProof/>
        </w:rPr>
        <w:instrText xml:space="preserve"> PAGEREF _Toc14677512 \h </w:instrText>
      </w:r>
      <w:r>
        <w:rPr>
          <w:noProof/>
        </w:rPr>
      </w:r>
      <w:r>
        <w:rPr>
          <w:noProof/>
        </w:rPr>
        <w:fldChar w:fldCharType="separate"/>
      </w:r>
      <w:r>
        <w:rPr>
          <w:noProof/>
        </w:rPr>
        <w:t>30</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Non</w:t>
      </w:r>
      <w:r>
        <w:rPr>
          <w:noProof/>
        </w:rPr>
        <w:noBreakHyphen/>
        <w:t>amending Schedules</w:t>
      </w:r>
      <w:r>
        <w:rPr>
          <w:noProof/>
        </w:rPr>
        <w:tab/>
      </w:r>
      <w:r>
        <w:rPr>
          <w:noProof/>
        </w:rPr>
        <w:fldChar w:fldCharType="begin"/>
      </w:r>
      <w:r>
        <w:rPr>
          <w:noProof/>
        </w:rPr>
        <w:instrText xml:space="preserve"> PAGEREF _Toc14677513 \h </w:instrText>
      </w:r>
      <w:r>
        <w:rPr>
          <w:noProof/>
        </w:rPr>
      </w:r>
      <w:r>
        <w:rPr>
          <w:noProof/>
        </w:rPr>
        <w:fldChar w:fldCharType="separate"/>
      </w:r>
      <w:r>
        <w:rPr>
          <w:noProof/>
        </w:rPr>
        <w:t>31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Preambles</w:t>
      </w:r>
      <w:r>
        <w:rPr>
          <w:noProof/>
        </w:rPr>
        <w:tab/>
      </w:r>
      <w:r>
        <w:rPr>
          <w:noProof/>
        </w:rPr>
        <w:fldChar w:fldCharType="begin"/>
      </w:r>
      <w:r>
        <w:rPr>
          <w:noProof/>
        </w:rPr>
        <w:instrText xml:space="preserve"> PAGEREF _Toc14677514 \h </w:instrText>
      </w:r>
      <w:r>
        <w:rPr>
          <w:noProof/>
        </w:rPr>
      </w:r>
      <w:r>
        <w:rPr>
          <w:noProof/>
        </w:rPr>
        <w:fldChar w:fldCharType="separate"/>
      </w:r>
      <w:r>
        <w:rPr>
          <w:noProof/>
        </w:rPr>
        <w:t>31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Definitions</w:t>
      </w:r>
      <w:r>
        <w:rPr>
          <w:noProof/>
        </w:rPr>
        <w:tab/>
      </w:r>
      <w:r>
        <w:rPr>
          <w:noProof/>
        </w:rPr>
        <w:fldChar w:fldCharType="begin"/>
      </w:r>
      <w:r>
        <w:rPr>
          <w:noProof/>
        </w:rPr>
        <w:instrText xml:space="preserve"> PAGEREF _Toc14677515 \h </w:instrText>
      </w:r>
      <w:r>
        <w:rPr>
          <w:noProof/>
        </w:rPr>
      </w:r>
      <w:r>
        <w:rPr>
          <w:noProof/>
        </w:rPr>
        <w:fldChar w:fldCharType="separate"/>
      </w:r>
      <w:r>
        <w:rPr>
          <w:noProof/>
        </w:rPr>
        <w:t>31</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Notes</w:t>
      </w:r>
      <w:r>
        <w:rPr>
          <w:noProof/>
        </w:rPr>
        <w:tab/>
      </w:r>
      <w:r>
        <w:rPr>
          <w:noProof/>
        </w:rPr>
        <w:fldChar w:fldCharType="begin"/>
      </w:r>
      <w:r>
        <w:rPr>
          <w:noProof/>
        </w:rPr>
        <w:instrText xml:space="preserve"> PAGEREF _Toc14677516 \h </w:instrText>
      </w:r>
      <w:r>
        <w:rPr>
          <w:noProof/>
        </w:rPr>
      </w:r>
      <w:r>
        <w:rPr>
          <w:noProof/>
        </w:rPr>
        <w:fldChar w:fldCharType="separate"/>
      </w:r>
      <w:r>
        <w:rPr>
          <w:noProof/>
        </w:rPr>
        <w:t>32</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Tables</w:t>
      </w:r>
      <w:r>
        <w:rPr>
          <w:noProof/>
        </w:rPr>
        <w:tab/>
      </w:r>
      <w:r>
        <w:rPr>
          <w:noProof/>
        </w:rPr>
        <w:fldChar w:fldCharType="begin"/>
      </w:r>
      <w:r>
        <w:rPr>
          <w:noProof/>
        </w:rPr>
        <w:instrText xml:space="preserve"> PAGEREF _Toc14677517 \h </w:instrText>
      </w:r>
      <w:r>
        <w:rPr>
          <w:noProof/>
        </w:rPr>
      </w:r>
      <w:r>
        <w:rPr>
          <w:noProof/>
        </w:rPr>
        <w:fldChar w:fldCharType="separate"/>
      </w:r>
      <w:r>
        <w:rPr>
          <w:noProof/>
        </w:rPr>
        <w:t>32</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Formulas</w:t>
      </w:r>
      <w:r>
        <w:rPr>
          <w:noProof/>
        </w:rPr>
        <w:tab/>
      </w:r>
      <w:r>
        <w:rPr>
          <w:noProof/>
        </w:rPr>
        <w:fldChar w:fldCharType="begin"/>
      </w:r>
      <w:r>
        <w:rPr>
          <w:noProof/>
        </w:rPr>
        <w:instrText xml:space="preserve"> PAGEREF _Toc14677518 \h </w:instrText>
      </w:r>
      <w:r>
        <w:rPr>
          <w:noProof/>
        </w:rPr>
      </w:r>
      <w:r>
        <w:rPr>
          <w:noProof/>
        </w:rPr>
        <w:fldChar w:fldCharType="separate"/>
      </w:r>
      <w:r>
        <w:rPr>
          <w:noProof/>
        </w:rPr>
        <w:t>32</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Penalties</w:t>
      </w:r>
      <w:r>
        <w:rPr>
          <w:noProof/>
        </w:rPr>
        <w:tab/>
      </w:r>
      <w:r>
        <w:rPr>
          <w:noProof/>
        </w:rPr>
        <w:fldChar w:fldCharType="begin"/>
      </w:r>
      <w:r>
        <w:rPr>
          <w:noProof/>
        </w:rPr>
        <w:instrText xml:space="preserve"> PAGEREF _Toc14677519 \h </w:instrText>
      </w:r>
      <w:r>
        <w:rPr>
          <w:noProof/>
        </w:rPr>
      </w:r>
      <w:r>
        <w:rPr>
          <w:noProof/>
        </w:rPr>
        <w:fldChar w:fldCharType="separate"/>
      </w:r>
      <w:r>
        <w:rPr>
          <w:noProof/>
        </w:rPr>
        <w:t>32</w:t>
      </w:r>
      <w:r>
        <w:rPr>
          <w:noProof/>
        </w:rPr>
        <w:fldChar w:fldCharType="end"/>
      </w:r>
    </w:p>
    <w:p w:rsidR="002069A2" w:rsidRDefault="002069A2">
      <w:pPr>
        <w:pStyle w:val="TOC4"/>
        <w:rPr>
          <w:rFonts w:asciiTheme="minorHAnsi" w:eastAsiaTheme="minorEastAsia" w:hAnsiTheme="minorHAnsi" w:cstheme="minorBidi"/>
          <w:b w:val="0"/>
          <w:noProof/>
          <w:kern w:val="0"/>
          <w:sz w:val="22"/>
          <w:szCs w:val="22"/>
        </w:rPr>
      </w:pPr>
      <w:r>
        <w:rPr>
          <w:noProof/>
        </w:rPr>
        <w:t>Overviews, calculators and other things in boxes</w:t>
      </w:r>
      <w:r>
        <w:rPr>
          <w:noProof/>
        </w:rPr>
        <w:tab/>
      </w:r>
      <w:r>
        <w:rPr>
          <w:noProof/>
        </w:rPr>
        <w:fldChar w:fldCharType="begin"/>
      </w:r>
      <w:r>
        <w:rPr>
          <w:noProof/>
        </w:rPr>
        <w:instrText xml:space="preserve"> PAGEREF _Toc14677520 \h </w:instrText>
      </w:r>
      <w:r>
        <w:rPr>
          <w:noProof/>
        </w:rPr>
      </w:r>
      <w:r>
        <w:rPr>
          <w:noProof/>
        </w:rPr>
        <w:fldChar w:fldCharType="separate"/>
      </w:r>
      <w:r>
        <w:rPr>
          <w:noProof/>
        </w:rPr>
        <w:t>32</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Components of Bills—Bills using Division</w:t>
      </w:r>
      <w:r>
        <w:rPr>
          <w:noProof/>
        </w:rPr>
        <w:noBreakHyphen/>
        <w:t>section numbering</w:t>
      </w:r>
      <w:r>
        <w:rPr>
          <w:noProof/>
        </w:rPr>
        <w:tab/>
      </w:r>
      <w:r>
        <w:rPr>
          <w:noProof/>
        </w:rPr>
        <w:fldChar w:fldCharType="begin"/>
      </w:r>
      <w:r>
        <w:rPr>
          <w:noProof/>
        </w:rPr>
        <w:instrText xml:space="preserve"> PAGEREF _Toc14677521 \h </w:instrText>
      </w:r>
      <w:r>
        <w:rPr>
          <w:noProof/>
        </w:rPr>
      </w:r>
      <w:r>
        <w:rPr>
          <w:noProof/>
        </w:rPr>
        <w:fldChar w:fldCharType="separate"/>
      </w:r>
      <w:r>
        <w:rPr>
          <w:noProof/>
        </w:rPr>
        <w:t>33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Description of the Division</w:t>
      </w:r>
      <w:r>
        <w:rPr>
          <w:noProof/>
        </w:rPr>
        <w:noBreakHyphen/>
        <w:t>section numbering system</w:t>
      </w:r>
      <w:r>
        <w:rPr>
          <w:noProof/>
        </w:rPr>
        <w:tab/>
      </w:r>
      <w:r>
        <w:rPr>
          <w:noProof/>
        </w:rPr>
        <w:fldChar w:fldCharType="begin"/>
      </w:r>
      <w:r>
        <w:rPr>
          <w:noProof/>
        </w:rPr>
        <w:instrText xml:space="preserve"> PAGEREF _Toc14677522 \h </w:instrText>
      </w:r>
      <w:r>
        <w:rPr>
          <w:noProof/>
        </w:rPr>
      </w:r>
      <w:r>
        <w:rPr>
          <w:noProof/>
        </w:rPr>
        <w:fldChar w:fldCharType="separate"/>
      </w:r>
      <w:r>
        <w:rPr>
          <w:noProof/>
        </w:rPr>
        <w:t>33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Modifications of the standard numbering system</w:t>
      </w:r>
      <w:r>
        <w:rPr>
          <w:noProof/>
        </w:rPr>
        <w:tab/>
      </w:r>
      <w:r>
        <w:rPr>
          <w:noProof/>
        </w:rPr>
        <w:fldChar w:fldCharType="begin"/>
      </w:r>
      <w:r>
        <w:rPr>
          <w:noProof/>
        </w:rPr>
        <w:instrText xml:space="preserve"> PAGEREF _Toc14677523 \h </w:instrText>
      </w:r>
      <w:r>
        <w:rPr>
          <w:noProof/>
        </w:rPr>
      </w:r>
      <w:r>
        <w:rPr>
          <w:noProof/>
        </w:rPr>
        <w:fldChar w:fldCharType="separate"/>
      </w:r>
      <w:r>
        <w:rPr>
          <w:noProof/>
        </w:rPr>
        <w:t>33</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Components of instruments—instruments using Part</w:t>
      </w:r>
      <w:r>
        <w:rPr>
          <w:noProof/>
        </w:rPr>
        <w:noBreakHyphen/>
        <w:t>section numbering</w:t>
      </w:r>
      <w:r>
        <w:rPr>
          <w:noProof/>
        </w:rPr>
        <w:tab/>
      </w:r>
      <w:r>
        <w:rPr>
          <w:noProof/>
        </w:rPr>
        <w:fldChar w:fldCharType="begin"/>
      </w:r>
      <w:r>
        <w:rPr>
          <w:noProof/>
        </w:rPr>
        <w:instrText xml:space="preserve"> PAGEREF _Toc14677524 \h </w:instrText>
      </w:r>
      <w:r>
        <w:rPr>
          <w:noProof/>
        </w:rPr>
      </w:r>
      <w:r>
        <w:rPr>
          <w:noProof/>
        </w:rPr>
        <w:fldChar w:fldCharType="separate"/>
      </w:r>
      <w:r>
        <w:rPr>
          <w:noProof/>
        </w:rPr>
        <w:t>33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Description of the Part</w:t>
      </w:r>
      <w:r>
        <w:rPr>
          <w:noProof/>
        </w:rPr>
        <w:noBreakHyphen/>
        <w:t>section numbering system</w:t>
      </w:r>
      <w:r>
        <w:rPr>
          <w:noProof/>
        </w:rPr>
        <w:tab/>
      </w:r>
      <w:r>
        <w:rPr>
          <w:noProof/>
        </w:rPr>
        <w:fldChar w:fldCharType="begin"/>
      </w:r>
      <w:r>
        <w:rPr>
          <w:noProof/>
        </w:rPr>
        <w:instrText xml:space="preserve"> PAGEREF _Toc14677525 \h </w:instrText>
      </w:r>
      <w:r>
        <w:rPr>
          <w:noProof/>
        </w:rPr>
      </w:r>
      <w:r>
        <w:rPr>
          <w:noProof/>
        </w:rPr>
        <w:fldChar w:fldCharType="separate"/>
      </w:r>
      <w:r>
        <w:rPr>
          <w:noProof/>
        </w:rPr>
        <w:t>33</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Modifications of the standard numbering system</w:t>
      </w:r>
      <w:r>
        <w:rPr>
          <w:noProof/>
        </w:rPr>
        <w:tab/>
      </w:r>
      <w:r>
        <w:rPr>
          <w:noProof/>
        </w:rPr>
        <w:fldChar w:fldCharType="begin"/>
      </w:r>
      <w:r>
        <w:rPr>
          <w:noProof/>
        </w:rPr>
        <w:instrText xml:space="preserve"> PAGEREF _Toc14677526 \h </w:instrText>
      </w:r>
      <w:r>
        <w:rPr>
          <w:noProof/>
        </w:rPr>
      </w:r>
      <w:r>
        <w:rPr>
          <w:noProof/>
        </w:rPr>
        <w:fldChar w:fldCharType="separate"/>
      </w:r>
      <w:r>
        <w:rPr>
          <w:noProof/>
        </w:rPr>
        <w:t>34</w:t>
      </w:r>
      <w:r>
        <w:rPr>
          <w:noProof/>
        </w:rPr>
        <w:fldChar w:fldCharType="end"/>
      </w:r>
    </w:p>
    <w:p w:rsidR="002069A2" w:rsidRDefault="002069A2">
      <w:pPr>
        <w:pStyle w:val="TOC2"/>
        <w:rPr>
          <w:rFonts w:asciiTheme="minorHAnsi" w:eastAsiaTheme="minorEastAsia" w:hAnsiTheme="minorHAnsi" w:cstheme="minorBidi"/>
          <w:b w:val="0"/>
          <w:noProof/>
          <w:kern w:val="0"/>
          <w:sz w:val="22"/>
          <w:szCs w:val="22"/>
        </w:rPr>
      </w:pPr>
      <w:r>
        <w:rPr>
          <w:noProof/>
        </w:rPr>
        <w:t>Components of instruments—instruments using numbering to reflect the number of the parent Act</w:t>
      </w:r>
      <w:r>
        <w:rPr>
          <w:noProof/>
        </w:rPr>
        <w:tab/>
      </w:r>
      <w:r>
        <w:rPr>
          <w:noProof/>
        </w:rPr>
        <w:fldChar w:fldCharType="begin"/>
      </w:r>
      <w:r>
        <w:rPr>
          <w:noProof/>
        </w:rPr>
        <w:instrText xml:space="preserve"> PAGEREF _Toc14677527 \h </w:instrText>
      </w:r>
      <w:r>
        <w:rPr>
          <w:noProof/>
        </w:rPr>
      </w:r>
      <w:r>
        <w:rPr>
          <w:noProof/>
        </w:rPr>
        <w:fldChar w:fldCharType="separate"/>
      </w:r>
      <w:r>
        <w:rPr>
          <w:noProof/>
        </w:rPr>
        <w:t>34</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Description of this numbering system</w:t>
      </w:r>
      <w:r>
        <w:rPr>
          <w:noProof/>
        </w:rPr>
        <w:tab/>
      </w:r>
      <w:r>
        <w:rPr>
          <w:noProof/>
        </w:rPr>
        <w:fldChar w:fldCharType="begin"/>
      </w:r>
      <w:r>
        <w:rPr>
          <w:noProof/>
        </w:rPr>
        <w:instrText xml:space="preserve"> PAGEREF _Toc14677528 \h </w:instrText>
      </w:r>
      <w:r>
        <w:rPr>
          <w:noProof/>
        </w:rPr>
      </w:r>
      <w:r>
        <w:rPr>
          <w:noProof/>
        </w:rPr>
        <w:fldChar w:fldCharType="separate"/>
      </w:r>
      <w:r>
        <w:rPr>
          <w:noProof/>
        </w:rPr>
        <w:t>34</w:t>
      </w:r>
      <w:r>
        <w:rPr>
          <w:noProof/>
        </w:rPr>
        <w:fldChar w:fldCharType="end"/>
      </w:r>
    </w:p>
    <w:p w:rsidR="002069A2" w:rsidRDefault="002069A2">
      <w:pPr>
        <w:pStyle w:val="TOC3"/>
        <w:rPr>
          <w:rFonts w:asciiTheme="minorHAnsi" w:eastAsiaTheme="minorEastAsia" w:hAnsiTheme="minorHAnsi" w:cstheme="minorBidi"/>
          <w:b w:val="0"/>
          <w:noProof/>
          <w:kern w:val="0"/>
          <w:szCs w:val="22"/>
        </w:rPr>
      </w:pPr>
      <w:r>
        <w:rPr>
          <w:noProof/>
        </w:rPr>
        <w:t>Modifications of the standard numbering system</w:t>
      </w:r>
      <w:r>
        <w:rPr>
          <w:noProof/>
        </w:rPr>
        <w:tab/>
      </w:r>
      <w:r>
        <w:rPr>
          <w:noProof/>
        </w:rPr>
        <w:fldChar w:fldCharType="begin"/>
      </w:r>
      <w:r>
        <w:rPr>
          <w:noProof/>
        </w:rPr>
        <w:instrText xml:space="preserve"> PAGEREF _Toc14677529 \h </w:instrText>
      </w:r>
      <w:r>
        <w:rPr>
          <w:noProof/>
        </w:rPr>
      </w:r>
      <w:r>
        <w:rPr>
          <w:noProof/>
        </w:rPr>
        <w:fldChar w:fldCharType="separate"/>
      </w:r>
      <w:r>
        <w:rPr>
          <w:noProof/>
        </w:rPr>
        <w:t>34</w:t>
      </w:r>
      <w:r>
        <w:rPr>
          <w:noProof/>
        </w:rPr>
        <w:fldChar w:fldCharType="end"/>
      </w:r>
    </w:p>
    <w:p w:rsidR="00474B8A" w:rsidRDefault="00474B8A" w:rsidP="008E5034">
      <w:pPr>
        <w:rPr>
          <w:sz w:val="32"/>
        </w:rPr>
      </w:pPr>
      <w:r w:rsidRPr="009468E1">
        <w:rPr>
          <w:rFonts w:cs="Times New Roman"/>
          <w:sz w:val="20"/>
        </w:rPr>
        <w:fldChar w:fldCharType="end"/>
      </w:r>
      <w:r>
        <w:rPr>
          <w:sz w:val="32"/>
        </w:rPr>
        <w:br w:type="page"/>
      </w:r>
    </w:p>
    <w:p w:rsidR="00474B8A" w:rsidRDefault="00474B8A" w:rsidP="00474B8A">
      <w:pPr>
        <w:pStyle w:val="Head2"/>
      </w:pPr>
      <w:bookmarkStart w:id="2" w:name="_Toc14677427"/>
      <w:r>
        <w:lastRenderedPageBreak/>
        <w:t>Purpose of the manual</w:t>
      </w:r>
      <w:bookmarkEnd w:id="2"/>
    </w:p>
    <w:p w:rsidR="00474B8A" w:rsidRDefault="00474B8A" w:rsidP="00474B8A">
      <w:pPr>
        <w:pStyle w:val="Head2"/>
      </w:pPr>
      <w:bookmarkStart w:id="3" w:name="_Toc14677428"/>
      <w:r>
        <w:t>Overview</w:t>
      </w:r>
      <w:bookmarkEnd w:id="3"/>
    </w:p>
    <w:p w:rsidR="00474B8A" w:rsidRDefault="00474B8A" w:rsidP="00474B8A">
      <w:pPr>
        <w:pStyle w:val="BodyNum"/>
      </w:pPr>
      <w:r>
        <w:t>The purpose of this manual is to provide an overview for drafting legislation in the Office of Parliamentary Counsel.</w:t>
      </w:r>
    </w:p>
    <w:p w:rsidR="00474B8A" w:rsidRDefault="00474B8A" w:rsidP="00474B8A">
      <w:pPr>
        <w:pStyle w:val="BodyNum"/>
      </w:pPr>
      <w:r>
        <w:t>The manual is intended to be a starting point. Consequently, many sections of the manual provide a brief overview and then refer to more detail that is contained in other documents such as the Drafting Directions, the Drafting Notes or Word Notes.</w:t>
      </w:r>
    </w:p>
    <w:p w:rsidR="00474B8A" w:rsidRDefault="00474B8A" w:rsidP="00474B8A">
      <w:pPr>
        <w:pStyle w:val="Head2"/>
      </w:pPr>
      <w:bookmarkStart w:id="4" w:name="_Toc14677429"/>
      <w:r>
        <w:t>Relationship to other documents</w:t>
      </w:r>
      <w:bookmarkEnd w:id="4"/>
    </w:p>
    <w:p w:rsidR="00474B8A" w:rsidRDefault="00474B8A" w:rsidP="00474B8A">
      <w:pPr>
        <w:pStyle w:val="Head3"/>
      </w:pPr>
      <w:bookmarkStart w:id="5" w:name="_Toc14677430"/>
      <w:r>
        <w:t>Drafting Directions</w:t>
      </w:r>
      <w:bookmarkEnd w:id="5"/>
    </w:p>
    <w:p w:rsidR="00474B8A" w:rsidRDefault="00474B8A" w:rsidP="00474B8A">
      <w:pPr>
        <w:pStyle w:val="BodyNum"/>
      </w:pPr>
      <w:r>
        <w:t>The Drafting Directions are an authoritative series of pronouncements on a range of drafting issues. Drafting Directions are issued by First Parliamentary Counsel (</w:t>
      </w:r>
      <w:r>
        <w:rPr>
          <w:b/>
          <w:i/>
        </w:rPr>
        <w:t>FPC</w:t>
      </w:r>
      <w:r>
        <w:t>) after consultation with all drafters and the editorial staff.</w:t>
      </w:r>
    </w:p>
    <w:p w:rsidR="00474B8A" w:rsidRDefault="00474B8A" w:rsidP="00A3287C">
      <w:pPr>
        <w:pStyle w:val="BodyNum"/>
      </w:pPr>
      <w:r>
        <w:t xml:space="preserve">The Drafting Directions are available on Folio. </w:t>
      </w:r>
      <w:r w:rsidR="00A3287C">
        <w:t>They are</w:t>
      </w:r>
      <w:r>
        <w:t xml:space="preserve"> organised on a topic basis </w:t>
      </w:r>
      <w:r w:rsidR="00A3287C">
        <w:t xml:space="preserve">(although they may deal only with some specific points on the topic) </w:t>
      </w:r>
      <w:r>
        <w:t>and numbered accordingly.</w:t>
      </w:r>
    </w:p>
    <w:p w:rsidR="00474B8A" w:rsidRDefault="00474B8A" w:rsidP="00474B8A">
      <w:pPr>
        <w:pStyle w:val="BodyNum"/>
      </w:pPr>
      <w:r>
        <w:t>Some other documents are described as having the “status of a Drafting Direction”. This means that they contain rules that should be followed by drafters unless they obtain an exemption in a particular case from FPC.</w:t>
      </w:r>
    </w:p>
    <w:p w:rsidR="00474B8A" w:rsidRDefault="00474B8A" w:rsidP="00474B8A">
      <w:pPr>
        <w:pStyle w:val="Head3"/>
      </w:pPr>
      <w:bookmarkStart w:id="6" w:name="_Toc14677431"/>
      <w:r>
        <w:t>Drafting Notes</w:t>
      </w:r>
      <w:r w:rsidR="00A3287C">
        <w:t xml:space="preserve"> (including Instrument Drafting Notes)</w:t>
      </w:r>
      <w:bookmarkEnd w:id="6"/>
    </w:p>
    <w:p w:rsidR="00474B8A" w:rsidRDefault="00474B8A" w:rsidP="00474B8A">
      <w:pPr>
        <w:pStyle w:val="BodyNum"/>
      </w:pPr>
      <w:r>
        <w:t>The Drafting Notes are a collection of papers written (mostly) by OPC drafters. Some have been subject to some form of peer review but they have not been subject to consultation within OPC and do not have the “approval” of FPC.</w:t>
      </w:r>
    </w:p>
    <w:p w:rsidR="00474B8A" w:rsidRDefault="00474B8A" w:rsidP="00474B8A">
      <w:pPr>
        <w:pStyle w:val="BodyNum"/>
      </w:pPr>
      <w:r>
        <w:t>The Drafting Notes are made available as a research tool for all drafters and as a way of recording and sharing drafting knowledge.</w:t>
      </w:r>
    </w:p>
    <w:p w:rsidR="00474B8A" w:rsidRDefault="00474B8A" w:rsidP="00474B8A">
      <w:pPr>
        <w:pStyle w:val="BodyNum"/>
      </w:pPr>
      <w:r>
        <w:t>The Drafting Notes are available to all staff through Folio Office Documents.</w:t>
      </w:r>
    </w:p>
    <w:p w:rsidR="00474B8A" w:rsidRDefault="00474B8A" w:rsidP="00474B8A">
      <w:pPr>
        <w:pStyle w:val="BodyNum"/>
      </w:pPr>
      <w:r>
        <w:t>Drafting Notes can be updated by the author editing the document and arranging for the version on Folio to be updated. This is relatively uncommon.</w:t>
      </w:r>
    </w:p>
    <w:p w:rsidR="00474B8A" w:rsidRDefault="00474B8A" w:rsidP="00474B8A">
      <w:pPr>
        <w:pStyle w:val="BodyNum"/>
      </w:pPr>
      <w:r>
        <w:t>Although there have been projects to ensure that Drafting Notes are prepared on topics that are of importance, the coverage is still somewhat haphazard.</w:t>
      </w:r>
    </w:p>
    <w:p w:rsidR="00474B8A" w:rsidRDefault="00474B8A" w:rsidP="00474B8A">
      <w:pPr>
        <w:pStyle w:val="Head3"/>
      </w:pPr>
      <w:bookmarkStart w:id="7" w:name="_Toc14677432"/>
      <w:r>
        <w:t>FPC emails</w:t>
      </w:r>
      <w:bookmarkEnd w:id="7"/>
    </w:p>
    <w:p w:rsidR="00474B8A" w:rsidRDefault="00474B8A" w:rsidP="00474B8A">
      <w:pPr>
        <w:pStyle w:val="BodyNum"/>
      </w:pPr>
      <w:r>
        <w:t>From time</w:t>
      </w:r>
      <w:r w:rsidR="004D6D60">
        <w:noBreakHyphen/>
      </w:r>
      <w:r>
        <w:t>to</w:t>
      </w:r>
      <w:r w:rsidR="004D6D60">
        <w:noBreakHyphen/>
      </w:r>
      <w:r>
        <w:t>time, FPC issues emails on drafting issues. These are similar to Drafting Directions but have generally not had the same consultation process.</w:t>
      </w:r>
    </w:p>
    <w:p w:rsidR="00474B8A" w:rsidRDefault="00474B8A" w:rsidP="00474B8A">
      <w:pPr>
        <w:pStyle w:val="BodyNum"/>
      </w:pPr>
      <w:r>
        <w:t>It is intended that these emails will be quickly incorporated into a Drafting Direction</w:t>
      </w:r>
      <w:r w:rsidR="004126F1">
        <w:t xml:space="preserve">, but </w:t>
      </w:r>
      <w:r w:rsidR="00286CAA">
        <w:t xml:space="preserve">before they are incorporated, they </w:t>
      </w:r>
      <w:r w:rsidR="004126F1">
        <w:t>can found under Drafting emails from FPC in the Folio Office Documents database</w:t>
      </w:r>
      <w:r>
        <w:t>.</w:t>
      </w:r>
    </w:p>
    <w:p w:rsidR="00474B8A" w:rsidRDefault="00474B8A" w:rsidP="00474B8A">
      <w:pPr>
        <w:pStyle w:val="Head3"/>
      </w:pPr>
      <w:bookmarkStart w:id="8" w:name="_Toc14677433"/>
      <w:r>
        <w:lastRenderedPageBreak/>
        <w:t>Relationship with th</w:t>
      </w:r>
      <w:r w:rsidR="006242F2">
        <w:t>is</w:t>
      </w:r>
      <w:r>
        <w:t xml:space="preserve"> manual</w:t>
      </w:r>
      <w:bookmarkEnd w:id="8"/>
    </w:p>
    <w:p w:rsidR="00474B8A" w:rsidRDefault="00474B8A" w:rsidP="00474B8A">
      <w:pPr>
        <w:pStyle w:val="BodyNum"/>
      </w:pPr>
      <w:r>
        <w:t>Some of the material that was previously covered in Drafting Directions, Drafting Notes and FPC emails has been incorporated into th</w:t>
      </w:r>
      <w:r w:rsidR="006242F2">
        <w:t>is manual. However, often this m</w:t>
      </w:r>
      <w:r>
        <w:t>anual only has a brief outline of an area and you need to go to one of the other documents for greater detail.</w:t>
      </w:r>
    </w:p>
    <w:p w:rsidR="00474B8A" w:rsidRDefault="00474B8A" w:rsidP="00474B8A">
      <w:pPr>
        <w:pStyle w:val="Head1"/>
      </w:pPr>
      <w:r>
        <w:t>Presentation and form of legislation</w:t>
      </w:r>
    </w:p>
    <w:p w:rsidR="00474B8A" w:rsidRDefault="00474B8A" w:rsidP="00474B8A">
      <w:pPr>
        <w:pStyle w:val="Head2"/>
      </w:pPr>
      <w:bookmarkStart w:id="9" w:name="_Toc14677434"/>
      <w:r>
        <w:t>Overview</w:t>
      </w:r>
      <w:bookmarkEnd w:id="9"/>
    </w:p>
    <w:p w:rsidR="00474B8A" w:rsidRDefault="00474B8A" w:rsidP="00474B8A">
      <w:pPr>
        <w:pStyle w:val="BodyNum"/>
      </w:pPr>
      <w:r>
        <w:t xml:space="preserve">OPC </w:t>
      </w:r>
      <w:r w:rsidR="00286CAA">
        <w:t xml:space="preserve">aims for </w:t>
      </w:r>
      <w:r>
        <w:t xml:space="preserve">consistency </w:t>
      </w:r>
      <w:r w:rsidR="00286CAA">
        <w:t xml:space="preserve">in </w:t>
      </w:r>
      <w:r>
        <w:t>the presentation and form of legislation. This consistency is intended to provide a coherent statute book that is easy to use for regular users of legislation. Therefore, this is an area in which there are a substantial number of rules which must be followed when drafting legislation.</w:t>
      </w:r>
    </w:p>
    <w:p w:rsidR="00474B8A" w:rsidRDefault="00474B8A" w:rsidP="00474B8A">
      <w:pPr>
        <w:pStyle w:val="BodyNum"/>
      </w:pPr>
      <w:r>
        <w:t>This section sets out information about a range of matters that deal with the presentation and form of legislation.</w:t>
      </w:r>
    </w:p>
    <w:p w:rsidR="00474B8A" w:rsidRDefault="00474B8A" w:rsidP="00474B8A">
      <w:pPr>
        <w:pStyle w:val="Head2"/>
      </w:pPr>
      <w:bookmarkStart w:id="10" w:name="_Toc14677435"/>
      <w:r>
        <w:t>Format of legislation</w:t>
      </w:r>
      <w:bookmarkEnd w:id="10"/>
    </w:p>
    <w:p w:rsidR="00474B8A" w:rsidRDefault="00474B8A" w:rsidP="00474B8A">
      <w:pPr>
        <w:pStyle w:val="BodyNum"/>
      </w:pPr>
      <w:r>
        <w:t xml:space="preserve">The format of legislation is strictly controlled. Details of the format are contained in the OPC </w:t>
      </w:r>
      <w:r w:rsidR="00EF336E">
        <w:t>Word Note 4.2</w:t>
      </w:r>
      <w:r>
        <w:t xml:space="preserve"> series—particularly Word Note </w:t>
      </w:r>
      <w:r w:rsidR="00CB388C">
        <w:t>4.1</w:t>
      </w:r>
      <w:r>
        <w:t xml:space="preserve"> which contains legislation templates, styles and examples and Word Note 4</w:t>
      </w:r>
      <w:r w:rsidR="00CB388C">
        <w:t>.2</w:t>
      </w:r>
      <w:r>
        <w:t xml:space="preserve"> which contains </w:t>
      </w:r>
      <w:r w:rsidR="00CB388C">
        <w:t>f</w:t>
      </w:r>
      <w:r>
        <w:t>ormatting rules for OPC legislation and amendments.</w:t>
      </w:r>
    </w:p>
    <w:p w:rsidR="00474B8A" w:rsidRDefault="00474B8A" w:rsidP="00474B8A">
      <w:pPr>
        <w:pStyle w:val="BodyNum"/>
      </w:pPr>
      <w:r>
        <w:t>While there are some differences in the format of some kinds of legislation—in particular, Acts that are part of the Tax Code—OPC is working to reduce the number of variations to give all legislation a consistent look and feel.</w:t>
      </w:r>
    </w:p>
    <w:p w:rsidR="00474B8A" w:rsidRDefault="00474B8A" w:rsidP="00474B8A">
      <w:pPr>
        <w:pStyle w:val="Head2"/>
      </w:pPr>
      <w:bookmarkStart w:id="11" w:name="_Toc14677436"/>
      <w:r>
        <w:t>Bill titles</w:t>
      </w:r>
      <w:bookmarkEnd w:id="11"/>
    </w:p>
    <w:p w:rsidR="00474B8A" w:rsidRDefault="00474B8A" w:rsidP="00474B8A">
      <w:pPr>
        <w:pStyle w:val="Head3"/>
      </w:pPr>
      <w:bookmarkStart w:id="12" w:name="_Toc14677437"/>
      <w:r>
        <w:t>General</w:t>
      </w:r>
      <w:bookmarkEnd w:id="12"/>
    </w:p>
    <w:p w:rsidR="00474B8A" w:rsidRDefault="00474B8A" w:rsidP="00474B8A">
      <w:pPr>
        <w:pStyle w:val="BodyNum"/>
      </w:pPr>
      <w:r>
        <w:t>Each Bill has two titles—a short title and a long title. The long title of the Bill is also referred to as the title.</w:t>
      </w:r>
    </w:p>
    <w:p w:rsidR="00474B8A" w:rsidRDefault="00474B8A" w:rsidP="00474B8A">
      <w:pPr>
        <w:pStyle w:val="BodyNum"/>
      </w:pPr>
      <w:r>
        <w:t>The long title could be thought of as a description of the Bill and the short title could be thought of as its name.</w:t>
      </w:r>
    </w:p>
    <w:p w:rsidR="00474B8A" w:rsidRDefault="00474B8A" w:rsidP="00474B8A">
      <w:pPr>
        <w:pStyle w:val="Head3"/>
      </w:pPr>
      <w:bookmarkStart w:id="13" w:name="_Toc14677438"/>
      <w:r>
        <w:t>Long titles for Bills</w:t>
      </w:r>
      <w:bookmarkEnd w:id="13"/>
    </w:p>
    <w:p w:rsidR="00474B8A" w:rsidRDefault="00474B8A" w:rsidP="00474B8A">
      <w:pPr>
        <w:pStyle w:val="BodyNum"/>
      </w:pPr>
      <w:r>
        <w:t>The long title is used to describe the contents of the Bill. This is usually done in a very general way. For example “A Bill for an Act to amend the law relating to taxation</w:t>
      </w:r>
      <w:r w:rsidR="004126F1">
        <w:t>, and for related purposes</w:t>
      </w:r>
      <w:r>
        <w:t xml:space="preserve">.” </w:t>
      </w:r>
    </w:p>
    <w:p w:rsidR="00474B8A" w:rsidRDefault="00474B8A" w:rsidP="00474B8A">
      <w:pPr>
        <w:pStyle w:val="BodyNum"/>
      </w:pPr>
      <w:r>
        <w:t xml:space="preserve">The drafting of the long title is very important as the long title must encompass all the matters included in the Bill. If there are matters that are not covered by the long title, the Bill may need to be withdrawn from Parliament and then reintroduced. </w:t>
      </w:r>
    </w:p>
    <w:p w:rsidR="00474B8A" w:rsidRDefault="00474B8A" w:rsidP="00474B8A">
      <w:pPr>
        <w:pStyle w:val="BodyNum"/>
      </w:pPr>
      <w:r>
        <w:lastRenderedPageBreak/>
        <w:t>When a Bill receives the Royal Assent and becomes an Act, the words “A Bill for” are dropped from the long title.</w:t>
      </w:r>
    </w:p>
    <w:p w:rsidR="00474B8A" w:rsidRDefault="00474B8A" w:rsidP="00474B8A">
      <w:pPr>
        <w:pStyle w:val="BodyNum"/>
      </w:pPr>
      <w:r>
        <w:t>Drafting Direction 1.1 has more detail about long titles.</w:t>
      </w:r>
    </w:p>
    <w:p w:rsidR="00FA6B20" w:rsidRDefault="00FA6B20" w:rsidP="00474B8A">
      <w:pPr>
        <w:pStyle w:val="BodyNum"/>
      </w:pPr>
      <w:r>
        <w:t>The long title of an Act can be amended by a later Act. This would be done, for example, where amendments render the title incorrect or misleading.</w:t>
      </w:r>
    </w:p>
    <w:p w:rsidR="00474B8A" w:rsidRDefault="00474B8A" w:rsidP="00474B8A">
      <w:pPr>
        <w:pStyle w:val="Head3"/>
      </w:pPr>
      <w:bookmarkStart w:id="14" w:name="_Toc14677439"/>
      <w:r>
        <w:t>Short titles for Bills</w:t>
      </w:r>
      <w:bookmarkEnd w:id="14"/>
    </w:p>
    <w:p w:rsidR="00474B8A" w:rsidRDefault="00474B8A" w:rsidP="00474B8A">
      <w:pPr>
        <w:pStyle w:val="BodyNum"/>
      </w:pPr>
      <w:r>
        <w:t>The short title is the name that is used to refer to a particular Bill or Act. For example “</w:t>
      </w:r>
      <w:r>
        <w:rPr>
          <w:i/>
        </w:rPr>
        <w:t>Income Tax Assessment Act 1997</w:t>
      </w:r>
      <w:r>
        <w:t>”. Short titles are always shown in italics.</w:t>
      </w:r>
    </w:p>
    <w:p w:rsidR="00474B8A" w:rsidRDefault="00474B8A" w:rsidP="00474B8A">
      <w:pPr>
        <w:pStyle w:val="BodyNum"/>
      </w:pPr>
      <w:r>
        <w:t>While a Bill is in Parliament, the name includes the word “Bill”. This is changed to “Act” when the Bill receives the Royal Assent.</w:t>
      </w:r>
    </w:p>
    <w:p w:rsidR="00474B8A" w:rsidRDefault="00474B8A" w:rsidP="007050B0">
      <w:pPr>
        <w:pStyle w:val="BodyNum"/>
      </w:pPr>
      <w:r>
        <w:t xml:space="preserve">The year in the Act title is the year in which the Act passes Parliament. This is usually, but not always, the year in which it receives the Royal Assent. (See for example the </w:t>
      </w:r>
      <w:r w:rsidR="009F66DA" w:rsidRPr="009F66DA">
        <w:rPr>
          <w:i/>
        </w:rPr>
        <w:t>Data-matching Program (Assistance and Tax) Act 1990</w:t>
      </w:r>
      <w:r>
        <w:t xml:space="preserve"> which was passed by </w:t>
      </w:r>
      <w:r w:rsidR="004126F1">
        <w:t xml:space="preserve">both Houses of the </w:t>
      </w:r>
      <w:r>
        <w:t>Parliament in 1990 but was assented to in 1991</w:t>
      </w:r>
      <w:r w:rsidR="006E1A64">
        <w:t>.</w:t>
      </w:r>
      <w:r>
        <w:t xml:space="preserve">) The year is also occasionally changed by a later amending Bill. For example the </w:t>
      </w:r>
      <w:r w:rsidR="007050B0" w:rsidRPr="007050B0">
        <w:rPr>
          <w:i/>
        </w:rPr>
        <w:t>Competition and Consumer Act 2010</w:t>
      </w:r>
      <w:r>
        <w:t xml:space="preserve"> was originally the </w:t>
      </w:r>
      <w:r w:rsidR="007050B0">
        <w:rPr>
          <w:i/>
        </w:rPr>
        <w:t>Trade Practices Act 1974</w:t>
      </w:r>
      <w:r>
        <w:t>.</w:t>
      </w:r>
    </w:p>
    <w:p w:rsidR="00474B8A" w:rsidRDefault="00474B8A" w:rsidP="00474B8A">
      <w:pPr>
        <w:pStyle w:val="BodyNum"/>
      </w:pPr>
      <w:r>
        <w:t>The short title of an Act can be amended by a later Act. This would be done, for example, where amendments render the short title incorrect or misleading.</w:t>
      </w:r>
    </w:p>
    <w:p w:rsidR="00474B8A" w:rsidRDefault="00474B8A" w:rsidP="00474B8A">
      <w:pPr>
        <w:pStyle w:val="BodyNum"/>
      </w:pPr>
      <w:r>
        <w:t>As a general rule, you should take particular care when naming a Bill to ensure that the name you choose is as informative as possible (within reason) and does not cause unnecessary confusion to the Parliament or to any other users of legislation.</w:t>
      </w:r>
    </w:p>
    <w:p w:rsidR="00474B8A" w:rsidRDefault="00474B8A" w:rsidP="00474B8A">
      <w:pPr>
        <w:pStyle w:val="BodyNum"/>
      </w:pPr>
      <w:r>
        <w:t>Drafting Direction 1.1 has more detail about short titles.</w:t>
      </w:r>
    </w:p>
    <w:p w:rsidR="00474B8A" w:rsidRDefault="00474B8A" w:rsidP="00474B8A">
      <w:pPr>
        <w:pStyle w:val="Head3"/>
      </w:pPr>
      <w:bookmarkStart w:id="15" w:name="_Toc14677440"/>
      <w:r>
        <w:t>Act numbers</w:t>
      </w:r>
      <w:bookmarkEnd w:id="15"/>
    </w:p>
    <w:p w:rsidR="00474B8A" w:rsidRDefault="00474B8A" w:rsidP="00474B8A">
      <w:pPr>
        <w:pStyle w:val="BodyNum"/>
      </w:pPr>
      <w:r>
        <w:t>Each Act is given an Act number which is made up of the year in which it receives Assent and a number based on the order in which Bills were assented to in that year. For example the 45th Bill assented to in 2005 would be Act No. 45, 2005.</w:t>
      </w:r>
    </w:p>
    <w:p w:rsidR="00474B8A" w:rsidRDefault="00474B8A" w:rsidP="00474B8A">
      <w:pPr>
        <w:pStyle w:val="BodyNum"/>
      </w:pPr>
      <w:r>
        <w:t xml:space="preserve">As the year in the Act number is the year of Assent, it occasionally does not match the year in the Act name. For example, the </w:t>
      </w:r>
      <w:r w:rsidR="00326D1C" w:rsidRPr="009F66DA">
        <w:rPr>
          <w:i/>
        </w:rPr>
        <w:t>Data-matching Program (Assistance and Tax) Act 1990</w:t>
      </w:r>
      <w:r>
        <w:t xml:space="preserve"> which was passed by both Houses of the Parliament in 1990 but was assented to in 1991 is Act No. </w:t>
      </w:r>
      <w:r w:rsidR="00326D1C">
        <w:t>20</w:t>
      </w:r>
      <w:r>
        <w:t>, 1991.</w:t>
      </w:r>
    </w:p>
    <w:p w:rsidR="00474B8A" w:rsidRDefault="00474B8A" w:rsidP="00474B8A">
      <w:pPr>
        <w:pStyle w:val="BodyNum"/>
      </w:pPr>
      <w:r>
        <w:t xml:space="preserve">Even when the year in the Act name is amended (as with the </w:t>
      </w:r>
      <w:r w:rsidR="00326D1C" w:rsidRPr="007050B0">
        <w:rPr>
          <w:i/>
        </w:rPr>
        <w:t>Competition and Consumer Act 2010</w:t>
      </w:r>
      <w:r w:rsidR="00326D1C">
        <w:t xml:space="preserve"> </w:t>
      </w:r>
      <w:r>
        <w:t xml:space="preserve">which was originally the </w:t>
      </w:r>
      <w:r w:rsidR="00326D1C">
        <w:rPr>
          <w:i/>
        </w:rPr>
        <w:t>Trade Practices Act 1974</w:t>
      </w:r>
      <w:r>
        <w:t>) the Act number does not change.</w:t>
      </w:r>
    </w:p>
    <w:p w:rsidR="00474B8A" w:rsidRPr="007F53C9" w:rsidRDefault="00B76A74" w:rsidP="00B76A74">
      <w:pPr>
        <w:pStyle w:val="Head2"/>
      </w:pPr>
      <w:bookmarkStart w:id="16" w:name="_Toc14677441"/>
      <w:r>
        <w:lastRenderedPageBreak/>
        <w:t>Instrument names</w:t>
      </w:r>
      <w:bookmarkEnd w:id="16"/>
    </w:p>
    <w:p w:rsidR="00474B8A" w:rsidRDefault="00474B8A" w:rsidP="00474B8A">
      <w:pPr>
        <w:pStyle w:val="Head3"/>
      </w:pPr>
      <w:bookmarkStart w:id="17" w:name="_Toc14677442"/>
      <w:r>
        <w:t>General</w:t>
      </w:r>
      <w:bookmarkEnd w:id="17"/>
    </w:p>
    <w:p w:rsidR="00474B8A" w:rsidRDefault="00474B8A" w:rsidP="00474B8A">
      <w:pPr>
        <w:pStyle w:val="BodyNum"/>
      </w:pPr>
      <w:r>
        <w:t>Each instrument (other than a commencement Proclamation) has a name. The name is used to refer to the instrument.</w:t>
      </w:r>
    </w:p>
    <w:p w:rsidR="00474B8A" w:rsidRDefault="00474B8A" w:rsidP="00474B8A">
      <w:pPr>
        <w:pStyle w:val="BodyNum"/>
      </w:pPr>
      <w:r>
        <w:t>The name given to an instrument must provide a convenient way of referring to the instrument and be unique so that the instrument can be identified with certainty from its name alone.</w:t>
      </w:r>
    </w:p>
    <w:p w:rsidR="00474B8A" w:rsidRDefault="00474B8A" w:rsidP="00474B8A">
      <w:pPr>
        <w:pStyle w:val="BodyNum"/>
      </w:pPr>
      <w:r>
        <w:t>The name of an instrument will consist of a number of elements to reflect the instrument’s parent Act, subject matter, nature, type, year of making and its number for the year. Names are always shown in italics.</w:t>
      </w:r>
    </w:p>
    <w:p w:rsidR="00474B8A" w:rsidRDefault="00474B8A" w:rsidP="00474B8A">
      <w:pPr>
        <w:pStyle w:val="BodyNum"/>
      </w:pPr>
      <w:r>
        <w:t>The name of an instrument can be amended by a later instrument. This would be done, for example, where amendments make the name incorrect or misleading.</w:t>
      </w:r>
    </w:p>
    <w:p w:rsidR="00474B8A" w:rsidRDefault="00474B8A" w:rsidP="00474B8A">
      <w:pPr>
        <w:pStyle w:val="BodyNum"/>
      </w:pPr>
      <w:r>
        <w:t>Drafting Direction 1.1</w:t>
      </w:r>
      <w:r w:rsidR="006242F2">
        <w:t>A</w:t>
      </w:r>
      <w:r>
        <w:t xml:space="preserve"> has extensive information about instrument names.</w:t>
      </w:r>
    </w:p>
    <w:p w:rsidR="00474B8A" w:rsidRDefault="00474B8A" w:rsidP="00474B8A">
      <w:pPr>
        <w:pStyle w:val="Head3"/>
      </w:pPr>
      <w:bookmarkStart w:id="18" w:name="_Toc14677443"/>
      <w:r>
        <w:t>FRL numbers—legislative instruments</w:t>
      </w:r>
      <w:bookmarkEnd w:id="18"/>
    </w:p>
    <w:p w:rsidR="00474B8A" w:rsidRDefault="00474B8A" w:rsidP="00474B8A">
      <w:pPr>
        <w:pStyle w:val="BodyNum"/>
        <w:spacing w:before="0"/>
      </w:pPr>
      <w:r>
        <w:t>Each legislative instrument</w:t>
      </w:r>
      <w:r w:rsidR="008C1035">
        <w:t>, or notifiable instrument,</w:t>
      </w:r>
      <w:r>
        <w:t xml:space="preserve"> that is registered on the Federal Register of </w:t>
      </w:r>
      <w:r w:rsidR="004817C5">
        <w:t xml:space="preserve">Legislation </w:t>
      </w:r>
      <w:r>
        <w:t>(</w:t>
      </w:r>
      <w:r w:rsidRPr="00BF27DA">
        <w:rPr>
          <w:b/>
          <w:i/>
        </w:rPr>
        <w:t>FRL</w:t>
      </w:r>
      <w:r>
        <w:t>) is given a number which is made up of the following elements:</w:t>
      </w:r>
    </w:p>
    <w:p w:rsidR="00474B8A" w:rsidRPr="008C1035" w:rsidRDefault="00474B8A" w:rsidP="008C1035">
      <w:pPr>
        <w:pStyle w:val="BodyPara"/>
      </w:pPr>
      <w:r w:rsidRPr="008C1035">
        <w:t xml:space="preserve">the letter F for instruments </w:t>
      </w:r>
      <w:r w:rsidR="008C1035" w:rsidRPr="008C1035">
        <w:t xml:space="preserve">registered </w:t>
      </w:r>
      <w:r w:rsidRPr="008C1035">
        <w:t>on FRL (as opposed to other laws)</w:t>
      </w:r>
      <w:r w:rsidR="008C1035">
        <w:t>;</w:t>
      </w:r>
    </w:p>
    <w:p w:rsidR="00474B8A" w:rsidRPr="008C1035" w:rsidRDefault="00474B8A" w:rsidP="008C1035">
      <w:pPr>
        <w:pStyle w:val="BodyPara"/>
      </w:pPr>
      <w:r w:rsidRPr="008C1035">
        <w:t>4 numbers – the year of the instrument’s registration</w:t>
      </w:r>
      <w:r w:rsidR="008C1035">
        <w:t>;</w:t>
      </w:r>
    </w:p>
    <w:p w:rsidR="008C1035" w:rsidRDefault="00474B8A" w:rsidP="008C1035">
      <w:pPr>
        <w:pStyle w:val="BodyPara"/>
      </w:pPr>
      <w:r w:rsidRPr="008C1035">
        <w:t>the letter</w:t>
      </w:r>
      <w:r w:rsidR="008C1035" w:rsidRPr="008C1035">
        <w:t>:</w:t>
      </w:r>
    </w:p>
    <w:p w:rsidR="008C1035" w:rsidRDefault="00474B8A" w:rsidP="008C1035">
      <w:pPr>
        <w:pStyle w:val="BodySubPara"/>
      </w:pPr>
      <w:r w:rsidRPr="008C1035">
        <w:t xml:space="preserve">L for legislative instrument </w:t>
      </w:r>
      <w:r w:rsidR="008C1035" w:rsidRPr="008C1035">
        <w:t>registered as originally made</w:t>
      </w:r>
      <w:r w:rsidR="008C1035">
        <w:t>;</w:t>
      </w:r>
      <w:r w:rsidR="008C1035" w:rsidRPr="008C1035">
        <w:t xml:space="preserve"> or</w:t>
      </w:r>
    </w:p>
    <w:p w:rsidR="00474B8A" w:rsidRDefault="008C1035" w:rsidP="008C1035">
      <w:pPr>
        <w:pStyle w:val="BodySubPara"/>
      </w:pPr>
      <w:r w:rsidRPr="008C1035">
        <w:t>N for notifiable instrument registered as originally made</w:t>
      </w:r>
      <w:r>
        <w:t>;</w:t>
      </w:r>
      <w:r w:rsidRPr="008C1035">
        <w:t xml:space="preserve"> or</w:t>
      </w:r>
    </w:p>
    <w:p w:rsidR="008C1035" w:rsidRPr="008C1035" w:rsidRDefault="008C1035" w:rsidP="008C1035">
      <w:pPr>
        <w:pStyle w:val="BodySubPara"/>
      </w:pPr>
      <w:r>
        <w:t>C for compilation of the instrument as amended;</w:t>
      </w:r>
    </w:p>
    <w:p w:rsidR="00474B8A" w:rsidRPr="008C1035" w:rsidRDefault="00474B8A" w:rsidP="008C1035">
      <w:pPr>
        <w:pStyle w:val="BodyPara"/>
      </w:pPr>
      <w:r w:rsidRPr="008C1035">
        <w:t>5 numbers – these are generated by the FRL system.</w:t>
      </w:r>
    </w:p>
    <w:p w:rsidR="00474B8A" w:rsidRDefault="00474B8A" w:rsidP="00474B8A">
      <w:pPr>
        <w:pStyle w:val="BodyNum"/>
      </w:pPr>
      <w:r>
        <w:t xml:space="preserve">As the year in the FRL number is the year of registration, it occasionally does not match the year in </w:t>
      </w:r>
      <w:r w:rsidR="00BF27DA">
        <w:t xml:space="preserve">which </w:t>
      </w:r>
      <w:r>
        <w:t xml:space="preserve">the instrument </w:t>
      </w:r>
      <w:r w:rsidR="00BF27DA">
        <w:t>is made</w:t>
      </w:r>
      <w:r>
        <w:t xml:space="preserve">. </w:t>
      </w:r>
    </w:p>
    <w:p w:rsidR="00474B8A" w:rsidRDefault="00474B8A" w:rsidP="00474B8A">
      <w:pPr>
        <w:pStyle w:val="Head2"/>
      </w:pPr>
      <w:bookmarkStart w:id="19" w:name="_Toc14677444"/>
      <w:r>
        <w:t>Portfolio for cover page of Bill</w:t>
      </w:r>
      <w:bookmarkEnd w:id="19"/>
    </w:p>
    <w:p w:rsidR="00474B8A" w:rsidRDefault="00474B8A" w:rsidP="00474B8A">
      <w:pPr>
        <w:pStyle w:val="BodyNum"/>
      </w:pPr>
      <w:r>
        <w:t>The portfolio of the Minister who is to be responsible for the carriage of the Bill through the Parliament (also known as the sponsoring Minister) is shown on the cover page of the Bill.</w:t>
      </w:r>
    </w:p>
    <w:p w:rsidR="00474B8A" w:rsidRPr="007F53C9" w:rsidRDefault="00474B8A" w:rsidP="00474B8A">
      <w:pPr>
        <w:pStyle w:val="BodyNum"/>
      </w:pPr>
      <w:r>
        <w:t>Drafting Direction 1.2 has further information about this, including an up</w:t>
      </w:r>
      <w:r w:rsidR="004D6D60">
        <w:noBreakHyphen/>
      </w:r>
      <w:r w:rsidR="00B76A74">
        <w:t>to</w:t>
      </w:r>
      <w:r w:rsidR="004D6D60">
        <w:noBreakHyphen/>
      </w:r>
      <w:r w:rsidR="00B76A74">
        <w:t>date list of the portfolios.</w:t>
      </w:r>
    </w:p>
    <w:p w:rsidR="00474B8A" w:rsidRDefault="00F34878" w:rsidP="00474B8A">
      <w:pPr>
        <w:pStyle w:val="Head2"/>
      </w:pPr>
      <w:bookmarkStart w:id="20" w:name="_Toc14677445"/>
      <w:r>
        <w:lastRenderedPageBreak/>
        <w:t>Ministerial title</w:t>
      </w:r>
      <w:r w:rsidR="00474B8A">
        <w:t xml:space="preserve"> for signature page of regulations</w:t>
      </w:r>
      <w:bookmarkEnd w:id="20"/>
    </w:p>
    <w:p w:rsidR="00474B8A" w:rsidRDefault="00474B8A" w:rsidP="00474B8A">
      <w:pPr>
        <w:pStyle w:val="BodyNum"/>
      </w:pPr>
      <w:r>
        <w:t xml:space="preserve">The </w:t>
      </w:r>
      <w:r w:rsidR="000619E7">
        <w:t>title</w:t>
      </w:r>
      <w:r>
        <w:t xml:space="preserve"> of the Minister who is responsible for regulation</w:t>
      </w:r>
      <w:r w:rsidR="00A97554">
        <w:t>s</w:t>
      </w:r>
      <w:r>
        <w:t xml:space="preserve"> (also known as the countersigning Minister) is shown on the signature page of </w:t>
      </w:r>
      <w:r w:rsidR="00A97554">
        <w:t>the</w:t>
      </w:r>
      <w:r>
        <w:t xml:space="preserve"> regulation</w:t>
      </w:r>
      <w:r w:rsidR="00A97554">
        <w:t>s</w:t>
      </w:r>
      <w:r>
        <w:t>.</w:t>
      </w:r>
      <w:r w:rsidR="00A97554">
        <w:t xml:space="preserve"> If a Parliamentary Secretary who also has an “Assistant Minister” title is responsible for regulations, both the Assistant Minister title and the Parliamentary Secretary are shown on the signature page of the regulations.</w:t>
      </w:r>
    </w:p>
    <w:p w:rsidR="00474B8A" w:rsidRDefault="000A1598" w:rsidP="00474B8A">
      <w:pPr>
        <w:pStyle w:val="BodyNum"/>
      </w:pPr>
      <w:r w:rsidRPr="001B72DD">
        <w:t xml:space="preserve">If there is an </w:t>
      </w:r>
      <w:r>
        <w:t>“</w:t>
      </w:r>
      <w:r w:rsidRPr="001B72DD">
        <w:t>Acting</w:t>
      </w:r>
      <w:r>
        <w:t>”</w:t>
      </w:r>
      <w:r w:rsidRPr="001B72DD">
        <w:t xml:space="preserve"> Minister within the </w:t>
      </w:r>
      <w:r>
        <w:t>p</w:t>
      </w:r>
      <w:r w:rsidRPr="001B72DD">
        <w:t xml:space="preserve">ortfolio, that Minister or Parliamentary Secretary’s name </w:t>
      </w:r>
      <w:r w:rsidR="000619E7">
        <w:t xml:space="preserve">and title </w:t>
      </w:r>
      <w:r w:rsidRPr="001B72DD">
        <w:t xml:space="preserve">is used in the signature block. For example, if the </w:t>
      </w:r>
      <w:r w:rsidR="000619E7">
        <w:t>Treasurer</w:t>
      </w:r>
      <w:r w:rsidRPr="001B72DD">
        <w:t xml:space="preserve"> is away and the </w:t>
      </w:r>
      <w:r w:rsidR="000619E7">
        <w:t>Assistant Treasurer</w:t>
      </w:r>
      <w:r w:rsidRPr="001B72DD">
        <w:t xml:space="preserve"> is Acting </w:t>
      </w:r>
      <w:r w:rsidR="000619E7">
        <w:t>Treasurer</w:t>
      </w:r>
      <w:r w:rsidRPr="001B72DD">
        <w:t xml:space="preserve">, the </w:t>
      </w:r>
      <w:r w:rsidR="000619E7">
        <w:t xml:space="preserve">Assistant Treasurer’s </w:t>
      </w:r>
      <w:r w:rsidRPr="001B72DD">
        <w:t xml:space="preserve">name </w:t>
      </w:r>
      <w:r w:rsidR="000619E7">
        <w:t xml:space="preserve">and title </w:t>
      </w:r>
      <w:r w:rsidRPr="001B72DD">
        <w:t>is in the signature block.</w:t>
      </w:r>
    </w:p>
    <w:p w:rsidR="000A1598" w:rsidRDefault="000A1598" w:rsidP="00474B8A">
      <w:pPr>
        <w:pStyle w:val="BodyNum"/>
      </w:pPr>
      <w:r>
        <w:t>If a non</w:t>
      </w:r>
      <w:r w:rsidR="004D6D60">
        <w:noBreakHyphen/>
      </w:r>
      <w:r>
        <w:t>portfolio Minister is “</w:t>
      </w:r>
      <w:r w:rsidRPr="001B72DD">
        <w:t>Acting</w:t>
      </w:r>
      <w:r>
        <w:t>”</w:t>
      </w:r>
      <w:r w:rsidRPr="001B72DD">
        <w:t>, the title of the non</w:t>
      </w:r>
      <w:r w:rsidR="004D6D60">
        <w:noBreakHyphen/>
      </w:r>
      <w:r w:rsidRPr="001B72DD">
        <w:t xml:space="preserve">portfolio Minister and the words </w:t>
      </w:r>
      <w:r>
        <w:t>“</w:t>
      </w:r>
      <w:r w:rsidRPr="001B72DD">
        <w:t xml:space="preserve">for </w:t>
      </w:r>
      <w:r>
        <w:rPr>
          <w:i/>
        </w:rPr>
        <w:t>[</w:t>
      </w:r>
      <w:r w:rsidRPr="000A1598">
        <w:rPr>
          <w:i/>
        </w:rPr>
        <w:t>portfolio Minister</w:t>
      </w:r>
      <w:r>
        <w:rPr>
          <w:i/>
        </w:rPr>
        <w:t>]</w:t>
      </w:r>
      <w:r>
        <w:t>”</w:t>
      </w:r>
      <w:r w:rsidRPr="001B72DD">
        <w:t xml:space="preserve"> are used. For example</w:t>
      </w:r>
      <w:r>
        <w:t>,</w:t>
      </w:r>
      <w:r w:rsidRPr="001B72DD">
        <w:t xml:space="preserve"> if the Attorney</w:t>
      </w:r>
      <w:r w:rsidR="004D6D60">
        <w:noBreakHyphen/>
      </w:r>
      <w:r w:rsidRPr="001B72DD">
        <w:t xml:space="preserve">General is </w:t>
      </w:r>
      <w:r>
        <w:t xml:space="preserve">acting </w:t>
      </w:r>
      <w:r w:rsidRPr="001B72DD">
        <w:t xml:space="preserve">for the Minister for Immigration and Citizenship, the signature block will be </w:t>
      </w:r>
      <w:r>
        <w:t>“Attorney</w:t>
      </w:r>
      <w:r w:rsidR="004D6D60">
        <w:noBreakHyphen/>
      </w:r>
      <w:r w:rsidRPr="001B72DD">
        <w:t xml:space="preserve">General for </w:t>
      </w:r>
      <w:r w:rsidR="006242F2">
        <w:t xml:space="preserve">the </w:t>
      </w:r>
      <w:r w:rsidRPr="001B72DD">
        <w:t>Minister for Immigration and Citizenship</w:t>
      </w:r>
      <w:r>
        <w:t>”</w:t>
      </w:r>
      <w:r w:rsidRPr="001B72DD">
        <w:t>.</w:t>
      </w:r>
    </w:p>
    <w:p w:rsidR="00474B8A" w:rsidRDefault="00474B8A" w:rsidP="00474B8A">
      <w:pPr>
        <w:pStyle w:val="Head2"/>
      </w:pPr>
      <w:bookmarkStart w:id="21" w:name="_Toc14677446"/>
      <w:r>
        <w:t>Name and title of rule</w:t>
      </w:r>
      <w:r w:rsidR="004D6D60">
        <w:noBreakHyphen/>
      </w:r>
      <w:r>
        <w:t>maker for signature page of instruments</w:t>
      </w:r>
      <w:bookmarkEnd w:id="21"/>
    </w:p>
    <w:p w:rsidR="00474B8A" w:rsidRDefault="00474B8A" w:rsidP="00474B8A">
      <w:pPr>
        <w:pStyle w:val="BodyNum"/>
      </w:pPr>
      <w:r>
        <w:t>The name and title of the rule</w:t>
      </w:r>
      <w:r w:rsidR="004D6D60">
        <w:noBreakHyphen/>
      </w:r>
      <w:r>
        <w:t>maker for an instrument i</w:t>
      </w:r>
      <w:r w:rsidR="00A85957">
        <w:t>s shown on the signature page of each instrument</w:t>
      </w:r>
      <w:r>
        <w:t>.</w:t>
      </w:r>
    </w:p>
    <w:p w:rsidR="00474B8A" w:rsidRDefault="00474B8A" w:rsidP="00474B8A">
      <w:pPr>
        <w:pStyle w:val="Head2"/>
      </w:pPr>
      <w:bookmarkStart w:id="22" w:name="_Toc14677447"/>
      <w:r>
        <w:t>Commencement provisions</w:t>
      </w:r>
      <w:bookmarkEnd w:id="22"/>
    </w:p>
    <w:p w:rsidR="00474B8A" w:rsidRDefault="00474B8A" w:rsidP="00474B8A">
      <w:pPr>
        <w:pStyle w:val="BodyNum"/>
      </w:pPr>
      <w:r>
        <w:t>Commencement provisions set out when the Act, instrument or provision comes into operation. One way of looking at this is that this is the time when the text is “written” into the statute book. This will always be a point in time.</w:t>
      </w:r>
    </w:p>
    <w:p w:rsidR="00474B8A" w:rsidRDefault="00474B8A" w:rsidP="00A97554">
      <w:pPr>
        <w:pStyle w:val="BodyNum"/>
      </w:pPr>
      <w:r>
        <w:t>Where i</w:t>
      </w:r>
      <w:r w:rsidR="006242F2">
        <w:t xml:space="preserve">t is expressed to be a date, </w:t>
      </w:r>
      <w:r>
        <w:t xml:space="preserve">section 3 of the </w:t>
      </w:r>
      <w:r>
        <w:rPr>
          <w:i/>
        </w:rPr>
        <w:t>Acts Interpretation Act 1901</w:t>
      </w:r>
      <w:r>
        <w:t xml:space="preserve"> provides that it “</w:t>
      </w:r>
      <w:r w:rsidR="00A97554" w:rsidRPr="00A97554">
        <w:t>comes into operation at the start of the day</w:t>
      </w:r>
      <w:r>
        <w:t>”.</w:t>
      </w:r>
    </w:p>
    <w:p w:rsidR="00474B8A" w:rsidRDefault="00474B8A" w:rsidP="00474B8A">
      <w:pPr>
        <w:pStyle w:val="BodyNum"/>
      </w:pPr>
      <w:r>
        <w:t>Commencement provisions in Bills drafted by OPC are often quite complicated. Therefore, a standard approach using a table has been developed to make it very easy to determine when particular provisions in an Act commenced. The table is designed to have the actual date included in the table by publishers once it is known.</w:t>
      </w:r>
    </w:p>
    <w:p w:rsidR="00474B8A" w:rsidRDefault="00474B8A" w:rsidP="00474B8A">
      <w:pPr>
        <w:pStyle w:val="BodyNum"/>
      </w:pPr>
      <w:r>
        <w:t xml:space="preserve">Although the </w:t>
      </w:r>
      <w:r>
        <w:rPr>
          <w:i/>
        </w:rPr>
        <w:t>Acts Interpretation Act 1901</w:t>
      </w:r>
      <w:r>
        <w:t xml:space="preserve"> provides for a default commencement if no commencement provision is included, it is OPC policy that every Bill must</w:t>
      </w:r>
      <w:r w:rsidR="00B76A74">
        <w:t xml:space="preserve"> have a commencement provision.</w:t>
      </w:r>
    </w:p>
    <w:p w:rsidR="00474B8A" w:rsidRPr="007E0DC5" w:rsidRDefault="00474B8A" w:rsidP="00474B8A">
      <w:pPr>
        <w:pStyle w:val="BodyNum"/>
      </w:pPr>
      <w:r w:rsidRPr="00F33555">
        <w:t>The long</w:t>
      </w:r>
      <w:r w:rsidR="004D6D60">
        <w:noBreakHyphen/>
      </w:r>
      <w:r w:rsidRPr="00F33555">
        <w:t xml:space="preserve">standing practice is to require that each legislative instrument </w:t>
      </w:r>
      <w:r>
        <w:t xml:space="preserve">(except for commencement Proclamations) </w:t>
      </w:r>
      <w:r w:rsidRPr="00F33555">
        <w:t>contain a commencement provision.</w:t>
      </w:r>
    </w:p>
    <w:p w:rsidR="00474B8A" w:rsidRPr="00F33555" w:rsidRDefault="00474B8A" w:rsidP="00474B8A">
      <w:pPr>
        <w:pStyle w:val="BodyNum"/>
      </w:pPr>
      <w:r w:rsidRPr="00F33555">
        <w:t xml:space="preserve">Subject to special provision in a particular Act, legislative instruments </w:t>
      </w:r>
      <w:r w:rsidR="004817C5">
        <w:t xml:space="preserve">commence </w:t>
      </w:r>
      <w:r w:rsidRPr="00F33555">
        <w:t xml:space="preserve">under section 12 of the </w:t>
      </w:r>
      <w:r w:rsidR="000D45FB">
        <w:rPr>
          <w:i/>
        </w:rPr>
        <w:t>Legislati</w:t>
      </w:r>
      <w:r w:rsidR="004817C5">
        <w:rPr>
          <w:i/>
        </w:rPr>
        <w:t>on</w:t>
      </w:r>
      <w:r w:rsidR="000D45FB">
        <w:rPr>
          <w:i/>
        </w:rPr>
        <w:t xml:space="preserve"> Act 2003</w:t>
      </w:r>
      <w:r w:rsidRPr="00F33555">
        <w:t>.</w:t>
      </w:r>
    </w:p>
    <w:p w:rsidR="00474B8A" w:rsidRDefault="00474B8A" w:rsidP="00474B8A">
      <w:pPr>
        <w:pStyle w:val="BodyNum"/>
      </w:pPr>
      <w:r>
        <w:t xml:space="preserve">Commencement provisions need to be contrasted with application provisions. An application provision will be used where it is necessary to specify </w:t>
      </w:r>
      <w:r>
        <w:rPr>
          <w:i/>
        </w:rPr>
        <w:t>what</w:t>
      </w:r>
      <w:r>
        <w:t xml:space="preserve"> a provision applies to. For example, “to gifts made after 20 January 2005”. Not all provisions need an application provision. There is more information about application provisions below.</w:t>
      </w:r>
    </w:p>
    <w:p w:rsidR="00474B8A" w:rsidRDefault="00474B8A" w:rsidP="00474B8A">
      <w:pPr>
        <w:pStyle w:val="BodyNum"/>
      </w:pPr>
      <w:r>
        <w:lastRenderedPageBreak/>
        <w:t>Drafting Direction 1.3 has extensive information about commencement provisions.</w:t>
      </w:r>
    </w:p>
    <w:p w:rsidR="00474B8A" w:rsidRDefault="00474B8A" w:rsidP="00474B8A">
      <w:pPr>
        <w:pStyle w:val="Head2"/>
      </w:pPr>
      <w:bookmarkStart w:id="23" w:name="_Toc14677448"/>
      <w:r>
        <w:t>Amending forms</w:t>
      </w:r>
      <w:bookmarkEnd w:id="23"/>
    </w:p>
    <w:p w:rsidR="00474B8A" w:rsidRDefault="00474B8A" w:rsidP="00474B8A">
      <w:pPr>
        <w:pStyle w:val="BodyNum"/>
      </w:pPr>
      <w:r>
        <w:t>Another area in which OPC adopts a strictly consistent approach is amending forms.</w:t>
      </w:r>
    </w:p>
    <w:p w:rsidR="00474B8A" w:rsidRDefault="00474B8A" w:rsidP="00474B8A">
      <w:pPr>
        <w:pStyle w:val="BodyNum"/>
      </w:pPr>
      <w:r>
        <w:t>The forms to be used are those set out in the Amending Forms Manual. The Amending Forms Manual is listed under its own heading in Folio Office Documents.</w:t>
      </w:r>
    </w:p>
    <w:p w:rsidR="00474B8A" w:rsidRDefault="00474B8A" w:rsidP="00474B8A">
      <w:pPr>
        <w:pStyle w:val="BodyNum"/>
      </w:pPr>
      <w:r>
        <w:t>The Amending Forms Manual is given the status of a Drafting Direction by Drafting Direction 1.4.</w:t>
      </w:r>
    </w:p>
    <w:p w:rsidR="00474B8A" w:rsidRDefault="00474B8A" w:rsidP="00474B8A">
      <w:pPr>
        <w:pStyle w:val="BodyNum"/>
      </w:pPr>
      <w:r>
        <w:t>Macros have been developed in Word to simplify the use of the standard amending forms. The Amendment Shorthand System (ASS) macro provides an abbreviated method for typing the amending “formulae”</w:t>
      </w:r>
      <w:r w:rsidR="0064383A">
        <w:t xml:space="preserve"> used in items in an amending Schedule</w:t>
      </w:r>
      <w:r>
        <w:t xml:space="preserve">. It substantially reduces the number of keystrokes needed to produce the amending formula. Details of this macro are in Word Note </w:t>
      </w:r>
      <w:r w:rsidR="004E36E3">
        <w:t>3.9</w:t>
      </w:r>
      <w:r>
        <w:t>.</w:t>
      </w:r>
    </w:p>
    <w:p w:rsidR="00474B8A" w:rsidRDefault="00474B8A" w:rsidP="00474B8A">
      <w:pPr>
        <w:pStyle w:val="BodyNum"/>
      </w:pPr>
      <w:r>
        <w:t xml:space="preserve">The </w:t>
      </w:r>
      <w:r w:rsidR="0064383A">
        <w:t xml:space="preserve">Automated </w:t>
      </w:r>
      <w:r>
        <w:t>P</w:t>
      </w:r>
      <w:r w:rsidR="00410EEF">
        <w:t>arliamentary Amendments (P</w:t>
      </w:r>
      <w:r>
        <w:t>AM</w:t>
      </w:r>
      <w:r w:rsidR="00410EEF">
        <w:t>s)</w:t>
      </w:r>
      <w:r>
        <w:t xml:space="preserve"> macro has been developed to simplify the forms used for </w:t>
      </w:r>
      <w:r w:rsidR="0064383A">
        <w:t>p</w:t>
      </w:r>
      <w:r>
        <w:t xml:space="preserve">arliamentary amendments. This macro uses a menu and dialog box approach. Details of this macro are in Word Note </w:t>
      </w:r>
      <w:r w:rsidR="004E36E3">
        <w:t>3.10</w:t>
      </w:r>
      <w:r>
        <w:t xml:space="preserve">. </w:t>
      </w:r>
    </w:p>
    <w:p w:rsidR="00474B8A" w:rsidRDefault="00474B8A" w:rsidP="00474B8A">
      <w:pPr>
        <w:pStyle w:val="Head2"/>
      </w:pPr>
      <w:bookmarkStart w:id="24" w:name="_Toc14677449"/>
      <w:r>
        <w:t>Textual amendments</w:t>
      </w:r>
      <w:bookmarkEnd w:id="24"/>
    </w:p>
    <w:p w:rsidR="00474B8A" w:rsidRDefault="00474B8A" w:rsidP="00474B8A">
      <w:pPr>
        <w:pStyle w:val="BodyNum"/>
      </w:pPr>
      <w:r>
        <w:t>In common with all other Australian drafting offices, OPC uses a “textual amendment” system. Textual amendments involve identifying particular bits of text and either inserting or adding other text after it, omitting that text or omitting the text and substituting other text for it. Sometimes the changes are just little ones, other times one amendment might go for many pages.</w:t>
      </w:r>
    </w:p>
    <w:p w:rsidR="00474B8A" w:rsidRDefault="00474B8A" w:rsidP="00474B8A">
      <w:pPr>
        <w:pStyle w:val="BodyNum"/>
      </w:pPr>
      <w:r>
        <w:t>This can be contrasted with the approach of repealing the whole Act or instrument and re</w:t>
      </w:r>
      <w:r w:rsidR="004D6D60">
        <w:noBreakHyphen/>
      </w:r>
      <w:r>
        <w:t>enacting or re</w:t>
      </w:r>
      <w:r w:rsidR="004D6D60">
        <w:noBreakHyphen/>
      </w:r>
      <w:r>
        <w:t>making a replacement and the approach of modifying the operation of existing provisions.</w:t>
      </w:r>
    </w:p>
    <w:p w:rsidR="00474B8A" w:rsidRDefault="00474B8A" w:rsidP="00474B8A">
      <w:pPr>
        <w:pStyle w:val="BodyNum"/>
      </w:pPr>
      <w:r>
        <w:t xml:space="preserve">After an amending Act or instrument is passed or made, these amendments are then incorporated into the </w:t>
      </w:r>
      <w:r w:rsidR="002E3EA8">
        <w:t>p</w:t>
      </w:r>
      <w:r>
        <w:t xml:space="preserve">rincipal Act or instrument to produce a consolidated version called a compilation. </w:t>
      </w:r>
    </w:p>
    <w:p w:rsidR="00474B8A" w:rsidRDefault="00474B8A" w:rsidP="00474B8A">
      <w:pPr>
        <w:pStyle w:val="BodyNum"/>
      </w:pPr>
      <w:r>
        <w:t xml:space="preserve">For Acts, this is done by the Publications Group of OPC. The compilations are then published on </w:t>
      </w:r>
      <w:r w:rsidR="0064383A">
        <w:t>FRL (www.legislation.gov.au)</w:t>
      </w:r>
      <w:r>
        <w:t>. Private publishers also produce compilations of some Acts, but these are not authoritative.</w:t>
      </w:r>
    </w:p>
    <w:p w:rsidR="001C0077" w:rsidRDefault="001C0077" w:rsidP="00474B8A">
      <w:pPr>
        <w:pStyle w:val="BodyNum"/>
      </w:pPr>
      <w:r w:rsidRPr="001B72DD">
        <w:t>For instruments, this is done by the Publications Group of OPC for instruments that must be drafted by OPC or by the administering Department or agency for instruments if the instrument can</w:t>
      </w:r>
      <w:r>
        <w:t xml:space="preserve"> be drafted by another agency. </w:t>
      </w:r>
      <w:r w:rsidRPr="001B72DD">
        <w:t>The Publications Group of OPC do however undertake compilations for other agencies on a billable basis.</w:t>
      </w:r>
      <w:r>
        <w:t xml:space="preserve"> The compilations are registered on FRL (www.</w:t>
      </w:r>
      <w:r w:rsidR="004817C5">
        <w:t>legislation</w:t>
      </w:r>
      <w:r>
        <w:t>.gov.au). Private publishers also produce compilations of some instruments, but these are not authoritative.</w:t>
      </w:r>
    </w:p>
    <w:p w:rsidR="00474B8A" w:rsidRDefault="00474B8A" w:rsidP="00474B8A">
      <w:pPr>
        <w:pStyle w:val="Head2"/>
      </w:pPr>
      <w:bookmarkStart w:id="25" w:name="_Toc14677450"/>
      <w:r>
        <w:lastRenderedPageBreak/>
        <w:t>Definitions</w:t>
      </w:r>
      <w:bookmarkEnd w:id="25"/>
    </w:p>
    <w:p w:rsidR="00474B8A" w:rsidRDefault="00474B8A" w:rsidP="00474B8A">
      <w:pPr>
        <w:pStyle w:val="Head3"/>
      </w:pPr>
      <w:bookmarkStart w:id="26" w:name="_Toc14677451"/>
      <w:r>
        <w:t>Introduction</w:t>
      </w:r>
      <w:bookmarkEnd w:id="26"/>
    </w:p>
    <w:p w:rsidR="00474B8A" w:rsidRDefault="00474B8A" w:rsidP="00474B8A">
      <w:pPr>
        <w:pStyle w:val="BodyNum"/>
      </w:pPr>
      <w:r>
        <w:t>Definitions are an important tool in legislative drafting. They are used for a number of purposes. Primarily, they are used to make legislation more readable by labelling concepts that are used throughout the legislation and reducing the need to repeat text.</w:t>
      </w:r>
    </w:p>
    <w:p w:rsidR="00474B8A" w:rsidRDefault="00474B8A" w:rsidP="00474B8A">
      <w:pPr>
        <w:pStyle w:val="BodyNum"/>
      </w:pPr>
      <w:r>
        <w:t>However, the overuse or misuse of definitions can reduce the readability of legislation. Therefore, it is important to ensure that definitions are used carefully.</w:t>
      </w:r>
    </w:p>
    <w:p w:rsidR="00474B8A" w:rsidRDefault="00474B8A" w:rsidP="00474B8A">
      <w:pPr>
        <w:pStyle w:val="BodyNum"/>
      </w:pPr>
      <w:r>
        <w:t>One approach that OPC has started to adopt is “one expression, one meaning”. Under this approach, an expression is not defined to have different meanings in different parts of an Act or instrument.</w:t>
      </w:r>
    </w:p>
    <w:p w:rsidR="00474B8A" w:rsidRDefault="00474B8A" w:rsidP="00474B8A">
      <w:pPr>
        <w:pStyle w:val="BodyNum"/>
      </w:pPr>
      <w:r>
        <w:t xml:space="preserve">The Plain English Manual and Drafting Direction 1.5 contain the main guidance for using definitions. That Drafting Direction refers to a substantial number of other Drafting Directions that also deal in some way with the use of definitions. </w:t>
      </w:r>
      <w:r w:rsidR="001D7098">
        <w:t>Drafting Note 95.45 (</w:t>
      </w:r>
      <w:r>
        <w:t>titled “Drafting—Definitions: notes for non</w:t>
      </w:r>
      <w:r w:rsidR="004D6D60">
        <w:noBreakHyphen/>
      </w:r>
      <w:r>
        <w:t>SES drafters”</w:t>
      </w:r>
      <w:r w:rsidR="001D7098">
        <w:t>) is also relevant</w:t>
      </w:r>
      <w:r>
        <w:t>.</w:t>
      </w:r>
    </w:p>
    <w:p w:rsidR="00474B8A" w:rsidRDefault="00474B8A" w:rsidP="00474B8A">
      <w:pPr>
        <w:pStyle w:val="Head3"/>
      </w:pPr>
      <w:bookmarkStart w:id="27" w:name="_Toc14677452"/>
      <w:r>
        <w:t>Asterisking to identify defined terms</w:t>
      </w:r>
      <w:bookmarkEnd w:id="27"/>
    </w:p>
    <w:p w:rsidR="00474B8A" w:rsidRDefault="00474B8A" w:rsidP="00474B8A">
      <w:pPr>
        <w:pStyle w:val="BodyNum"/>
      </w:pPr>
      <w:r>
        <w:t>Asterisking is an attempt to address the difficulty of locating definitions and knowing which terms or expressions are defined. That difficulty is likely to be greater in larger Bills, so a very small Bill is less likely to benefit significantly from asterisks.</w:t>
      </w:r>
    </w:p>
    <w:p w:rsidR="00474B8A" w:rsidRDefault="00474B8A" w:rsidP="00474B8A">
      <w:pPr>
        <w:pStyle w:val="BodyNum"/>
      </w:pPr>
      <w:r>
        <w:t>To date, asterisking of Acts outside the Tax Code has been confined to fairly large Acts. However, within the Tax Code, some medium</w:t>
      </w:r>
      <w:r w:rsidR="004D6D60">
        <w:noBreakHyphen/>
      </w:r>
      <w:r>
        <w:t>sized and smaller Acts have also been asterisked (e.g. the Wine Equalisation Tax Act, the ABN Act and the Luxury Car Tax Act).</w:t>
      </w:r>
    </w:p>
    <w:p w:rsidR="00474B8A" w:rsidRDefault="00474B8A" w:rsidP="00474B8A">
      <w:pPr>
        <w:pStyle w:val="BodyNum"/>
      </w:pPr>
      <w:r>
        <w:t>Drafting Direction 1.6 deals with asterisking to identify defined terms, as does Part 5 of Drafting Direction 1.8.</w:t>
      </w:r>
    </w:p>
    <w:p w:rsidR="00474B8A" w:rsidRDefault="00474B8A" w:rsidP="00474B8A">
      <w:pPr>
        <w:pStyle w:val="Head2"/>
      </w:pPr>
      <w:bookmarkStart w:id="28" w:name="_Toc14677453"/>
      <w:r>
        <w:t>Units of text in Acts and instruments</w:t>
      </w:r>
      <w:bookmarkEnd w:id="28"/>
    </w:p>
    <w:p w:rsidR="00474B8A" w:rsidRDefault="00474B8A" w:rsidP="00057E40">
      <w:pPr>
        <w:pStyle w:val="BodyNum"/>
      </w:pPr>
      <w:r>
        <w:t xml:space="preserve">For Acts, and for instruments </w:t>
      </w:r>
      <w:r w:rsidR="009F0502">
        <w:t xml:space="preserve">made after 1 January 2012 </w:t>
      </w:r>
      <w:r>
        <w:t>other than rules of court, the basic unit of text is a section. These can be grouped into Chapters, Parts, Divisions and Subdivisions. Sections can be divided into subsections, paragraphs and subparagraphs. Some older sections are also divided into sub</w:t>
      </w:r>
      <w:r w:rsidR="004D6D60">
        <w:noBreakHyphen/>
      </w:r>
      <w:r>
        <w:t>subparagraphs.</w:t>
      </w:r>
      <w:r w:rsidR="004126F1">
        <w:t xml:space="preserve"> </w:t>
      </w:r>
      <w:r w:rsidR="00057E40" w:rsidRPr="00057E40">
        <w:t>For instruments made before 2012, unit names may vary according to the type of instrument.</w:t>
      </w:r>
    </w:p>
    <w:p w:rsidR="00474B8A" w:rsidRDefault="00474B8A" w:rsidP="00474B8A">
      <w:pPr>
        <w:pStyle w:val="BodyNum"/>
      </w:pPr>
      <w:r>
        <w:t>For rules of court, the basic unit of text is a rule. These can be grouped into Chapters, Parts, Divisions and Subdivisions. Rules can be divided into subrules, paragraphs and subparagraphs. Some older rules are also divided into sub</w:t>
      </w:r>
      <w:r w:rsidR="004D6D60">
        <w:noBreakHyphen/>
      </w:r>
      <w:r>
        <w:t>subparagraphs.</w:t>
      </w:r>
    </w:p>
    <w:p w:rsidR="00A501E8" w:rsidRDefault="00A501E8" w:rsidP="00474B8A">
      <w:pPr>
        <w:pStyle w:val="BodyNum"/>
      </w:pPr>
      <w:r>
        <w:t xml:space="preserve"> When amending a principal instrument, a drafter should use the same unit name as the principal instrument.</w:t>
      </w:r>
    </w:p>
    <w:p w:rsidR="00474B8A" w:rsidRDefault="00474B8A" w:rsidP="00474B8A">
      <w:pPr>
        <w:pStyle w:val="BodyNum"/>
      </w:pPr>
      <w:r>
        <w:t>There is also a range of other units of text in Bills and instruments.</w:t>
      </w:r>
    </w:p>
    <w:p w:rsidR="00474B8A" w:rsidRDefault="00474B8A" w:rsidP="00474B8A">
      <w:pPr>
        <w:pStyle w:val="BodyNum"/>
      </w:pPr>
      <w:r>
        <w:lastRenderedPageBreak/>
        <w:t>Attachment A contains information about the different units of text that are found in Bills and instruments that are drafted in OPC. Drafting Direction 1.</w:t>
      </w:r>
      <w:r w:rsidR="001D2074">
        <w:t>7</w:t>
      </w:r>
      <w:r>
        <w:t xml:space="preserve"> also contains further information about </w:t>
      </w:r>
      <w:r w:rsidR="00F52DAA">
        <w:t>the numbering of sections in Bills and</w:t>
      </w:r>
      <w:r>
        <w:t xml:space="preserve"> instruments.</w:t>
      </w:r>
    </w:p>
    <w:p w:rsidR="00474B8A" w:rsidRDefault="00474B8A" w:rsidP="00474B8A">
      <w:pPr>
        <w:pStyle w:val="Head2"/>
      </w:pPr>
      <w:bookmarkStart w:id="29" w:name="_Toc14677454"/>
      <w:r>
        <w:t>Numbering and lettering</w:t>
      </w:r>
      <w:bookmarkEnd w:id="29"/>
    </w:p>
    <w:p w:rsidR="00474B8A" w:rsidRDefault="00474B8A" w:rsidP="00474B8A">
      <w:pPr>
        <w:pStyle w:val="Head3"/>
      </w:pPr>
      <w:bookmarkStart w:id="30" w:name="_Toc14677455"/>
      <w:r>
        <w:t>General</w:t>
      </w:r>
      <w:bookmarkEnd w:id="30"/>
    </w:p>
    <w:p w:rsidR="00474B8A" w:rsidRDefault="00474B8A" w:rsidP="00474B8A">
      <w:pPr>
        <w:pStyle w:val="BodyNum"/>
      </w:pPr>
      <w:r>
        <w:t>OPC currently uses two approaches to the numbering and lettering of provisions of Acts. These are the “standard” approach and the “Division</w:t>
      </w:r>
      <w:r w:rsidR="004D6D60">
        <w:noBreakHyphen/>
      </w:r>
      <w:r>
        <w:t>Section” approach. Details of these approaches are contained in Attachment A.</w:t>
      </w:r>
    </w:p>
    <w:p w:rsidR="00474B8A" w:rsidRDefault="00474B8A" w:rsidP="00474B8A">
      <w:pPr>
        <w:pStyle w:val="BodyNum"/>
      </w:pPr>
      <w:r>
        <w:t>Drafting Direction 1.7 contains particular rules about numbering and lettering.</w:t>
      </w:r>
    </w:p>
    <w:p w:rsidR="00474B8A" w:rsidRDefault="00474B8A" w:rsidP="00474B8A">
      <w:pPr>
        <w:pStyle w:val="Head3"/>
      </w:pPr>
      <w:bookmarkStart w:id="31" w:name="_Toc14677456"/>
      <w:r>
        <w:t>Naming conventions</w:t>
      </w:r>
      <w:bookmarkEnd w:id="31"/>
    </w:p>
    <w:p w:rsidR="00474B8A" w:rsidRDefault="00474B8A" w:rsidP="00474B8A">
      <w:pPr>
        <w:pStyle w:val="BodyNum"/>
      </w:pPr>
      <w:r>
        <w:t>In legislation drafted by OPC, we have adopted the convention of referring to units below the section level using the smallest unit of text. For example:</w:t>
      </w:r>
    </w:p>
    <w:p w:rsidR="00474B8A" w:rsidRDefault="00474B8A" w:rsidP="00474B8A">
      <w:pPr>
        <w:pStyle w:val="BodyPara"/>
      </w:pPr>
      <w:r>
        <w:t>section 12</w:t>
      </w:r>
    </w:p>
    <w:p w:rsidR="00474B8A" w:rsidRDefault="00474B8A" w:rsidP="00474B8A">
      <w:pPr>
        <w:pStyle w:val="BodyPara"/>
      </w:pPr>
      <w:r>
        <w:t>subsection 12(1)</w:t>
      </w:r>
    </w:p>
    <w:p w:rsidR="00474B8A" w:rsidRDefault="00474B8A" w:rsidP="00474B8A">
      <w:pPr>
        <w:pStyle w:val="BodyPara"/>
      </w:pPr>
      <w:r>
        <w:t>paragraph 12(1)(a)</w:t>
      </w:r>
    </w:p>
    <w:p w:rsidR="00474B8A" w:rsidRDefault="00474B8A" w:rsidP="00474B8A">
      <w:pPr>
        <w:pStyle w:val="BodyPara"/>
      </w:pPr>
      <w:r>
        <w:t>subparagraph 12(1)(a)(ii)</w:t>
      </w:r>
    </w:p>
    <w:p w:rsidR="00474B8A" w:rsidRDefault="00474B8A" w:rsidP="00474B8A">
      <w:pPr>
        <w:pStyle w:val="BodyNum"/>
      </w:pPr>
      <w:r>
        <w:t>This can be contrasted with the approach used in some other jurisdictions of referring to all of these items as “section” (e.g. section 12(1)(a)(ii)).</w:t>
      </w:r>
    </w:p>
    <w:p w:rsidR="00474B8A" w:rsidRDefault="00474B8A" w:rsidP="00474B8A">
      <w:pPr>
        <w:pStyle w:val="Head2"/>
      </w:pPr>
      <w:bookmarkStart w:id="32" w:name="_Toc14677457"/>
      <w:r>
        <w:t>Application provisions</w:t>
      </w:r>
      <w:bookmarkEnd w:id="32"/>
    </w:p>
    <w:p w:rsidR="00474B8A" w:rsidRDefault="00474B8A" w:rsidP="00474B8A">
      <w:pPr>
        <w:pStyle w:val="BodyNum"/>
      </w:pPr>
      <w:r>
        <w:t>The purpose of an application provision is to provide exactly how the “new” law will apply and how the “old” law will cease to apply. This may involve providing for the “old” law to continue to apply for limited purposes despite the fact that the old law has been repealed.</w:t>
      </w:r>
    </w:p>
    <w:p w:rsidR="00474B8A" w:rsidRDefault="00474B8A" w:rsidP="00474B8A">
      <w:pPr>
        <w:pStyle w:val="BodyNum"/>
      </w:pPr>
      <w:r>
        <w:t xml:space="preserve">Drafting Note </w:t>
      </w:r>
      <w:r w:rsidR="00646919">
        <w:t>95.35 (</w:t>
      </w:r>
      <w:r>
        <w:t>titled “Drafting—Application and Transitional Provisions”</w:t>
      </w:r>
      <w:r w:rsidR="00646919">
        <w:t xml:space="preserve">) </w:t>
      </w:r>
      <w:r>
        <w:t>provides guidance on the main points to be considered when drafting application provisions.</w:t>
      </w:r>
    </w:p>
    <w:p w:rsidR="00474B8A" w:rsidRDefault="00474B8A" w:rsidP="00474B8A">
      <w:pPr>
        <w:pStyle w:val="Head2"/>
      </w:pPr>
      <w:bookmarkStart w:id="33" w:name="_Toc14677458"/>
      <w:r>
        <w:t>Transitional provisions</w:t>
      </w:r>
      <w:bookmarkEnd w:id="33"/>
    </w:p>
    <w:p w:rsidR="00474B8A" w:rsidRDefault="00474B8A" w:rsidP="00474B8A">
      <w:pPr>
        <w:pStyle w:val="BodyNum"/>
      </w:pPr>
      <w:r>
        <w:t>There are many types of transitional provisions. The most common type of transitional provision modifies the effect of the “new” law.</w:t>
      </w:r>
    </w:p>
    <w:p w:rsidR="00474B8A" w:rsidRDefault="00474B8A" w:rsidP="00474B8A">
      <w:pPr>
        <w:pStyle w:val="BodyNum"/>
      </w:pPr>
      <w:r>
        <w:t>Other types of transitional provisions are as follows:</w:t>
      </w:r>
    </w:p>
    <w:p w:rsidR="00474B8A" w:rsidRDefault="00474B8A" w:rsidP="00474B8A">
      <w:pPr>
        <w:pStyle w:val="BodyPara"/>
      </w:pPr>
      <w:r>
        <w:t>modify the effect of the “old” law (as it continues to apply by virtue of an application provision);</w:t>
      </w:r>
    </w:p>
    <w:p w:rsidR="00474B8A" w:rsidRDefault="00474B8A" w:rsidP="00474B8A">
      <w:pPr>
        <w:pStyle w:val="BodyPara"/>
      </w:pPr>
      <w:r>
        <w:t>override the presumption against retrospectivity;</w:t>
      </w:r>
    </w:p>
    <w:p w:rsidR="00474B8A" w:rsidRDefault="00474B8A" w:rsidP="00474B8A">
      <w:pPr>
        <w:pStyle w:val="BodyPara"/>
      </w:pPr>
      <w:r>
        <w:lastRenderedPageBreak/>
        <w:t>ensure that an amendment does not affect the interpretation of the “old” law;</w:t>
      </w:r>
    </w:p>
    <w:p w:rsidR="00474B8A" w:rsidRDefault="00474B8A" w:rsidP="00474B8A">
      <w:pPr>
        <w:pStyle w:val="BodyPara"/>
      </w:pPr>
      <w:r>
        <w:t xml:space="preserve">ensure that the repeal of an amending Act, or of amending provisions, does not affect the operation of amendments made by the amending Act or amending provisions. </w:t>
      </w:r>
    </w:p>
    <w:p w:rsidR="000449F8" w:rsidRDefault="000449F8" w:rsidP="000449F8">
      <w:pPr>
        <w:pStyle w:val="BodyNum"/>
      </w:pPr>
      <w:r>
        <w:t>Drafting Note 95.35 (titled “Drafting—Application and Transitional Provisions”) provides guidance on the main points to be considered when drafting transitional provisions.</w:t>
      </w:r>
    </w:p>
    <w:p w:rsidR="00474B8A" w:rsidRDefault="00474B8A" w:rsidP="00474B8A">
      <w:pPr>
        <w:pStyle w:val="Head2"/>
      </w:pPr>
      <w:bookmarkStart w:id="34" w:name="_Toc14677459"/>
      <w:r>
        <w:t>Legislation with special formats and rules</w:t>
      </w:r>
      <w:bookmarkEnd w:id="34"/>
    </w:p>
    <w:p w:rsidR="00474B8A" w:rsidRDefault="00474B8A" w:rsidP="00474B8A">
      <w:pPr>
        <w:pStyle w:val="Head3"/>
      </w:pPr>
      <w:bookmarkStart w:id="35" w:name="_Toc14677460"/>
      <w:r>
        <w:t>Tax Code Bills</w:t>
      </w:r>
      <w:bookmarkEnd w:id="35"/>
    </w:p>
    <w:p w:rsidR="00474B8A" w:rsidRPr="007E0DC5" w:rsidRDefault="00474B8A" w:rsidP="00474B8A">
      <w:pPr>
        <w:pStyle w:val="BodyNum"/>
      </w:pPr>
      <w:r>
        <w:t xml:space="preserve">Bills dealing with Acts in the Tax Code are dealt with in Drafting </w:t>
      </w:r>
      <w:r w:rsidR="00704FCC">
        <w:t>Direction 1.8.</w:t>
      </w:r>
    </w:p>
    <w:p w:rsidR="00474B8A" w:rsidRDefault="00474B8A" w:rsidP="00474B8A">
      <w:pPr>
        <w:pStyle w:val="BodyNum"/>
      </w:pPr>
      <w:r>
        <w:t>The Drafting Direction contains special rules that apply to Bills that will form part of the Tax Code or that amend Acts that are part of the Tax Code. The rules do not apply to any other Bills.</w:t>
      </w:r>
    </w:p>
    <w:p w:rsidR="00474B8A" w:rsidRDefault="00474B8A" w:rsidP="00474B8A">
      <w:pPr>
        <w:pStyle w:val="Head3"/>
      </w:pPr>
      <w:bookmarkStart w:id="36" w:name="_Toc14677461"/>
      <w:r>
        <w:t>Social Security Bills</w:t>
      </w:r>
      <w:bookmarkEnd w:id="36"/>
    </w:p>
    <w:p w:rsidR="00474B8A" w:rsidRDefault="00474B8A" w:rsidP="00474B8A">
      <w:pPr>
        <w:pStyle w:val="BodyNum"/>
      </w:pPr>
      <w:r>
        <w:t xml:space="preserve">The formatting of Social Security Bills is dealt with in Word Note </w:t>
      </w:r>
      <w:r w:rsidR="002E0893">
        <w:t>4.6</w:t>
      </w:r>
      <w:r>
        <w:t>. This mainly deals with some components in such Bills that are not found in other legislation.</w:t>
      </w:r>
    </w:p>
    <w:p w:rsidR="00474B8A" w:rsidRDefault="00474B8A" w:rsidP="00474B8A">
      <w:pPr>
        <w:pStyle w:val="Head1"/>
      </w:pPr>
      <w:r>
        <w:t xml:space="preserve">Usage (including plain </w:t>
      </w:r>
      <w:r w:rsidR="00100C1D">
        <w:t>language</w:t>
      </w:r>
      <w:r>
        <w:t>)</w:t>
      </w:r>
    </w:p>
    <w:p w:rsidR="00474B8A" w:rsidRDefault="00474B8A" w:rsidP="00474B8A">
      <w:pPr>
        <w:pStyle w:val="Head2"/>
      </w:pPr>
      <w:bookmarkStart w:id="37" w:name="_Toc14677462"/>
      <w:r>
        <w:t>Plain English</w:t>
      </w:r>
      <w:r w:rsidR="00100C1D">
        <w:t xml:space="preserve"> and p</w:t>
      </w:r>
      <w:r>
        <w:t xml:space="preserve">lain </w:t>
      </w:r>
      <w:r w:rsidR="00703589">
        <w:t>l</w:t>
      </w:r>
      <w:r>
        <w:t>anguage</w:t>
      </w:r>
      <w:bookmarkEnd w:id="37"/>
    </w:p>
    <w:p w:rsidR="00474B8A" w:rsidRDefault="00474B8A" w:rsidP="00474B8A">
      <w:pPr>
        <w:pStyle w:val="BodyNum"/>
      </w:pPr>
      <w:r>
        <w:t>OPC began moving to the use of plain English in the mid</w:t>
      </w:r>
      <w:r w:rsidR="004D6D60">
        <w:noBreakHyphen/>
      </w:r>
      <w:r>
        <w:t xml:space="preserve">1980s. Our approach to plain English was documented in the early 1990s in </w:t>
      </w:r>
      <w:r w:rsidR="008A74CA">
        <w:t>t</w:t>
      </w:r>
      <w:r>
        <w:t>he Plain English Manual which was largely drafted by the then First Parliamentary Counsel, Ian Turnbull QC. The Plain English Manual is in Folio Office Documents.</w:t>
      </w:r>
    </w:p>
    <w:p w:rsidR="00474B8A" w:rsidRDefault="00474B8A" w:rsidP="00474B8A">
      <w:pPr>
        <w:pStyle w:val="BodyNum"/>
      </w:pPr>
      <w:r>
        <w:t>More recently, we have adopted the term “plain language”. This has been done to indicate that we see clear writing as being a wider concept than some of the narrower approaches that had been adopted by some when referring to plain English.</w:t>
      </w:r>
    </w:p>
    <w:p w:rsidR="00474B8A" w:rsidRDefault="00474B8A" w:rsidP="00474B8A">
      <w:pPr>
        <w:pStyle w:val="BodyNum"/>
      </w:pPr>
      <w:r>
        <w:t xml:space="preserve">The Plain English Manual continues to provide the foundation for OPC’s approach to plain </w:t>
      </w:r>
      <w:r w:rsidR="00100C1D">
        <w:t>language</w:t>
      </w:r>
      <w:r>
        <w:t xml:space="preserve"> drafting. The manual provides both a good overview of plain </w:t>
      </w:r>
      <w:r w:rsidR="00100C1D">
        <w:t>language</w:t>
      </w:r>
      <w:r>
        <w:t xml:space="preserve"> drafting as well as specific examples of words and phrases that can be used to simplify drafting.</w:t>
      </w:r>
    </w:p>
    <w:p w:rsidR="00474B8A" w:rsidRDefault="00474B8A" w:rsidP="00474B8A">
      <w:pPr>
        <w:pStyle w:val="BodyNum"/>
      </w:pPr>
      <w:r>
        <w:t>Drafting Direction 2.1 gives the Plain English Manual the status of a Drafting Direction and also contains a small number of additional rules on spelling and punctuation.</w:t>
      </w:r>
    </w:p>
    <w:p w:rsidR="00474B8A" w:rsidRDefault="00474B8A" w:rsidP="00474B8A">
      <w:pPr>
        <w:pStyle w:val="Head2"/>
      </w:pPr>
      <w:bookmarkStart w:id="38" w:name="_Toc14677463"/>
      <w:r>
        <w:t>Macquarie Dictionary and the Style Manual</w:t>
      </w:r>
      <w:bookmarkEnd w:id="38"/>
    </w:p>
    <w:p w:rsidR="00474B8A" w:rsidRDefault="00474B8A" w:rsidP="00474B8A">
      <w:pPr>
        <w:pStyle w:val="BodyNum"/>
      </w:pPr>
      <w:r>
        <w:t>OPC relies on the Macquarie Dictionary and the Style Manual as the basic authorities for spelling and related matters.</w:t>
      </w:r>
    </w:p>
    <w:p w:rsidR="00474B8A" w:rsidRDefault="00474B8A" w:rsidP="00474B8A">
      <w:pPr>
        <w:pStyle w:val="BodyNum"/>
      </w:pPr>
      <w:r>
        <w:lastRenderedPageBreak/>
        <w:t>The Macquarie Dictionary is considered to be the best source of information on current Australian spelling and usage.</w:t>
      </w:r>
      <w:r w:rsidR="009A24EA">
        <w:t xml:space="preserve"> If there is a conflict between the Macquarie Dictionary and the Style Manual, you should follow the spelling </w:t>
      </w:r>
      <w:r w:rsidR="00B53D5C">
        <w:t xml:space="preserve">or usage </w:t>
      </w:r>
      <w:r w:rsidR="009A24EA">
        <w:t>in the Macquarie Dictionary since it is more frequently updated.</w:t>
      </w:r>
    </w:p>
    <w:p w:rsidR="00474B8A" w:rsidRDefault="00474B8A" w:rsidP="00474B8A">
      <w:pPr>
        <w:pStyle w:val="Head2"/>
      </w:pPr>
      <w:bookmarkStart w:id="39" w:name="_Toc14677464"/>
      <w:r>
        <w:t>Gender</w:t>
      </w:r>
      <w:r w:rsidR="004D6D60">
        <w:noBreakHyphen/>
      </w:r>
      <w:r>
        <w:t>neutral language</w:t>
      </w:r>
      <w:bookmarkEnd w:id="39"/>
    </w:p>
    <w:p w:rsidR="00474B8A" w:rsidRDefault="00474B8A" w:rsidP="00474B8A">
      <w:pPr>
        <w:pStyle w:val="BodyNum"/>
      </w:pPr>
      <w:r>
        <w:t>For many years, OPC has drafted using gender</w:t>
      </w:r>
      <w:r w:rsidR="004D6D60">
        <w:noBreakHyphen/>
      </w:r>
      <w:r>
        <w:t>neutral language. Drafting Directions on this topic were first issued in 1984.</w:t>
      </w:r>
    </w:p>
    <w:p w:rsidR="00474B8A" w:rsidRDefault="00474B8A" w:rsidP="00474B8A">
      <w:pPr>
        <w:pStyle w:val="BodyNum"/>
      </w:pPr>
      <w:r>
        <w:t>Gender</w:t>
      </w:r>
      <w:r w:rsidR="004D6D60">
        <w:noBreakHyphen/>
      </w:r>
      <w:r>
        <w:t>neutral language is used to make the language of legislation more inclusive.</w:t>
      </w:r>
    </w:p>
    <w:p w:rsidR="00474B8A" w:rsidRDefault="00474B8A" w:rsidP="00474B8A">
      <w:pPr>
        <w:pStyle w:val="BodyNum"/>
      </w:pPr>
      <w:r>
        <w:t>We have found that this approach does not make provisions more cumbersome</w:t>
      </w:r>
      <w:r w:rsidR="008848C2">
        <w:t>.</w:t>
      </w:r>
      <w:r>
        <w:t xml:space="preserve"> drafters </w:t>
      </w:r>
      <w:r w:rsidR="008848C2">
        <w:t xml:space="preserve">should </w:t>
      </w:r>
      <w:r>
        <w:t>use the description of the relevant person (e.g. “the taxpayer’s”) instead</w:t>
      </w:r>
      <w:r w:rsidR="008848C2">
        <w:t xml:space="preserve"> of relying on gendered pronouns</w:t>
      </w:r>
      <w:r>
        <w:t>. In many cases this makes the provision clearer than if just “his</w:t>
      </w:r>
      <w:r w:rsidR="008848C2">
        <w:t xml:space="preserve"> or her</w:t>
      </w:r>
      <w:r>
        <w:t>” was used and may also avoid ambiguity where there is more than one person referred to in the provision.</w:t>
      </w:r>
    </w:p>
    <w:p w:rsidR="00474B8A" w:rsidRDefault="00474B8A" w:rsidP="00474B8A">
      <w:pPr>
        <w:pStyle w:val="BodyNum"/>
      </w:pPr>
      <w:r>
        <w:t>Drafting Direction 2.1 contains guidance on the use of gender</w:t>
      </w:r>
      <w:r w:rsidR="004D6D60">
        <w:noBreakHyphen/>
      </w:r>
      <w:r>
        <w:t>neutral language.</w:t>
      </w:r>
    </w:p>
    <w:p w:rsidR="00474B8A" w:rsidRDefault="00474B8A" w:rsidP="00474B8A">
      <w:pPr>
        <w:pStyle w:val="Head2"/>
      </w:pPr>
      <w:bookmarkStart w:id="40" w:name="_Toc14677465"/>
      <w:r>
        <w:t>Use of various expressions in legislation</w:t>
      </w:r>
      <w:bookmarkEnd w:id="40"/>
    </w:p>
    <w:p w:rsidR="00474B8A" w:rsidRDefault="00474B8A" w:rsidP="00474B8A">
      <w:pPr>
        <w:pStyle w:val="BodyNum"/>
      </w:pPr>
      <w:r>
        <w:t>There are a range of miscellaneous matters that need to be taken into account when using expressions in legislation. These include avoiding using registered trade marks and matters to be aware of when borrowing legislation from other jurisdictions.</w:t>
      </w:r>
    </w:p>
    <w:p w:rsidR="00474B8A" w:rsidRDefault="00474B8A" w:rsidP="00474B8A">
      <w:pPr>
        <w:pStyle w:val="BodyNum"/>
      </w:pPr>
      <w:r>
        <w:t xml:space="preserve">Many of these matters are covered by Drafting Direction 2.2 which has parts </w:t>
      </w:r>
      <w:r w:rsidR="006242F2">
        <w:t>that include</w:t>
      </w:r>
      <w:r>
        <w:t>:</w:t>
      </w:r>
    </w:p>
    <w:p w:rsidR="00474B8A" w:rsidRDefault="00474B8A" w:rsidP="00474B8A">
      <w:pPr>
        <w:pStyle w:val="BodyPara"/>
      </w:pPr>
      <w:r>
        <w:t>matters to be aware of in choosing expressions to be used in legislation;</w:t>
      </w:r>
    </w:p>
    <w:p w:rsidR="00474B8A" w:rsidRDefault="00474B8A" w:rsidP="00474B8A">
      <w:pPr>
        <w:pStyle w:val="BodyPara"/>
      </w:pPr>
      <w:r>
        <w:t>words and expressions to be used in legislation;</w:t>
      </w:r>
    </w:p>
    <w:p w:rsidR="00474B8A" w:rsidRDefault="00474B8A" w:rsidP="00474B8A">
      <w:pPr>
        <w:pStyle w:val="BodyPara"/>
      </w:pPr>
      <w:r>
        <w:t>definitions of specific expressions;</w:t>
      </w:r>
    </w:p>
    <w:p w:rsidR="006242F2" w:rsidRDefault="006242F2" w:rsidP="00474B8A">
      <w:pPr>
        <w:pStyle w:val="BodyPara"/>
      </w:pPr>
      <w:r>
        <w:t>scoping provisions;</w:t>
      </w:r>
    </w:p>
    <w:p w:rsidR="00474B8A" w:rsidRDefault="00474B8A" w:rsidP="00474B8A">
      <w:pPr>
        <w:pStyle w:val="BodyPara"/>
      </w:pPr>
      <w:r>
        <w:t>Government terminology;</w:t>
      </w:r>
    </w:p>
    <w:p w:rsidR="00474B8A" w:rsidRDefault="006242F2" w:rsidP="00474B8A">
      <w:pPr>
        <w:pStyle w:val="BodyPara"/>
      </w:pPr>
      <w:r>
        <w:t>financial sector terminology;</w:t>
      </w:r>
    </w:p>
    <w:p w:rsidR="006242F2" w:rsidRDefault="006242F2" w:rsidP="00474B8A">
      <w:pPr>
        <w:pStyle w:val="BodyPara"/>
      </w:pPr>
      <w:r>
        <w:t>notes saying documents are available on websites.</w:t>
      </w:r>
    </w:p>
    <w:p w:rsidR="00474B8A" w:rsidRDefault="00474B8A" w:rsidP="00474B8A">
      <w:pPr>
        <w:pStyle w:val="Head1"/>
      </w:pPr>
      <w:r>
        <w:t>Content</w:t>
      </w:r>
    </w:p>
    <w:p w:rsidR="00474B8A" w:rsidRDefault="00474B8A" w:rsidP="00474B8A">
      <w:pPr>
        <w:pStyle w:val="Head2"/>
      </w:pPr>
      <w:bookmarkStart w:id="41" w:name="_Toc14677466"/>
      <w:r>
        <w:t>Constitutional law</w:t>
      </w:r>
      <w:bookmarkEnd w:id="41"/>
    </w:p>
    <w:p w:rsidR="00474B8A" w:rsidRDefault="00474B8A" w:rsidP="00474B8A">
      <w:pPr>
        <w:pStyle w:val="BodyNum"/>
      </w:pPr>
      <w:r>
        <w:t>Constitutional law is extremely important to drafters in OPC. There are two main aspects to this. First, every provision of every Act must be supported by a constitutional power. Secondly, there are a number of constitutional prohibitions that must not be contravened.</w:t>
      </w:r>
    </w:p>
    <w:p w:rsidR="00474B8A" w:rsidRDefault="00474B8A" w:rsidP="00474B8A">
      <w:pPr>
        <w:pStyle w:val="BodyNum"/>
      </w:pPr>
      <w:r>
        <w:lastRenderedPageBreak/>
        <w:t>Constitutional law also impacts on a number of procedural matters such as the House in which certain Bills must be introduced.</w:t>
      </w:r>
    </w:p>
    <w:p w:rsidR="00474B8A" w:rsidRDefault="00474B8A" w:rsidP="00474B8A">
      <w:pPr>
        <w:pStyle w:val="BodyNum"/>
      </w:pPr>
      <w:r>
        <w:t xml:space="preserve">Drafting Direction </w:t>
      </w:r>
      <w:r>
        <w:rPr>
          <w:color w:val="000000"/>
        </w:rPr>
        <w:t>3.1 covers a range of these constitutional matters. In addition, there are numerous papers in the Drafting Notes that deal with constitutional law matters.</w:t>
      </w:r>
    </w:p>
    <w:p w:rsidR="00474B8A" w:rsidRDefault="00474B8A" w:rsidP="00474B8A">
      <w:pPr>
        <w:pStyle w:val="Head2"/>
      </w:pPr>
      <w:bookmarkStart w:id="42" w:name="_Toc14677467"/>
      <w:r>
        <w:t>Taxation</w:t>
      </w:r>
      <w:bookmarkEnd w:id="42"/>
    </w:p>
    <w:p w:rsidR="00474B8A" w:rsidRDefault="00474B8A" w:rsidP="00474B8A">
      <w:pPr>
        <w:pStyle w:val="BodyNum"/>
      </w:pPr>
      <w:r>
        <w:t>The Constitution sets out a variety of procedural requirements in relation to taxation Bills that drafters need to be aware of.</w:t>
      </w:r>
    </w:p>
    <w:p w:rsidR="00474B8A" w:rsidRDefault="00474B8A" w:rsidP="00474B8A">
      <w:pPr>
        <w:pStyle w:val="BodyNum"/>
      </w:pPr>
      <w:r>
        <w:t>Drafting Direction 3.2 deals with the following matters:</w:t>
      </w:r>
    </w:p>
    <w:p w:rsidR="00474B8A" w:rsidRDefault="00474B8A" w:rsidP="00474B8A">
      <w:pPr>
        <w:pStyle w:val="BodyPara"/>
      </w:pPr>
      <w:r>
        <w:t>the House of introduction for Bills that deal with taxation or that amend Acts that deal with taxation;</w:t>
      </w:r>
    </w:p>
    <w:p w:rsidR="00474B8A" w:rsidRDefault="00474B8A" w:rsidP="00474B8A">
      <w:pPr>
        <w:pStyle w:val="BodyPara"/>
      </w:pPr>
      <w:r>
        <w:t>obtaining notices for Bills dealing with taxation;</w:t>
      </w:r>
    </w:p>
    <w:p w:rsidR="00474B8A" w:rsidRDefault="00474B8A" w:rsidP="00474B8A">
      <w:pPr>
        <w:pStyle w:val="BodyPara"/>
      </w:pPr>
      <w:r>
        <w:t>that taxation is to be imposed by express words;</w:t>
      </w:r>
    </w:p>
    <w:p w:rsidR="00474B8A" w:rsidRDefault="00474B8A" w:rsidP="00474B8A">
      <w:pPr>
        <w:pStyle w:val="BodyPara"/>
      </w:pPr>
      <w:r>
        <w:t>when to structure provis</w:t>
      </w:r>
      <w:r w:rsidR="00655AD1">
        <w:t>ions as provisions imposing tax;</w:t>
      </w:r>
    </w:p>
    <w:p w:rsidR="00474B8A" w:rsidRDefault="00474B8A" w:rsidP="008848C2">
      <w:pPr>
        <w:pStyle w:val="BodyPara"/>
      </w:pPr>
      <w:r>
        <w:t>the application of amendments relevant to the making of assessments of income tax and fringe benefits tax.</w:t>
      </w:r>
    </w:p>
    <w:p w:rsidR="00474B8A" w:rsidRDefault="00474B8A" w:rsidP="00474B8A">
      <w:pPr>
        <w:pStyle w:val="BodyNum"/>
      </w:pPr>
      <w:r>
        <w:t>There are a number of papers in the Drafting Notes that deal with taxation.</w:t>
      </w:r>
    </w:p>
    <w:p w:rsidR="00474B8A" w:rsidRDefault="00474B8A" w:rsidP="00474B8A">
      <w:pPr>
        <w:pStyle w:val="Head2"/>
      </w:pPr>
      <w:bookmarkStart w:id="43" w:name="_Toc14677468"/>
      <w:r>
        <w:t>Application of legislation in relation to various maritime and external areas</w:t>
      </w:r>
      <w:bookmarkEnd w:id="43"/>
    </w:p>
    <w:p w:rsidR="00474B8A" w:rsidRDefault="00474B8A" w:rsidP="00474B8A">
      <w:pPr>
        <w:pStyle w:val="BodyNum"/>
      </w:pPr>
      <w:r>
        <w:t>Drafting Direction 3.3 deals with the application of Commonwealth legislation to the territorial sea of Australia, the internal waters of Australia, the contiguous zone of Australia, the exclusive economic zone of Australia and the continental shelf of Australia. It also deals with the application of Commonwealth legislation in relation to the adjacent areas in respect of the States and Territories and in relation to the Australian Antarctic Territory.</w:t>
      </w:r>
    </w:p>
    <w:p w:rsidR="00474B8A" w:rsidRDefault="00474B8A" w:rsidP="00474B8A">
      <w:pPr>
        <w:pStyle w:val="BodyNum"/>
      </w:pPr>
      <w:r>
        <w:t>The</w:t>
      </w:r>
      <w:r w:rsidR="002068BF">
        <w:t>se matters a</w:t>
      </w:r>
      <w:r>
        <w:t xml:space="preserve">re also </w:t>
      </w:r>
      <w:r w:rsidR="002068BF">
        <w:t>dealt with in Drafting Note 95.65</w:t>
      </w:r>
      <w:r>
        <w:t xml:space="preserve"> </w:t>
      </w:r>
      <w:r w:rsidR="002068BF">
        <w:t>(</w:t>
      </w:r>
      <w:r>
        <w:t>titled “Drafting—Geographical application of Acts”</w:t>
      </w:r>
      <w:r w:rsidR="002068BF">
        <w:t>)</w:t>
      </w:r>
      <w:r>
        <w:t>.</w:t>
      </w:r>
    </w:p>
    <w:p w:rsidR="00474B8A" w:rsidRDefault="00474B8A" w:rsidP="00474B8A">
      <w:pPr>
        <w:pStyle w:val="Head2"/>
      </w:pPr>
      <w:bookmarkStart w:id="44" w:name="_Toc14677469"/>
      <w:r>
        <w:t>Exercise of powers etc. (including by Governor</w:t>
      </w:r>
      <w:r w:rsidR="004D6D60">
        <w:noBreakHyphen/>
      </w:r>
      <w:r>
        <w:t>General)</w:t>
      </w:r>
      <w:bookmarkEnd w:id="44"/>
    </w:p>
    <w:p w:rsidR="00474B8A" w:rsidRDefault="00474B8A" w:rsidP="00474B8A">
      <w:pPr>
        <w:pStyle w:val="BodyNum"/>
      </w:pPr>
      <w:r>
        <w:t>There are a number of issues that drafters need to be aware of when conferring powers on people. A number of these are covered in Drafting Direction 3.4 which covers the following matters:</w:t>
      </w:r>
    </w:p>
    <w:p w:rsidR="00474B8A" w:rsidRDefault="00474B8A" w:rsidP="000537DE">
      <w:pPr>
        <w:pStyle w:val="BodyPara"/>
      </w:pPr>
      <w:r>
        <w:t xml:space="preserve">the implied conferral of powers and the decision in </w:t>
      </w:r>
      <w:r w:rsidR="000537DE" w:rsidRPr="000537DE">
        <w:rPr>
          <w:i/>
        </w:rPr>
        <w:t xml:space="preserve">Hong Kong Bank v ASC </w:t>
      </w:r>
      <w:r w:rsidR="000537DE">
        <w:t>(</w:t>
      </w:r>
      <w:r w:rsidR="000537DE" w:rsidRPr="000537DE">
        <w:t>1992) 108 ALR 70</w:t>
      </w:r>
      <w:r>
        <w:t>;</w:t>
      </w:r>
    </w:p>
    <w:p w:rsidR="00474B8A" w:rsidRDefault="00474B8A" w:rsidP="00474B8A">
      <w:pPr>
        <w:pStyle w:val="BodyPara"/>
      </w:pPr>
      <w:r>
        <w:t xml:space="preserve">the </w:t>
      </w:r>
      <w:r w:rsidR="005F5748">
        <w:t>application of</w:t>
      </w:r>
      <w:r w:rsidR="008D19A4">
        <w:t xml:space="preserve"> </w:t>
      </w:r>
      <w:r>
        <w:t>subsection 33(3)</w:t>
      </w:r>
      <w:r w:rsidR="008D19A4">
        <w:t xml:space="preserve"> of the </w:t>
      </w:r>
      <w:r w:rsidR="008D19A4" w:rsidRPr="005F5748">
        <w:rPr>
          <w:i/>
        </w:rPr>
        <w:t>Acts Interpretation Act</w:t>
      </w:r>
      <w:r w:rsidR="005F5748" w:rsidRPr="005F5748">
        <w:rPr>
          <w:i/>
        </w:rPr>
        <w:t xml:space="preserve"> 1901</w:t>
      </w:r>
      <w:r>
        <w:t>;</w:t>
      </w:r>
    </w:p>
    <w:p w:rsidR="00474B8A" w:rsidRDefault="00474B8A" w:rsidP="00474B8A">
      <w:pPr>
        <w:pStyle w:val="BodyPara"/>
      </w:pPr>
      <w:r>
        <w:t>the effect of changes in legislation on delegations;</w:t>
      </w:r>
    </w:p>
    <w:p w:rsidR="00474B8A" w:rsidRDefault="00474B8A" w:rsidP="00474B8A">
      <w:pPr>
        <w:pStyle w:val="BodyPara"/>
      </w:pPr>
      <w:r>
        <w:lastRenderedPageBreak/>
        <w:t>that Ministers or Departments should not be required to consult other Ministers or Departments;</w:t>
      </w:r>
    </w:p>
    <w:p w:rsidR="00474B8A" w:rsidRDefault="00474B8A" w:rsidP="00474B8A">
      <w:pPr>
        <w:pStyle w:val="BodyPara"/>
      </w:pPr>
      <w:r>
        <w:t>whether a person, who is authorised to exercise a power “after report” or “after receiving a recommendation” of some person or authority, may exercise the power otherwise than in accordance with the report or recommendation.</w:t>
      </w:r>
    </w:p>
    <w:p w:rsidR="00474B8A" w:rsidRDefault="00474B8A" w:rsidP="00474B8A">
      <w:pPr>
        <w:pStyle w:val="BodyNum"/>
      </w:pPr>
      <w:r>
        <w:t>Drafters also need to be aware that, when conferring a power on the Governor</w:t>
      </w:r>
      <w:r w:rsidR="004D6D60">
        <w:noBreakHyphen/>
      </w:r>
      <w:r>
        <w:t>General, the power should not be subject to any precondition that requires the Governor</w:t>
      </w:r>
      <w:r w:rsidR="004D6D60">
        <w:noBreakHyphen/>
      </w:r>
      <w:r>
        <w:t>General to consider a matter. If a precondition is required, it should require that another person, generally the Minister, consider a matter. This is covered in more detail in Drafting Direction 3.4.</w:t>
      </w:r>
    </w:p>
    <w:p w:rsidR="00474B8A" w:rsidRDefault="00704FCC" w:rsidP="00474B8A">
      <w:pPr>
        <w:pStyle w:val="Head2"/>
      </w:pPr>
      <w:bookmarkStart w:id="45" w:name="_Toc14677470"/>
      <w:r>
        <w:t xml:space="preserve">Offences, </w:t>
      </w:r>
      <w:r w:rsidR="00474B8A">
        <w:t>penalties, self</w:t>
      </w:r>
      <w:r w:rsidR="004D6D60">
        <w:noBreakHyphen/>
      </w:r>
      <w:r w:rsidR="00474B8A">
        <w:t>incrimination, secrecy provisions and enforcement powers</w:t>
      </w:r>
      <w:bookmarkEnd w:id="45"/>
    </w:p>
    <w:p w:rsidR="00474B8A" w:rsidRDefault="00474B8A" w:rsidP="00474B8A">
      <w:pPr>
        <w:pStyle w:val="BodyNum"/>
      </w:pPr>
      <w:r>
        <w:t>The</w:t>
      </w:r>
      <w:r w:rsidR="00704FCC">
        <w:t xml:space="preserve"> drafting of offences, </w:t>
      </w:r>
      <w:r>
        <w:t>penalties, self</w:t>
      </w:r>
      <w:r w:rsidR="004D6D60">
        <w:noBreakHyphen/>
      </w:r>
      <w:r>
        <w:t>incrimination provisions, secrecy provisions and enforcement powers are an important part of the work of OPC.</w:t>
      </w:r>
    </w:p>
    <w:p w:rsidR="00474B8A" w:rsidRDefault="00474B8A" w:rsidP="00474B8A">
      <w:pPr>
        <w:pStyle w:val="BodyNum"/>
      </w:pPr>
      <w:r>
        <w:t>When drafting provisions dealing wit</w:t>
      </w:r>
      <w:r w:rsidR="003E419E">
        <w:t>h offences, criminal penalties,</w:t>
      </w:r>
      <w:r>
        <w:t xml:space="preserve"> secrecy provisions and enforcement powers, drafters should refer to the relevant sections of the Guide to Framing Commonwealth Offences, Infringement Notices </w:t>
      </w:r>
      <w:r w:rsidR="001A56A4">
        <w:t>a</w:t>
      </w:r>
      <w:r>
        <w:t xml:space="preserve">nd Enforcement Powers (available at </w:t>
      </w:r>
      <w:r w:rsidRPr="008C36FC">
        <w:t>http://www.ag.gov.au</w:t>
      </w:r>
      <w:r>
        <w:t>).</w:t>
      </w:r>
      <w:r w:rsidR="003E419E">
        <w:t xml:space="preserve"> </w:t>
      </w:r>
      <w:r w:rsidR="003E419E" w:rsidRPr="003E419E">
        <w:t>When drafting self-incrimination provisions, drafters should refer to that Guide and the Administrative Law, Evidence and Legislative Instruments Scrutiny Guide.</w:t>
      </w:r>
    </w:p>
    <w:p w:rsidR="00474B8A" w:rsidRDefault="00474B8A" w:rsidP="00474B8A">
      <w:pPr>
        <w:pStyle w:val="BodyNum"/>
      </w:pPr>
      <w:r>
        <w:t>Where issues arise in relation to matters covered by the Guide</w:t>
      </w:r>
      <w:r w:rsidR="003E419E">
        <w:t xml:space="preserve"> to Framing Commonwealth Offences, Infringement Notices </w:t>
      </w:r>
      <w:r w:rsidR="001A56A4">
        <w:t>a</w:t>
      </w:r>
      <w:r w:rsidR="003E419E">
        <w:t>nd Enforcement Powers</w:t>
      </w:r>
      <w:r>
        <w:t>, they should be raised with OPC’s Criminal Law Liaison Officer. This will ensure that dealings with the Criminal Law area of the Attorney</w:t>
      </w:r>
      <w:r w:rsidR="004D6D60">
        <w:noBreakHyphen/>
      </w:r>
      <w:r>
        <w:t>General’s Department are coordinated.</w:t>
      </w:r>
    </w:p>
    <w:p w:rsidR="00704FCC" w:rsidRDefault="00704FCC" w:rsidP="00474B8A">
      <w:pPr>
        <w:pStyle w:val="BodyNum"/>
      </w:pPr>
      <w:r>
        <w:t>The drafting of civil penalty provisions is not currently dealt with by any specific area of the Attorney</w:t>
      </w:r>
      <w:r w:rsidR="004D6D60">
        <w:noBreakHyphen/>
      </w:r>
      <w:r>
        <w:t>General’s Department.</w:t>
      </w:r>
    </w:p>
    <w:p w:rsidR="00474B8A" w:rsidRDefault="00474B8A" w:rsidP="00474B8A">
      <w:pPr>
        <w:pStyle w:val="BodyNum"/>
      </w:pPr>
      <w:r>
        <w:t>Drafting Direction 3.5, in addition to setting out information about the Guide</w:t>
      </w:r>
      <w:r w:rsidR="003E419E">
        <w:t xml:space="preserve"> to Framing Commonwealth Offences, Infringement Notices </w:t>
      </w:r>
      <w:r w:rsidR="001A56A4">
        <w:t>a</w:t>
      </w:r>
      <w:r w:rsidR="003E419E">
        <w:t>nd Enforcement Powers</w:t>
      </w:r>
      <w:r>
        <w:t xml:space="preserve"> and the Criminal Law Liaison Officer, provides more detail in the following areas:</w:t>
      </w:r>
    </w:p>
    <w:p w:rsidR="00474B8A" w:rsidRDefault="00474B8A" w:rsidP="00474B8A">
      <w:pPr>
        <w:pStyle w:val="BodyPara"/>
      </w:pPr>
      <w:r>
        <w:t>the form of offence provisions: using the expression “commits an offence” and not the expression “a person may/must only” to create an offence</w:t>
      </w:r>
      <w:r w:rsidR="003E419E">
        <w:t xml:space="preserve"> and forms for strict liability</w:t>
      </w:r>
      <w:r w:rsidR="006242F2">
        <w:t xml:space="preserve"> and</w:t>
      </w:r>
      <w:r w:rsidR="003E419E">
        <w:t xml:space="preserve"> absolute liability</w:t>
      </w:r>
      <w:r>
        <w:t>;</w:t>
      </w:r>
    </w:p>
    <w:p w:rsidR="00474B8A" w:rsidRDefault="00474B8A" w:rsidP="00474B8A">
      <w:pPr>
        <w:pStyle w:val="BodyPara"/>
      </w:pPr>
      <w:r>
        <w:t>penalties for criminal offences: using penalty units and not using the expression “Maximum penalty”;</w:t>
      </w:r>
    </w:p>
    <w:p w:rsidR="00474B8A" w:rsidRDefault="00474B8A" w:rsidP="00474B8A">
      <w:pPr>
        <w:pStyle w:val="BodyPara"/>
      </w:pPr>
      <w:r>
        <w:t>penalties for civil penalty provisions;</w:t>
      </w:r>
    </w:p>
    <w:p w:rsidR="00474B8A" w:rsidRDefault="00474B8A" w:rsidP="00474B8A">
      <w:pPr>
        <w:pStyle w:val="BodyPara"/>
      </w:pPr>
      <w:r>
        <w:t>aggravated offences;</w:t>
      </w:r>
    </w:p>
    <w:p w:rsidR="00474B8A" w:rsidRDefault="00474B8A" w:rsidP="00474B8A">
      <w:pPr>
        <w:pStyle w:val="BodyPara"/>
      </w:pPr>
      <w:r>
        <w:t>the geographical jurisdiction of offences;</w:t>
      </w:r>
    </w:p>
    <w:p w:rsidR="00474B8A" w:rsidRDefault="00474B8A" w:rsidP="00474B8A">
      <w:pPr>
        <w:pStyle w:val="BodyPara"/>
      </w:pPr>
      <w:r>
        <w:t xml:space="preserve">general offences created by Chapter 7 of the </w:t>
      </w:r>
      <w:r>
        <w:rPr>
          <w:i/>
        </w:rPr>
        <w:t>Criminal Code</w:t>
      </w:r>
      <w:r>
        <w:t>;</w:t>
      </w:r>
    </w:p>
    <w:p w:rsidR="00474B8A" w:rsidRDefault="00474B8A" w:rsidP="00474B8A">
      <w:pPr>
        <w:pStyle w:val="BodyPara"/>
      </w:pPr>
      <w:r>
        <w:lastRenderedPageBreak/>
        <w:t>the basis of the privilege against self</w:t>
      </w:r>
      <w:r w:rsidR="004D6D60">
        <w:noBreakHyphen/>
      </w:r>
      <w:r>
        <w:t>incrimination and the abrogation and preservation of the privilege;</w:t>
      </w:r>
    </w:p>
    <w:p w:rsidR="00474B8A" w:rsidRDefault="00474B8A" w:rsidP="00474B8A">
      <w:pPr>
        <w:pStyle w:val="BodyPara"/>
      </w:pPr>
      <w:r>
        <w:t>secrecy provisions to take account of powers of the Parliament and Parliamentary Committees;</w:t>
      </w:r>
    </w:p>
    <w:p w:rsidR="00474B8A" w:rsidRDefault="00474B8A" w:rsidP="00474B8A">
      <w:pPr>
        <w:pStyle w:val="BodyPara"/>
      </w:pPr>
      <w:r>
        <w:t>compensation for damage to electronic equipment or data.</w:t>
      </w:r>
    </w:p>
    <w:p w:rsidR="00C5116C" w:rsidRPr="00C5116C" w:rsidRDefault="00C5116C" w:rsidP="00C5116C">
      <w:pPr>
        <w:pStyle w:val="BodyNum"/>
      </w:pPr>
      <w:r w:rsidRPr="00C5116C">
        <w:t>Note th</w:t>
      </w:r>
      <w:r>
        <w:t>at the approval of the Attorney</w:t>
      </w:r>
      <w:r>
        <w:noBreakHyphen/>
      </w:r>
      <w:r w:rsidRPr="00C5116C">
        <w:t>General may be needed for an abrogation of the privilege against self-incrimination.</w:t>
      </w:r>
    </w:p>
    <w:p w:rsidR="00474B8A" w:rsidRDefault="00474B8A" w:rsidP="00474B8A">
      <w:pPr>
        <w:pStyle w:val="Head2"/>
      </w:pPr>
      <w:bookmarkStart w:id="46" w:name="_Toc14677471"/>
      <w:r>
        <w:t>Statutory authorities</w:t>
      </w:r>
      <w:bookmarkEnd w:id="46"/>
    </w:p>
    <w:p w:rsidR="00474B8A" w:rsidRDefault="00474B8A" w:rsidP="00474B8A">
      <w:pPr>
        <w:pStyle w:val="BodyNum"/>
      </w:pPr>
      <w:r>
        <w:t xml:space="preserve">The drafting of legislation in relation to statutory authorities is a very large topic. </w:t>
      </w:r>
    </w:p>
    <w:p w:rsidR="00474B8A" w:rsidRDefault="00474B8A" w:rsidP="00474B8A">
      <w:pPr>
        <w:pStyle w:val="BodyNum"/>
      </w:pPr>
      <w:r>
        <w:t>Drafting Direction 3.6 deals with various matters in relation to the establishment of a new statutory authority.</w:t>
      </w:r>
    </w:p>
    <w:p w:rsidR="00474B8A" w:rsidRDefault="00474B8A" w:rsidP="00474B8A">
      <w:pPr>
        <w:pStyle w:val="Head2"/>
      </w:pPr>
      <w:bookmarkStart w:id="47" w:name="_Toc14677472"/>
      <w:r>
        <w:t>Tribunals and other administrative bodies</w:t>
      </w:r>
      <w:bookmarkEnd w:id="47"/>
    </w:p>
    <w:p w:rsidR="00474B8A" w:rsidRDefault="00474B8A" w:rsidP="00474B8A">
      <w:pPr>
        <w:pStyle w:val="BodyNum"/>
      </w:pPr>
      <w:r>
        <w:t>Many decisions by Commonwealth decision</w:t>
      </w:r>
      <w:r w:rsidR="004D6D60">
        <w:noBreakHyphen/>
      </w:r>
      <w:r>
        <w:t>makers are reviewable by the Administrative Appeals Tribunal</w:t>
      </w:r>
      <w:r w:rsidR="00C5116C">
        <w:t xml:space="preserve"> (</w:t>
      </w:r>
      <w:r w:rsidR="00C5116C" w:rsidRPr="00C5116C">
        <w:rPr>
          <w:b/>
          <w:i/>
        </w:rPr>
        <w:t>AAT</w:t>
      </w:r>
      <w:r w:rsidR="00C5116C">
        <w:t>)</w:t>
      </w:r>
      <w:r>
        <w:t>. This is a merits review.</w:t>
      </w:r>
    </w:p>
    <w:p w:rsidR="00474B8A" w:rsidRDefault="00474B8A" w:rsidP="00474B8A">
      <w:pPr>
        <w:pStyle w:val="BodyNum"/>
      </w:pPr>
      <w:r>
        <w:t>In addition, there are a range of specialist tribunals that have been set up to review decisions in particular areas.</w:t>
      </w:r>
      <w:r w:rsidR="00C5116C">
        <w:t xml:space="preserve"> </w:t>
      </w:r>
      <w:r w:rsidR="00C5116C" w:rsidRPr="00C5116C">
        <w:t>It is government policy that no new merits review bodies should be created.</w:t>
      </w:r>
    </w:p>
    <w:p w:rsidR="00474B8A" w:rsidRDefault="00474B8A" w:rsidP="006242F2">
      <w:pPr>
        <w:pStyle w:val="BodyNum"/>
      </w:pPr>
      <w:r>
        <w:t xml:space="preserve">The paper by the Administrative Review Council, “What decisions should be subject to merits review?” </w:t>
      </w:r>
      <w:r w:rsidR="001A56A4">
        <w:t xml:space="preserve">(which is in Drafting Note 95.10) </w:t>
      </w:r>
      <w:r>
        <w:t xml:space="preserve">sets out guidelines about which decisions should be subject to merits review. </w:t>
      </w:r>
      <w:r w:rsidR="00C5116C" w:rsidRPr="00C5116C">
        <w:t>The Administrative Law, Evidence and Legislative Instruments Scrutiny Guide also contains useful material on this topic and other matters relevant to merits review.</w:t>
      </w:r>
      <w:r w:rsidR="00C5116C">
        <w:t xml:space="preserve"> </w:t>
      </w:r>
      <w:r>
        <w:t>The</w:t>
      </w:r>
      <w:r w:rsidR="00C5116C">
        <w:t>se</w:t>
      </w:r>
      <w:r>
        <w:t xml:space="preserve"> paper</w:t>
      </w:r>
      <w:r w:rsidR="00C5116C">
        <w:t>s</w:t>
      </w:r>
      <w:r>
        <w:t xml:space="preserve"> </w:t>
      </w:r>
      <w:r w:rsidR="00C5116C">
        <w:t>are</w:t>
      </w:r>
      <w:r>
        <w:t xml:space="preserve"> availabl</w:t>
      </w:r>
      <w:r w:rsidRPr="006242F2">
        <w:rPr>
          <w:lang w:eastAsia="en-US"/>
        </w:rPr>
        <w:t>e in the Drafting Notes</w:t>
      </w:r>
      <w:r w:rsidR="006242F2" w:rsidRPr="006242F2">
        <w:rPr>
          <w:lang w:eastAsia="en-US"/>
        </w:rPr>
        <w:t xml:space="preserve"> and Other Drafting Documents parts of Folio Office Documents</w:t>
      </w:r>
      <w:r>
        <w:t>.</w:t>
      </w:r>
    </w:p>
    <w:p w:rsidR="00C5116C" w:rsidRDefault="00C5116C" w:rsidP="00C5116C">
      <w:pPr>
        <w:pStyle w:val="BodyNum"/>
      </w:pPr>
      <w:r>
        <w:t xml:space="preserve">The </w:t>
      </w:r>
      <w:r w:rsidR="009671F0">
        <w:t>a</w:t>
      </w:r>
      <w:r>
        <w:t xml:space="preserve">dministrative </w:t>
      </w:r>
      <w:r w:rsidR="009671F0">
        <w:t>l</w:t>
      </w:r>
      <w:r>
        <w:t xml:space="preserve">aw </w:t>
      </w:r>
      <w:r w:rsidR="009671F0">
        <w:t>area</w:t>
      </w:r>
      <w:r>
        <w:t xml:space="preserve"> of the Attorney-General’s Department should be consulted in relation to any proposals to:</w:t>
      </w:r>
    </w:p>
    <w:p w:rsidR="00C5116C" w:rsidRPr="00C5116C" w:rsidRDefault="00C5116C" w:rsidP="00C5116C">
      <w:pPr>
        <w:pStyle w:val="BodyPara"/>
      </w:pPr>
      <w:r w:rsidRPr="00C5116C">
        <w:t>exclude merits review (after considering the Administrative Review Council paper); or</w:t>
      </w:r>
    </w:p>
    <w:p w:rsidR="00C5116C" w:rsidRPr="00C5116C" w:rsidRDefault="00C5116C" w:rsidP="00C5116C">
      <w:pPr>
        <w:pStyle w:val="BodyPara"/>
      </w:pPr>
      <w:r w:rsidRPr="00C5116C">
        <w:t>vary any AAT review right or AAT procedure; or</w:t>
      </w:r>
    </w:p>
    <w:p w:rsidR="00C5116C" w:rsidRDefault="00C5116C" w:rsidP="00C5116C">
      <w:pPr>
        <w:pStyle w:val="BodyPara"/>
      </w:pPr>
      <w:r w:rsidRPr="00C5116C">
        <w:t>create a new merits review body.</w:t>
      </w:r>
    </w:p>
    <w:p w:rsidR="00474B8A" w:rsidRDefault="00474B8A" w:rsidP="00474B8A">
      <w:pPr>
        <w:pStyle w:val="BodyNum"/>
      </w:pPr>
      <w:r>
        <w:t>Drafting Direction 3.7 deals with the notification of review rights, the protection and liabilities of witnesses and contempt in relation to tribunal proceedings.</w:t>
      </w:r>
    </w:p>
    <w:p w:rsidR="00474B8A" w:rsidRDefault="00474B8A" w:rsidP="00474B8A">
      <w:pPr>
        <w:pStyle w:val="Head2"/>
      </w:pPr>
      <w:bookmarkStart w:id="48" w:name="_Toc14677473"/>
      <w:r>
        <w:t xml:space="preserve">Subordinate </w:t>
      </w:r>
      <w:r w:rsidR="009671F0">
        <w:t>instruments</w:t>
      </w:r>
      <w:bookmarkEnd w:id="48"/>
    </w:p>
    <w:p w:rsidR="00474B8A" w:rsidRDefault="00474B8A" w:rsidP="00474B8A">
      <w:pPr>
        <w:pStyle w:val="BodyNum"/>
      </w:pPr>
      <w:r>
        <w:t xml:space="preserve">The passage of the </w:t>
      </w:r>
      <w:r>
        <w:rPr>
          <w:i/>
        </w:rPr>
        <w:t>Legislati</w:t>
      </w:r>
      <w:r w:rsidR="003917D3">
        <w:rPr>
          <w:i/>
        </w:rPr>
        <w:t>ve Instruments</w:t>
      </w:r>
      <w:r>
        <w:rPr>
          <w:i/>
        </w:rPr>
        <w:t xml:space="preserve"> Act 2003</w:t>
      </w:r>
      <w:r>
        <w:t xml:space="preserve"> </w:t>
      </w:r>
      <w:r w:rsidR="009671F0">
        <w:t xml:space="preserve">(now the </w:t>
      </w:r>
      <w:r w:rsidR="009671F0" w:rsidRPr="009671F0">
        <w:rPr>
          <w:i/>
        </w:rPr>
        <w:t>Legislation Act 2003</w:t>
      </w:r>
      <w:r w:rsidR="009671F0">
        <w:t xml:space="preserve">) </w:t>
      </w:r>
      <w:r>
        <w:t xml:space="preserve">changed a number of aspects of the way in which provisions providing for subordinate </w:t>
      </w:r>
      <w:r w:rsidR="009671F0">
        <w:t>instruments</w:t>
      </w:r>
      <w:r>
        <w:t xml:space="preserve"> are drafted. Consequently, any earlier precedents should be treated with caution.</w:t>
      </w:r>
    </w:p>
    <w:p w:rsidR="00474B8A" w:rsidRDefault="00474B8A" w:rsidP="00474B8A">
      <w:pPr>
        <w:pStyle w:val="BodyNum"/>
      </w:pPr>
      <w:r>
        <w:lastRenderedPageBreak/>
        <w:t xml:space="preserve">Drafting Direction 3.8 covers the drafting of provisions in Bills related to subordinate </w:t>
      </w:r>
      <w:r w:rsidR="009671F0">
        <w:t>instruments</w:t>
      </w:r>
      <w:r>
        <w:t xml:space="preserve"> in some detail.</w:t>
      </w:r>
    </w:p>
    <w:p w:rsidR="00474B8A" w:rsidRDefault="00474B8A" w:rsidP="00474B8A">
      <w:pPr>
        <w:pStyle w:val="Head2"/>
      </w:pPr>
      <w:bookmarkStart w:id="49" w:name="_Toc14677474"/>
      <w:r>
        <w:t>Evidence and proof (including oaths and affirmations)</w:t>
      </w:r>
      <w:bookmarkEnd w:id="49"/>
    </w:p>
    <w:p w:rsidR="00474B8A" w:rsidRDefault="00474B8A" w:rsidP="00474B8A">
      <w:pPr>
        <w:pStyle w:val="BodyNum"/>
      </w:pPr>
      <w:r>
        <w:t>Drafting Direction 3.9 deals with the following matters:</w:t>
      </w:r>
    </w:p>
    <w:p w:rsidR="00C5116C" w:rsidRPr="00C5116C" w:rsidRDefault="001E71CB" w:rsidP="00C5116C">
      <w:pPr>
        <w:pStyle w:val="BodyPara"/>
      </w:pPr>
      <w:r>
        <w:t>d</w:t>
      </w:r>
      <w:r w:rsidR="00C5116C">
        <w:t>epartures from the Evidence Act and the existing common law rules of evidence;</w:t>
      </w:r>
    </w:p>
    <w:p w:rsidR="00474B8A" w:rsidRDefault="00474B8A" w:rsidP="00474B8A">
      <w:pPr>
        <w:pStyle w:val="BodyPara"/>
      </w:pPr>
      <w:r>
        <w:t>certificates or other instruments that are prima facie evidence or conclusive evidence of a matter;</w:t>
      </w:r>
    </w:p>
    <w:p w:rsidR="00474B8A" w:rsidRDefault="00474B8A" w:rsidP="00474B8A">
      <w:pPr>
        <w:pStyle w:val="BodyPara"/>
      </w:pPr>
      <w:r>
        <w:t>documents purporting to be a certificate or other instrument that are taken to be such a certificate or other instrument;</w:t>
      </w:r>
    </w:p>
    <w:p w:rsidR="00474B8A" w:rsidRDefault="00474B8A" w:rsidP="00474B8A">
      <w:pPr>
        <w:pStyle w:val="BodyPara"/>
      </w:pPr>
      <w:r>
        <w:t>the making of oaths and affirmations;</w:t>
      </w:r>
    </w:p>
    <w:p w:rsidR="00474B8A" w:rsidRDefault="00474B8A" w:rsidP="00474B8A">
      <w:pPr>
        <w:pStyle w:val="BodyPara"/>
      </w:pPr>
      <w:r>
        <w:t xml:space="preserve">the persons before whom an </w:t>
      </w:r>
      <w:r w:rsidR="00C5116C">
        <w:t>oath or affirmation may be made;</w:t>
      </w:r>
    </w:p>
    <w:p w:rsidR="00C5116C" w:rsidRDefault="00C5116C" w:rsidP="00474B8A">
      <w:pPr>
        <w:pStyle w:val="BodyPara"/>
      </w:pPr>
      <w:r>
        <w:t>privileges.</w:t>
      </w:r>
    </w:p>
    <w:p w:rsidR="00C5116C" w:rsidRPr="00C5116C" w:rsidRDefault="00C5116C" w:rsidP="00C5116C">
      <w:pPr>
        <w:pStyle w:val="BodyNum"/>
      </w:pPr>
      <w:r>
        <w:t xml:space="preserve">The Administrative Law, Evidence and Legislative Instruments Scrutiny Guide deals with evidence, including the privilege against self-incrimination, legal professional privilege and other privileges. </w:t>
      </w:r>
      <w:r w:rsidR="00461EBD">
        <w:t xml:space="preserve">Various areas of the Attorney-General’s Department </w:t>
      </w:r>
      <w:r>
        <w:t>should be consulted on proposals that seek to override the rules of evidence or to abrogate privileges</w:t>
      </w:r>
      <w:r w:rsidR="00461EBD">
        <w:t xml:space="preserve"> (see Drafting Direction 4.2)</w:t>
      </w:r>
      <w:r>
        <w:t>. The approval of the Attorney-General may need to be sought on proposals that seek to abrogate privileges.</w:t>
      </w:r>
    </w:p>
    <w:p w:rsidR="00474B8A" w:rsidRDefault="00474B8A" w:rsidP="00474B8A">
      <w:pPr>
        <w:pStyle w:val="Head2"/>
      </w:pPr>
      <w:bookmarkStart w:id="50" w:name="_Toc14677475"/>
      <w:r>
        <w:t>Australian governments or jurisdictions</w:t>
      </w:r>
      <w:bookmarkEnd w:id="50"/>
    </w:p>
    <w:p w:rsidR="00474B8A" w:rsidRDefault="00474B8A" w:rsidP="00474B8A">
      <w:pPr>
        <w:pStyle w:val="BodyNum"/>
      </w:pPr>
      <w:r>
        <w:t xml:space="preserve">Many </w:t>
      </w:r>
      <w:r w:rsidR="00EA0068">
        <w:t>Acts and instruments</w:t>
      </w:r>
      <w:r>
        <w:t xml:space="preserve"> have the potential to apply to the Commonwealth and/or States and Territories. Whether </w:t>
      </w:r>
      <w:r w:rsidR="00F767BC">
        <w:t>they</w:t>
      </w:r>
      <w:r>
        <w:t xml:space="preserve"> will in particular cases is a matter of policy.</w:t>
      </w:r>
    </w:p>
    <w:p w:rsidR="00474B8A" w:rsidRDefault="00474B8A" w:rsidP="00474B8A">
      <w:pPr>
        <w:pStyle w:val="BodyNum"/>
      </w:pPr>
      <w:r>
        <w:t>Drafting Direction 3.10 covers the following:</w:t>
      </w:r>
    </w:p>
    <w:p w:rsidR="00474B8A" w:rsidRDefault="00474B8A" w:rsidP="00474B8A">
      <w:pPr>
        <w:pStyle w:val="BodyPara"/>
      </w:pPr>
      <w:r>
        <w:t>binding the Crown;</w:t>
      </w:r>
    </w:p>
    <w:p w:rsidR="00474B8A" w:rsidRDefault="00474B8A" w:rsidP="00474B8A">
      <w:pPr>
        <w:pStyle w:val="BodyPara"/>
      </w:pPr>
      <w:r>
        <w:t>how to refer to States and Territories;</w:t>
      </w:r>
    </w:p>
    <w:p w:rsidR="00474B8A" w:rsidRDefault="00474B8A" w:rsidP="00474B8A">
      <w:pPr>
        <w:pStyle w:val="BodyPara"/>
      </w:pPr>
      <w:r>
        <w:t>application of laws to a Territory (other than ACT and NT);</w:t>
      </w:r>
    </w:p>
    <w:p w:rsidR="00474B8A" w:rsidRDefault="00474B8A" w:rsidP="00474B8A">
      <w:pPr>
        <w:pStyle w:val="BodyPara"/>
      </w:pPr>
      <w:r>
        <w:t>States grants;</w:t>
      </w:r>
    </w:p>
    <w:p w:rsidR="00474B8A" w:rsidRDefault="00474B8A" w:rsidP="00474B8A">
      <w:pPr>
        <w:pStyle w:val="BodyPara"/>
      </w:pPr>
      <w:r>
        <w:t>State land titles functions.</w:t>
      </w:r>
    </w:p>
    <w:p w:rsidR="00474B8A" w:rsidRDefault="00474B8A" w:rsidP="00474B8A">
      <w:pPr>
        <w:pStyle w:val="Head2"/>
      </w:pPr>
      <w:bookmarkStart w:id="51" w:name="_Toc14677476"/>
      <w:r>
        <w:t>Commonwealth agreements (including treaties and conventions etc.)</w:t>
      </w:r>
      <w:bookmarkEnd w:id="51"/>
    </w:p>
    <w:p w:rsidR="00474B8A" w:rsidRDefault="00474B8A" w:rsidP="00474B8A">
      <w:pPr>
        <w:pStyle w:val="BodyNum"/>
      </w:pPr>
      <w:r>
        <w:t>The Commonwealth enters into a range of agreements that then need to be implemented by, or referred to in, legislation. Agreements that the Commonwealth enters will generally fall into one of the following broad categories:</w:t>
      </w:r>
    </w:p>
    <w:p w:rsidR="00474B8A" w:rsidRDefault="00474B8A" w:rsidP="00474B8A">
      <w:pPr>
        <w:pStyle w:val="BodyPara"/>
      </w:pPr>
      <w:bookmarkStart w:id="52" w:name="_Ref442099584"/>
      <w:r>
        <w:lastRenderedPageBreak/>
        <w:t>international agreements that are binding at international law (e.g. treaties and conventions);</w:t>
      </w:r>
      <w:bookmarkEnd w:id="52"/>
    </w:p>
    <w:p w:rsidR="00474B8A" w:rsidRDefault="00474B8A" w:rsidP="00474B8A">
      <w:pPr>
        <w:pStyle w:val="BodyPara"/>
      </w:pPr>
      <w:bookmarkStart w:id="53" w:name="_Ref442099594"/>
      <w:r>
        <w:t>non</w:t>
      </w:r>
      <w:r w:rsidR="004D6D60">
        <w:noBreakHyphen/>
      </w:r>
      <w:r>
        <w:t>binding international agreements;</w:t>
      </w:r>
      <w:bookmarkEnd w:id="53"/>
    </w:p>
    <w:p w:rsidR="00474B8A" w:rsidRDefault="00474B8A" w:rsidP="00474B8A">
      <w:pPr>
        <w:pStyle w:val="BodyPara"/>
      </w:pPr>
      <w:bookmarkStart w:id="54" w:name="_Ref442099607"/>
      <w:r>
        <w:t>domestic agreements between the Commonwealth and other domestic bodies politic such as the States and Territories;</w:t>
      </w:r>
      <w:bookmarkEnd w:id="54"/>
    </w:p>
    <w:p w:rsidR="00474B8A" w:rsidRDefault="00474B8A" w:rsidP="00474B8A">
      <w:pPr>
        <w:pStyle w:val="BodyPara"/>
      </w:pPr>
      <w:bookmarkStart w:id="55" w:name="_Ref442099615"/>
      <w:r>
        <w:t>informal agreements or contracts between the Commonwealth and private parties (these agreements may involve either domestic or foreign private parties but would be governed by private, not public, law).</w:t>
      </w:r>
      <w:bookmarkEnd w:id="55"/>
    </w:p>
    <w:p w:rsidR="00474B8A" w:rsidRDefault="00474B8A" w:rsidP="00474B8A">
      <w:pPr>
        <w:pStyle w:val="BodyNum"/>
      </w:pPr>
      <w:r>
        <w:t xml:space="preserve">The matters you need to consider vary according to the kind of agreement in question. Drafting Direction 3.11 deals with the following in relation to agreements covered by paragraphs </w:t>
      </w:r>
      <w:r w:rsidR="006242F2">
        <w:fldChar w:fldCharType="begin"/>
      </w:r>
      <w:r w:rsidR="006242F2">
        <w:instrText xml:space="preserve"> REF _Ref442099584 \r \h </w:instrText>
      </w:r>
      <w:r w:rsidR="006242F2">
        <w:fldChar w:fldCharType="separate"/>
      </w:r>
      <w:r w:rsidR="006242F2">
        <w:t>132(a)</w:t>
      </w:r>
      <w:r w:rsidR="006242F2">
        <w:fldChar w:fldCharType="end"/>
      </w:r>
      <w:r w:rsidR="006242F2">
        <w:t xml:space="preserve"> and </w:t>
      </w:r>
      <w:r w:rsidR="006242F2">
        <w:fldChar w:fldCharType="begin"/>
      </w:r>
      <w:r w:rsidR="006242F2">
        <w:instrText xml:space="preserve"> REF _Ref442099594 \r \h </w:instrText>
      </w:r>
      <w:r w:rsidR="006242F2">
        <w:fldChar w:fldCharType="separate"/>
      </w:r>
      <w:r w:rsidR="006242F2">
        <w:t>132(b)</w:t>
      </w:r>
      <w:r w:rsidR="006242F2">
        <w:fldChar w:fldCharType="end"/>
      </w:r>
      <w:r>
        <w:t>:</w:t>
      </w:r>
    </w:p>
    <w:p w:rsidR="00474B8A" w:rsidRDefault="00474B8A" w:rsidP="00474B8A">
      <w:pPr>
        <w:pStyle w:val="BodyPara"/>
      </w:pPr>
      <w:r>
        <w:t>the role of Parliament;</w:t>
      </w:r>
    </w:p>
    <w:p w:rsidR="00474B8A" w:rsidRDefault="00474B8A" w:rsidP="00474B8A">
      <w:pPr>
        <w:pStyle w:val="BodyPara"/>
      </w:pPr>
      <w:r>
        <w:t>identifying international agreements.</w:t>
      </w:r>
    </w:p>
    <w:p w:rsidR="00474B8A" w:rsidRDefault="00474B8A" w:rsidP="00474B8A">
      <w:pPr>
        <w:pStyle w:val="BodyNum"/>
      </w:pPr>
      <w:r>
        <w:t xml:space="preserve">Drafting Direction 3.11 deals with the following in relation to agreements covered by paragraphs </w:t>
      </w:r>
      <w:r w:rsidR="006242F2">
        <w:fldChar w:fldCharType="begin"/>
      </w:r>
      <w:r w:rsidR="006242F2">
        <w:instrText xml:space="preserve"> REF _Ref442099607 \r \h </w:instrText>
      </w:r>
      <w:r w:rsidR="006242F2">
        <w:fldChar w:fldCharType="separate"/>
      </w:r>
      <w:r w:rsidR="006242F2">
        <w:t>132(c)</w:t>
      </w:r>
      <w:r w:rsidR="006242F2">
        <w:fldChar w:fldCharType="end"/>
      </w:r>
      <w:r w:rsidR="006242F2">
        <w:t xml:space="preserve"> and </w:t>
      </w:r>
      <w:r w:rsidR="006242F2">
        <w:fldChar w:fldCharType="begin"/>
      </w:r>
      <w:r w:rsidR="006242F2">
        <w:instrText xml:space="preserve"> REF _Ref442099615 \r \h </w:instrText>
      </w:r>
      <w:r w:rsidR="006242F2">
        <w:fldChar w:fldCharType="separate"/>
      </w:r>
      <w:r w:rsidR="006242F2">
        <w:t>132(d)</w:t>
      </w:r>
      <w:r w:rsidR="006242F2">
        <w:fldChar w:fldCharType="end"/>
      </w:r>
      <w:r>
        <w:t>:</w:t>
      </w:r>
    </w:p>
    <w:p w:rsidR="00474B8A" w:rsidRDefault="00474B8A" w:rsidP="00474B8A">
      <w:pPr>
        <w:pStyle w:val="BodyPara"/>
      </w:pPr>
      <w:r>
        <w:t>the authority to enter these kinds of agreements;</w:t>
      </w:r>
    </w:p>
    <w:p w:rsidR="00474B8A" w:rsidRDefault="00474B8A" w:rsidP="00474B8A">
      <w:pPr>
        <w:pStyle w:val="BodyPara"/>
      </w:pPr>
      <w:r>
        <w:t>payments under agreements;</w:t>
      </w:r>
    </w:p>
    <w:p w:rsidR="00474B8A" w:rsidRDefault="00474B8A" w:rsidP="00474B8A">
      <w:pPr>
        <w:pStyle w:val="BodyPara"/>
      </w:pPr>
      <w:r>
        <w:t>agreements entered into by Ministers and other Commonwealth officers;</w:t>
      </w:r>
    </w:p>
    <w:p w:rsidR="00474B8A" w:rsidRDefault="00474B8A" w:rsidP="00474B8A">
      <w:pPr>
        <w:pStyle w:val="BodyPara"/>
      </w:pPr>
      <w:r>
        <w:t>identifying domestic or private agreements.</w:t>
      </w:r>
    </w:p>
    <w:p w:rsidR="00474B8A" w:rsidRDefault="00474B8A" w:rsidP="00474B8A">
      <w:pPr>
        <w:pStyle w:val="BodyNum"/>
      </w:pPr>
      <w:r>
        <w:t xml:space="preserve">The formatting of agreements in legislation is dealt with in Word Note </w:t>
      </w:r>
      <w:r w:rsidR="00F767BC">
        <w:t>4.3</w:t>
      </w:r>
      <w:r>
        <w:t>. The basic rule is that the agreement should be formatted in a way that is substantially similar to the format of the agreement. Exactly how closely the format of the agreement will be followed will be a matter of judgement in each case.</w:t>
      </w:r>
      <w:r w:rsidR="00057E40">
        <w:t xml:space="preserve"> </w:t>
      </w:r>
    </w:p>
    <w:p w:rsidR="00474B8A" w:rsidRDefault="00474B8A" w:rsidP="00474B8A">
      <w:pPr>
        <w:pStyle w:val="BodyNum"/>
      </w:pPr>
      <w:r>
        <w:t xml:space="preserve">Drafting Notes </w:t>
      </w:r>
      <w:r w:rsidR="00B0635E">
        <w:t>20.25 and 20.30 also deal</w:t>
      </w:r>
      <w:r>
        <w:t xml:space="preserve"> with giving effect to international agreements.</w:t>
      </w:r>
    </w:p>
    <w:p w:rsidR="00474B8A" w:rsidRDefault="00474B8A" w:rsidP="00474B8A">
      <w:pPr>
        <w:pStyle w:val="Head2"/>
      </w:pPr>
      <w:bookmarkStart w:id="56" w:name="_Toc14677477"/>
      <w:r>
        <w:t>Appropriations and public money</w:t>
      </w:r>
      <w:bookmarkEnd w:id="56"/>
    </w:p>
    <w:p w:rsidR="00474B8A" w:rsidRPr="003E7C7B" w:rsidRDefault="00474B8A" w:rsidP="00474B8A">
      <w:pPr>
        <w:pStyle w:val="BodyNum"/>
      </w:pPr>
      <w:r>
        <w:t>At times it is necessary in a Bill to make clear that the provision itself is not an appropriation but that a further express appropriation is requir</w:t>
      </w:r>
      <w:r w:rsidR="00704FCC">
        <w:t>ed before payments can be made.</w:t>
      </w:r>
    </w:p>
    <w:p w:rsidR="00474B8A" w:rsidRDefault="00474B8A" w:rsidP="00474B8A">
      <w:pPr>
        <w:pStyle w:val="BodyNum"/>
      </w:pPr>
      <w:r>
        <w:t>Drafting Direction 3.12 sets out the forms of words that should be used to achieve this in particular cases.</w:t>
      </w:r>
    </w:p>
    <w:p w:rsidR="00474B8A" w:rsidRDefault="00474B8A" w:rsidP="00474B8A">
      <w:pPr>
        <w:pStyle w:val="Head2"/>
      </w:pPr>
      <w:bookmarkStart w:id="57" w:name="_Toc14677478"/>
      <w:r>
        <w:t>Explanatory material</w:t>
      </w:r>
      <w:bookmarkEnd w:id="57"/>
    </w:p>
    <w:p w:rsidR="00474B8A" w:rsidRDefault="00474B8A" w:rsidP="00474B8A">
      <w:pPr>
        <w:pStyle w:val="BodyNum"/>
      </w:pPr>
      <w:r>
        <w:t>At OPC we include a range of explanatory material within legislation to assist the users of our legislation.</w:t>
      </w:r>
    </w:p>
    <w:p w:rsidR="00474B8A" w:rsidRDefault="00474B8A" w:rsidP="00474B8A">
      <w:pPr>
        <w:pStyle w:val="BodyNum"/>
      </w:pPr>
      <w:r>
        <w:lastRenderedPageBreak/>
        <w:t>These include simplified outlines, decentralised tables of contents, flowcharts, examples and notes. More information about these can be found in various papers in the Drafting Notes (See particularly “When words are not enough: Graphics and other innovations in legislative drafting” by Hilary Penfold QC).</w:t>
      </w:r>
    </w:p>
    <w:p w:rsidR="007727C8" w:rsidRDefault="007727C8" w:rsidP="00474B8A">
      <w:pPr>
        <w:pStyle w:val="BodyNum"/>
      </w:pPr>
      <w:r>
        <w:t xml:space="preserve">Drafting Direction 1.3A deals with the use </w:t>
      </w:r>
      <w:r w:rsidR="00EA79AD">
        <w:t xml:space="preserve">and content </w:t>
      </w:r>
      <w:r>
        <w:t xml:space="preserve">of </w:t>
      </w:r>
      <w:r w:rsidR="00EA79AD">
        <w:t>simplified outlines.</w:t>
      </w:r>
    </w:p>
    <w:p w:rsidR="00474B8A" w:rsidRDefault="00474B8A" w:rsidP="00474B8A">
      <w:pPr>
        <w:pStyle w:val="BodyNum"/>
      </w:pPr>
      <w:r>
        <w:t>Drafting Direction 3.13 sets out the form of note that should be used to refer to a case to explain an amendment.</w:t>
      </w:r>
    </w:p>
    <w:p w:rsidR="00474B8A" w:rsidRDefault="00474B8A" w:rsidP="00474B8A">
      <w:pPr>
        <w:pStyle w:val="Head1"/>
      </w:pPr>
      <w:r>
        <w:t>Procedural matters</w:t>
      </w:r>
    </w:p>
    <w:p w:rsidR="00474B8A" w:rsidRDefault="00474B8A" w:rsidP="00474B8A">
      <w:pPr>
        <w:pStyle w:val="Head2"/>
      </w:pPr>
      <w:bookmarkStart w:id="58" w:name="_Toc14677479"/>
      <w:r>
        <w:t>Introduction</w:t>
      </w:r>
      <w:bookmarkEnd w:id="58"/>
    </w:p>
    <w:p w:rsidR="00474B8A" w:rsidRDefault="00474B8A" w:rsidP="00474B8A">
      <w:pPr>
        <w:pStyle w:val="BodyNum"/>
      </w:pPr>
      <w:r>
        <w:t>Information about procedural matters within OPC can be found in a number of sources. This partially reflects history—it depends where the information was first recorded—and it partially reflects the different users within OPC—it has been put where it is considered the relevant users are most likely to find it.</w:t>
      </w:r>
    </w:p>
    <w:p w:rsidR="00474B8A" w:rsidRDefault="00474B8A" w:rsidP="00474B8A">
      <w:pPr>
        <w:pStyle w:val="BodyNum"/>
      </w:pPr>
      <w:r>
        <w:t>This section of the manual describes some of the sources. It also gives an overview of where material on certain topics can be found.</w:t>
      </w:r>
    </w:p>
    <w:p w:rsidR="00474B8A" w:rsidRDefault="00474B8A" w:rsidP="00474B8A">
      <w:pPr>
        <w:pStyle w:val="Head2"/>
      </w:pPr>
      <w:bookmarkStart w:id="59" w:name="_Toc14677480"/>
      <w:r>
        <w:t>Manuals</w:t>
      </w:r>
      <w:bookmarkEnd w:id="59"/>
    </w:p>
    <w:p w:rsidR="00474B8A" w:rsidRDefault="00474B8A" w:rsidP="00474B8A">
      <w:pPr>
        <w:pStyle w:val="BodyNum"/>
      </w:pPr>
      <w:r>
        <w:t xml:space="preserve">OPC </w:t>
      </w:r>
      <w:r w:rsidR="004A3115">
        <w:t>has developed</w:t>
      </w:r>
      <w:r>
        <w:t xml:space="preserve"> a range of manuals</w:t>
      </w:r>
      <w:r w:rsidR="009468E1">
        <w:t xml:space="preserve"> (in addition to this one)</w:t>
      </w:r>
      <w:r>
        <w:t xml:space="preserve"> for staff in particular areas of the office. Although some, such as the Domestic Travel Manual, have little direct relevance to drafting, others contain detailed information about processes surrounding the preparation of </w:t>
      </w:r>
      <w:r w:rsidR="00F75D44">
        <w:t>legislation</w:t>
      </w:r>
      <w:r>
        <w:t xml:space="preserve">. The manuals </w:t>
      </w:r>
      <w:r w:rsidR="00EA79AD">
        <w:t xml:space="preserve">and related documents </w:t>
      </w:r>
      <w:r>
        <w:t>that are most closely related to drafting are:</w:t>
      </w:r>
    </w:p>
    <w:p w:rsidR="00474B8A" w:rsidRDefault="00474B8A" w:rsidP="00474B8A">
      <w:pPr>
        <w:pStyle w:val="BodyPara"/>
      </w:pPr>
      <w:r>
        <w:t xml:space="preserve">the </w:t>
      </w:r>
      <w:r w:rsidR="00EA79AD">
        <w:t>Bills Officer</w:t>
      </w:r>
      <w:r>
        <w:t xml:space="preserve"> Manual; and</w:t>
      </w:r>
    </w:p>
    <w:p w:rsidR="00474B8A" w:rsidRDefault="00474B8A" w:rsidP="00474B8A">
      <w:pPr>
        <w:pStyle w:val="BodyPara"/>
      </w:pPr>
      <w:r>
        <w:t>the Editorial Team Manual; and</w:t>
      </w:r>
    </w:p>
    <w:p w:rsidR="00474B8A" w:rsidRDefault="00474B8A" w:rsidP="00474B8A">
      <w:pPr>
        <w:pStyle w:val="BodyPara"/>
      </w:pPr>
      <w:r>
        <w:t xml:space="preserve">the </w:t>
      </w:r>
      <w:r w:rsidR="00EA79AD">
        <w:t>Editorial training sessions document</w:t>
      </w:r>
      <w:r>
        <w:t>.</w:t>
      </w:r>
    </w:p>
    <w:p w:rsidR="00474B8A" w:rsidRDefault="00474B8A" w:rsidP="00474B8A">
      <w:pPr>
        <w:pStyle w:val="Head2"/>
      </w:pPr>
      <w:bookmarkStart w:id="60" w:name="_Toc14677481"/>
      <w:r>
        <w:t>Office Procedural Circulars</w:t>
      </w:r>
      <w:bookmarkEnd w:id="60"/>
    </w:p>
    <w:p w:rsidR="00474B8A" w:rsidRDefault="00474B8A" w:rsidP="00474B8A">
      <w:pPr>
        <w:pStyle w:val="BodyNum"/>
      </w:pPr>
      <w:r>
        <w:t>Office Procedural Circulars are a numbered series of circulars on matters of ongoing relevance to staff generally or to a particular group of staff. They deal with operational matters that are not strictly drafting matters. They are generally issued by FPC. The General Manager</w:t>
      </w:r>
      <w:r w:rsidR="00EA79AD">
        <w:t xml:space="preserve"> Corporate Services</w:t>
      </w:r>
      <w:r>
        <w:t xml:space="preserve"> is responsible for their numbering. Together they constitute a detailed body of information that is of importance to everyone in OPC.</w:t>
      </w:r>
    </w:p>
    <w:p w:rsidR="00474B8A" w:rsidRDefault="00474B8A" w:rsidP="00474B8A">
      <w:pPr>
        <w:pStyle w:val="Head2"/>
      </w:pPr>
      <w:bookmarkStart w:id="61" w:name="_Toc14677482"/>
      <w:r>
        <w:t>Information Technology Circulars and Word Notes</w:t>
      </w:r>
      <w:bookmarkEnd w:id="61"/>
    </w:p>
    <w:p w:rsidR="00474B8A" w:rsidRDefault="00474B8A" w:rsidP="00474B8A">
      <w:pPr>
        <w:pStyle w:val="BodyNum"/>
      </w:pPr>
      <w:r>
        <w:t>These are two numbered series of circulars issued by the Information Technology staff to provide guidance for the effective use of computers in the various applications available in OPC and to provide guidance for the effective use of OPC’s highly customised Word system.</w:t>
      </w:r>
    </w:p>
    <w:p w:rsidR="00474B8A" w:rsidRDefault="00474B8A" w:rsidP="00474B8A">
      <w:pPr>
        <w:pStyle w:val="BodyNum"/>
      </w:pPr>
      <w:r>
        <w:lastRenderedPageBreak/>
        <w:t xml:space="preserve">Drafters need to be very familiar with the matters covered by Word Notes. Some Word Notes, particularly Word Notes </w:t>
      </w:r>
      <w:r w:rsidR="00EA79AD">
        <w:t>4.1</w:t>
      </w:r>
      <w:r>
        <w:t xml:space="preserve"> and 4</w:t>
      </w:r>
      <w:r w:rsidR="00EA79AD">
        <w:t>.2</w:t>
      </w:r>
      <w:r>
        <w:t xml:space="preserve">, contain rules about the formatting of legislation and must be applied by all staff who work on legislation. Other Word Notes, particularly Word Notes </w:t>
      </w:r>
      <w:r w:rsidR="00EA79AD">
        <w:t>6.5, 6.6 and 6.8</w:t>
      </w:r>
      <w:r>
        <w:t xml:space="preserve"> contain important information about the processes for preparing </w:t>
      </w:r>
      <w:r w:rsidR="003A6872">
        <w:t>legislation</w:t>
      </w:r>
      <w:r>
        <w:t xml:space="preserve"> for printing and for introduction into Parliament.</w:t>
      </w:r>
      <w:r w:rsidR="00EA6092">
        <w:t xml:space="preserve"> Word Note </w:t>
      </w:r>
      <w:r w:rsidR="00EA79AD">
        <w:t>6.10</w:t>
      </w:r>
      <w:r w:rsidR="00EA6092">
        <w:t xml:space="preserve"> contains information about preparing instruments.</w:t>
      </w:r>
    </w:p>
    <w:p w:rsidR="00474B8A" w:rsidRDefault="00474B8A" w:rsidP="00474B8A">
      <w:pPr>
        <w:pStyle w:val="BodyNum"/>
      </w:pPr>
      <w:r>
        <w:t>The IT Circulars tend to provide more general guidance on the use of the OPC IT system although IT Circular 20 (on Folio Databases),</w:t>
      </w:r>
      <w:r w:rsidR="008C4146">
        <w:t xml:space="preserve"> IT Circular 45 (on the PENGUIN database)</w:t>
      </w:r>
      <w:r>
        <w:t xml:space="preserve"> </w:t>
      </w:r>
      <w:r w:rsidR="008C4146">
        <w:t xml:space="preserve">and </w:t>
      </w:r>
      <w:r>
        <w:t xml:space="preserve">IT Circular 47 (on </w:t>
      </w:r>
      <w:r w:rsidR="008C4146">
        <w:t>o</w:t>
      </w:r>
      <w:r>
        <w:t>nline research services</w:t>
      </w:r>
      <w:r w:rsidR="008C4146">
        <w:t>)</w:t>
      </w:r>
      <w:r>
        <w:t xml:space="preserve"> are obviously very relevant to our drafting work.</w:t>
      </w:r>
    </w:p>
    <w:p w:rsidR="00474B8A" w:rsidRDefault="00474B8A" w:rsidP="00474B8A">
      <w:pPr>
        <w:pStyle w:val="Head2"/>
      </w:pPr>
      <w:bookmarkStart w:id="62" w:name="_Toc14677483"/>
      <w:r>
        <w:t>Procedural matters covered by Drafting Directions</w:t>
      </w:r>
      <w:bookmarkEnd w:id="62"/>
    </w:p>
    <w:p w:rsidR="00474B8A" w:rsidRDefault="00474B8A" w:rsidP="00474B8A">
      <w:pPr>
        <w:pStyle w:val="Head3"/>
      </w:pPr>
      <w:bookmarkStart w:id="63" w:name="_Toc14677484"/>
      <w:r>
        <w:t>Introduction</w:t>
      </w:r>
      <w:bookmarkEnd w:id="63"/>
    </w:p>
    <w:p w:rsidR="00474B8A" w:rsidRDefault="00474B8A" w:rsidP="00474B8A">
      <w:pPr>
        <w:pStyle w:val="BodyNum"/>
      </w:pPr>
      <w:r>
        <w:t>There are a number of procedural matters that are particularly important to drafters. These are currently covered by Drafting Directions</w:t>
      </w:r>
      <w:r w:rsidR="009468E1">
        <w:t xml:space="preserve"> and Office Procedural Circulars</w:t>
      </w:r>
      <w:r>
        <w:t>.</w:t>
      </w:r>
    </w:p>
    <w:p w:rsidR="00474B8A" w:rsidRDefault="00474B8A" w:rsidP="00474B8A">
      <w:pPr>
        <w:pStyle w:val="Head3"/>
      </w:pPr>
      <w:bookmarkStart w:id="64" w:name="_Toc14677485"/>
      <w:r>
        <w:t>Relationships with instructors</w:t>
      </w:r>
      <w:bookmarkEnd w:id="64"/>
    </w:p>
    <w:p w:rsidR="00474B8A" w:rsidRDefault="00474B8A" w:rsidP="00474B8A">
      <w:pPr>
        <w:pStyle w:val="Head4"/>
      </w:pPr>
      <w:bookmarkStart w:id="65" w:name="_Toc14677486"/>
      <w:r>
        <w:t>Who is our “client”</w:t>
      </w:r>
      <w:bookmarkEnd w:id="65"/>
    </w:p>
    <w:p w:rsidR="00474B8A" w:rsidRDefault="00474B8A" w:rsidP="00474B8A">
      <w:pPr>
        <w:pStyle w:val="BodyNum"/>
      </w:pPr>
      <w:r>
        <w:t>An important thing to remember when dealing with instructors is that they are not our sole “client” for a particular Bill. The “client” should generally be seen as the Government as a whole.</w:t>
      </w:r>
    </w:p>
    <w:p w:rsidR="00474B8A" w:rsidRDefault="00474B8A" w:rsidP="00474B8A">
      <w:pPr>
        <w:pStyle w:val="BodyNum"/>
      </w:pPr>
      <w:r>
        <w:t>This distinction is important because it means that there are matters—particularly the checking of authority and the referral of drafts to other agencies—where our responsibility may conflict with the wishes of our instructors.</w:t>
      </w:r>
    </w:p>
    <w:p w:rsidR="00474B8A" w:rsidRDefault="00474B8A" w:rsidP="00474B8A">
      <w:pPr>
        <w:pStyle w:val="Head4"/>
      </w:pPr>
      <w:bookmarkStart w:id="66" w:name="_Toc14677487"/>
      <w:r>
        <w:t>Bills</w:t>
      </w:r>
      <w:r w:rsidR="008D19A4">
        <w:t xml:space="preserve"> and instruments</w:t>
      </w:r>
      <w:r>
        <w:t xml:space="preserve"> with multiple “instructors”</w:t>
      </w:r>
      <w:bookmarkEnd w:id="66"/>
    </w:p>
    <w:p w:rsidR="00474B8A" w:rsidRDefault="00474B8A" w:rsidP="00474B8A">
      <w:pPr>
        <w:pStyle w:val="BodyNum"/>
      </w:pPr>
      <w:r>
        <w:t>On some projects, there will be a number of agencies with a legitimate interest in the Bill</w:t>
      </w:r>
      <w:r w:rsidR="00704FCC">
        <w:t xml:space="preserve"> or instrument</w:t>
      </w:r>
      <w:r>
        <w:t>. For example, when drafting a Bill</w:t>
      </w:r>
      <w:r w:rsidR="00704FCC">
        <w:t xml:space="preserve"> or instrument</w:t>
      </w:r>
      <w:r>
        <w:t xml:space="preserve"> affecting the operations of a statutory agency, there may be the portfolio Department as well as the agency and possibly a central agency. Often, these agencies will be represented at drafting meetings and may provide comments on draft Bills.</w:t>
      </w:r>
    </w:p>
    <w:p w:rsidR="00474B8A" w:rsidRDefault="00474B8A" w:rsidP="00474B8A">
      <w:pPr>
        <w:pStyle w:val="BodyNum"/>
      </w:pPr>
      <w:r>
        <w:t xml:space="preserve">It is important </w:t>
      </w:r>
      <w:r w:rsidR="00704FCC">
        <w:t xml:space="preserve">in such </w:t>
      </w:r>
      <w:r w:rsidR="003976CC">
        <w:t>projects that</w:t>
      </w:r>
      <w:r>
        <w:t xml:space="preserve"> drafters determine who the instructor is. The drafter should then only act on instructions that are given by (or agreed to by) that instructor. This ensures that the drafter is not caught in the middle of disputes by making changes that are not authorised by the person or agency responsible for preparing the Bill</w:t>
      </w:r>
      <w:r w:rsidR="00704FCC">
        <w:t xml:space="preserve"> or instrument</w:t>
      </w:r>
      <w:r>
        <w:t xml:space="preserve"> for Government.</w:t>
      </w:r>
    </w:p>
    <w:p w:rsidR="00474B8A" w:rsidRDefault="00474B8A" w:rsidP="00474B8A">
      <w:pPr>
        <w:pStyle w:val="BodyNum"/>
      </w:pPr>
      <w:r>
        <w:t>Normally, the instructor will be from the portfolio Department that is most affected.</w:t>
      </w:r>
    </w:p>
    <w:p w:rsidR="00474B8A" w:rsidRDefault="00474B8A" w:rsidP="00474B8A">
      <w:pPr>
        <w:pStyle w:val="BodyNum"/>
      </w:pPr>
      <w:r>
        <w:t>In general, drafters should take a flexible approach to the involvement of other agencies in the drafting process. They should however ensure that the instructing agency is aware of all discussions etc. that are held. It is also normally good practice to require that the instructing agency formally issue all instructions.</w:t>
      </w:r>
    </w:p>
    <w:p w:rsidR="00474B8A" w:rsidRDefault="00474B8A" w:rsidP="00474B8A">
      <w:pPr>
        <w:pStyle w:val="BodyNum"/>
      </w:pPr>
      <w:r>
        <w:lastRenderedPageBreak/>
        <w:t xml:space="preserve">In some areas where this issue is common, standing arrangements have been made to ensure that all parties understand their role. For example, for Revenue legislation, the Treasury has made it clear that while they have sole responsibility for instructing, they are committed to involving the ATO. However, this involvement is only to be done at the instigation of the Treasury instructor. See Office Procedural Circular </w:t>
      </w:r>
      <w:r w:rsidR="004E4AC5">
        <w:t>8.7</w:t>
      </w:r>
      <w:r>
        <w:t xml:space="preserve"> for more information.</w:t>
      </w:r>
    </w:p>
    <w:p w:rsidR="00474B8A" w:rsidRDefault="00474B8A" w:rsidP="00474B8A">
      <w:pPr>
        <w:pStyle w:val="Head4"/>
      </w:pPr>
      <w:bookmarkStart w:id="67" w:name="_Toc14677488"/>
      <w:r>
        <w:t>Location of meetings</w:t>
      </w:r>
      <w:bookmarkEnd w:id="67"/>
    </w:p>
    <w:p w:rsidR="00474B8A" w:rsidRDefault="00474B8A" w:rsidP="00474B8A">
      <w:pPr>
        <w:pStyle w:val="BodyNum"/>
      </w:pPr>
      <w:r>
        <w:t>For many years OPC has had a practice of requesting instructors to come to OPC rather than drafters going to instructing agencies. While the continuation of this approach is supported, there will be cases where it will be more appropriate for drafters to attend some meetings at instructing agencies.</w:t>
      </w:r>
    </w:p>
    <w:p w:rsidR="00474B8A" w:rsidRDefault="00474B8A" w:rsidP="00474B8A">
      <w:pPr>
        <w:pStyle w:val="BodyNum"/>
      </w:pPr>
      <w:r>
        <w:t>One issue that arises from our preference for instructors to come to OPC is that we need to ensure that we are appropriately hospitable. To this end, carparking spaces are available for instructors and a number of conference rooms have been established. Drafters should also ensure that instructors are offered tea and coffee etc. at appropriate intervals.</w:t>
      </w:r>
    </w:p>
    <w:p w:rsidR="00474B8A" w:rsidRDefault="00474B8A" w:rsidP="00474B8A">
      <w:pPr>
        <w:pStyle w:val="BodyNum"/>
      </w:pPr>
      <w:r>
        <w:t xml:space="preserve">Details on booking conference rooms </w:t>
      </w:r>
      <w:r w:rsidR="00EA6092">
        <w:t xml:space="preserve">and car spaces for visitors </w:t>
      </w:r>
      <w:r>
        <w:t xml:space="preserve">are contained in </w:t>
      </w:r>
      <w:r w:rsidR="00EA6092">
        <w:t>IT Circular No. 14</w:t>
      </w:r>
      <w:r>
        <w:t>.</w:t>
      </w:r>
    </w:p>
    <w:p w:rsidR="00474B8A" w:rsidRDefault="00474B8A" w:rsidP="00474B8A">
      <w:pPr>
        <w:pStyle w:val="Head4"/>
      </w:pPr>
      <w:bookmarkStart w:id="68" w:name="_Toc14677489"/>
      <w:r>
        <w:t>Other matters</w:t>
      </w:r>
      <w:bookmarkEnd w:id="68"/>
    </w:p>
    <w:p w:rsidR="00474B8A" w:rsidRDefault="00474B8A" w:rsidP="00474B8A">
      <w:pPr>
        <w:pStyle w:val="BodyNum"/>
      </w:pPr>
      <w:r>
        <w:t xml:space="preserve">Drafting Direction 4.1 sets out various matters that are relevant to our dealings with instructors. </w:t>
      </w:r>
      <w:r w:rsidR="001B3A6B">
        <w:t xml:space="preserve">Drafting Note 5.10 is about initial meetings with </w:t>
      </w:r>
      <w:r>
        <w:t>instructors.</w:t>
      </w:r>
    </w:p>
    <w:p w:rsidR="00474B8A" w:rsidRDefault="00474B8A" w:rsidP="00474B8A">
      <w:pPr>
        <w:pStyle w:val="Head3"/>
      </w:pPr>
      <w:bookmarkStart w:id="69" w:name="_Toc14677490"/>
      <w:r>
        <w:t>Referral of legislation to other agencies</w:t>
      </w:r>
      <w:bookmarkEnd w:id="69"/>
    </w:p>
    <w:p w:rsidR="00474B8A" w:rsidRDefault="00474B8A" w:rsidP="00474B8A">
      <w:pPr>
        <w:pStyle w:val="BodyNum"/>
      </w:pPr>
      <w:r>
        <w:t>The referring of draft legislation to other agencies is a very important whole</w:t>
      </w:r>
      <w:r w:rsidR="004D6D60">
        <w:noBreakHyphen/>
      </w:r>
      <w:r>
        <w:t>of</w:t>
      </w:r>
      <w:r w:rsidR="004D6D60">
        <w:noBreakHyphen/>
      </w:r>
      <w:r>
        <w:t xml:space="preserve">government role for OPC. </w:t>
      </w:r>
    </w:p>
    <w:p w:rsidR="00474B8A" w:rsidRDefault="00474B8A" w:rsidP="00474B8A">
      <w:pPr>
        <w:pStyle w:val="BodyNum"/>
      </w:pPr>
      <w:r>
        <w:t>We refer Bills</w:t>
      </w:r>
      <w:r w:rsidR="00704FCC">
        <w:t xml:space="preserve"> </w:t>
      </w:r>
      <w:r w:rsidR="00430BA1">
        <w:t xml:space="preserve">and </w:t>
      </w:r>
      <w:r w:rsidR="00704FCC">
        <w:t>instrument</w:t>
      </w:r>
      <w:r w:rsidR="00E2277A">
        <w:t>s</w:t>
      </w:r>
      <w:r>
        <w:t xml:space="preserve"> to agencies who have a right or responsibility to provide policy </w:t>
      </w:r>
      <w:r w:rsidR="003976CC">
        <w:t>input</w:t>
      </w:r>
      <w:r>
        <w:t>, generally because the agency has a coordinating or whole</w:t>
      </w:r>
      <w:r w:rsidR="004D6D60">
        <w:noBreakHyphen/>
      </w:r>
      <w:r>
        <w:t>of</w:t>
      </w:r>
      <w:r w:rsidR="004D6D60">
        <w:noBreakHyphen/>
      </w:r>
      <w:r>
        <w:t>government responsibility for a matter dealt with in the Bill</w:t>
      </w:r>
      <w:r w:rsidR="003976CC">
        <w:t xml:space="preserve"> or instrument</w:t>
      </w:r>
      <w:r>
        <w:t xml:space="preserve"> (such as legal policy issues for the Attorney</w:t>
      </w:r>
      <w:r w:rsidR="004D6D60">
        <w:noBreakHyphen/>
      </w:r>
      <w:r>
        <w:t xml:space="preserve">General’s Department, public sector terms and conditions issues for the Australian Public Service Commission, </w:t>
      </w:r>
      <w:r w:rsidR="005242E7">
        <w:t>etc.)</w:t>
      </w:r>
      <w:r>
        <w:t>. The intention is to ensure that our Bills</w:t>
      </w:r>
      <w:r w:rsidR="003976CC">
        <w:t xml:space="preserve"> and instruments</w:t>
      </w:r>
      <w:r>
        <w:t xml:space="preserve"> properly reflect over</w:t>
      </w:r>
      <w:r w:rsidR="004D6D60">
        <w:noBreakHyphen/>
      </w:r>
      <w:r>
        <w:t>arching government policies.</w:t>
      </w:r>
    </w:p>
    <w:p w:rsidR="00474B8A" w:rsidRDefault="00474B8A" w:rsidP="00474B8A">
      <w:pPr>
        <w:pStyle w:val="BodyNum"/>
      </w:pPr>
      <w:r>
        <w:t>Drafting Direction 4.2 provides details of the referral of Bills</w:t>
      </w:r>
      <w:r w:rsidR="003976CC">
        <w:t xml:space="preserve"> and instruments</w:t>
      </w:r>
      <w:r>
        <w:t>.</w:t>
      </w:r>
    </w:p>
    <w:p w:rsidR="00474B8A" w:rsidRDefault="00474B8A" w:rsidP="00474B8A">
      <w:pPr>
        <w:pStyle w:val="BodyNum"/>
      </w:pPr>
      <w:r>
        <w:t xml:space="preserve">The </w:t>
      </w:r>
      <w:r w:rsidR="003976CC">
        <w:t>referral process</w:t>
      </w:r>
      <w:r>
        <w:t xml:space="preserve"> is assisted by a macro (the Ref2AGs macro) that simplifies the process of sending </w:t>
      </w:r>
      <w:r w:rsidR="003976CC">
        <w:t>material</w:t>
      </w:r>
      <w:r>
        <w:t xml:space="preserve"> to the relevant areas. Details of this macro are contained in Word Note </w:t>
      </w:r>
      <w:r w:rsidR="008355A3">
        <w:t>2.5</w:t>
      </w:r>
      <w:r>
        <w:t>.</w:t>
      </w:r>
    </w:p>
    <w:p w:rsidR="00474B8A" w:rsidRDefault="00474B8A" w:rsidP="00474B8A">
      <w:pPr>
        <w:pStyle w:val="Head3"/>
      </w:pPr>
      <w:bookmarkStart w:id="70" w:name="_Toc14677491"/>
      <w:r>
        <w:t>Consultation with States and Territories under an intergovernmental agreement</w:t>
      </w:r>
      <w:bookmarkEnd w:id="70"/>
    </w:p>
    <w:p w:rsidR="00474B8A" w:rsidRDefault="00474B8A" w:rsidP="00474B8A">
      <w:pPr>
        <w:pStyle w:val="BodyNum"/>
      </w:pPr>
      <w:r>
        <w:t>Some Commonwealth legislation is part of a national scheme of legislation that also involves the States or Territories. Other legislation has been the subject of agreements with the States and Territories that requires the Commonwealth to consult the States and Territories before it amends the legislation.</w:t>
      </w:r>
    </w:p>
    <w:p w:rsidR="00474B8A" w:rsidRDefault="00474B8A" w:rsidP="00474B8A">
      <w:pPr>
        <w:pStyle w:val="BodyNum"/>
      </w:pPr>
      <w:r>
        <w:lastRenderedPageBreak/>
        <w:t xml:space="preserve">Examples include the </w:t>
      </w:r>
      <w:r w:rsidRPr="00A501E8">
        <w:rPr>
          <w:i/>
        </w:rPr>
        <w:t xml:space="preserve">Corporations </w:t>
      </w:r>
      <w:r w:rsidR="002A5044" w:rsidRPr="00A501E8">
        <w:rPr>
          <w:i/>
        </w:rPr>
        <w:t>Act 2001</w:t>
      </w:r>
      <w:r>
        <w:t>, the GST and the agriculture and veterinary chemicals legislation.</w:t>
      </w:r>
    </w:p>
    <w:p w:rsidR="00474B8A" w:rsidRDefault="00474B8A" w:rsidP="00BE0578">
      <w:pPr>
        <w:pStyle w:val="BodyNum"/>
      </w:pPr>
      <w:r>
        <w:t>Drafting Direction 4.3 provides details of the processes that should be followed in these cases.</w:t>
      </w:r>
      <w:r w:rsidR="00BE0578">
        <w:t xml:space="preserve"> Drafting Direction 4.6 deals with p</w:t>
      </w:r>
      <w:r w:rsidR="00BE0578" w:rsidRPr="00BE0578">
        <w:t>olicy approval for drafts</w:t>
      </w:r>
      <w:r w:rsidR="00BE0578">
        <w:t xml:space="preserve"> for consultation with the States or Territories.</w:t>
      </w:r>
    </w:p>
    <w:p w:rsidR="00474B8A" w:rsidRDefault="00474B8A" w:rsidP="00474B8A">
      <w:pPr>
        <w:pStyle w:val="Head3"/>
      </w:pPr>
      <w:bookmarkStart w:id="71" w:name="_Toc14677492"/>
      <w:r>
        <w:t>Statute law revision amendments</w:t>
      </w:r>
      <w:r w:rsidR="00A55A90">
        <w:t xml:space="preserve"> and technical errors in </w:t>
      </w:r>
      <w:r w:rsidR="00022B34">
        <w:t xml:space="preserve">Bills and </w:t>
      </w:r>
      <w:r w:rsidR="00A55A90">
        <w:t>instruments</w:t>
      </w:r>
      <w:bookmarkEnd w:id="71"/>
    </w:p>
    <w:p w:rsidR="00474B8A" w:rsidRDefault="00474B8A" w:rsidP="00474B8A">
      <w:pPr>
        <w:pStyle w:val="BodyNum"/>
      </w:pPr>
      <w:r>
        <w:t xml:space="preserve">From time to time technical errors are made in Bills. Once these have been enacted, they can be fixed by an amending Act </w:t>
      </w:r>
      <w:r w:rsidR="00022B34">
        <w:t>or by FPC’s editorial powers (see Drafting Direction 4.4)</w:t>
      </w:r>
      <w:r>
        <w:t>.</w:t>
      </w:r>
    </w:p>
    <w:p w:rsidR="00474B8A" w:rsidRDefault="00474B8A" w:rsidP="00474B8A">
      <w:pPr>
        <w:pStyle w:val="BodyNum"/>
      </w:pPr>
      <w:r>
        <w:t>These technical changes are often described as Statute Law Revision, or SLR, amendments.</w:t>
      </w:r>
    </w:p>
    <w:p w:rsidR="00474B8A" w:rsidRDefault="00474B8A" w:rsidP="00474B8A">
      <w:pPr>
        <w:pStyle w:val="BodyNum"/>
      </w:pPr>
      <w:r>
        <w:t xml:space="preserve">OPC includes some SLR amendments in appropriate portfolio Bills. Where there is no appropriate portfolio Bill, the amendment </w:t>
      </w:r>
      <w:r w:rsidR="00733F6B">
        <w:t xml:space="preserve">may be </w:t>
      </w:r>
      <w:r>
        <w:t>included in a Statute Law Revision Bill. It is proposed to have such Bill</w:t>
      </w:r>
      <w:r w:rsidR="00022B34">
        <w:t>s regularly</w:t>
      </w:r>
      <w:r>
        <w:t>.</w:t>
      </w:r>
      <w:r w:rsidR="00733F6B">
        <w:t xml:space="preserve"> In limited cases, FPC’s editorial powers may be used to correct the error.</w:t>
      </w:r>
    </w:p>
    <w:p w:rsidR="00474B8A" w:rsidRDefault="00474B8A" w:rsidP="00474B8A">
      <w:pPr>
        <w:pStyle w:val="BodyNum"/>
      </w:pPr>
      <w:r>
        <w:t>Drafting Direction 4.4 provides details of the matters that need to be considered when dealing with SLR amendments and what drafters should do if they find an error in a Commonwealth Act.</w:t>
      </w:r>
    </w:p>
    <w:p w:rsidR="00474B8A" w:rsidRDefault="00474B8A" w:rsidP="00474B8A">
      <w:pPr>
        <w:pStyle w:val="BodyNum"/>
      </w:pPr>
      <w:r>
        <w:t xml:space="preserve">If technical errors are made in instruments, they can be fixed by an amending instrument </w:t>
      </w:r>
      <w:r w:rsidR="00022B34">
        <w:t>or by FPC’s editorial powers (see Drafting Direction 4.4)</w:t>
      </w:r>
      <w:r>
        <w:t>.</w:t>
      </w:r>
    </w:p>
    <w:p w:rsidR="00474B8A" w:rsidRDefault="00474B8A" w:rsidP="00474B8A">
      <w:pPr>
        <w:pStyle w:val="Head3"/>
      </w:pPr>
      <w:bookmarkStart w:id="72" w:name="_Toc14677493"/>
      <w:r>
        <w:t>Australian Government Solicitor advice</w:t>
      </w:r>
      <w:bookmarkEnd w:id="72"/>
    </w:p>
    <w:p w:rsidR="00474B8A" w:rsidRDefault="00474B8A" w:rsidP="00474B8A">
      <w:pPr>
        <w:pStyle w:val="BodyNum"/>
      </w:pPr>
      <w:r>
        <w:t>Legal issues routinely arise during the drafting of legislation. Some kinds of issues are dealt with by drafters, while other kinds of issues are more appropriately referred to the Australian Government Solicitor (</w:t>
      </w:r>
      <w:r>
        <w:rPr>
          <w:b/>
          <w:i/>
        </w:rPr>
        <w:t>AGS</w:t>
      </w:r>
      <w:r>
        <w:t>).</w:t>
      </w:r>
    </w:p>
    <w:p w:rsidR="00474B8A" w:rsidRDefault="00474B8A" w:rsidP="00474B8A">
      <w:pPr>
        <w:pStyle w:val="BodyNum"/>
      </w:pPr>
      <w:r>
        <w:t>Drafting Direction 4.5 provides some guidelines for when it is appropriate for drafters to refer legal issues to AGS. It also sets out the process that is to be followed once it is decided to refer a matter to AGS.</w:t>
      </w:r>
    </w:p>
    <w:p w:rsidR="00474B8A" w:rsidRDefault="00474B8A" w:rsidP="00474B8A">
      <w:pPr>
        <w:pStyle w:val="BodyNum"/>
      </w:pPr>
      <w:r>
        <w:t xml:space="preserve">The drafter’s role routinely involves answering instructors’ questions about things such as the interpretation of a particular provision in the Bill or instrument, the interpretation of the Act or instrument being amended or of other legislation, the constitutionality of the Bill </w:t>
      </w:r>
      <w:r w:rsidR="00E37F33">
        <w:t xml:space="preserve">or instrument </w:t>
      </w:r>
      <w:r>
        <w:t>or any part of it, or how the general law might apply in particular circumstances. The issues can range from straightforward to extremely complex, and from relatively unimportant issues to issues that are crucial to the legislation’s legal effectiveness.</w:t>
      </w:r>
    </w:p>
    <w:p w:rsidR="0080400D" w:rsidRDefault="00474B8A" w:rsidP="0080400D">
      <w:pPr>
        <w:pStyle w:val="BodyNum"/>
      </w:pPr>
      <w:bookmarkStart w:id="73" w:name="_Ref442692666"/>
      <w:r>
        <w:t xml:space="preserve">Under the Legal Services Directions, </w:t>
      </w:r>
      <w:r w:rsidR="0080400D" w:rsidRPr="00B609F3">
        <w:t xml:space="preserve">legal work is tied to </w:t>
      </w:r>
      <w:r w:rsidR="0080400D">
        <w:t>AGS and the Attorney</w:t>
      </w:r>
      <w:r w:rsidR="004D6D60">
        <w:noBreakHyphen/>
      </w:r>
      <w:r w:rsidR="0080400D">
        <w:t>General’s Department</w:t>
      </w:r>
      <w:r w:rsidR="0080400D" w:rsidRPr="00B609F3">
        <w:t xml:space="preserve"> if it involves</w:t>
      </w:r>
      <w:r w:rsidR="0080400D">
        <w:t>:</w:t>
      </w:r>
      <w:bookmarkEnd w:id="73"/>
    </w:p>
    <w:p w:rsidR="0080400D" w:rsidRDefault="0080400D" w:rsidP="0080400D">
      <w:pPr>
        <w:pStyle w:val="BodyPara"/>
      </w:pPr>
      <w:r w:rsidRPr="00B609F3">
        <w:t>constitutional law issues</w:t>
      </w:r>
      <w:r>
        <w:t>; or</w:t>
      </w:r>
    </w:p>
    <w:p w:rsidR="0080400D" w:rsidRDefault="0080400D" w:rsidP="0080400D">
      <w:pPr>
        <w:pStyle w:val="BodyPara"/>
      </w:pPr>
      <w:r w:rsidRPr="00B76854">
        <w:t>national security issues</w:t>
      </w:r>
      <w:r>
        <w:t>; or</w:t>
      </w:r>
    </w:p>
    <w:p w:rsidR="0080400D" w:rsidRDefault="0080400D" w:rsidP="0080400D">
      <w:pPr>
        <w:pStyle w:val="BodyPara"/>
      </w:pPr>
      <w:r w:rsidRPr="00B609F3">
        <w:lastRenderedPageBreak/>
        <w:t xml:space="preserve">legal advice </w:t>
      </w:r>
      <w:r w:rsidRPr="00B76854">
        <w:t>which is to be considered by Cabinet or relied on in preparing a Cabinet submission or memorandum</w:t>
      </w:r>
      <w:r>
        <w:t>; or</w:t>
      </w:r>
    </w:p>
    <w:p w:rsidR="0080400D" w:rsidRDefault="0080400D" w:rsidP="0080400D">
      <w:pPr>
        <w:pStyle w:val="BodyPara"/>
      </w:pPr>
      <w:r w:rsidRPr="00B76854">
        <w:t>legal advice on a legislative proposal to be considered for adoption by government or on draft legislation for introduction into Parliament</w:t>
      </w:r>
      <w:r>
        <w:t>.</w:t>
      </w:r>
    </w:p>
    <w:p w:rsidR="00AE05CB" w:rsidRDefault="00474B8A" w:rsidP="00474B8A">
      <w:pPr>
        <w:pStyle w:val="BodyNum"/>
      </w:pPr>
      <w:bookmarkStart w:id="74" w:name="_Ref442692675"/>
      <w:r>
        <w:t>Similarly, advice on compliance with treaties is tied to the Attorney</w:t>
      </w:r>
      <w:r w:rsidR="004D6D60">
        <w:noBreakHyphen/>
      </w:r>
      <w:r>
        <w:t>General’s Department, AGS or the Department of Foreign Affairs and Trade.</w:t>
      </w:r>
      <w:bookmarkEnd w:id="74"/>
    </w:p>
    <w:p w:rsidR="00474B8A" w:rsidRDefault="00474B8A" w:rsidP="00474B8A">
      <w:pPr>
        <w:pStyle w:val="BodyNum"/>
      </w:pPr>
      <w:r>
        <w:t>Questions about the rules for tied work should be directed to the Office of Legal Services Coordination (</w:t>
      </w:r>
      <w:r w:rsidRPr="00387E1C">
        <w:rPr>
          <w:b/>
          <w:i/>
        </w:rPr>
        <w:t>OLSC</w:t>
      </w:r>
      <w:r>
        <w:t>) in the Attorney</w:t>
      </w:r>
      <w:r w:rsidR="004D6D60">
        <w:noBreakHyphen/>
      </w:r>
      <w:r>
        <w:t>General’s Department.</w:t>
      </w:r>
    </w:p>
    <w:p w:rsidR="00474B8A" w:rsidRDefault="00D76973" w:rsidP="00474B8A">
      <w:pPr>
        <w:pStyle w:val="BodyNum"/>
      </w:pPr>
      <w:r>
        <w:t xml:space="preserve">OPC is a tied provider for </w:t>
      </w:r>
      <w:r w:rsidR="00C423E1">
        <w:t xml:space="preserve">certain </w:t>
      </w:r>
      <w:r>
        <w:t xml:space="preserve">“drafting work”, but, as indicated by </w:t>
      </w:r>
      <w:r w:rsidR="00376E8E">
        <w:t xml:space="preserve">paragraphs </w:t>
      </w:r>
      <w:r w:rsidR="00376E8E">
        <w:fldChar w:fldCharType="begin"/>
      </w:r>
      <w:r w:rsidR="00376E8E">
        <w:instrText xml:space="preserve"> REF _Ref442692666 \r \h </w:instrText>
      </w:r>
      <w:r w:rsidR="00376E8E">
        <w:fldChar w:fldCharType="separate"/>
      </w:r>
      <w:r w:rsidR="00376E8E">
        <w:t>190</w:t>
      </w:r>
      <w:r w:rsidR="00376E8E">
        <w:fldChar w:fldCharType="end"/>
      </w:r>
      <w:r w:rsidR="00376E8E">
        <w:t xml:space="preserve"> and </w:t>
      </w:r>
      <w:r w:rsidR="00376E8E">
        <w:fldChar w:fldCharType="begin"/>
      </w:r>
      <w:r w:rsidR="00376E8E">
        <w:instrText xml:space="preserve"> REF _Ref442692675 \r \h </w:instrText>
      </w:r>
      <w:r w:rsidR="00376E8E">
        <w:fldChar w:fldCharType="separate"/>
      </w:r>
      <w:r w:rsidR="00376E8E">
        <w:t>191</w:t>
      </w:r>
      <w:r w:rsidR="00376E8E">
        <w:fldChar w:fldCharType="end"/>
      </w:r>
      <w:r>
        <w:t>,</w:t>
      </w:r>
      <w:r w:rsidR="00376E8E">
        <w:t xml:space="preserve"> </w:t>
      </w:r>
      <w:r w:rsidR="000464FE">
        <w:t>some legal work (for example, constitutional law advice) is tied to other agencies</w:t>
      </w:r>
      <w:r>
        <w:t xml:space="preserve">. </w:t>
      </w:r>
      <w:r w:rsidR="00474B8A">
        <w:t>While drafters can employ their knowledge of constitutional law and other issues to inform the drafting process, they are prevented from providing, for example, constitutional law advice.</w:t>
      </w:r>
    </w:p>
    <w:p w:rsidR="00474B8A" w:rsidRDefault="00474B8A" w:rsidP="00474B8A">
      <w:pPr>
        <w:pStyle w:val="BodyNum"/>
      </w:pPr>
      <w:r>
        <w:t>It is a matter for a drafter’s discretion whether a particular legal issue is one that can be properly dealt with by the drafter drawing on his or her own knowledge, or one that should be referred to AGS for advice.</w:t>
      </w:r>
    </w:p>
    <w:p w:rsidR="0070560F" w:rsidRPr="00B609F3" w:rsidRDefault="0070560F" w:rsidP="0070560F">
      <w:pPr>
        <w:pStyle w:val="BodyNum"/>
      </w:pPr>
      <w:bookmarkStart w:id="75" w:name="_Ref213150368"/>
      <w:r w:rsidRPr="00B609F3">
        <w:t>However, generally, drafters should refer a legal issue to AGS if any of the following apply:</w:t>
      </w:r>
      <w:bookmarkEnd w:id="75"/>
    </w:p>
    <w:p w:rsidR="0070560F" w:rsidRPr="00B609F3" w:rsidRDefault="0070560F" w:rsidP="0070560F">
      <w:pPr>
        <w:pStyle w:val="BodyPara"/>
      </w:pPr>
      <w:r w:rsidRPr="00B609F3">
        <w:t>the issue is not completely clear</w:t>
      </w:r>
      <w:r w:rsidR="004D6D60">
        <w:noBreakHyphen/>
      </w:r>
      <w:r w:rsidRPr="00B609F3">
        <w:t>cut and its resolution may have serious, or politically significant, consequences;</w:t>
      </w:r>
    </w:p>
    <w:p w:rsidR="0070560F" w:rsidRPr="00B609F3" w:rsidRDefault="0070560F" w:rsidP="0070560F">
      <w:pPr>
        <w:pStyle w:val="BodyPara"/>
      </w:pPr>
      <w:r w:rsidRPr="00B609F3">
        <w:t>there is a real issue of constitutional law;</w:t>
      </w:r>
    </w:p>
    <w:p w:rsidR="0070560F" w:rsidRPr="00B609F3" w:rsidRDefault="0070560F" w:rsidP="0070560F">
      <w:pPr>
        <w:pStyle w:val="BodyPara"/>
      </w:pPr>
      <w:r w:rsidRPr="00B609F3">
        <w:t>the instructors intend or would expect to refer to or rely on the advice they receive in the course of legal or parliamentary proceedings or public debate;</w:t>
      </w:r>
    </w:p>
    <w:p w:rsidR="0070560F" w:rsidRPr="00B609F3" w:rsidRDefault="0070560F" w:rsidP="0070560F">
      <w:pPr>
        <w:pStyle w:val="BodyPara"/>
      </w:pPr>
      <w:r w:rsidRPr="00B609F3">
        <w:t>the instructors require written advice on the issue for their records</w:t>
      </w:r>
      <w:r>
        <w:t xml:space="preserve"> </w:t>
      </w:r>
      <w:r w:rsidRPr="00105E96">
        <w:t>(unless, for example, the issue is closely related to drafting, such as the effect of a commencement provision)</w:t>
      </w:r>
      <w:r w:rsidRPr="00B609F3">
        <w:t>;</w:t>
      </w:r>
    </w:p>
    <w:p w:rsidR="0070560F" w:rsidRPr="00B609F3" w:rsidRDefault="0070560F" w:rsidP="0070560F">
      <w:pPr>
        <w:pStyle w:val="BodyPara"/>
      </w:pPr>
      <w:r w:rsidRPr="00B609F3">
        <w:t xml:space="preserve">it is a request for a drafter to interpret a provision that he or she drafted, once the </w:t>
      </w:r>
      <w:r>
        <w:t>legislation has been passed or made</w:t>
      </w:r>
      <w:r w:rsidRPr="00B609F3">
        <w:t>.</w:t>
      </w:r>
    </w:p>
    <w:p w:rsidR="00474B8A" w:rsidRDefault="00474B8A" w:rsidP="00474B8A">
      <w:pPr>
        <w:pStyle w:val="BodyNum"/>
      </w:pPr>
      <w:r>
        <w:t>When answering instructors’ questions, drafters should clarify with the instructors the use to which they intend to put the answer.</w:t>
      </w:r>
    </w:p>
    <w:p w:rsidR="00474B8A" w:rsidRDefault="00474B8A" w:rsidP="00474B8A">
      <w:pPr>
        <w:pStyle w:val="BodyNum"/>
      </w:pPr>
      <w:r>
        <w:t>The guidelines should not inhibit drafters’ use of their legal qualifications and drafting experience to answer straightforward legal questions that routinely arise throughout the drafting process.</w:t>
      </w:r>
    </w:p>
    <w:p w:rsidR="00474B8A" w:rsidRDefault="00474B8A" w:rsidP="00474B8A">
      <w:pPr>
        <w:pStyle w:val="Head3"/>
      </w:pPr>
      <w:bookmarkStart w:id="76" w:name="_Toc14677494"/>
      <w:r>
        <w:t>Legislation Approval Process</w:t>
      </w:r>
      <w:r w:rsidR="00131805">
        <w:t xml:space="preserve"> for Bills and parliamentary amendments</w:t>
      </w:r>
      <w:bookmarkEnd w:id="76"/>
    </w:p>
    <w:p w:rsidR="00474B8A" w:rsidRDefault="00474B8A" w:rsidP="00474B8A">
      <w:pPr>
        <w:pStyle w:val="BodyNum"/>
      </w:pPr>
      <w:r>
        <w:t>The purpose of the Legislation Approval Process (</w:t>
      </w:r>
      <w:r>
        <w:rPr>
          <w:b/>
          <w:i/>
        </w:rPr>
        <w:t>LAP</w:t>
      </w:r>
      <w:r>
        <w:t xml:space="preserve">) is to ensure that draft </w:t>
      </w:r>
      <w:r w:rsidR="00131805">
        <w:t>Bills and parliamentary amendments</w:t>
      </w:r>
      <w:r>
        <w:t xml:space="preserve"> ha</w:t>
      </w:r>
      <w:r w:rsidR="00131805">
        <w:t>ve</w:t>
      </w:r>
      <w:r>
        <w:t xml:space="preserve"> received all necessary government clearances before </w:t>
      </w:r>
      <w:r w:rsidR="008D79D0">
        <w:t>the Bill</w:t>
      </w:r>
      <w:r w:rsidR="0093093E">
        <w:t>s</w:t>
      </w:r>
      <w:r>
        <w:t xml:space="preserve"> </w:t>
      </w:r>
      <w:r w:rsidR="0093093E">
        <w:t>are</w:t>
      </w:r>
      <w:r>
        <w:t xml:space="preserve"> introduced into Parliament</w:t>
      </w:r>
      <w:r w:rsidR="0093093E">
        <w:t xml:space="preserve"> or the amendments are moved</w:t>
      </w:r>
      <w:r>
        <w:t xml:space="preserve">. All draft </w:t>
      </w:r>
      <w:r w:rsidR="0093093E">
        <w:t xml:space="preserve">Bills and </w:t>
      </w:r>
      <w:r w:rsidR="0093093E">
        <w:lastRenderedPageBreak/>
        <w:t>parliamentary amendments</w:t>
      </w:r>
      <w:r>
        <w:t xml:space="preserve"> must be cleared by a Parliamentary Secretary or junior Minister designated by the Prime Minister for this purpose (the </w:t>
      </w:r>
      <w:r>
        <w:rPr>
          <w:b/>
          <w:i/>
        </w:rPr>
        <w:t>designated approver</w:t>
      </w:r>
      <w:r>
        <w:t>). This clearance is given on advice from the Legislation Secretariat in the Department of the Prime Minister and Cabinet (</w:t>
      </w:r>
      <w:r>
        <w:rPr>
          <w:b/>
          <w:i/>
        </w:rPr>
        <w:t>PM&amp;C</w:t>
      </w:r>
      <w:r>
        <w:t>).</w:t>
      </w:r>
    </w:p>
    <w:p w:rsidR="00474B8A" w:rsidRDefault="00474B8A" w:rsidP="00474B8A">
      <w:pPr>
        <w:pStyle w:val="BodyNum"/>
      </w:pPr>
      <w:r>
        <w:t xml:space="preserve">OPC’s unique role in the process is to provide independent advice that the </w:t>
      </w:r>
      <w:r w:rsidR="001D7D75">
        <w:t>Bill</w:t>
      </w:r>
      <w:r>
        <w:t xml:space="preserve"> </w:t>
      </w:r>
      <w:r w:rsidR="001D7D75">
        <w:t>or amendments are</w:t>
      </w:r>
      <w:r>
        <w:t xml:space="preserve"> covered by appropriate policy authority. The OPC drafter is the only independent player in the approval process who knows enough about the </w:t>
      </w:r>
      <w:r w:rsidR="001D7D75">
        <w:t>Bill or amendments</w:t>
      </w:r>
      <w:r>
        <w:t xml:space="preserve"> to be able to test </w:t>
      </w:r>
      <w:r w:rsidR="001D7D75">
        <w:t>the Bill or amendments</w:t>
      </w:r>
      <w:r>
        <w:t xml:space="preserve"> against the policy authority within the usual deadlines. This is not to suggest that other players (e.g.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rsidR="00474B8A" w:rsidRDefault="00474B8A" w:rsidP="00733F6B">
      <w:pPr>
        <w:pStyle w:val="BodyNum"/>
      </w:pPr>
      <w:r>
        <w:t xml:space="preserve">Further information about the significance of the Legislation Approval Process, and OPC’s role in it, can be found in </w:t>
      </w:r>
      <w:r w:rsidR="00733F6B">
        <w:rPr>
          <w:i/>
        </w:rPr>
        <w:t>OPC</w:t>
      </w:r>
      <w:r w:rsidR="00733F6B" w:rsidRPr="00AD7CA7">
        <w:rPr>
          <w:i/>
        </w:rPr>
        <w:t xml:space="preserve">’s </w:t>
      </w:r>
      <w:r w:rsidR="00733F6B">
        <w:rPr>
          <w:i/>
        </w:rPr>
        <w:t>drafting services</w:t>
      </w:r>
      <w:r w:rsidR="002A5044" w:rsidRPr="00733F6B">
        <w:rPr>
          <w:i/>
        </w:rPr>
        <w:t xml:space="preserve">: A guide for </w:t>
      </w:r>
      <w:r w:rsidRPr="00733F6B">
        <w:rPr>
          <w:i/>
        </w:rPr>
        <w:t>clients</w:t>
      </w:r>
      <w:r>
        <w:t>.</w:t>
      </w:r>
    </w:p>
    <w:p w:rsidR="00474B8A" w:rsidRDefault="00474B8A" w:rsidP="00474B8A">
      <w:pPr>
        <w:pStyle w:val="BodyNum"/>
      </w:pPr>
      <w:r>
        <w:t>Details on the LAP procedures are contained in Drafting Direction 4.6. In addition, Chapter</w:t>
      </w:r>
      <w:r w:rsidR="00CC3D75">
        <w:t>s 3 and 8</w:t>
      </w:r>
      <w:r>
        <w:t xml:space="preserve"> of the Legislation Handbook (available under Other Drafting Documents in Folio Office Documents) contain information about policy authority</w:t>
      </w:r>
      <w:r w:rsidR="00CC3D75">
        <w:t xml:space="preserve"> and LAP</w:t>
      </w:r>
      <w:r>
        <w:t>.</w:t>
      </w:r>
    </w:p>
    <w:p w:rsidR="00474B8A" w:rsidRDefault="00474B8A" w:rsidP="00474B8A">
      <w:pPr>
        <w:pStyle w:val="Head3"/>
      </w:pPr>
      <w:bookmarkStart w:id="77" w:name="_Toc14677495"/>
      <w:r>
        <w:t>House of introduction</w:t>
      </w:r>
      <w:bookmarkEnd w:id="77"/>
    </w:p>
    <w:p w:rsidR="00474B8A" w:rsidRDefault="00474B8A" w:rsidP="00474B8A">
      <w:pPr>
        <w:pStyle w:val="BodyNum"/>
      </w:pPr>
      <w:r>
        <w:t xml:space="preserve">There are </w:t>
      </w:r>
      <w:r w:rsidR="00A376CD">
        <w:t>c</w:t>
      </w:r>
      <w:r>
        <w:t>onstitutional limitations on the Bills that can be introduced into the Senate. It is important that drafters are aware of these limitations as an attempt to introduce a Bill into the Senate when is it not allowed has the potential to embarrass the Government and OPC.</w:t>
      </w:r>
    </w:p>
    <w:p w:rsidR="00474B8A" w:rsidRDefault="00474B8A" w:rsidP="00474B8A">
      <w:pPr>
        <w:pStyle w:val="BodyNum"/>
      </w:pPr>
      <w:r>
        <w:t>To ensure that this does not occur, every OPC Bill has a drafter’s block on page 1. One of the questions that the drafter must answer is “Is there any constitutional reason why this Bill should not be introduced in the Senate?”.</w:t>
      </w:r>
    </w:p>
    <w:p w:rsidR="00474B8A" w:rsidRDefault="00474B8A" w:rsidP="00474B8A">
      <w:pPr>
        <w:pStyle w:val="BodyNum"/>
      </w:pPr>
      <w:r>
        <w:t>The general rule is that Bills that require a Governor</w:t>
      </w:r>
      <w:r w:rsidR="004D6D60">
        <w:noBreakHyphen/>
      </w:r>
      <w:r>
        <w:t>General’s message or that deal with taxation should not be introduced into the Senate.</w:t>
      </w:r>
    </w:p>
    <w:p w:rsidR="00474B8A" w:rsidRDefault="00474B8A" w:rsidP="00474B8A">
      <w:pPr>
        <w:pStyle w:val="BodyNum"/>
      </w:pPr>
      <w:r>
        <w:t>Drafting Direction 3.2 has more detail in relation to Bills dealing with taxation. There is more information about Governor</w:t>
      </w:r>
      <w:r w:rsidR="004D6D60">
        <w:noBreakHyphen/>
      </w:r>
      <w:r>
        <w:t>General’s messages below.</w:t>
      </w:r>
    </w:p>
    <w:p w:rsidR="00474B8A" w:rsidRDefault="00474B8A" w:rsidP="00474B8A">
      <w:pPr>
        <w:pStyle w:val="BodyNum"/>
      </w:pPr>
      <w:r>
        <w:t>If there is any doubt about whether a Bill can be introduced into the Senate, the matter should be raised with FPC.</w:t>
      </w:r>
    </w:p>
    <w:p w:rsidR="00474B8A" w:rsidRDefault="00437365" w:rsidP="00474B8A">
      <w:pPr>
        <w:pStyle w:val="Head3"/>
      </w:pPr>
      <w:bookmarkStart w:id="78" w:name="_Toc14677496"/>
      <w:r>
        <w:t>Deputy Speaker</w:t>
      </w:r>
      <w:r w:rsidR="00474B8A">
        <w:t>’s and Chair’s amendments</w:t>
      </w:r>
      <w:bookmarkEnd w:id="78"/>
    </w:p>
    <w:p w:rsidR="00474B8A" w:rsidRDefault="00474B8A" w:rsidP="00474B8A">
      <w:pPr>
        <w:pStyle w:val="BodyNum"/>
      </w:pPr>
      <w:r>
        <w:t xml:space="preserve">If a minor textual error in a Bill is discovered after the introduction of the Bill, it may be possible to fix it with a </w:t>
      </w:r>
      <w:r w:rsidR="00437365">
        <w:t>Deputy Speaker</w:t>
      </w:r>
      <w:r>
        <w:t xml:space="preserve">’s or Chair’s amendment. Unlike </w:t>
      </w:r>
      <w:r w:rsidR="002166C5">
        <w:t>p</w:t>
      </w:r>
      <w:r>
        <w:t xml:space="preserve">arliamentary amendments, a </w:t>
      </w:r>
      <w:r w:rsidR="00437365">
        <w:t>Deputy Speaker</w:t>
      </w:r>
      <w:r>
        <w:t>’s or Chair’s amendment is not moved in Parliament. It is simply a documentary change, made at the discretion of:</w:t>
      </w:r>
    </w:p>
    <w:p w:rsidR="00474B8A" w:rsidRDefault="00474B8A" w:rsidP="00474B8A">
      <w:pPr>
        <w:pStyle w:val="BodyPara"/>
      </w:pPr>
      <w:r>
        <w:t>for a Bill originating in the House of Representatives—the Clerk of the House, acting with the authority of the Deputy Speaker (see Standing Order 156); or</w:t>
      </w:r>
    </w:p>
    <w:p w:rsidR="00474B8A" w:rsidRDefault="00474B8A" w:rsidP="00474B8A">
      <w:pPr>
        <w:pStyle w:val="BodyPara"/>
      </w:pPr>
      <w:r>
        <w:t>for a Bill originating in the Senate—the Chair of Committees (see Standing Order 124).</w:t>
      </w:r>
    </w:p>
    <w:p w:rsidR="00474B8A" w:rsidRDefault="00474B8A" w:rsidP="00474B8A">
      <w:pPr>
        <w:pStyle w:val="BodyNum"/>
      </w:pPr>
      <w:r>
        <w:lastRenderedPageBreak/>
        <w:t>In general, only errors that are obvious on the face of a Bill are suitable for these amendments.</w:t>
      </w:r>
    </w:p>
    <w:p w:rsidR="00474B8A" w:rsidRDefault="00474B8A" w:rsidP="00474B8A">
      <w:pPr>
        <w:pStyle w:val="BodyNum"/>
      </w:pPr>
      <w:r>
        <w:t>Details of the procedure to be followed are contained in Drafting Direction 4.7.</w:t>
      </w:r>
    </w:p>
    <w:p w:rsidR="00474B8A" w:rsidRDefault="00474B8A" w:rsidP="00474B8A">
      <w:pPr>
        <w:pStyle w:val="BodyNum"/>
      </w:pPr>
      <w:r>
        <w:t>There are however some important matters that should be emphasised:</w:t>
      </w:r>
    </w:p>
    <w:p w:rsidR="00474B8A" w:rsidRDefault="00474B8A" w:rsidP="00474B8A">
      <w:pPr>
        <w:pStyle w:val="BodyPara"/>
      </w:pPr>
      <w:r>
        <w:t xml:space="preserve">when dealing with </w:t>
      </w:r>
      <w:r w:rsidR="00437365">
        <w:t>Deputy Speaker</w:t>
      </w:r>
      <w:r>
        <w:t>’s or Chair’s amendments you always deal with the House in which the Bill was introduced (it does not matter where the Bill is when the problem is discovered); and</w:t>
      </w:r>
    </w:p>
    <w:p w:rsidR="00474B8A" w:rsidRDefault="00474B8A" w:rsidP="00474B8A">
      <w:pPr>
        <w:pStyle w:val="BodyPara"/>
      </w:pPr>
      <w:r>
        <w:t>since it is a matter of discretion for the Clerk or Chair whether an amendment will be made, a drafter requesting an amendment should first discuss the matter with the relevant table office staff; and</w:t>
      </w:r>
    </w:p>
    <w:p w:rsidR="00474B8A" w:rsidRDefault="00474B8A" w:rsidP="00474B8A">
      <w:pPr>
        <w:pStyle w:val="BodyPara"/>
      </w:pPr>
      <w:r>
        <w:t xml:space="preserve">the table office staff will either agree to the amendment being made or will advise that a </w:t>
      </w:r>
      <w:r w:rsidR="002166C5">
        <w:t>p</w:t>
      </w:r>
      <w:r>
        <w:t>arliamentary amendment is required to fix the error.</w:t>
      </w:r>
    </w:p>
    <w:p w:rsidR="00474B8A" w:rsidRDefault="00474B8A" w:rsidP="00474B8A">
      <w:pPr>
        <w:pStyle w:val="Head3"/>
      </w:pPr>
      <w:bookmarkStart w:id="79" w:name="_Toc14677497"/>
      <w:r>
        <w:t>Parliamentary amendments—procedural matters</w:t>
      </w:r>
      <w:bookmarkEnd w:id="79"/>
    </w:p>
    <w:p w:rsidR="00474B8A" w:rsidRDefault="00474B8A" w:rsidP="00474B8A">
      <w:pPr>
        <w:pStyle w:val="BodyNum"/>
      </w:pPr>
      <w:r>
        <w:t>Many procedural issues can arise in drafting Parliamentary amendments.</w:t>
      </w:r>
    </w:p>
    <w:p w:rsidR="00474B8A" w:rsidRDefault="00474B8A" w:rsidP="00474B8A">
      <w:pPr>
        <w:pStyle w:val="BodyNum"/>
      </w:pPr>
      <w:r>
        <w:t>Drafting Direction 4.8 deals with the following matters:</w:t>
      </w:r>
    </w:p>
    <w:p w:rsidR="00474B8A" w:rsidRDefault="00474B8A" w:rsidP="00474B8A">
      <w:pPr>
        <w:pStyle w:val="BodyPara"/>
      </w:pPr>
      <w:r>
        <w:t>amendments to a Bill when the Bill returns to the House in which it was introduced and when Standing Orders need to be suspended to allow the amendments to be moved;</w:t>
      </w:r>
    </w:p>
    <w:p w:rsidR="00474B8A" w:rsidRDefault="00474B8A" w:rsidP="00474B8A">
      <w:pPr>
        <w:pStyle w:val="BodyPara"/>
      </w:pPr>
      <w:r>
        <w:t>revising or replacing amendments that have already been circulated in either House.</w:t>
      </w:r>
    </w:p>
    <w:p w:rsidR="00474B8A" w:rsidRDefault="00474B8A" w:rsidP="00474B8A">
      <w:pPr>
        <w:pStyle w:val="Head3"/>
      </w:pPr>
      <w:bookmarkStart w:id="80" w:name="_Toc14677498"/>
      <w:r>
        <w:t xml:space="preserve">Messages for Bills and </w:t>
      </w:r>
      <w:r w:rsidR="00A9666F">
        <w:t>p</w:t>
      </w:r>
      <w:r>
        <w:t>arliamentary amendments</w:t>
      </w:r>
      <w:bookmarkEnd w:id="80"/>
    </w:p>
    <w:p w:rsidR="00474B8A" w:rsidRDefault="00474B8A" w:rsidP="00474B8A">
      <w:pPr>
        <w:pStyle w:val="BodyNum"/>
      </w:pPr>
      <w:r>
        <w:t>A message from the Governor</w:t>
      </w:r>
      <w:r w:rsidR="004D6D60">
        <w:noBreakHyphen/>
      </w:r>
      <w:r>
        <w:t>General is required for all votes, resolutions or proposed laws that appropriate revenue or moneys. OPC prepares all of the documentation for these messages for Bills and Parliamentary amendments.</w:t>
      </w:r>
    </w:p>
    <w:p w:rsidR="00474B8A" w:rsidRDefault="00474B8A" w:rsidP="00474B8A">
      <w:pPr>
        <w:pStyle w:val="BodyNum"/>
      </w:pPr>
      <w:r>
        <w:t>The basic process is as follows:</w:t>
      </w:r>
    </w:p>
    <w:p w:rsidR="00474B8A" w:rsidRDefault="00474B8A" w:rsidP="00474B8A">
      <w:pPr>
        <w:pStyle w:val="BodyPara"/>
      </w:pPr>
      <w:r>
        <w:t>a drafter determines that a message is required and prepares a document setting out the reasons;</w:t>
      </w:r>
    </w:p>
    <w:p w:rsidR="00474B8A" w:rsidRDefault="00474B8A" w:rsidP="00474B8A">
      <w:pPr>
        <w:pStyle w:val="BodyPara"/>
      </w:pPr>
      <w:r>
        <w:t xml:space="preserve">the Bills Officer prepares a letter from FPC to the </w:t>
      </w:r>
      <w:r w:rsidR="00FC38C7">
        <w:t>Minister sponsoring the Bill</w:t>
      </w:r>
      <w:r>
        <w:t xml:space="preserve">, a letter from the </w:t>
      </w:r>
      <w:r w:rsidR="00FC38C7">
        <w:t>sponsoring Minister</w:t>
      </w:r>
      <w:r>
        <w:t xml:space="preserve"> to the Governor</w:t>
      </w:r>
      <w:r w:rsidR="004D6D60">
        <w:noBreakHyphen/>
      </w:r>
      <w:r>
        <w:t>General and the Governor</w:t>
      </w:r>
      <w:r w:rsidR="004D6D60">
        <w:noBreakHyphen/>
      </w:r>
      <w:r>
        <w:t>General’s message;</w:t>
      </w:r>
    </w:p>
    <w:p w:rsidR="00474B8A" w:rsidRDefault="00474B8A" w:rsidP="00474B8A">
      <w:pPr>
        <w:pStyle w:val="BodyPara"/>
      </w:pPr>
      <w:r>
        <w:t xml:space="preserve">FPC checks these documents and signs the letter to the </w:t>
      </w:r>
      <w:r w:rsidR="00FC38C7">
        <w:t>sponsoring Minister</w:t>
      </w:r>
      <w:r>
        <w:t>;</w:t>
      </w:r>
    </w:p>
    <w:p w:rsidR="00474B8A" w:rsidRDefault="00474B8A" w:rsidP="00474B8A">
      <w:pPr>
        <w:pStyle w:val="BodyPara"/>
      </w:pPr>
      <w:r>
        <w:t xml:space="preserve">OPC delivers the documents to the </w:t>
      </w:r>
      <w:r w:rsidR="00FC38C7">
        <w:t>sponsoring Minister</w:t>
      </w:r>
      <w:r>
        <w:t>;</w:t>
      </w:r>
    </w:p>
    <w:p w:rsidR="00474B8A" w:rsidRDefault="00474B8A" w:rsidP="00474B8A">
      <w:pPr>
        <w:pStyle w:val="BodyPara"/>
      </w:pPr>
      <w:r>
        <w:t xml:space="preserve">when the </w:t>
      </w:r>
      <w:r w:rsidR="00FC38C7">
        <w:t>sponsoring Minister</w:t>
      </w:r>
      <w:r>
        <w:t xml:space="preserve"> has signed the letter to the Governor</w:t>
      </w:r>
      <w:r w:rsidR="004D6D60">
        <w:noBreakHyphen/>
      </w:r>
      <w:r>
        <w:t>General, OPC delivers the documents to Government House;</w:t>
      </w:r>
    </w:p>
    <w:p w:rsidR="00474B8A" w:rsidRDefault="00474B8A" w:rsidP="00474B8A">
      <w:pPr>
        <w:pStyle w:val="BodyPara"/>
      </w:pPr>
      <w:r>
        <w:lastRenderedPageBreak/>
        <w:t>when the Governor</w:t>
      </w:r>
      <w:r w:rsidR="004D6D60">
        <w:noBreakHyphen/>
      </w:r>
      <w:r>
        <w:t>General has signed the message, OPC delivers the message to the House of Representatives table office.</w:t>
      </w:r>
    </w:p>
    <w:p w:rsidR="00474B8A" w:rsidRDefault="00474B8A" w:rsidP="00474B8A">
      <w:pPr>
        <w:pStyle w:val="BodyNum"/>
      </w:pPr>
      <w:r>
        <w:t xml:space="preserve">Determining whether a Bill, or more particularly a </w:t>
      </w:r>
      <w:r w:rsidR="00FC38C7">
        <w:t>p</w:t>
      </w:r>
      <w:r>
        <w:t>arliamentary amendment, requires a message can be quite complex and, in some cases, can involve disputes between the two Houses. If drafters are at all unsure about the need for a message in a particular case, they should speak to FPC.</w:t>
      </w:r>
    </w:p>
    <w:p w:rsidR="00474B8A" w:rsidRDefault="00474B8A" w:rsidP="00474B8A">
      <w:pPr>
        <w:pStyle w:val="BodyNum"/>
      </w:pPr>
      <w:r>
        <w:t>Details on messages and the process to be followed within OPC are contained in Drafting Direction 4.9.</w:t>
      </w:r>
    </w:p>
    <w:p w:rsidR="00474B8A" w:rsidRDefault="00474B8A" w:rsidP="00474B8A">
      <w:pPr>
        <w:pStyle w:val="Head3"/>
      </w:pPr>
      <w:bookmarkStart w:id="81" w:name="_Toc14677499"/>
      <w:r>
        <w:t>Parliamentary amendments and requests</w:t>
      </w:r>
      <w:bookmarkEnd w:id="81"/>
    </w:p>
    <w:p w:rsidR="00474B8A" w:rsidRDefault="00474B8A" w:rsidP="00474B8A">
      <w:pPr>
        <w:pStyle w:val="BodyNum"/>
      </w:pPr>
      <w:r>
        <w:t>There are constitutional limits on the amendments that the Senate can make to Bills. Where the Senate cannot make an amendment, it can request the House of Representatives to make the amendment.</w:t>
      </w:r>
    </w:p>
    <w:p w:rsidR="00474B8A" w:rsidRDefault="00474B8A" w:rsidP="00474B8A">
      <w:pPr>
        <w:pStyle w:val="BodyNum"/>
      </w:pPr>
      <w:r>
        <w:t>This is an area that has been the subject of a number of disputes between the two Houses over the years. There are still some cases in which the two Houses disagree about the power of the Senate to make amendments.</w:t>
      </w:r>
    </w:p>
    <w:p w:rsidR="00474B8A" w:rsidRDefault="00474B8A" w:rsidP="00474B8A">
      <w:pPr>
        <w:pStyle w:val="BodyNum"/>
      </w:pPr>
      <w:r>
        <w:t>OPC’s role is to advise the relevant Minister about whether we consider the Senate has the power to make a particular amendment. It is then the responsibility of the Minister to decide the form of the amendment (i</w:t>
      </w:r>
      <w:r w:rsidR="002D4042">
        <w:t>.</w:t>
      </w:r>
      <w:r>
        <w:t>e</w:t>
      </w:r>
      <w:r w:rsidR="002D4042">
        <w:t>.</w:t>
      </w:r>
      <w:r>
        <w:t xml:space="preserve"> whether it should be moved as a request or an amendment).</w:t>
      </w:r>
    </w:p>
    <w:p w:rsidR="00474B8A" w:rsidRDefault="00474B8A" w:rsidP="00474B8A">
      <w:pPr>
        <w:pStyle w:val="BodyNum"/>
      </w:pPr>
      <w:r>
        <w:t xml:space="preserve"> Determining whether the Senate has the power to make an amendment can be quite complex and, in some cases, can involve disputes between the two Houses. If drafters are at all unsure, or consider that it is a case on which the Houses will disagree, they should speak to FPC as early as possible.</w:t>
      </w:r>
    </w:p>
    <w:p w:rsidR="00474B8A" w:rsidRPr="00565571" w:rsidRDefault="00474B8A" w:rsidP="00474B8A">
      <w:pPr>
        <w:pStyle w:val="BodyNum"/>
        <w:rPr>
          <w:rStyle w:val="Hyperlink"/>
          <w:color w:val="auto"/>
          <w:u w:val="none"/>
        </w:rPr>
      </w:pPr>
      <w:r>
        <w:t xml:space="preserve">Details on amendments and requests and the process to be followed within OPC are contained in Drafting Direction 4.9. </w:t>
      </w:r>
      <w:r w:rsidRPr="00653E31">
        <w:rPr>
          <w:i/>
        </w:rPr>
        <w:t>House of Representatives Practice</w:t>
      </w:r>
      <w:r>
        <w:t xml:space="preserve"> and </w:t>
      </w:r>
      <w:r w:rsidRPr="00653E31">
        <w:rPr>
          <w:i/>
        </w:rPr>
        <w:t>Odgers’ Australian Senate Practice</w:t>
      </w:r>
      <w:r>
        <w:t xml:space="preserve"> have sections that set out the views of the two Houses on this matter.</w:t>
      </w:r>
      <w:r w:rsidR="00565571">
        <w:t xml:space="preserve"> In 201</w:t>
      </w:r>
      <w:r w:rsidR="00653E31">
        <w:t>9</w:t>
      </w:r>
      <w:r w:rsidR="00565571">
        <w:t xml:space="preserve">, </w:t>
      </w:r>
      <w:r w:rsidR="00565571" w:rsidRPr="00156A5D">
        <w:rPr>
          <w:i/>
        </w:rPr>
        <w:t>House of Representatives Practice</w:t>
      </w:r>
      <w:r w:rsidR="00565571">
        <w:t xml:space="preserve"> was available at </w:t>
      </w:r>
      <w:hyperlink r:id="rId9" w:history="1">
        <w:r w:rsidR="00565571" w:rsidRPr="00831A6F">
          <w:rPr>
            <w:rStyle w:val="Hyperlink"/>
          </w:rPr>
          <w:t>http://www.aph.gov.au/About_Parliament/House_of_Repres</w:t>
        </w:r>
        <w:r w:rsidR="00565571">
          <w:rPr>
            <w:rStyle w:val="Hyperlink"/>
          </w:rPr>
          <w:t>entatives/Powers_practice_and_</w:t>
        </w:r>
        <w:r w:rsidR="00565571">
          <w:rPr>
            <w:rStyle w:val="Hyperlink"/>
          </w:rPr>
          <w:br/>
          <w:t>pr</w:t>
        </w:r>
        <w:r w:rsidR="00565571" w:rsidRPr="00831A6F">
          <w:rPr>
            <w:rStyle w:val="Hyperlink"/>
          </w:rPr>
          <w:t>ocedure</w:t>
        </w:r>
      </w:hyperlink>
      <w:r w:rsidR="00565571">
        <w:t xml:space="preserve"> and </w:t>
      </w:r>
      <w:r w:rsidR="00565571" w:rsidRPr="00156A5D">
        <w:rPr>
          <w:i/>
        </w:rPr>
        <w:t>Odgers’ Australian Senate Practice</w:t>
      </w:r>
      <w:r w:rsidR="00565571">
        <w:t xml:space="preserve"> was available at </w:t>
      </w:r>
      <w:hyperlink r:id="rId10" w:history="1">
        <w:r w:rsidR="00565571" w:rsidRPr="00831A6F">
          <w:rPr>
            <w:rStyle w:val="Hyperlink"/>
          </w:rPr>
          <w:t>http://www.aph.gov.au/About_Parliament/Senate/Powers_practice_n_procedures</w:t>
        </w:r>
      </w:hyperlink>
      <w:r w:rsidR="00A63AAB">
        <w:t>.</w:t>
      </w:r>
    </w:p>
    <w:p w:rsidR="00474B8A" w:rsidRDefault="00474B8A" w:rsidP="00474B8A">
      <w:pPr>
        <w:pStyle w:val="Head3"/>
      </w:pPr>
      <w:bookmarkStart w:id="82" w:name="_Toc14677500"/>
      <w:r>
        <w:t>Presentation of Bills for Royal Assent</w:t>
      </w:r>
      <w:bookmarkEnd w:id="82"/>
    </w:p>
    <w:p w:rsidR="00474B8A" w:rsidRDefault="00474B8A" w:rsidP="00474B8A">
      <w:pPr>
        <w:pStyle w:val="BodyNum"/>
      </w:pPr>
      <w:r>
        <w:t>OPC is closely involved in the presentation of Bills to the Governor</w:t>
      </w:r>
      <w:r w:rsidR="004D6D60">
        <w:noBreakHyphen/>
      </w:r>
      <w:r>
        <w:t>General for Royal Assent.</w:t>
      </w:r>
    </w:p>
    <w:p w:rsidR="00474B8A" w:rsidRDefault="00474B8A" w:rsidP="00474B8A">
      <w:pPr>
        <w:pStyle w:val="BodyNum"/>
      </w:pPr>
      <w:r>
        <w:t xml:space="preserve">Drafting Direction 4.10 details the procedures for obtaining Royal Assent to a Bill after it is passed by both Houses of the Parliament. More details of the processes are contained in the </w:t>
      </w:r>
      <w:r w:rsidR="00144FC0">
        <w:t>Bills Officer</w:t>
      </w:r>
      <w:r>
        <w:t xml:space="preserve"> Manual.</w:t>
      </w:r>
    </w:p>
    <w:p w:rsidR="00474B8A" w:rsidRDefault="00474B8A" w:rsidP="00474B8A">
      <w:pPr>
        <w:pStyle w:val="PageBreak"/>
      </w:pPr>
      <w:r>
        <w:br w:type="page"/>
      </w:r>
    </w:p>
    <w:p w:rsidR="00474B8A" w:rsidRDefault="00474B8A" w:rsidP="00474B8A">
      <w:pPr>
        <w:pStyle w:val="Head1"/>
      </w:pPr>
      <w:r>
        <w:lastRenderedPageBreak/>
        <w:t>Attachment A—Components of Bills and instruments</w:t>
      </w:r>
    </w:p>
    <w:p w:rsidR="00474B8A" w:rsidRDefault="00474B8A" w:rsidP="00474B8A">
      <w:pPr>
        <w:pStyle w:val="Head2"/>
      </w:pPr>
      <w:bookmarkStart w:id="83" w:name="_Toc14677501"/>
      <w:r>
        <w:t>Components of Bills and instruments</w:t>
      </w:r>
      <w:bookmarkEnd w:id="83"/>
    </w:p>
    <w:p w:rsidR="00474B8A" w:rsidRDefault="00474B8A" w:rsidP="00474B8A">
      <w:pPr>
        <w:pStyle w:val="BodyNum"/>
      </w:pPr>
      <w:r>
        <w:t>Bills and instruments can be broken up into a number of different components. This attachment is intended to give a brief overview of the components.</w:t>
      </w:r>
    </w:p>
    <w:p w:rsidR="00474B8A" w:rsidRDefault="00474B8A" w:rsidP="00474B8A">
      <w:pPr>
        <w:pStyle w:val="BodyNum"/>
      </w:pPr>
      <w:r>
        <w:t>This section sets out the numbering approach used in Bills</w:t>
      </w:r>
      <w:r w:rsidR="00A85957">
        <w:t xml:space="preserve"> or instruments</w:t>
      </w:r>
      <w:r>
        <w:t xml:space="preserve"> that use the standard number</w:t>
      </w:r>
      <w:r w:rsidR="00FA1661">
        <w:t>ing</w:t>
      </w:r>
      <w:r>
        <w:t xml:space="preserve"> system. The modifications of this system for Bills </w:t>
      </w:r>
      <w:r w:rsidR="00FA1661">
        <w:t xml:space="preserve">and instruments </w:t>
      </w:r>
      <w:r w:rsidR="00F016F6">
        <w:t>with</w:t>
      </w:r>
      <w:r w:rsidR="00FA1661">
        <w:t xml:space="preserve"> different </w:t>
      </w:r>
      <w:r>
        <w:t>numbering are set out in the following section</w:t>
      </w:r>
      <w:r w:rsidR="00FA1661">
        <w:t>s</w:t>
      </w:r>
      <w:r>
        <w:t>.</w:t>
      </w:r>
    </w:p>
    <w:p w:rsidR="00474B8A" w:rsidRDefault="00474B8A" w:rsidP="00474B8A">
      <w:pPr>
        <w:pStyle w:val="Head3"/>
      </w:pPr>
      <w:bookmarkStart w:id="84" w:name="_Toc14677502"/>
      <w:r>
        <w:t>Chapters</w:t>
      </w:r>
      <w:bookmarkEnd w:id="84"/>
    </w:p>
    <w:p w:rsidR="00474B8A" w:rsidRDefault="00474B8A" w:rsidP="00474B8A">
      <w:pPr>
        <w:pStyle w:val="BodyNum"/>
      </w:pPr>
      <w:r>
        <w:t>Chapters are the highest level of division that a Bill, Act or instrument can be broken up into.</w:t>
      </w:r>
    </w:p>
    <w:p w:rsidR="00474B8A" w:rsidRDefault="00474B8A" w:rsidP="00474B8A">
      <w:pPr>
        <w:pStyle w:val="BodyNum"/>
      </w:pPr>
      <w:r>
        <w:t xml:space="preserve">Normally, only very large Bills or instruments have Chapters. An example of an Act with Chapters is the </w:t>
      </w:r>
      <w:r>
        <w:rPr>
          <w:i/>
        </w:rPr>
        <w:t>Aged Care Act 2004</w:t>
      </w:r>
      <w:r>
        <w:t>.</w:t>
      </w:r>
    </w:p>
    <w:p w:rsidR="00474B8A" w:rsidRDefault="00474B8A" w:rsidP="00474B8A">
      <w:pPr>
        <w:pStyle w:val="BodyNum"/>
      </w:pPr>
      <w:r>
        <w:t xml:space="preserve">Chapters are given Arabic numbers (1, 2, 3 </w:t>
      </w:r>
      <w:r w:rsidR="005242E7">
        <w:t>etc.)</w:t>
      </w:r>
      <w:r>
        <w:t>.</w:t>
      </w:r>
    </w:p>
    <w:p w:rsidR="00474B8A" w:rsidRDefault="00474B8A" w:rsidP="00474B8A">
      <w:pPr>
        <w:pStyle w:val="Head3"/>
      </w:pPr>
      <w:bookmarkStart w:id="85" w:name="_Toc14677503"/>
      <w:r>
        <w:t>Parts</w:t>
      </w:r>
      <w:bookmarkEnd w:id="85"/>
    </w:p>
    <w:p w:rsidR="00474B8A" w:rsidRDefault="00474B8A" w:rsidP="00474B8A">
      <w:pPr>
        <w:pStyle w:val="BodyNum"/>
      </w:pPr>
      <w:r>
        <w:t>If a Bill, Act or instrument has Chapters, the Chapters will usually be divided into Parts.</w:t>
      </w:r>
    </w:p>
    <w:p w:rsidR="00474B8A" w:rsidRDefault="00474B8A" w:rsidP="00474B8A">
      <w:pPr>
        <w:pStyle w:val="BodyNum"/>
      </w:pPr>
      <w:r>
        <w:t>Also, many medium</w:t>
      </w:r>
      <w:r w:rsidR="004D6D60">
        <w:noBreakHyphen/>
      </w:r>
      <w:r>
        <w:t xml:space="preserve">sized Bills, Acts and instruments are divided into Parts without there being any Chapters. An example of an Act with Parts but no Chapters is the </w:t>
      </w:r>
      <w:r>
        <w:rPr>
          <w:i/>
        </w:rPr>
        <w:t>Age Discrimination Act 2004</w:t>
      </w:r>
      <w:r>
        <w:t>.</w:t>
      </w:r>
    </w:p>
    <w:p w:rsidR="00474B8A" w:rsidRDefault="00474B8A" w:rsidP="00474B8A">
      <w:pPr>
        <w:pStyle w:val="BodyNum"/>
      </w:pPr>
      <w:r>
        <w:t xml:space="preserve">Parts are given Arabic numbers (1, 2, 3 </w:t>
      </w:r>
      <w:r w:rsidR="005242E7">
        <w:t>etc.)</w:t>
      </w:r>
      <w:r>
        <w:t>. For an Act or instrument that is divided into Chapters, the Part numbering starts again at the start of each new Chapter.</w:t>
      </w:r>
    </w:p>
    <w:p w:rsidR="00474B8A" w:rsidRDefault="00474B8A" w:rsidP="00474B8A">
      <w:pPr>
        <w:pStyle w:val="BodyNum"/>
      </w:pPr>
      <w:r>
        <w:t>There are some older Acts</w:t>
      </w:r>
      <w:r w:rsidRPr="00D40030">
        <w:t xml:space="preserve"> and instruments</w:t>
      </w:r>
      <w:r w:rsidRPr="00F33555">
        <w:rPr>
          <w:b/>
        </w:rPr>
        <w:t xml:space="preserve"> </w:t>
      </w:r>
      <w:r>
        <w:t xml:space="preserve">in which the Parts have Roman numbers (e.g. I, II, III </w:t>
      </w:r>
      <w:r w:rsidR="005242E7">
        <w:t>etc.)</w:t>
      </w:r>
      <w:r>
        <w:t>. If a new Part is added to such an Act</w:t>
      </w:r>
      <w:r w:rsidR="00A85957">
        <w:t xml:space="preserve"> or instrument</w:t>
      </w:r>
      <w:r>
        <w:t>, it is also given a Roman number.</w:t>
      </w:r>
    </w:p>
    <w:p w:rsidR="00474B8A" w:rsidRDefault="00474B8A" w:rsidP="00474B8A">
      <w:pPr>
        <w:pStyle w:val="Head3"/>
      </w:pPr>
      <w:bookmarkStart w:id="86" w:name="_Toc14677504"/>
      <w:r>
        <w:t>Divisions</w:t>
      </w:r>
      <w:bookmarkEnd w:id="86"/>
    </w:p>
    <w:p w:rsidR="00474B8A" w:rsidRDefault="00474B8A" w:rsidP="00474B8A">
      <w:pPr>
        <w:pStyle w:val="BodyNum"/>
      </w:pPr>
      <w:r>
        <w:t>If a Bill, Act or instrument has Parts, some of them may be broken up into Divisions.</w:t>
      </w:r>
    </w:p>
    <w:p w:rsidR="00474B8A" w:rsidRDefault="00474B8A" w:rsidP="00474B8A">
      <w:pPr>
        <w:pStyle w:val="BodyNum"/>
      </w:pPr>
      <w:r>
        <w:t xml:space="preserve">An example of a Part that is broken into Divisions is Part 4 of the </w:t>
      </w:r>
      <w:r>
        <w:rPr>
          <w:i/>
        </w:rPr>
        <w:t>Age Discrimination Act 2004</w:t>
      </w:r>
      <w:r>
        <w:t>.</w:t>
      </w:r>
    </w:p>
    <w:p w:rsidR="00474B8A" w:rsidRDefault="00474B8A" w:rsidP="00474B8A">
      <w:pPr>
        <w:pStyle w:val="BodyNum"/>
      </w:pPr>
      <w:r>
        <w:t xml:space="preserve">Although it is possible to have a Bill or instrument without Parts or Chapters but </w:t>
      </w:r>
      <w:r w:rsidR="00F016F6">
        <w:t>with</w:t>
      </w:r>
      <w:r>
        <w:t xml:space="preserve"> Divisions, it is extremely uncommon.</w:t>
      </w:r>
    </w:p>
    <w:p w:rsidR="009F6FAD" w:rsidRDefault="00474B8A" w:rsidP="009F6FAD">
      <w:pPr>
        <w:pStyle w:val="BodyNum"/>
      </w:pPr>
      <w:r>
        <w:t xml:space="preserve">Divisions are given Arabic numbers (1, 2, 3 </w:t>
      </w:r>
      <w:r w:rsidR="005242E7">
        <w:t>etc.)</w:t>
      </w:r>
      <w:r>
        <w:t>. The Division numbering starts again at the start of each new Part.</w:t>
      </w:r>
    </w:p>
    <w:p w:rsidR="00474B8A" w:rsidRDefault="00474B8A" w:rsidP="009F6FAD">
      <w:pPr>
        <w:pStyle w:val="BodyNum"/>
      </w:pPr>
      <w:r w:rsidRPr="003976CC">
        <w:lastRenderedPageBreak/>
        <w:t>Some Divisions and Subdivisions in existing instruments have decimal</w:t>
      </w:r>
      <w:r w:rsidR="004D6D60">
        <w:noBreakHyphen/>
      </w:r>
      <w:r w:rsidRPr="003976CC">
        <w:t xml:space="preserve">style numbers based on the number of the </w:t>
      </w:r>
      <w:r w:rsidR="003D27E3">
        <w:t xml:space="preserve">Part in which they appear – </w:t>
      </w:r>
      <w:r w:rsidR="0070194A">
        <w:t>e.g.</w:t>
      </w:r>
      <w:r w:rsidR="003D27E3">
        <w:t xml:space="preserve"> </w:t>
      </w:r>
      <w:r w:rsidRPr="003976CC">
        <w:t>Division 2.1, Division 2.2 (Divisions in Part 2), Division 3.1, Division 3.2 (Divisions in Part 3), Subdivision 4.1.1, Subdivision 4.1.2 (Subdivisions in the first Division of Part 4).</w:t>
      </w:r>
    </w:p>
    <w:p w:rsidR="00474B8A" w:rsidRDefault="00474B8A" w:rsidP="003976CC">
      <w:pPr>
        <w:pStyle w:val="Head3"/>
      </w:pPr>
      <w:bookmarkStart w:id="87" w:name="_Toc14677505"/>
      <w:r>
        <w:t>Subdivisions</w:t>
      </w:r>
      <w:bookmarkEnd w:id="87"/>
    </w:p>
    <w:p w:rsidR="00474B8A" w:rsidRDefault="00474B8A" w:rsidP="00474B8A">
      <w:pPr>
        <w:pStyle w:val="BodyNum"/>
      </w:pPr>
      <w:r>
        <w:t>If a Bill, Act or instrument has Divisions, some of those Divisions may be broken into Subdivisions. You can only have a Subdivision where you have a Division.</w:t>
      </w:r>
    </w:p>
    <w:p w:rsidR="00474B8A" w:rsidRDefault="00474B8A" w:rsidP="00474B8A">
      <w:pPr>
        <w:pStyle w:val="BodyNum"/>
      </w:pPr>
      <w:r>
        <w:t>An example of a Division that is broken</w:t>
      </w:r>
      <w:r w:rsidR="00F016F6">
        <w:t xml:space="preserve"> into Subdivisions is Division 1</w:t>
      </w:r>
      <w:r>
        <w:t xml:space="preserve"> of Part </w:t>
      </w:r>
      <w:r w:rsidR="00F016F6">
        <w:t>3</w:t>
      </w:r>
      <w:r>
        <w:t xml:space="preserve"> of the </w:t>
      </w:r>
      <w:r w:rsidR="00F016F6">
        <w:rPr>
          <w:i/>
        </w:rPr>
        <w:t>Administrative Appeals Tribunal</w:t>
      </w:r>
      <w:r>
        <w:rPr>
          <w:i/>
        </w:rPr>
        <w:t xml:space="preserve"> Act 19</w:t>
      </w:r>
      <w:r w:rsidR="00F016F6">
        <w:rPr>
          <w:i/>
        </w:rPr>
        <w:t>75</w:t>
      </w:r>
      <w:r>
        <w:t>.</w:t>
      </w:r>
    </w:p>
    <w:p w:rsidR="00474B8A" w:rsidRDefault="00474B8A" w:rsidP="00474B8A">
      <w:pPr>
        <w:pStyle w:val="BodyNum"/>
      </w:pPr>
      <w:r>
        <w:t>Subdivisions are lettered (A, B, C etc</w:t>
      </w:r>
      <w:r w:rsidR="00445F3E">
        <w:t>.</w:t>
      </w:r>
      <w:r>
        <w:t>). The Subdivision lettering starts again at the start of each new Division.</w:t>
      </w:r>
    </w:p>
    <w:p w:rsidR="00474B8A" w:rsidRDefault="00474B8A" w:rsidP="00474B8A">
      <w:pPr>
        <w:pStyle w:val="Head3"/>
      </w:pPr>
      <w:bookmarkStart w:id="88" w:name="_Toc14677506"/>
      <w:r>
        <w:t>Sections</w:t>
      </w:r>
      <w:bookmarkEnd w:id="88"/>
    </w:p>
    <w:p w:rsidR="00474B8A" w:rsidRDefault="00474B8A" w:rsidP="00474B8A">
      <w:pPr>
        <w:pStyle w:val="BodyNum"/>
      </w:pPr>
      <w:r>
        <w:t>The basic building blocks of Acts and instruments are sections. Every Act has at least 3.</w:t>
      </w:r>
    </w:p>
    <w:p w:rsidR="00474B8A" w:rsidRDefault="00474B8A" w:rsidP="00474B8A">
      <w:pPr>
        <w:pStyle w:val="BodyNum"/>
      </w:pPr>
      <w:r>
        <w:t>A section is a chunk of information identified by a bolded section number and section heading. There are no specific rules about how much information can be put into a single section—this is up to the drafter (subject to an in</w:t>
      </w:r>
      <w:r w:rsidR="004D6D60">
        <w:noBreakHyphen/>
      </w:r>
      <w:r>
        <w:t>house rule that a section should not be “too long”). A section or subsection can contain more than one sentence.</w:t>
      </w:r>
    </w:p>
    <w:p w:rsidR="00474B8A" w:rsidRDefault="00474B8A" w:rsidP="00474B8A">
      <w:pPr>
        <w:pStyle w:val="BodyNum"/>
      </w:pPr>
      <w:r>
        <w:t>Sections can be single</w:t>
      </w:r>
      <w:r w:rsidR="00445F3E">
        <w:t xml:space="preserve"> units or they can be broken up</w:t>
      </w:r>
      <w:r>
        <w:t>.</w:t>
      </w:r>
    </w:p>
    <w:p w:rsidR="00474B8A" w:rsidRDefault="00474B8A" w:rsidP="00474B8A">
      <w:pPr>
        <w:pStyle w:val="BodyNum"/>
      </w:pPr>
      <w:r>
        <w:t>Sections are given Arabic numbers (1, 2, 3 etc</w:t>
      </w:r>
      <w:r w:rsidR="007342C4">
        <w:t>.</w:t>
      </w:r>
      <w:r>
        <w:t>). The numbering runs from the start of the Act until the end of the Act or instrument.</w:t>
      </w:r>
    </w:p>
    <w:p w:rsidR="00474B8A" w:rsidRDefault="00474B8A" w:rsidP="00474B8A">
      <w:pPr>
        <w:pStyle w:val="Head3"/>
      </w:pPr>
      <w:bookmarkStart w:id="89" w:name="_Toc14677507"/>
      <w:r>
        <w:t>Subsections</w:t>
      </w:r>
      <w:bookmarkEnd w:id="89"/>
    </w:p>
    <w:p w:rsidR="00474B8A" w:rsidRDefault="00474B8A" w:rsidP="00474B8A">
      <w:pPr>
        <w:pStyle w:val="BodyNum"/>
      </w:pPr>
      <w:r>
        <w:t>One way of breaking sections up is to divide them into subsections.</w:t>
      </w:r>
    </w:p>
    <w:p w:rsidR="00474B8A" w:rsidRDefault="00474B8A" w:rsidP="00474B8A">
      <w:pPr>
        <w:pStyle w:val="BodyNum"/>
      </w:pPr>
      <w:r>
        <w:t>Subsections are identified by an Arabic number in brackets (e.g. subsection (1)). If a section is broken into subsections, there should be 2 or more of them in the section.</w:t>
      </w:r>
    </w:p>
    <w:p w:rsidR="00474B8A" w:rsidRDefault="00474B8A" w:rsidP="00474B8A">
      <w:pPr>
        <w:pStyle w:val="Head3"/>
      </w:pPr>
      <w:bookmarkStart w:id="90" w:name="_Toc14677508"/>
      <w:r>
        <w:t>Paragraphs</w:t>
      </w:r>
      <w:bookmarkEnd w:id="90"/>
    </w:p>
    <w:p w:rsidR="00474B8A" w:rsidRDefault="00474B8A" w:rsidP="00474B8A">
      <w:pPr>
        <w:pStyle w:val="BodyNum"/>
      </w:pPr>
      <w:r>
        <w:t>Sometimes a subsection, or a section that doesn’t have any subsections, is divided into paragraphs.</w:t>
      </w:r>
    </w:p>
    <w:p w:rsidR="00474B8A" w:rsidRDefault="00474B8A" w:rsidP="00474B8A">
      <w:pPr>
        <w:pStyle w:val="BodyNum"/>
      </w:pPr>
      <w:r>
        <w:t>A paragraph is identified by a lowe</w:t>
      </w:r>
      <w:r w:rsidR="007342C4">
        <w:t>r case letter in brackets (e.g.</w:t>
      </w:r>
      <w:r>
        <w:t xml:space="preserve"> paragraph (a), (b), (c) etc</w:t>
      </w:r>
      <w:r w:rsidR="007342C4">
        <w:t>.</w:t>
      </w:r>
      <w:r>
        <w:t>).</w:t>
      </w:r>
    </w:p>
    <w:p w:rsidR="00474B8A" w:rsidRDefault="00474B8A" w:rsidP="00474B8A">
      <w:pPr>
        <w:pStyle w:val="Head3"/>
      </w:pPr>
      <w:bookmarkStart w:id="91" w:name="_Toc14677509"/>
      <w:r>
        <w:t>Subparagraphs</w:t>
      </w:r>
      <w:bookmarkEnd w:id="91"/>
    </w:p>
    <w:p w:rsidR="00474B8A" w:rsidRDefault="00474B8A" w:rsidP="00474B8A">
      <w:pPr>
        <w:pStyle w:val="BodyNum"/>
      </w:pPr>
      <w:r>
        <w:t>Sometimes a paragraph is divided into subparagraphs. You can only have subparagraphs if you have paragraphs.</w:t>
      </w:r>
    </w:p>
    <w:p w:rsidR="00474B8A" w:rsidRDefault="00474B8A" w:rsidP="00474B8A">
      <w:pPr>
        <w:pStyle w:val="BodyNum"/>
      </w:pPr>
      <w:r>
        <w:t>Subparagraphs are identified by roman letters in brackets (e.g. (i), (ii), (iii) etc</w:t>
      </w:r>
      <w:r w:rsidR="007342C4">
        <w:t>.</w:t>
      </w:r>
      <w:r>
        <w:t>).</w:t>
      </w:r>
    </w:p>
    <w:p w:rsidR="00474B8A" w:rsidRDefault="00474B8A" w:rsidP="00474B8A">
      <w:pPr>
        <w:pStyle w:val="Head3"/>
      </w:pPr>
      <w:bookmarkStart w:id="92" w:name="_Toc14677510"/>
      <w:r>
        <w:lastRenderedPageBreak/>
        <w:t>Sub</w:t>
      </w:r>
      <w:r w:rsidR="004D6D60">
        <w:noBreakHyphen/>
      </w:r>
      <w:r>
        <w:t>subparagraphs</w:t>
      </w:r>
      <w:bookmarkEnd w:id="92"/>
    </w:p>
    <w:p w:rsidR="00474B8A" w:rsidRDefault="00474B8A" w:rsidP="00474B8A">
      <w:pPr>
        <w:pStyle w:val="BodyNum"/>
      </w:pPr>
      <w:r>
        <w:t>Some subparagraphs are divided into sub</w:t>
      </w:r>
      <w:r w:rsidR="004D6D60">
        <w:noBreakHyphen/>
      </w:r>
      <w:r>
        <w:t>subparagraphs. You can only have sub</w:t>
      </w:r>
      <w:r w:rsidR="004D6D60">
        <w:noBreakHyphen/>
      </w:r>
      <w:r>
        <w:t>subparagraphs if you have subparagraphs.</w:t>
      </w:r>
    </w:p>
    <w:p w:rsidR="00474B8A" w:rsidRDefault="00474B8A" w:rsidP="00474B8A">
      <w:pPr>
        <w:pStyle w:val="BodyNum"/>
      </w:pPr>
      <w:r>
        <w:t>OPC’s current drafting practice is not to include any new sub</w:t>
      </w:r>
      <w:r w:rsidR="004D6D60">
        <w:noBreakHyphen/>
      </w:r>
      <w:r>
        <w:t>subparagraphs in Bills or instruments.</w:t>
      </w:r>
    </w:p>
    <w:p w:rsidR="00474B8A" w:rsidRDefault="00474B8A" w:rsidP="00474B8A">
      <w:pPr>
        <w:pStyle w:val="BodyNum"/>
      </w:pPr>
      <w:r>
        <w:t>Sub</w:t>
      </w:r>
      <w:r w:rsidR="004D6D60">
        <w:noBreakHyphen/>
      </w:r>
      <w:r>
        <w:t>subparagraphs are identified by a c</w:t>
      </w:r>
      <w:r w:rsidR="009F7571">
        <w:t>apital letter in brackets (e.g.</w:t>
      </w:r>
      <w:r>
        <w:t xml:space="preserve"> (A), (B), (C) etc</w:t>
      </w:r>
      <w:r w:rsidR="009F7571">
        <w:t>.</w:t>
      </w:r>
      <w:r>
        <w:t>).</w:t>
      </w:r>
    </w:p>
    <w:p w:rsidR="00474B8A" w:rsidRDefault="00474B8A" w:rsidP="00474B8A">
      <w:pPr>
        <w:pStyle w:val="Head3"/>
      </w:pPr>
      <w:bookmarkStart w:id="93" w:name="_Toc14677511"/>
      <w:r>
        <w:t>Other components of Bills, Acts and instruments</w:t>
      </w:r>
      <w:bookmarkEnd w:id="93"/>
    </w:p>
    <w:p w:rsidR="00474B8A" w:rsidRDefault="00474B8A" w:rsidP="00474B8A">
      <w:pPr>
        <w:pStyle w:val="BodyNum"/>
      </w:pPr>
      <w:r>
        <w:t>Bills, Acts and instruments sometimes have other components.</w:t>
      </w:r>
    </w:p>
    <w:p w:rsidR="00474B8A" w:rsidRDefault="00474B8A" w:rsidP="00474B8A">
      <w:pPr>
        <w:pStyle w:val="BodyNum"/>
      </w:pPr>
      <w:r>
        <w:t xml:space="preserve">In particular, a Bill or instrument can have one or more Schedules at the end of it. </w:t>
      </w:r>
    </w:p>
    <w:p w:rsidR="00474B8A" w:rsidRDefault="00474B8A" w:rsidP="00474B8A">
      <w:pPr>
        <w:pStyle w:val="BodyNum"/>
      </w:pPr>
      <w:r>
        <w:t>There are two types of Schedules—amending and non</w:t>
      </w:r>
      <w:r w:rsidR="004D6D60">
        <w:noBreakHyphen/>
      </w:r>
      <w:r>
        <w:t>amending. Where a Bill or instrument has both amending and non</w:t>
      </w:r>
      <w:r w:rsidR="004D6D60">
        <w:noBreakHyphen/>
      </w:r>
      <w:r>
        <w:t>amending Schedules, the amending Schedules appear last. However, a Bill for a new principal Act should not contain any amending Schedules. Consequential amendments should be in a separate amending Bill.</w:t>
      </w:r>
    </w:p>
    <w:p w:rsidR="00474B8A" w:rsidRDefault="00474B8A" w:rsidP="00474B8A">
      <w:pPr>
        <w:pStyle w:val="Head4"/>
      </w:pPr>
      <w:bookmarkStart w:id="94" w:name="_Toc14677512"/>
      <w:r>
        <w:t>Amending Schedules</w:t>
      </w:r>
      <w:bookmarkEnd w:id="94"/>
    </w:p>
    <w:p w:rsidR="00474B8A" w:rsidRDefault="00474B8A" w:rsidP="00474B8A">
      <w:pPr>
        <w:pStyle w:val="BodyNum"/>
      </w:pPr>
      <w:r>
        <w:t>The most common type of Schedule is an amending Schedule.</w:t>
      </w:r>
    </w:p>
    <w:p w:rsidR="00474B8A" w:rsidRDefault="00474B8A" w:rsidP="00474B8A">
      <w:pPr>
        <w:pStyle w:val="BodyNum"/>
      </w:pPr>
      <w:r>
        <w:t>A typical amending Bill, Act or instrument is made up of a few initial sections saying the name of the Act or instrument, when it commences and then a standard section saying that the Schedules have effect. At the end of the Bill</w:t>
      </w:r>
      <w:r w:rsidR="007D2AD0">
        <w:t>, Act</w:t>
      </w:r>
      <w:r>
        <w:t xml:space="preserve"> or instrument there will be a number of different Schedules. Each of those Schedules will contain amendments </w:t>
      </w:r>
      <w:r w:rsidR="007D2AD0">
        <w:t>of</w:t>
      </w:r>
      <w:r>
        <w:t xml:space="preserve"> a particular Act or Acts or instrument.</w:t>
      </w:r>
    </w:p>
    <w:p w:rsidR="00474B8A" w:rsidRDefault="00474B8A" w:rsidP="00474B8A">
      <w:pPr>
        <w:pStyle w:val="BodyNum"/>
      </w:pPr>
      <w:r>
        <w:t>Amending Schedules may be divided into Parts. In some cases, the Parts are then divided into Divisions. Parts and Divisions are numbered with Arabic numbers (</w:t>
      </w:r>
      <w:r w:rsidR="003D2BFB">
        <w:t xml:space="preserve">e.g. </w:t>
      </w:r>
      <w:r>
        <w:t xml:space="preserve">1, 2, 3 </w:t>
      </w:r>
      <w:r w:rsidR="005242E7">
        <w:t>etc.)</w:t>
      </w:r>
      <w:r>
        <w:t>. The numbering of Parts starts again at the start of each Schedule and the numbering of Divisions starts again at the start of each Part.</w:t>
      </w:r>
    </w:p>
    <w:p w:rsidR="00474B8A" w:rsidRDefault="00474B8A" w:rsidP="00474B8A">
      <w:pPr>
        <w:pStyle w:val="BodyNum"/>
      </w:pPr>
      <w:r>
        <w:t>An item is the basic unit within an amending Schedule, and is the unit used to make textual amendments.</w:t>
      </w:r>
    </w:p>
    <w:p w:rsidR="00474B8A" w:rsidRDefault="00474B8A" w:rsidP="00474B8A">
      <w:pPr>
        <w:pStyle w:val="BodyNum"/>
      </w:pPr>
      <w:r>
        <w:t>Each item will have a heading with an Arabic number (</w:t>
      </w:r>
      <w:r w:rsidR="003D2BFB">
        <w:t xml:space="preserve">e.g. </w:t>
      </w:r>
      <w:r>
        <w:t>1, 2, 3 etc.) in the margin followed by text identifying what is to be amended. The numbering starts again at the start of each Schedule.</w:t>
      </w:r>
    </w:p>
    <w:p w:rsidR="00474B8A" w:rsidRDefault="00474B8A" w:rsidP="00474B8A">
      <w:pPr>
        <w:pStyle w:val="BodyNum"/>
      </w:pPr>
      <w:r>
        <w:t>The line after the heading of an amending item sets out the amendment to be made.</w:t>
      </w:r>
    </w:p>
    <w:p w:rsidR="00D25B76" w:rsidRDefault="00D25B76" w:rsidP="00474B8A">
      <w:pPr>
        <w:pStyle w:val="BodyNum"/>
      </w:pPr>
      <w:r>
        <w:t>T</w:t>
      </w:r>
      <w:r w:rsidR="00474B8A">
        <w:t xml:space="preserve">here </w:t>
      </w:r>
      <w:r w:rsidR="00B2420F">
        <w:t>may be</w:t>
      </w:r>
      <w:r w:rsidR="00474B8A">
        <w:t xml:space="preserve"> some items in amending Schedules to </w:t>
      </w:r>
      <w:r w:rsidR="00845F4C">
        <w:t xml:space="preserve">Bills or </w:t>
      </w:r>
      <w:r w:rsidR="00474B8A">
        <w:t>Acts that do not make amendments. These usually contain application, saving or transitional provisions. These items can be divided into subitems. Each of those subitems is given an Arabic number i</w:t>
      </w:r>
      <w:r>
        <w:t>n brackets (</w:t>
      </w:r>
      <w:r w:rsidR="00761058">
        <w:t xml:space="preserve">e.g. </w:t>
      </w:r>
      <w:r>
        <w:t>(1), (2), (3) etc</w:t>
      </w:r>
      <w:r w:rsidR="00845F4C">
        <w:t>.</w:t>
      </w:r>
      <w:r>
        <w:t>).</w:t>
      </w:r>
    </w:p>
    <w:p w:rsidR="00474B8A" w:rsidRDefault="00474B8A" w:rsidP="00474B8A">
      <w:pPr>
        <w:pStyle w:val="BodyNum"/>
      </w:pPr>
      <w:r>
        <w:t>Amending Schedules to instruments only contain items that make amendments.</w:t>
      </w:r>
      <w:r w:rsidR="00D25B76">
        <w:t xml:space="preserve"> </w:t>
      </w:r>
      <w:r w:rsidR="00D25B76" w:rsidRPr="005F2370">
        <w:t xml:space="preserve">This is because section 48A of the </w:t>
      </w:r>
      <w:r w:rsidR="00D25B76" w:rsidRPr="005F2370">
        <w:rPr>
          <w:i/>
        </w:rPr>
        <w:t>Legislati</w:t>
      </w:r>
      <w:r w:rsidR="004817C5">
        <w:rPr>
          <w:i/>
        </w:rPr>
        <w:t>on</w:t>
      </w:r>
      <w:r w:rsidR="00D25B76" w:rsidRPr="005F2370">
        <w:rPr>
          <w:i/>
        </w:rPr>
        <w:t xml:space="preserve"> Act 2003</w:t>
      </w:r>
      <w:r w:rsidR="00D25B76" w:rsidRPr="005F2370">
        <w:t xml:space="preserve"> repeals a legislative instrument that is </w:t>
      </w:r>
      <w:r w:rsidR="00D25B76" w:rsidRPr="005F2370">
        <w:lastRenderedPageBreak/>
        <w:t>made on or after the commencement of the section whose only legal effect is to amend or repeal one o</w:t>
      </w:r>
      <w:r w:rsidR="004D6D60">
        <w:t>r</w:t>
      </w:r>
      <w:r w:rsidR="00D25B76" w:rsidRPr="005F2370">
        <w:t xml:space="preserve"> more other legislative instruments (without making any application, saving or transitional provisions relat</w:t>
      </w:r>
      <w:r w:rsidR="00A15CFE">
        <w:t>ing to the amendment or repeal).</w:t>
      </w:r>
    </w:p>
    <w:p w:rsidR="00474B8A" w:rsidRDefault="00474B8A" w:rsidP="00474B8A">
      <w:pPr>
        <w:pStyle w:val="Head4"/>
      </w:pPr>
      <w:bookmarkStart w:id="95" w:name="_Toc14677513"/>
      <w:r>
        <w:t>Non</w:t>
      </w:r>
      <w:r w:rsidR="004D6D60">
        <w:noBreakHyphen/>
      </w:r>
      <w:r>
        <w:t>amending Schedules</w:t>
      </w:r>
      <w:bookmarkEnd w:id="95"/>
    </w:p>
    <w:p w:rsidR="00474B8A" w:rsidRDefault="00474B8A" w:rsidP="00474B8A">
      <w:pPr>
        <w:pStyle w:val="BodyNum"/>
      </w:pPr>
      <w:r>
        <w:t xml:space="preserve">Some </w:t>
      </w:r>
      <w:r w:rsidR="00761058">
        <w:t xml:space="preserve">Bills, </w:t>
      </w:r>
      <w:r>
        <w:t>Acts or instruments have Schedules at the end of them that are not amending Schedules. At OPC we call them non</w:t>
      </w:r>
      <w:r w:rsidR="004D6D60">
        <w:noBreakHyphen/>
      </w:r>
      <w:r>
        <w:t>amending Schedules.</w:t>
      </w:r>
    </w:p>
    <w:p w:rsidR="00474B8A" w:rsidRDefault="00474B8A" w:rsidP="00474B8A">
      <w:pPr>
        <w:pStyle w:val="BodyNum"/>
      </w:pPr>
      <w:r>
        <w:t>Non</w:t>
      </w:r>
      <w:r w:rsidR="004D6D60">
        <w:noBreakHyphen/>
      </w:r>
      <w:r>
        <w:t>amending Schedules may be divided into Parts. In some cases, the Parts are then divided into Divisions. Parts and Divisions are numbered with Arabic numbers (1, 2, 3 etc</w:t>
      </w:r>
      <w:r w:rsidR="00877A46">
        <w:t>.</w:t>
      </w:r>
      <w:r>
        <w:t>). The numbering of Parts starts again at the start of each Schedule and the numbering of Divisions starts again at the start of each Part.</w:t>
      </w:r>
    </w:p>
    <w:p w:rsidR="00474B8A" w:rsidRDefault="00474B8A" w:rsidP="00474B8A">
      <w:pPr>
        <w:pStyle w:val="BodyNum"/>
      </w:pPr>
      <w:r>
        <w:t>Non</w:t>
      </w:r>
      <w:r w:rsidR="004D6D60">
        <w:noBreakHyphen/>
      </w:r>
      <w:r>
        <w:t xml:space="preserve">amending Schedules are used for a number of different purposes. Sometimes they are used to contain text that could be contained in the body of the Bill, Act or instrument as a section. In this case, the things that look like items/sections are usually called clauses, and numbered using Arabic numbers (1, 2, 3 </w:t>
      </w:r>
      <w:r w:rsidR="005242E7">
        <w:t>etc.)</w:t>
      </w:r>
      <w:r>
        <w:t>. Clause numbers start again at the start of each Schedule.</w:t>
      </w:r>
    </w:p>
    <w:p w:rsidR="00474B8A" w:rsidRDefault="00474B8A" w:rsidP="00474B8A">
      <w:pPr>
        <w:pStyle w:val="BodyNum"/>
      </w:pPr>
      <w:r>
        <w:t>The clauses can be divided into subclauses (numbered (1), (2), (3) etc.) or paragraphs (numbered (a), (b), (c) etc.).</w:t>
      </w:r>
    </w:p>
    <w:p w:rsidR="00474B8A" w:rsidRDefault="00474B8A" w:rsidP="00474B8A">
      <w:pPr>
        <w:pStyle w:val="BodyNum"/>
      </w:pPr>
      <w:r>
        <w:t xml:space="preserve">For example, the </w:t>
      </w:r>
      <w:r>
        <w:rPr>
          <w:i/>
        </w:rPr>
        <w:t>Water Act 2007</w:t>
      </w:r>
      <w:r>
        <w:t xml:space="preserve"> has many non</w:t>
      </w:r>
      <w:r w:rsidR="004D6D60">
        <w:noBreakHyphen/>
      </w:r>
      <w:r>
        <w:t>amending Schedules.</w:t>
      </w:r>
    </w:p>
    <w:p w:rsidR="00474B8A" w:rsidRDefault="00474B8A" w:rsidP="00474B8A">
      <w:pPr>
        <w:pStyle w:val="BodyNum"/>
      </w:pPr>
      <w:r>
        <w:t>Sometimes a non</w:t>
      </w:r>
      <w:r w:rsidR="004D6D60">
        <w:noBreakHyphen/>
      </w:r>
      <w:r>
        <w:t xml:space="preserve">amending Schedule sets out the text of an international treaty that the Bill, Act or instrument is bringing into force in Australia or that the Bill or Act relies on for constitutional power. For example, see Schedule 1 to the </w:t>
      </w:r>
      <w:r w:rsidR="00247F7D">
        <w:rPr>
          <w:i/>
        </w:rPr>
        <w:t>Air Navigation</w:t>
      </w:r>
      <w:r>
        <w:rPr>
          <w:i/>
        </w:rPr>
        <w:t xml:space="preserve"> Act </w:t>
      </w:r>
      <w:r w:rsidR="00247F7D">
        <w:rPr>
          <w:i/>
        </w:rPr>
        <w:t>1920</w:t>
      </w:r>
      <w:r>
        <w:t>. If the treaty gives the units that look like items/sections a name and numbering system, those names and numbering systems are used in the Schedule and in references to provisions of the Schedule.</w:t>
      </w:r>
    </w:p>
    <w:p w:rsidR="00474B8A" w:rsidRDefault="00474B8A" w:rsidP="00474B8A">
      <w:pPr>
        <w:pStyle w:val="Head4"/>
      </w:pPr>
      <w:bookmarkStart w:id="96" w:name="_Toc14677514"/>
      <w:r>
        <w:t>Preambles</w:t>
      </w:r>
      <w:bookmarkEnd w:id="96"/>
    </w:p>
    <w:p w:rsidR="00474B8A" w:rsidRDefault="00474B8A" w:rsidP="00474B8A">
      <w:pPr>
        <w:pStyle w:val="BodyNum"/>
      </w:pPr>
      <w:r>
        <w:t>A few Bil</w:t>
      </w:r>
      <w:r w:rsidR="002E3EA8">
        <w:t>ls (particularly Bills for new p</w:t>
      </w:r>
      <w:r>
        <w:t>rincipal Acts) have preambles.</w:t>
      </w:r>
    </w:p>
    <w:p w:rsidR="00474B8A" w:rsidRDefault="00474B8A" w:rsidP="00474B8A">
      <w:pPr>
        <w:pStyle w:val="BodyNum"/>
      </w:pPr>
      <w:r>
        <w:t>The preamble goes at the very start of the Bill before the enacting words and explains why the Bill is being enacted. It always ends with “The Parliament of Australia enacts:”.</w:t>
      </w:r>
    </w:p>
    <w:p w:rsidR="00474B8A" w:rsidRDefault="00474B8A" w:rsidP="00474B8A">
      <w:pPr>
        <w:pStyle w:val="BodyNum"/>
      </w:pPr>
      <w:r>
        <w:t xml:space="preserve">For an example, see the </w:t>
      </w:r>
      <w:r>
        <w:rPr>
          <w:i/>
        </w:rPr>
        <w:t>Native Title Act 1993</w:t>
      </w:r>
      <w:r>
        <w:t>.</w:t>
      </w:r>
    </w:p>
    <w:p w:rsidR="00474B8A" w:rsidRDefault="00474B8A" w:rsidP="00474B8A">
      <w:pPr>
        <w:pStyle w:val="Head4"/>
      </w:pPr>
      <w:bookmarkStart w:id="97" w:name="_Toc14677515"/>
      <w:r>
        <w:t>Definitions</w:t>
      </w:r>
      <w:bookmarkEnd w:id="97"/>
    </w:p>
    <w:p w:rsidR="00474B8A" w:rsidRDefault="00474B8A" w:rsidP="00474B8A">
      <w:pPr>
        <w:pStyle w:val="BodyNum"/>
      </w:pPr>
      <w:r>
        <w:t>Definitions are very common in Bills and instruments.</w:t>
      </w:r>
    </w:p>
    <w:p w:rsidR="00474B8A" w:rsidRDefault="00474B8A" w:rsidP="00474B8A">
      <w:pPr>
        <w:pStyle w:val="BodyNum"/>
      </w:pPr>
      <w:r>
        <w:t xml:space="preserve">Definitions are used to say what particular words mean (e.g. </w:t>
      </w:r>
      <w:r>
        <w:rPr>
          <w:b/>
          <w:i/>
        </w:rPr>
        <w:t>prescribed period</w:t>
      </w:r>
      <w:r>
        <w:t>) and to give words special meaning for particular Acts or instruments. In other cases they take a word</w:t>
      </w:r>
      <w:r w:rsidR="003D3B3D">
        <w:t xml:space="preserve"> that has a broad meaning (e.g.</w:t>
      </w:r>
      <w:r>
        <w:t xml:space="preserve"> </w:t>
      </w:r>
      <w:r>
        <w:rPr>
          <w:b/>
          <w:i/>
        </w:rPr>
        <w:t>company</w:t>
      </w:r>
      <w:r>
        <w:t>) and say that for the purposes of the Act or instrument it has a more limited meaning.</w:t>
      </w:r>
    </w:p>
    <w:p w:rsidR="00474B8A" w:rsidRDefault="00474B8A" w:rsidP="00474B8A">
      <w:pPr>
        <w:pStyle w:val="BodyNum"/>
      </w:pPr>
      <w:r>
        <w:t>Definitions usually appear in a list. We put the defined word(s) in bold italics. We list the defined terms in alphabetical order.</w:t>
      </w:r>
    </w:p>
    <w:p w:rsidR="00474B8A" w:rsidRDefault="00474B8A" w:rsidP="00474B8A">
      <w:pPr>
        <w:pStyle w:val="BodyNum"/>
      </w:pPr>
      <w:r>
        <w:lastRenderedPageBreak/>
        <w:t>Sometimes definitions are p</w:t>
      </w:r>
      <w:r w:rsidR="00622E22">
        <w:t>ut in the narrative style (e.g.</w:t>
      </w:r>
      <w:r>
        <w:t xml:space="preserve"> “A person has a </w:t>
      </w:r>
      <w:r>
        <w:rPr>
          <w:b/>
          <w:i/>
        </w:rPr>
        <w:t xml:space="preserve">qualifying interest </w:t>
      </w:r>
      <w:r>
        <w:t>in an asset if...”). In that case the defined term still appears in bold italics.</w:t>
      </w:r>
    </w:p>
    <w:p w:rsidR="00474B8A" w:rsidRDefault="00474B8A" w:rsidP="00474B8A">
      <w:pPr>
        <w:pStyle w:val="Head4"/>
      </w:pPr>
      <w:bookmarkStart w:id="98" w:name="_Toc14677516"/>
      <w:r>
        <w:t>Notes</w:t>
      </w:r>
      <w:bookmarkEnd w:id="98"/>
    </w:p>
    <w:p w:rsidR="00474B8A" w:rsidRDefault="00474B8A" w:rsidP="00474B8A">
      <w:pPr>
        <w:pStyle w:val="BodyNum"/>
      </w:pPr>
      <w:r>
        <w:t>Notes are also a common component of Bills and instruments. They are in small type and appear just under the particular Bill or instrument component they relate to.</w:t>
      </w:r>
    </w:p>
    <w:p w:rsidR="00474B8A" w:rsidRDefault="00474B8A" w:rsidP="00474B8A">
      <w:pPr>
        <w:pStyle w:val="BodyNum"/>
      </w:pPr>
      <w:r>
        <w:t>We use several different types of notes in Bills and instruments.</w:t>
      </w:r>
    </w:p>
    <w:p w:rsidR="00474B8A" w:rsidRDefault="00474B8A" w:rsidP="00474B8A">
      <w:pPr>
        <w:pStyle w:val="BodyNum"/>
      </w:pPr>
      <w:r>
        <w:t xml:space="preserve">Some notes go into the text of provisions of </w:t>
      </w:r>
      <w:r w:rsidR="003D3B3D">
        <w:t>p</w:t>
      </w:r>
      <w:r>
        <w:t>rincipal Acts and instruments. They help explain links between provisions. Some of them give examples illustrating how provisions work, and might even be identified as examples rather than notes.</w:t>
      </w:r>
    </w:p>
    <w:p w:rsidR="00474B8A" w:rsidRDefault="00474B8A" w:rsidP="00474B8A">
      <w:pPr>
        <w:pStyle w:val="Head4"/>
      </w:pPr>
      <w:bookmarkStart w:id="99" w:name="_Toc14677517"/>
      <w:r>
        <w:t>Tables</w:t>
      </w:r>
      <w:bookmarkEnd w:id="99"/>
    </w:p>
    <w:p w:rsidR="00474B8A" w:rsidRDefault="00474B8A" w:rsidP="00474B8A">
      <w:pPr>
        <w:pStyle w:val="BodyNum"/>
      </w:pPr>
      <w:r>
        <w:t>Tables are used often in Bills and instruments. OPC has developed a standard format for tables and rules for the use of tables. These are set out in Word Note 4.</w:t>
      </w:r>
      <w:r w:rsidR="00BD17CB">
        <w:t>2.</w:t>
      </w:r>
    </w:p>
    <w:p w:rsidR="00474B8A" w:rsidRDefault="00474B8A" w:rsidP="00474B8A">
      <w:pPr>
        <w:pStyle w:val="Head4"/>
      </w:pPr>
      <w:bookmarkStart w:id="100" w:name="_Toc14677518"/>
      <w:r>
        <w:t>Formulas</w:t>
      </w:r>
      <w:bookmarkEnd w:id="100"/>
    </w:p>
    <w:p w:rsidR="00474B8A" w:rsidRDefault="00474B8A" w:rsidP="00474B8A">
      <w:pPr>
        <w:pStyle w:val="BodyNum"/>
      </w:pPr>
      <w:r>
        <w:t xml:space="preserve">Some Acts and instruments include formulas. They are found particularly in </w:t>
      </w:r>
      <w:r w:rsidR="00BD17CB">
        <w:t>t</w:t>
      </w:r>
      <w:r>
        <w:t>ax legislation and legislation involving the calculation of allowances or benefits.</w:t>
      </w:r>
    </w:p>
    <w:p w:rsidR="00474B8A" w:rsidRDefault="00474B8A" w:rsidP="00474B8A">
      <w:pPr>
        <w:pStyle w:val="BodyNum"/>
      </w:pPr>
      <w:r>
        <w:t xml:space="preserve">OPC uses special processes for producing formulas in documents. These are set out in Word Note </w:t>
      </w:r>
      <w:r w:rsidR="00BD17CB">
        <w:t>3.6</w:t>
      </w:r>
      <w:r>
        <w:t>.</w:t>
      </w:r>
    </w:p>
    <w:p w:rsidR="00474B8A" w:rsidRDefault="00474B8A" w:rsidP="00474B8A">
      <w:pPr>
        <w:pStyle w:val="Head4"/>
      </w:pPr>
      <w:bookmarkStart w:id="101" w:name="_Toc14677519"/>
      <w:r>
        <w:t>Penalties</w:t>
      </w:r>
      <w:bookmarkEnd w:id="101"/>
    </w:p>
    <w:p w:rsidR="00474B8A" w:rsidRDefault="00474B8A" w:rsidP="00474B8A">
      <w:pPr>
        <w:pStyle w:val="BodyNum"/>
      </w:pPr>
      <w:r>
        <w:t>Provisions that create criminal offences will often have a penalty at the foot of the provision. Basically a penalty is indicated by the word “Penalty” followed by a colon then by a term of imprisonment or a number of penalty units, or both.</w:t>
      </w:r>
    </w:p>
    <w:p w:rsidR="00474B8A" w:rsidRDefault="00474B8A" w:rsidP="00474B8A">
      <w:pPr>
        <w:pStyle w:val="BodyNum"/>
      </w:pPr>
      <w:r>
        <w:t xml:space="preserve">Penalties should not include dollar amounts (e.g. $5,000). Instead, the penalty should be expressed in penalty units (each penalty unit </w:t>
      </w:r>
      <w:r w:rsidR="002A5044">
        <w:t>was in 201</w:t>
      </w:r>
      <w:r w:rsidR="00A12885">
        <w:t>9</w:t>
      </w:r>
      <w:r>
        <w:t xml:space="preserve"> equal to $</w:t>
      </w:r>
      <w:r w:rsidR="00A12885">
        <w:t>21</w:t>
      </w:r>
      <w:r>
        <w:t>0). This is intended to ensure that the value of penalties isn’t gradually eroded by inflation.</w:t>
      </w:r>
    </w:p>
    <w:p w:rsidR="00474B8A" w:rsidRDefault="00474B8A" w:rsidP="00474B8A">
      <w:pPr>
        <w:pStyle w:val="BodyNum"/>
      </w:pPr>
      <w:r>
        <w:t xml:space="preserve">Drafting Direction </w:t>
      </w:r>
      <w:r>
        <w:rPr>
          <w:color w:val="000000"/>
        </w:rPr>
        <w:t>3.5 deals with offences, penalties and other matters.</w:t>
      </w:r>
    </w:p>
    <w:p w:rsidR="00474B8A" w:rsidRDefault="00474B8A" w:rsidP="00474B8A">
      <w:pPr>
        <w:pStyle w:val="Head4"/>
      </w:pPr>
      <w:bookmarkStart w:id="102" w:name="_Toc14677520"/>
      <w:r>
        <w:t>Overviews, calculators and other things in boxes</w:t>
      </w:r>
      <w:bookmarkEnd w:id="102"/>
    </w:p>
    <w:p w:rsidR="00474B8A" w:rsidRDefault="00474B8A" w:rsidP="00474B8A">
      <w:pPr>
        <w:pStyle w:val="BodyNum"/>
      </w:pPr>
      <w:r>
        <w:t>OPC uses boxes around text to highlight particular features that are used in Bills and instruments.</w:t>
      </w:r>
    </w:p>
    <w:p w:rsidR="00474B8A" w:rsidRDefault="00474B8A" w:rsidP="00474B8A">
      <w:pPr>
        <w:pStyle w:val="BodyNum"/>
      </w:pPr>
      <w:r>
        <w:t xml:space="preserve">These include </w:t>
      </w:r>
      <w:r w:rsidR="00A25227">
        <w:t xml:space="preserve">simplified </w:t>
      </w:r>
      <w:r>
        <w:t>outline</w:t>
      </w:r>
      <w:r w:rsidR="00A25227">
        <w:t>s</w:t>
      </w:r>
      <w:r>
        <w:t xml:space="preserve"> provisions that give an explanation of a Bill or instrument or a Part, Division or Subdivision of a Bill or instrument.</w:t>
      </w:r>
    </w:p>
    <w:p w:rsidR="00474B8A" w:rsidRDefault="00474B8A" w:rsidP="00474B8A">
      <w:pPr>
        <w:pStyle w:val="BodyNum"/>
      </w:pPr>
      <w:r>
        <w:t>Boxes are also used for method statements and calculators. These are step</w:t>
      </w:r>
      <w:r w:rsidR="004D6D60">
        <w:noBreakHyphen/>
      </w:r>
      <w:r>
        <w:t>by</w:t>
      </w:r>
      <w:r w:rsidR="004D6D60">
        <w:noBreakHyphen/>
      </w:r>
      <w:r>
        <w:t xml:space="preserve">step guides that are usually used for calculating an amount. For example, section 60 of the </w:t>
      </w:r>
      <w:r>
        <w:rPr>
          <w:i/>
        </w:rPr>
        <w:t>Child Support (Assessment) Act 1989</w:t>
      </w:r>
      <w:r>
        <w:t xml:space="preserve"> has a method statement for the </w:t>
      </w:r>
      <w:r w:rsidR="00370C19">
        <w:t>working out a parent’s adjusted taxable income</w:t>
      </w:r>
      <w:r>
        <w:t>.</w:t>
      </w:r>
    </w:p>
    <w:p w:rsidR="00474B8A" w:rsidRDefault="00474B8A" w:rsidP="00474B8A">
      <w:pPr>
        <w:pStyle w:val="PageBreak"/>
      </w:pPr>
      <w:r>
        <w:br w:type="page"/>
      </w:r>
    </w:p>
    <w:p w:rsidR="00474B8A" w:rsidRDefault="00474B8A" w:rsidP="00474B8A">
      <w:pPr>
        <w:pStyle w:val="Head2"/>
      </w:pPr>
      <w:bookmarkStart w:id="103" w:name="_Toc14677521"/>
      <w:r>
        <w:lastRenderedPageBreak/>
        <w:t>Components of Bills—Bills using Division</w:t>
      </w:r>
      <w:r w:rsidR="004D6D60">
        <w:noBreakHyphen/>
      </w:r>
      <w:r>
        <w:t>section numbering</w:t>
      </w:r>
      <w:bookmarkEnd w:id="103"/>
    </w:p>
    <w:p w:rsidR="00474B8A" w:rsidRDefault="00474B8A" w:rsidP="00474B8A">
      <w:pPr>
        <w:pStyle w:val="Head3"/>
      </w:pPr>
      <w:bookmarkStart w:id="104" w:name="_Toc14677522"/>
      <w:r>
        <w:t>Description of the Division</w:t>
      </w:r>
      <w:r w:rsidR="004D6D60">
        <w:noBreakHyphen/>
      </w:r>
      <w:r>
        <w:t>section numbering system</w:t>
      </w:r>
      <w:bookmarkEnd w:id="104"/>
    </w:p>
    <w:p w:rsidR="00474B8A" w:rsidRDefault="00474B8A" w:rsidP="00474B8A">
      <w:pPr>
        <w:pStyle w:val="BodyNum"/>
      </w:pPr>
      <w:r>
        <w:t>A system of numbering, called Division</w:t>
      </w:r>
      <w:r w:rsidR="004D6D60">
        <w:noBreakHyphen/>
      </w:r>
      <w:r>
        <w:t>section numbering, was introduced to deal with very large Acts that are likely to be subject to substantial amendment.</w:t>
      </w:r>
    </w:p>
    <w:p w:rsidR="00474B8A" w:rsidRDefault="00474B8A" w:rsidP="00474B8A">
      <w:pPr>
        <w:pStyle w:val="BodyNum"/>
      </w:pPr>
      <w:r>
        <w:t xml:space="preserve">The system was designed to avoid section numbers such as 159FZZZZG and 160ZZRAAA (which appeared in the </w:t>
      </w:r>
      <w:r>
        <w:rPr>
          <w:i/>
        </w:rPr>
        <w:t>Income Tax Assessment Act 1936</w:t>
      </w:r>
      <w:r>
        <w:t>).</w:t>
      </w:r>
    </w:p>
    <w:p w:rsidR="00474B8A" w:rsidRDefault="00474B8A" w:rsidP="00474B8A">
      <w:pPr>
        <w:pStyle w:val="BodyNum"/>
      </w:pPr>
      <w:r>
        <w:t>The system is sometimes called the TLIP numbering system as it was first used in the Tax Law Improvement Project (TLIP) in the rewriting of the Income Tax Assessment Act.</w:t>
      </w:r>
    </w:p>
    <w:p w:rsidR="00474B8A" w:rsidRDefault="00474B8A" w:rsidP="00474B8A">
      <w:pPr>
        <w:pStyle w:val="BodyNum"/>
      </w:pPr>
      <w:r>
        <w:t>The system works by having each section number made up of 2 components separated by a dash. The first component is the Division number and the second number is the number of the section within that Division. An example of a section number in this form is 23</w:t>
      </w:r>
      <w:r w:rsidR="004D6D60">
        <w:noBreakHyphen/>
      </w:r>
      <w:r>
        <w:t>45.</w:t>
      </w:r>
    </w:p>
    <w:p w:rsidR="00474B8A" w:rsidRDefault="00474B8A" w:rsidP="00474B8A">
      <w:pPr>
        <w:pStyle w:val="BodyNum"/>
      </w:pPr>
      <w:r>
        <w:t>For this system, Division numbers are unique within an Act (they do not start again at the start of each Part) but the section component starts again at the start of each Division.</w:t>
      </w:r>
    </w:p>
    <w:p w:rsidR="00474B8A" w:rsidRDefault="00474B8A" w:rsidP="00474B8A">
      <w:pPr>
        <w:pStyle w:val="BodyNum"/>
      </w:pPr>
      <w:r>
        <w:t>Another aspect of this approach is to leave gaps in section numbers. Generally, a gap of 5 is left between Division numbers in a Part to leave space for additional Divisions. A larger gap may be left at the end of a Part. Within Divisions, gaps of 5 are usually used between the sections. Therefore, the sections in Division 45 may be numbered as 45</w:t>
      </w:r>
      <w:r w:rsidR="004D6D60">
        <w:noBreakHyphen/>
      </w:r>
      <w:r>
        <w:t>1, 45</w:t>
      </w:r>
      <w:r w:rsidR="004D6D60">
        <w:noBreakHyphen/>
      </w:r>
      <w:r>
        <w:t>5, 45</w:t>
      </w:r>
      <w:r w:rsidR="004D6D60">
        <w:noBreakHyphen/>
      </w:r>
      <w:r>
        <w:t>10 etc. The Division after Division 45 may be Division 50.</w:t>
      </w:r>
    </w:p>
    <w:p w:rsidR="00474B8A" w:rsidRDefault="00474B8A" w:rsidP="00474B8A">
      <w:pPr>
        <w:pStyle w:val="Head3"/>
      </w:pPr>
      <w:bookmarkStart w:id="105" w:name="_Toc14677523"/>
      <w:r>
        <w:t xml:space="preserve">Modifications </w:t>
      </w:r>
      <w:r w:rsidR="009D7BDB">
        <w:t>of</w:t>
      </w:r>
      <w:r>
        <w:t xml:space="preserve"> the standard numbering system</w:t>
      </w:r>
      <w:bookmarkEnd w:id="105"/>
    </w:p>
    <w:p w:rsidR="00474B8A" w:rsidRDefault="00474B8A" w:rsidP="00474B8A">
      <w:pPr>
        <w:pStyle w:val="BodyNum"/>
      </w:pPr>
      <w:r>
        <w:t>Most of the material in the section about the components of Bills and Acts applies to legislation with Division</w:t>
      </w:r>
      <w:r w:rsidR="004D6D60">
        <w:noBreakHyphen/>
      </w:r>
      <w:r>
        <w:t>section numbering in the same way as it does to legislation with standard numbering.</w:t>
      </w:r>
    </w:p>
    <w:p w:rsidR="00474B8A" w:rsidRDefault="00474B8A" w:rsidP="00474B8A">
      <w:pPr>
        <w:pStyle w:val="BodyNum"/>
      </w:pPr>
      <w:r>
        <w:t>The main modification is that Divisions are numbered from the start to the end of the Act and the numbering does not restart at the start of each Part.</w:t>
      </w:r>
    </w:p>
    <w:p w:rsidR="00474B8A" w:rsidRDefault="00474B8A" w:rsidP="00474B8A">
      <w:pPr>
        <w:pStyle w:val="BodyNum"/>
      </w:pPr>
      <w:r>
        <w:t>In some Acts that use this method, Parts are also numbered with numbers that reflect the Chapter in which they are located. For example, Part 1</w:t>
      </w:r>
      <w:r w:rsidR="004D6D60">
        <w:noBreakHyphen/>
      </w:r>
      <w:r>
        <w:t>1 would be the first Part in Chapter 1 and Part 2</w:t>
      </w:r>
      <w:r w:rsidR="004D6D60">
        <w:noBreakHyphen/>
      </w:r>
      <w:r>
        <w:t>1 would be the first Part in Chapter 2.</w:t>
      </w:r>
    </w:p>
    <w:p w:rsidR="00474B8A" w:rsidRDefault="00474B8A" w:rsidP="00474B8A">
      <w:pPr>
        <w:pStyle w:val="BodyNum"/>
      </w:pPr>
      <w:r>
        <w:t>Subdivisions in Acts using Division</w:t>
      </w:r>
      <w:r w:rsidR="004D6D60">
        <w:noBreakHyphen/>
      </w:r>
      <w:r>
        <w:t>section numbering also include the Division number in the Subdivision number. For example Subdivision 45</w:t>
      </w:r>
      <w:r w:rsidR="004D6D60">
        <w:noBreakHyphen/>
      </w:r>
      <w:r>
        <w:t>A.</w:t>
      </w:r>
    </w:p>
    <w:p w:rsidR="00474B8A" w:rsidRDefault="00474B8A" w:rsidP="00474B8A">
      <w:pPr>
        <w:pStyle w:val="Head2"/>
      </w:pPr>
      <w:bookmarkStart w:id="106" w:name="_Toc14677524"/>
      <w:r>
        <w:t>Components of instruments—instruments using Part</w:t>
      </w:r>
      <w:r w:rsidR="004D6D60">
        <w:noBreakHyphen/>
      </w:r>
      <w:r>
        <w:t>section numbering</w:t>
      </w:r>
      <w:bookmarkEnd w:id="106"/>
    </w:p>
    <w:p w:rsidR="00474B8A" w:rsidRDefault="00474B8A" w:rsidP="00474B8A">
      <w:pPr>
        <w:pStyle w:val="Head3"/>
      </w:pPr>
      <w:bookmarkStart w:id="107" w:name="_Toc14677525"/>
      <w:r>
        <w:t>Description of the Part</w:t>
      </w:r>
      <w:r w:rsidR="004D6D60">
        <w:noBreakHyphen/>
      </w:r>
      <w:r>
        <w:t>section numbering system</w:t>
      </w:r>
      <w:bookmarkEnd w:id="107"/>
    </w:p>
    <w:p w:rsidR="00474B8A" w:rsidRDefault="00474B8A" w:rsidP="00474B8A">
      <w:pPr>
        <w:pStyle w:val="BodyNum"/>
      </w:pPr>
      <w:r>
        <w:t>A system of numbering, called Part</w:t>
      </w:r>
      <w:r w:rsidR="004D6D60">
        <w:noBreakHyphen/>
      </w:r>
      <w:r>
        <w:t xml:space="preserve">section numbering, is used in some instruments. Some of these instruments are very large and are likely to be subject to substantial amendment (such as the </w:t>
      </w:r>
      <w:r w:rsidRPr="00F33555">
        <w:rPr>
          <w:i/>
        </w:rPr>
        <w:t>Civil Aviation Safety Regulations 1998</w:t>
      </w:r>
      <w:r w:rsidR="003D27E3">
        <w:t xml:space="preserve">). </w:t>
      </w:r>
      <w:r>
        <w:t xml:space="preserve">It can also be useful when </w:t>
      </w:r>
      <w:r>
        <w:lastRenderedPageBreak/>
        <w:t xml:space="preserve">the content of an instrument will be filled in over time, and where the structure of the instrument reflects the structure of the Act (such as the </w:t>
      </w:r>
      <w:r w:rsidRPr="00F33555">
        <w:rPr>
          <w:i/>
        </w:rPr>
        <w:t>Water Regulations 2008</w:t>
      </w:r>
      <w:r>
        <w:t xml:space="preserve">). </w:t>
      </w:r>
    </w:p>
    <w:p w:rsidR="00474B8A" w:rsidRDefault="00474B8A" w:rsidP="00474B8A">
      <w:pPr>
        <w:pStyle w:val="BodyNum"/>
      </w:pPr>
      <w:r>
        <w:t>The system works by having each section number made up of 2 components separated by a dot. The first component is the Part number and the second number is the number of the section within that Division. An example of a section number in this form is 11.100.</w:t>
      </w:r>
    </w:p>
    <w:p w:rsidR="00474B8A" w:rsidRDefault="00474B8A" w:rsidP="00474B8A">
      <w:pPr>
        <w:pStyle w:val="BodyNum"/>
      </w:pPr>
      <w:r>
        <w:t>For this system, Part numbers are unique within an instrument (they do not start again at the start of each Part) but the section component starts again at the start of each Part.</w:t>
      </w:r>
    </w:p>
    <w:p w:rsidR="00474B8A" w:rsidRDefault="00474B8A" w:rsidP="00474B8A">
      <w:pPr>
        <w:pStyle w:val="BodyNum"/>
      </w:pPr>
      <w:r>
        <w:t xml:space="preserve">Another aspect of this approach is to leave gaps in section numbers. Within Parts, gaps of 5 are usually used between the sections. Therefore, the sections in Part 45 may be numbered as 45.005, 45.010, 45.015 etc. </w:t>
      </w:r>
    </w:p>
    <w:p w:rsidR="00474B8A" w:rsidRDefault="00474B8A" w:rsidP="00474B8A">
      <w:pPr>
        <w:pStyle w:val="Head3"/>
      </w:pPr>
      <w:bookmarkStart w:id="108" w:name="_Toc14677526"/>
      <w:r>
        <w:t xml:space="preserve">Modifications </w:t>
      </w:r>
      <w:r w:rsidR="009D7BDB">
        <w:t>of</w:t>
      </w:r>
      <w:r>
        <w:t xml:space="preserve"> the standard numbering system</w:t>
      </w:r>
      <w:bookmarkEnd w:id="108"/>
    </w:p>
    <w:p w:rsidR="00474B8A" w:rsidRDefault="00474B8A" w:rsidP="00474B8A">
      <w:pPr>
        <w:pStyle w:val="BodyNum"/>
      </w:pPr>
      <w:r>
        <w:t>Most of the material in the section about the components of Bills</w:t>
      </w:r>
      <w:r w:rsidR="003878C1">
        <w:t>,</w:t>
      </w:r>
      <w:r>
        <w:t xml:space="preserve"> Acts </w:t>
      </w:r>
      <w:r w:rsidR="003878C1">
        <w:t xml:space="preserve">and instruments </w:t>
      </w:r>
      <w:r>
        <w:t>applies to instruments with Part</w:t>
      </w:r>
      <w:r w:rsidR="004D6D60">
        <w:noBreakHyphen/>
      </w:r>
      <w:r>
        <w:t>section numbering in the same way as it does to legislation with standard numbering.</w:t>
      </w:r>
    </w:p>
    <w:p w:rsidR="00474B8A" w:rsidRDefault="00474B8A" w:rsidP="00474B8A">
      <w:pPr>
        <w:pStyle w:val="BodyNum"/>
      </w:pPr>
      <w:r>
        <w:t>The main modification is that Parts are numbered from the start to the end of the instrument and the numbering does not restart at the start of each Chapter.</w:t>
      </w:r>
    </w:p>
    <w:p w:rsidR="00474B8A" w:rsidRDefault="00474B8A" w:rsidP="00474B8A">
      <w:pPr>
        <w:pStyle w:val="Head2"/>
      </w:pPr>
      <w:bookmarkStart w:id="109" w:name="_Toc14677527"/>
      <w:r>
        <w:t>Components of instruments—instruments using numbering to reflect the number of the parent Act</w:t>
      </w:r>
      <w:bookmarkEnd w:id="109"/>
    </w:p>
    <w:p w:rsidR="00474B8A" w:rsidRDefault="00474B8A" w:rsidP="00474B8A">
      <w:pPr>
        <w:pStyle w:val="Head3"/>
      </w:pPr>
      <w:bookmarkStart w:id="110" w:name="_Toc14677528"/>
      <w:r>
        <w:t>Description of this numbering system</w:t>
      </w:r>
      <w:bookmarkEnd w:id="110"/>
    </w:p>
    <w:p w:rsidR="00474B8A" w:rsidRDefault="00474B8A" w:rsidP="00474B8A">
      <w:pPr>
        <w:pStyle w:val="BodyNum"/>
      </w:pPr>
      <w:r>
        <w:t xml:space="preserve">For some instruments, the Chapters, Parts, Divisions and Subdivisions are numbered and named so that they follow the numbering and names used for these components in the parent Act. For example, see the </w:t>
      </w:r>
      <w:r w:rsidRPr="00F33555">
        <w:rPr>
          <w:i/>
        </w:rPr>
        <w:t>Water Act 2007</w:t>
      </w:r>
      <w:r>
        <w:t xml:space="preserve"> and the </w:t>
      </w:r>
      <w:r w:rsidRPr="00F33555">
        <w:rPr>
          <w:i/>
        </w:rPr>
        <w:t>Water Regulations 2008</w:t>
      </w:r>
      <w:r>
        <w:t xml:space="preserve">, and the </w:t>
      </w:r>
      <w:r w:rsidRPr="00F33555">
        <w:rPr>
          <w:i/>
        </w:rPr>
        <w:t>Fair Work Act 2009</w:t>
      </w:r>
      <w:r>
        <w:t xml:space="preserve"> and the </w:t>
      </w:r>
      <w:r w:rsidRPr="00F33555">
        <w:rPr>
          <w:i/>
        </w:rPr>
        <w:t>Fair Work Regulations 2009</w:t>
      </w:r>
      <w:r>
        <w:t>.</w:t>
      </w:r>
    </w:p>
    <w:p w:rsidR="00474B8A" w:rsidRDefault="00474B8A" w:rsidP="00474B8A">
      <w:pPr>
        <w:pStyle w:val="BodyNum"/>
      </w:pPr>
      <w:r>
        <w:t>In these instruments, the location in an instrument of a section that is made under a particular empowering provision in the Act will correspond to the location of the empowering provision of the Act.</w:t>
      </w:r>
    </w:p>
    <w:p w:rsidR="00474B8A" w:rsidRDefault="00474B8A" w:rsidP="00474B8A">
      <w:pPr>
        <w:pStyle w:val="BodyNum"/>
      </w:pPr>
      <w:r>
        <w:t>This numbering system is designed to assist readers who are reading the Act and instrument together.</w:t>
      </w:r>
    </w:p>
    <w:p w:rsidR="00474B8A" w:rsidRDefault="00474B8A" w:rsidP="00474B8A">
      <w:pPr>
        <w:pStyle w:val="BodyNum"/>
      </w:pPr>
      <w:r>
        <w:t xml:space="preserve">Another aspect of this approach is that there will be gaps in the numbering of the Chapters, Parts, Divisions or Subdivisions of the instrument if there are no sections of the instrument made for the purposes of a particular Chapter, Part, Division or Subdivision of the Act. </w:t>
      </w:r>
    </w:p>
    <w:p w:rsidR="00474B8A" w:rsidRDefault="00474B8A" w:rsidP="00474B8A">
      <w:pPr>
        <w:pStyle w:val="Head3"/>
      </w:pPr>
      <w:bookmarkStart w:id="111" w:name="_Toc14677529"/>
      <w:r>
        <w:t xml:space="preserve">Modifications </w:t>
      </w:r>
      <w:r w:rsidR="009D7BDB">
        <w:t>of</w:t>
      </w:r>
      <w:r>
        <w:t xml:space="preserve"> the standard numbering system</w:t>
      </w:r>
      <w:bookmarkEnd w:id="111"/>
    </w:p>
    <w:p w:rsidR="00474B8A" w:rsidRDefault="00474B8A" w:rsidP="00474B8A">
      <w:pPr>
        <w:pStyle w:val="BodyNum"/>
      </w:pPr>
      <w:r>
        <w:t>Most of the material in the section about the components of Bills</w:t>
      </w:r>
      <w:r w:rsidR="003878C1">
        <w:t>,</w:t>
      </w:r>
      <w:r>
        <w:t xml:space="preserve"> Acts </w:t>
      </w:r>
      <w:r w:rsidR="003878C1">
        <w:t xml:space="preserve">and instruments </w:t>
      </w:r>
      <w:r>
        <w:t>applies to instruments with this kind of numbering in the same way as it does to legislation with standard numbering.</w:t>
      </w:r>
    </w:p>
    <w:p w:rsidR="00A63611" w:rsidRPr="00474B8A" w:rsidRDefault="00474B8A" w:rsidP="00474B8A">
      <w:pPr>
        <w:pStyle w:val="BodyNum"/>
      </w:pPr>
      <w:r>
        <w:lastRenderedPageBreak/>
        <w:t>The main modification is that that there may be gaps in the numbering of the Chapters, Parts, Divisions</w:t>
      </w:r>
      <w:r w:rsidR="003878C1">
        <w:t>,</w:t>
      </w:r>
      <w:r>
        <w:t xml:space="preserve"> Subdivisions </w:t>
      </w:r>
      <w:r w:rsidR="003878C1">
        <w:t xml:space="preserve">or sections </w:t>
      </w:r>
      <w:r>
        <w:t>of the instrument.</w:t>
      </w:r>
    </w:p>
    <w:sectPr w:rsidR="00A63611" w:rsidRPr="00474B8A" w:rsidSect="00930C82">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6E" w:rsidRDefault="00EF336E" w:rsidP="008E17F3">
      <w:pPr>
        <w:spacing w:line="240" w:lineRule="auto"/>
      </w:pPr>
      <w:r>
        <w:separator/>
      </w:r>
    </w:p>
  </w:endnote>
  <w:endnote w:type="continuationSeparator" w:id="0">
    <w:p w:rsidR="00EF336E" w:rsidRDefault="00EF336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embedBold r:id="rId1" w:subsetted="1" w:fontKey="{C2C881C6-F624-4432-A413-855E4745CCF9}"/>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E" w:rsidRDefault="00EF336E" w:rsidP="00930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EF336E" w:rsidRDefault="00EF336E" w:rsidP="00930C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6E" w:rsidRDefault="00EF336E" w:rsidP="00930C82">
    <w:pPr>
      <w:pStyle w:val="Footer"/>
      <w:tabs>
        <w:tab w:val="clear" w:pos="4153"/>
        <w:tab w:val="clear" w:pos="8306"/>
        <w:tab w:val="left" w:pos="7680"/>
      </w:tabs>
      <w:ind w:right="27"/>
      <w:rPr>
        <w:sz w:val="16"/>
      </w:rPr>
    </w:pPr>
    <w:r>
      <w:rPr>
        <w:sz w:val="16"/>
      </w:rPr>
      <w:t>[</w:t>
    </w:r>
    <w:r w:rsidR="00321E2E">
      <w:rPr>
        <w:noProof/>
        <w:sz w:val="16"/>
        <w:szCs w:val="16"/>
      </w:rPr>
      <w:t>s05pq37.v27.docx</w:t>
    </w:r>
    <w:r w:rsidRPr="00766393">
      <w:rPr>
        <w:sz w:val="16"/>
        <w:szCs w:val="16"/>
      </w:rPr>
      <w:t>] [</w:t>
    </w:r>
    <w:r w:rsidR="00321E2E">
      <w:rPr>
        <w:noProof/>
        <w:sz w:val="16"/>
        <w:szCs w:val="16"/>
      </w:rPr>
      <w:t>23-Jul-19</w:t>
    </w:r>
    <w:r>
      <w:rPr>
        <w:sz w:val="16"/>
      </w:rPr>
      <w:t>] [</w:t>
    </w:r>
    <w:r w:rsidR="00321E2E">
      <w:rPr>
        <w:noProof/>
        <w:sz w:val="16"/>
      </w:rPr>
      <w:t>7:47 AM</w:t>
    </w:r>
    <w:r>
      <w:rPr>
        <w:sz w:val="16"/>
      </w:rPr>
      <w:t>]</w:t>
    </w:r>
    <w:r>
      <w:rPr>
        <w:sz w:val="16"/>
      </w:rPr>
      <w:tab/>
    </w:r>
    <w:r>
      <w:rPr>
        <w:sz w:val="16"/>
      </w:rPr>
      <w:tab/>
    </w:r>
    <w:r>
      <w:t xml:space="preserve">Page  </w:t>
    </w:r>
    <w:r>
      <w:fldChar w:fldCharType="begin"/>
    </w:r>
    <w:r>
      <w:instrText xml:space="preserve"> PAGE  \* MERGEFORMAT </w:instrText>
    </w:r>
    <w:r>
      <w:fldChar w:fldCharType="separate"/>
    </w:r>
    <w:r w:rsidR="006D669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2E" w:rsidRDefault="00321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6E" w:rsidRDefault="00EF336E" w:rsidP="008E17F3">
      <w:pPr>
        <w:spacing w:line="240" w:lineRule="auto"/>
      </w:pPr>
      <w:r>
        <w:separator/>
      </w:r>
    </w:p>
  </w:footnote>
  <w:footnote w:type="continuationSeparator" w:id="0">
    <w:p w:rsidR="00EF336E" w:rsidRDefault="00EF336E"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2E" w:rsidRDefault="00321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2E" w:rsidRDefault="00321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2E" w:rsidRDefault="00321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187D14"/>
    <w:lvl w:ilvl="0">
      <w:start w:val="1"/>
      <w:numFmt w:val="decimal"/>
      <w:lvlText w:val="%1."/>
      <w:lvlJc w:val="left"/>
      <w:pPr>
        <w:tabs>
          <w:tab w:val="num" w:pos="1492"/>
        </w:tabs>
        <w:ind w:left="1492" w:hanging="360"/>
      </w:pPr>
    </w:lvl>
  </w:abstractNum>
  <w:abstractNum w:abstractNumId="1">
    <w:nsid w:val="FFFFFF7D"/>
    <w:multiLevelType w:val="singleLevel"/>
    <w:tmpl w:val="9F7033F0"/>
    <w:lvl w:ilvl="0">
      <w:start w:val="1"/>
      <w:numFmt w:val="decimal"/>
      <w:lvlText w:val="%1."/>
      <w:lvlJc w:val="left"/>
      <w:pPr>
        <w:tabs>
          <w:tab w:val="num" w:pos="1209"/>
        </w:tabs>
        <w:ind w:left="1209" w:hanging="360"/>
      </w:pPr>
    </w:lvl>
  </w:abstractNum>
  <w:abstractNum w:abstractNumId="2">
    <w:nsid w:val="FFFFFF7E"/>
    <w:multiLevelType w:val="singleLevel"/>
    <w:tmpl w:val="55CCCDEE"/>
    <w:lvl w:ilvl="0">
      <w:start w:val="1"/>
      <w:numFmt w:val="decimal"/>
      <w:lvlText w:val="%1."/>
      <w:lvlJc w:val="left"/>
      <w:pPr>
        <w:tabs>
          <w:tab w:val="num" w:pos="926"/>
        </w:tabs>
        <w:ind w:left="926" w:hanging="360"/>
      </w:pPr>
    </w:lvl>
  </w:abstractNum>
  <w:abstractNum w:abstractNumId="3">
    <w:nsid w:val="FFFFFF7F"/>
    <w:multiLevelType w:val="singleLevel"/>
    <w:tmpl w:val="FBC458E2"/>
    <w:lvl w:ilvl="0">
      <w:start w:val="1"/>
      <w:numFmt w:val="decimal"/>
      <w:lvlText w:val="%1."/>
      <w:lvlJc w:val="left"/>
      <w:pPr>
        <w:tabs>
          <w:tab w:val="num" w:pos="643"/>
        </w:tabs>
        <w:ind w:left="643" w:hanging="360"/>
      </w:pPr>
    </w:lvl>
  </w:abstractNum>
  <w:abstractNum w:abstractNumId="4">
    <w:nsid w:val="FFFFFF80"/>
    <w:multiLevelType w:val="singleLevel"/>
    <w:tmpl w:val="21D8D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B6A7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D46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E50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684B8E"/>
    <w:lvl w:ilvl="0">
      <w:start w:val="1"/>
      <w:numFmt w:val="decimal"/>
      <w:lvlText w:val="%1."/>
      <w:lvlJc w:val="left"/>
      <w:pPr>
        <w:tabs>
          <w:tab w:val="num" w:pos="360"/>
        </w:tabs>
        <w:ind w:left="360" w:hanging="360"/>
      </w:pPr>
    </w:lvl>
  </w:abstractNum>
  <w:abstractNum w:abstractNumId="9">
    <w:nsid w:val="FFFFFF89"/>
    <w:multiLevelType w:val="singleLevel"/>
    <w:tmpl w:val="6BC61BA0"/>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A519E3"/>
    <w:multiLevelType w:val="hybridMultilevel"/>
    <w:tmpl w:val="8856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3104B8A"/>
    <w:multiLevelType w:val="hybridMultilevel"/>
    <w:tmpl w:val="28B88F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F662072"/>
    <w:multiLevelType w:val="hybridMultilevel"/>
    <w:tmpl w:val="E508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4"/>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11"/>
    <w:rsid w:val="0001369E"/>
    <w:rsid w:val="000136AF"/>
    <w:rsid w:val="0002000E"/>
    <w:rsid w:val="00022B34"/>
    <w:rsid w:val="000236C3"/>
    <w:rsid w:val="00041ED8"/>
    <w:rsid w:val="000449F8"/>
    <w:rsid w:val="000464FE"/>
    <w:rsid w:val="000537DE"/>
    <w:rsid w:val="00054D93"/>
    <w:rsid w:val="00055319"/>
    <w:rsid w:val="00056743"/>
    <w:rsid w:val="00057E40"/>
    <w:rsid w:val="000614BF"/>
    <w:rsid w:val="000619E7"/>
    <w:rsid w:val="000A1598"/>
    <w:rsid w:val="000B0992"/>
    <w:rsid w:val="000C2728"/>
    <w:rsid w:val="000D0218"/>
    <w:rsid w:val="000D05EF"/>
    <w:rsid w:val="000D45FB"/>
    <w:rsid w:val="000E2D19"/>
    <w:rsid w:val="000F7F09"/>
    <w:rsid w:val="00100C1D"/>
    <w:rsid w:val="001017E6"/>
    <w:rsid w:val="0010745C"/>
    <w:rsid w:val="00114E02"/>
    <w:rsid w:val="00131805"/>
    <w:rsid w:val="00144FC0"/>
    <w:rsid w:val="00156A5D"/>
    <w:rsid w:val="00160A1A"/>
    <w:rsid w:val="00166C2F"/>
    <w:rsid w:val="001800F2"/>
    <w:rsid w:val="001939E1"/>
    <w:rsid w:val="00194F17"/>
    <w:rsid w:val="00195382"/>
    <w:rsid w:val="001A56A4"/>
    <w:rsid w:val="001B3A6B"/>
    <w:rsid w:val="001C0077"/>
    <w:rsid w:val="001C22D4"/>
    <w:rsid w:val="001C69C4"/>
    <w:rsid w:val="001D0D9D"/>
    <w:rsid w:val="001D2074"/>
    <w:rsid w:val="001D7098"/>
    <w:rsid w:val="001D7D75"/>
    <w:rsid w:val="001E3590"/>
    <w:rsid w:val="001E71CB"/>
    <w:rsid w:val="001E7407"/>
    <w:rsid w:val="001F193C"/>
    <w:rsid w:val="002053B6"/>
    <w:rsid w:val="002068BF"/>
    <w:rsid w:val="002069A2"/>
    <w:rsid w:val="002166C5"/>
    <w:rsid w:val="002305BA"/>
    <w:rsid w:val="00235BF2"/>
    <w:rsid w:val="00247F7D"/>
    <w:rsid w:val="0025012D"/>
    <w:rsid w:val="00253D1B"/>
    <w:rsid w:val="00272322"/>
    <w:rsid w:val="002819A6"/>
    <w:rsid w:val="00285BEB"/>
    <w:rsid w:val="002868E7"/>
    <w:rsid w:val="00286CAA"/>
    <w:rsid w:val="00295FBA"/>
    <w:rsid w:val="002970D7"/>
    <w:rsid w:val="00297ECB"/>
    <w:rsid w:val="002A2803"/>
    <w:rsid w:val="002A5044"/>
    <w:rsid w:val="002D043A"/>
    <w:rsid w:val="002D4042"/>
    <w:rsid w:val="002E0893"/>
    <w:rsid w:val="002E3EA8"/>
    <w:rsid w:val="00311448"/>
    <w:rsid w:val="00321D9B"/>
    <w:rsid w:val="00321E2E"/>
    <w:rsid w:val="00326D1C"/>
    <w:rsid w:val="003420AB"/>
    <w:rsid w:val="00342388"/>
    <w:rsid w:val="00342FE8"/>
    <w:rsid w:val="00352B0F"/>
    <w:rsid w:val="003557FF"/>
    <w:rsid w:val="00360FB0"/>
    <w:rsid w:val="00370C19"/>
    <w:rsid w:val="00376E8E"/>
    <w:rsid w:val="003878C1"/>
    <w:rsid w:val="00387E1C"/>
    <w:rsid w:val="003917D3"/>
    <w:rsid w:val="003976CC"/>
    <w:rsid w:val="003A6872"/>
    <w:rsid w:val="003B5735"/>
    <w:rsid w:val="003D004B"/>
    <w:rsid w:val="003D0BFE"/>
    <w:rsid w:val="003D27E3"/>
    <w:rsid w:val="003D2BFB"/>
    <w:rsid w:val="003D3B3D"/>
    <w:rsid w:val="003D5700"/>
    <w:rsid w:val="003D772C"/>
    <w:rsid w:val="003E2DDB"/>
    <w:rsid w:val="003E419E"/>
    <w:rsid w:val="003E478F"/>
    <w:rsid w:val="003E7C7B"/>
    <w:rsid w:val="00405784"/>
    <w:rsid w:val="00410EEF"/>
    <w:rsid w:val="004116CD"/>
    <w:rsid w:val="004126F1"/>
    <w:rsid w:val="0042341F"/>
    <w:rsid w:val="00424CA9"/>
    <w:rsid w:val="00430BA1"/>
    <w:rsid w:val="00437365"/>
    <w:rsid w:val="0044291A"/>
    <w:rsid w:val="004431AE"/>
    <w:rsid w:val="00444E63"/>
    <w:rsid w:val="00445F3E"/>
    <w:rsid w:val="004518D2"/>
    <w:rsid w:val="004551C4"/>
    <w:rsid w:val="00461EBD"/>
    <w:rsid w:val="004653F8"/>
    <w:rsid w:val="00474B8A"/>
    <w:rsid w:val="004817C5"/>
    <w:rsid w:val="00485862"/>
    <w:rsid w:val="004864F0"/>
    <w:rsid w:val="00487155"/>
    <w:rsid w:val="00496F97"/>
    <w:rsid w:val="004A3115"/>
    <w:rsid w:val="004C4171"/>
    <w:rsid w:val="004D64ED"/>
    <w:rsid w:val="004D6D60"/>
    <w:rsid w:val="004E1C4D"/>
    <w:rsid w:val="004E36E3"/>
    <w:rsid w:val="004E4AC5"/>
    <w:rsid w:val="004E67CB"/>
    <w:rsid w:val="00516B8D"/>
    <w:rsid w:val="00520A02"/>
    <w:rsid w:val="005242E7"/>
    <w:rsid w:val="00524534"/>
    <w:rsid w:val="0053008E"/>
    <w:rsid w:val="00532CFF"/>
    <w:rsid w:val="00537FBC"/>
    <w:rsid w:val="00550094"/>
    <w:rsid w:val="00565571"/>
    <w:rsid w:val="00584811"/>
    <w:rsid w:val="00586EA3"/>
    <w:rsid w:val="00594161"/>
    <w:rsid w:val="00594749"/>
    <w:rsid w:val="005A076D"/>
    <w:rsid w:val="005A2E04"/>
    <w:rsid w:val="005A7749"/>
    <w:rsid w:val="005B4F88"/>
    <w:rsid w:val="005D7FD7"/>
    <w:rsid w:val="005E73B1"/>
    <w:rsid w:val="005F5748"/>
    <w:rsid w:val="00600219"/>
    <w:rsid w:val="006041D1"/>
    <w:rsid w:val="006207A3"/>
    <w:rsid w:val="00622E22"/>
    <w:rsid w:val="006242F2"/>
    <w:rsid w:val="00640825"/>
    <w:rsid w:val="0064383A"/>
    <w:rsid w:val="00646919"/>
    <w:rsid w:val="00650D9E"/>
    <w:rsid w:val="00653E31"/>
    <w:rsid w:val="00655AD1"/>
    <w:rsid w:val="00675FDE"/>
    <w:rsid w:val="00677CC2"/>
    <w:rsid w:val="00680F77"/>
    <w:rsid w:val="0069207B"/>
    <w:rsid w:val="006B155A"/>
    <w:rsid w:val="006B7A86"/>
    <w:rsid w:val="006C1425"/>
    <w:rsid w:val="006C75F4"/>
    <w:rsid w:val="006C7F8C"/>
    <w:rsid w:val="006D6697"/>
    <w:rsid w:val="006E1A64"/>
    <w:rsid w:val="006F069B"/>
    <w:rsid w:val="0070194A"/>
    <w:rsid w:val="0070350B"/>
    <w:rsid w:val="00703589"/>
    <w:rsid w:val="00704FCC"/>
    <w:rsid w:val="007050B0"/>
    <w:rsid w:val="0070560F"/>
    <w:rsid w:val="00716F70"/>
    <w:rsid w:val="00722304"/>
    <w:rsid w:val="00725042"/>
    <w:rsid w:val="007256E6"/>
    <w:rsid w:val="007276BC"/>
    <w:rsid w:val="00731E00"/>
    <w:rsid w:val="00733990"/>
    <w:rsid w:val="00733F6B"/>
    <w:rsid w:val="007342C4"/>
    <w:rsid w:val="00761058"/>
    <w:rsid w:val="00763AF9"/>
    <w:rsid w:val="00766393"/>
    <w:rsid w:val="007715C9"/>
    <w:rsid w:val="007727C8"/>
    <w:rsid w:val="00774EDD"/>
    <w:rsid w:val="007757EC"/>
    <w:rsid w:val="0078399A"/>
    <w:rsid w:val="007C2464"/>
    <w:rsid w:val="007D2AD0"/>
    <w:rsid w:val="007E0DC5"/>
    <w:rsid w:val="007F53C9"/>
    <w:rsid w:val="0080400D"/>
    <w:rsid w:val="00810E9F"/>
    <w:rsid w:val="00823BBD"/>
    <w:rsid w:val="008313F4"/>
    <w:rsid w:val="008355A3"/>
    <w:rsid w:val="00835FA3"/>
    <w:rsid w:val="00845F4C"/>
    <w:rsid w:val="00856A31"/>
    <w:rsid w:val="008754D0"/>
    <w:rsid w:val="00877A46"/>
    <w:rsid w:val="008848C2"/>
    <w:rsid w:val="008A74CA"/>
    <w:rsid w:val="008C1035"/>
    <w:rsid w:val="008C165C"/>
    <w:rsid w:val="008C4146"/>
    <w:rsid w:val="008D18BD"/>
    <w:rsid w:val="008D19A4"/>
    <w:rsid w:val="008D62F9"/>
    <w:rsid w:val="008D6C4F"/>
    <w:rsid w:val="008D769E"/>
    <w:rsid w:val="008D79D0"/>
    <w:rsid w:val="008E17F3"/>
    <w:rsid w:val="008E1823"/>
    <w:rsid w:val="008E3B8C"/>
    <w:rsid w:val="008E5034"/>
    <w:rsid w:val="008E7193"/>
    <w:rsid w:val="00911602"/>
    <w:rsid w:val="00917467"/>
    <w:rsid w:val="0093093E"/>
    <w:rsid w:val="00930C82"/>
    <w:rsid w:val="0094622F"/>
    <w:rsid w:val="009468E1"/>
    <w:rsid w:val="009671F0"/>
    <w:rsid w:val="00974B00"/>
    <w:rsid w:val="00990C17"/>
    <w:rsid w:val="0099714A"/>
    <w:rsid w:val="009A24EA"/>
    <w:rsid w:val="009A6426"/>
    <w:rsid w:val="009D332E"/>
    <w:rsid w:val="009D7BDB"/>
    <w:rsid w:val="009F0502"/>
    <w:rsid w:val="009F44A2"/>
    <w:rsid w:val="009F463E"/>
    <w:rsid w:val="009F66DA"/>
    <w:rsid w:val="009F6FAD"/>
    <w:rsid w:val="009F7571"/>
    <w:rsid w:val="00A02032"/>
    <w:rsid w:val="00A1093A"/>
    <w:rsid w:val="00A12885"/>
    <w:rsid w:val="00A14773"/>
    <w:rsid w:val="00A15CFE"/>
    <w:rsid w:val="00A21A45"/>
    <w:rsid w:val="00A21E4A"/>
    <w:rsid w:val="00A231E2"/>
    <w:rsid w:val="00A25227"/>
    <w:rsid w:val="00A3287C"/>
    <w:rsid w:val="00A376CD"/>
    <w:rsid w:val="00A40D2B"/>
    <w:rsid w:val="00A501E8"/>
    <w:rsid w:val="00A55A90"/>
    <w:rsid w:val="00A63611"/>
    <w:rsid w:val="00A63AAB"/>
    <w:rsid w:val="00A64912"/>
    <w:rsid w:val="00A669C2"/>
    <w:rsid w:val="00A70A74"/>
    <w:rsid w:val="00A77EB1"/>
    <w:rsid w:val="00A85957"/>
    <w:rsid w:val="00A868CF"/>
    <w:rsid w:val="00A9666F"/>
    <w:rsid w:val="00A97554"/>
    <w:rsid w:val="00AA440D"/>
    <w:rsid w:val="00AB0997"/>
    <w:rsid w:val="00AB7E3F"/>
    <w:rsid w:val="00AC119E"/>
    <w:rsid w:val="00AD5641"/>
    <w:rsid w:val="00AD7CA7"/>
    <w:rsid w:val="00AE05CB"/>
    <w:rsid w:val="00AE46D9"/>
    <w:rsid w:val="00AF3705"/>
    <w:rsid w:val="00B03225"/>
    <w:rsid w:val="00B0635E"/>
    <w:rsid w:val="00B0723E"/>
    <w:rsid w:val="00B176AA"/>
    <w:rsid w:val="00B22CA6"/>
    <w:rsid w:val="00B2420F"/>
    <w:rsid w:val="00B33B3C"/>
    <w:rsid w:val="00B53D5C"/>
    <w:rsid w:val="00B76A74"/>
    <w:rsid w:val="00B840C5"/>
    <w:rsid w:val="00B87AEA"/>
    <w:rsid w:val="00B91213"/>
    <w:rsid w:val="00BA08F7"/>
    <w:rsid w:val="00BD17CB"/>
    <w:rsid w:val="00BE0578"/>
    <w:rsid w:val="00BE719A"/>
    <w:rsid w:val="00BE720A"/>
    <w:rsid w:val="00BF27DA"/>
    <w:rsid w:val="00C1650F"/>
    <w:rsid w:val="00C20528"/>
    <w:rsid w:val="00C21D50"/>
    <w:rsid w:val="00C2770C"/>
    <w:rsid w:val="00C32A85"/>
    <w:rsid w:val="00C35C70"/>
    <w:rsid w:val="00C423E1"/>
    <w:rsid w:val="00C42BF8"/>
    <w:rsid w:val="00C50043"/>
    <w:rsid w:val="00C5116C"/>
    <w:rsid w:val="00C61CDD"/>
    <w:rsid w:val="00C723D1"/>
    <w:rsid w:val="00C7573B"/>
    <w:rsid w:val="00C83868"/>
    <w:rsid w:val="00CB388C"/>
    <w:rsid w:val="00CC3D75"/>
    <w:rsid w:val="00CE0B56"/>
    <w:rsid w:val="00CF0BB2"/>
    <w:rsid w:val="00CF5EB2"/>
    <w:rsid w:val="00D04F83"/>
    <w:rsid w:val="00D10428"/>
    <w:rsid w:val="00D13441"/>
    <w:rsid w:val="00D1504E"/>
    <w:rsid w:val="00D156E6"/>
    <w:rsid w:val="00D25B76"/>
    <w:rsid w:val="00D347F7"/>
    <w:rsid w:val="00D4051A"/>
    <w:rsid w:val="00D434CF"/>
    <w:rsid w:val="00D52C53"/>
    <w:rsid w:val="00D52E8A"/>
    <w:rsid w:val="00D70DFB"/>
    <w:rsid w:val="00D766DF"/>
    <w:rsid w:val="00D76973"/>
    <w:rsid w:val="00D861E2"/>
    <w:rsid w:val="00D92579"/>
    <w:rsid w:val="00DC2AC8"/>
    <w:rsid w:val="00DC2F66"/>
    <w:rsid w:val="00DE4C98"/>
    <w:rsid w:val="00E2277A"/>
    <w:rsid w:val="00E2452C"/>
    <w:rsid w:val="00E37F33"/>
    <w:rsid w:val="00E74DC7"/>
    <w:rsid w:val="00E80C1A"/>
    <w:rsid w:val="00E942D8"/>
    <w:rsid w:val="00EA0068"/>
    <w:rsid w:val="00EA6092"/>
    <w:rsid w:val="00EA79AD"/>
    <w:rsid w:val="00EF2E3A"/>
    <w:rsid w:val="00EF336E"/>
    <w:rsid w:val="00EF7C32"/>
    <w:rsid w:val="00F016F6"/>
    <w:rsid w:val="00F04811"/>
    <w:rsid w:val="00F078DC"/>
    <w:rsid w:val="00F23E5F"/>
    <w:rsid w:val="00F34878"/>
    <w:rsid w:val="00F36C66"/>
    <w:rsid w:val="00F51269"/>
    <w:rsid w:val="00F52784"/>
    <w:rsid w:val="00F52DAA"/>
    <w:rsid w:val="00F62232"/>
    <w:rsid w:val="00F75D44"/>
    <w:rsid w:val="00F767BC"/>
    <w:rsid w:val="00F76E0E"/>
    <w:rsid w:val="00FA1661"/>
    <w:rsid w:val="00FA1F4D"/>
    <w:rsid w:val="00FA6B20"/>
    <w:rsid w:val="00FB0E87"/>
    <w:rsid w:val="00FC38C7"/>
    <w:rsid w:val="00FE07B1"/>
    <w:rsid w:val="00FE6DEA"/>
    <w:rsid w:val="00FF7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155"/>
    <w:pPr>
      <w:spacing w:line="260" w:lineRule="atLeast"/>
    </w:pPr>
    <w:rPr>
      <w:sz w:val="22"/>
    </w:rPr>
  </w:style>
  <w:style w:type="paragraph" w:styleId="Heading1">
    <w:name w:val="heading 1"/>
    <w:basedOn w:val="Normal"/>
    <w:next w:val="Normal"/>
    <w:link w:val="Heading1Char"/>
    <w:uiPriority w:val="9"/>
    <w:qFormat/>
    <w:rsid w:val="00650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155"/>
  </w:style>
  <w:style w:type="paragraph" w:customStyle="1" w:styleId="OPCParaBase">
    <w:name w:val="OPCParaBase"/>
    <w:qFormat/>
    <w:rsid w:val="00487155"/>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155"/>
    <w:pPr>
      <w:spacing w:line="240" w:lineRule="auto"/>
    </w:pPr>
    <w:rPr>
      <w:b/>
      <w:sz w:val="40"/>
    </w:rPr>
  </w:style>
  <w:style w:type="paragraph" w:customStyle="1" w:styleId="ActHead1">
    <w:name w:val="ActHead 1"/>
    <w:aliases w:val="c"/>
    <w:basedOn w:val="OPCParaBase"/>
    <w:next w:val="Normal"/>
    <w:qFormat/>
    <w:rsid w:val="004871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1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1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1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1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1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1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1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1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155"/>
  </w:style>
  <w:style w:type="paragraph" w:customStyle="1" w:styleId="Blocks">
    <w:name w:val="Blocks"/>
    <w:aliases w:val="bb"/>
    <w:basedOn w:val="OPCParaBase"/>
    <w:qFormat/>
    <w:rsid w:val="00487155"/>
    <w:pPr>
      <w:spacing w:line="240" w:lineRule="auto"/>
    </w:pPr>
    <w:rPr>
      <w:sz w:val="24"/>
    </w:rPr>
  </w:style>
  <w:style w:type="paragraph" w:customStyle="1" w:styleId="BoxText">
    <w:name w:val="BoxText"/>
    <w:aliases w:val="bt"/>
    <w:basedOn w:val="OPCParaBase"/>
    <w:rsid w:val="004871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155"/>
    <w:rPr>
      <w:b/>
    </w:rPr>
  </w:style>
  <w:style w:type="paragraph" w:customStyle="1" w:styleId="BoxHeadItalic">
    <w:name w:val="BoxHeadItalic"/>
    <w:aliases w:val="bhi"/>
    <w:basedOn w:val="BoxText"/>
    <w:next w:val="Normal"/>
    <w:qFormat/>
    <w:rsid w:val="00487155"/>
    <w:rPr>
      <w:i/>
    </w:rPr>
  </w:style>
  <w:style w:type="paragraph" w:customStyle="1" w:styleId="BoxList">
    <w:name w:val="BoxList"/>
    <w:aliases w:val="bl"/>
    <w:basedOn w:val="BoxText"/>
    <w:qFormat/>
    <w:rsid w:val="00487155"/>
    <w:pPr>
      <w:ind w:left="1559" w:hanging="425"/>
    </w:pPr>
  </w:style>
  <w:style w:type="paragraph" w:customStyle="1" w:styleId="BoxNote">
    <w:name w:val="BoxNote"/>
    <w:aliases w:val="bn"/>
    <w:basedOn w:val="BoxText"/>
    <w:qFormat/>
    <w:rsid w:val="00487155"/>
    <w:pPr>
      <w:tabs>
        <w:tab w:val="left" w:pos="1985"/>
      </w:tabs>
      <w:spacing w:before="122" w:line="198" w:lineRule="exact"/>
      <w:ind w:left="2948" w:hanging="1814"/>
    </w:pPr>
    <w:rPr>
      <w:sz w:val="18"/>
    </w:rPr>
  </w:style>
  <w:style w:type="paragraph" w:customStyle="1" w:styleId="BoxPara">
    <w:name w:val="BoxPara"/>
    <w:aliases w:val="bp"/>
    <w:basedOn w:val="BoxText"/>
    <w:qFormat/>
    <w:rsid w:val="00487155"/>
    <w:pPr>
      <w:tabs>
        <w:tab w:val="right" w:pos="2268"/>
      </w:tabs>
      <w:ind w:left="2552" w:hanging="1418"/>
    </w:pPr>
  </w:style>
  <w:style w:type="paragraph" w:customStyle="1" w:styleId="BoxStep">
    <w:name w:val="BoxStep"/>
    <w:aliases w:val="bs"/>
    <w:basedOn w:val="BoxText"/>
    <w:qFormat/>
    <w:rsid w:val="00487155"/>
    <w:pPr>
      <w:ind w:left="1985" w:hanging="851"/>
    </w:pPr>
  </w:style>
  <w:style w:type="character" w:customStyle="1" w:styleId="CharAmPartNo">
    <w:name w:val="CharAmPartNo"/>
    <w:basedOn w:val="OPCCharBase"/>
    <w:uiPriority w:val="1"/>
    <w:qFormat/>
    <w:rsid w:val="00487155"/>
  </w:style>
  <w:style w:type="character" w:customStyle="1" w:styleId="CharAmPartText">
    <w:name w:val="CharAmPartText"/>
    <w:basedOn w:val="OPCCharBase"/>
    <w:uiPriority w:val="1"/>
    <w:qFormat/>
    <w:rsid w:val="00487155"/>
  </w:style>
  <w:style w:type="character" w:customStyle="1" w:styleId="CharAmSchNo">
    <w:name w:val="CharAmSchNo"/>
    <w:basedOn w:val="OPCCharBase"/>
    <w:uiPriority w:val="1"/>
    <w:qFormat/>
    <w:rsid w:val="00487155"/>
  </w:style>
  <w:style w:type="character" w:customStyle="1" w:styleId="CharAmSchText">
    <w:name w:val="CharAmSchText"/>
    <w:basedOn w:val="OPCCharBase"/>
    <w:uiPriority w:val="1"/>
    <w:qFormat/>
    <w:rsid w:val="00487155"/>
  </w:style>
  <w:style w:type="character" w:customStyle="1" w:styleId="CharBoldItalic">
    <w:name w:val="CharBoldItalic"/>
    <w:basedOn w:val="OPCCharBase"/>
    <w:uiPriority w:val="1"/>
    <w:qFormat/>
    <w:rsid w:val="00487155"/>
    <w:rPr>
      <w:b/>
      <w:i/>
    </w:rPr>
  </w:style>
  <w:style w:type="character" w:customStyle="1" w:styleId="CharChapNo">
    <w:name w:val="CharChapNo"/>
    <w:basedOn w:val="OPCCharBase"/>
    <w:uiPriority w:val="1"/>
    <w:qFormat/>
    <w:rsid w:val="00487155"/>
  </w:style>
  <w:style w:type="character" w:customStyle="1" w:styleId="CharChapText">
    <w:name w:val="CharChapText"/>
    <w:basedOn w:val="OPCCharBase"/>
    <w:uiPriority w:val="1"/>
    <w:qFormat/>
    <w:rsid w:val="00487155"/>
  </w:style>
  <w:style w:type="character" w:customStyle="1" w:styleId="CharDivNo">
    <w:name w:val="CharDivNo"/>
    <w:basedOn w:val="OPCCharBase"/>
    <w:uiPriority w:val="1"/>
    <w:qFormat/>
    <w:rsid w:val="00487155"/>
  </w:style>
  <w:style w:type="character" w:customStyle="1" w:styleId="CharDivText">
    <w:name w:val="CharDivText"/>
    <w:basedOn w:val="OPCCharBase"/>
    <w:uiPriority w:val="1"/>
    <w:qFormat/>
    <w:rsid w:val="00487155"/>
  </w:style>
  <w:style w:type="character" w:customStyle="1" w:styleId="CharItalic">
    <w:name w:val="CharItalic"/>
    <w:basedOn w:val="OPCCharBase"/>
    <w:uiPriority w:val="1"/>
    <w:qFormat/>
    <w:rsid w:val="00487155"/>
    <w:rPr>
      <w:i/>
    </w:rPr>
  </w:style>
  <w:style w:type="character" w:customStyle="1" w:styleId="CharPartNo">
    <w:name w:val="CharPartNo"/>
    <w:basedOn w:val="OPCCharBase"/>
    <w:uiPriority w:val="1"/>
    <w:qFormat/>
    <w:rsid w:val="00487155"/>
  </w:style>
  <w:style w:type="character" w:customStyle="1" w:styleId="CharPartText">
    <w:name w:val="CharPartText"/>
    <w:basedOn w:val="OPCCharBase"/>
    <w:uiPriority w:val="1"/>
    <w:qFormat/>
    <w:rsid w:val="00487155"/>
  </w:style>
  <w:style w:type="character" w:customStyle="1" w:styleId="CharSectno">
    <w:name w:val="CharSectno"/>
    <w:basedOn w:val="OPCCharBase"/>
    <w:uiPriority w:val="1"/>
    <w:qFormat/>
    <w:rsid w:val="00487155"/>
  </w:style>
  <w:style w:type="character" w:customStyle="1" w:styleId="CharSubdNo">
    <w:name w:val="CharSubdNo"/>
    <w:basedOn w:val="OPCCharBase"/>
    <w:uiPriority w:val="1"/>
    <w:qFormat/>
    <w:rsid w:val="00487155"/>
  </w:style>
  <w:style w:type="character" w:customStyle="1" w:styleId="CharSubdText">
    <w:name w:val="CharSubdText"/>
    <w:basedOn w:val="OPCCharBase"/>
    <w:uiPriority w:val="1"/>
    <w:qFormat/>
    <w:rsid w:val="00487155"/>
  </w:style>
  <w:style w:type="paragraph" w:customStyle="1" w:styleId="CTA--">
    <w:name w:val="CTA --"/>
    <w:basedOn w:val="OPCParaBase"/>
    <w:next w:val="Normal"/>
    <w:rsid w:val="00487155"/>
    <w:pPr>
      <w:spacing w:before="60" w:line="240" w:lineRule="atLeast"/>
      <w:ind w:left="142" w:hanging="142"/>
    </w:pPr>
    <w:rPr>
      <w:sz w:val="20"/>
    </w:rPr>
  </w:style>
  <w:style w:type="paragraph" w:customStyle="1" w:styleId="CTA-">
    <w:name w:val="CTA -"/>
    <w:basedOn w:val="OPCParaBase"/>
    <w:rsid w:val="00487155"/>
    <w:pPr>
      <w:spacing w:before="60" w:line="240" w:lineRule="atLeast"/>
      <w:ind w:left="85" w:hanging="85"/>
    </w:pPr>
    <w:rPr>
      <w:sz w:val="20"/>
    </w:rPr>
  </w:style>
  <w:style w:type="paragraph" w:customStyle="1" w:styleId="CTA---">
    <w:name w:val="CTA ---"/>
    <w:basedOn w:val="OPCParaBase"/>
    <w:next w:val="Normal"/>
    <w:rsid w:val="00487155"/>
    <w:pPr>
      <w:spacing w:before="60" w:line="240" w:lineRule="atLeast"/>
      <w:ind w:left="198" w:hanging="198"/>
    </w:pPr>
    <w:rPr>
      <w:sz w:val="20"/>
    </w:rPr>
  </w:style>
  <w:style w:type="paragraph" w:customStyle="1" w:styleId="CTA----">
    <w:name w:val="CTA ----"/>
    <w:basedOn w:val="OPCParaBase"/>
    <w:next w:val="Normal"/>
    <w:rsid w:val="00487155"/>
    <w:pPr>
      <w:spacing w:before="60" w:line="240" w:lineRule="atLeast"/>
      <w:ind w:left="255" w:hanging="255"/>
    </w:pPr>
    <w:rPr>
      <w:sz w:val="20"/>
    </w:rPr>
  </w:style>
  <w:style w:type="paragraph" w:customStyle="1" w:styleId="CTA1a">
    <w:name w:val="CTA 1(a)"/>
    <w:basedOn w:val="OPCParaBase"/>
    <w:rsid w:val="00487155"/>
    <w:pPr>
      <w:tabs>
        <w:tab w:val="right" w:pos="414"/>
      </w:tabs>
      <w:spacing w:before="40" w:line="240" w:lineRule="atLeast"/>
      <w:ind w:left="675" w:hanging="675"/>
    </w:pPr>
    <w:rPr>
      <w:sz w:val="20"/>
    </w:rPr>
  </w:style>
  <w:style w:type="paragraph" w:customStyle="1" w:styleId="CTA1ai">
    <w:name w:val="CTA 1(a)(i)"/>
    <w:basedOn w:val="OPCParaBase"/>
    <w:rsid w:val="00487155"/>
    <w:pPr>
      <w:tabs>
        <w:tab w:val="right" w:pos="1004"/>
      </w:tabs>
      <w:spacing w:before="40" w:line="240" w:lineRule="atLeast"/>
      <w:ind w:left="1253" w:hanging="1253"/>
    </w:pPr>
    <w:rPr>
      <w:sz w:val="20"/>
    </w:rPr>
  </w:style>
  <w:style w:type="paragraph" w:customStyle="1" w:styleId="CTA2a">
    <w:name w:val="CTA 2(a)"/>
    <w:basedOn w:val="OPCParaBase"/>
    <w:rsid w:val="00487155"/>
    <w:pPr>
      <w:tabs>
        <w:tab w:val="right" w:pos="482"/>
      </w:tabs>
      <w:spacing w:before="40" w:line="240" w:lineRule="atLeast"/>
      <w:ind w:left="748" w:hanging="748"/>
    </w:pPr>
    <w:rPr>
      <w:sz w:val="20"/>
    </w:rPr>
  </w:style>
  <w:style w:type="paragraph" w:customStyle="1" w:styleId="CTA2ai">
    <w:name w:val="CTA 2(a)(i)"/>
    <w:basedOn w:val="OPCParaBase"/>
    <w:rsid w:val="00487155"/>
    <w:pPr>
      <w:tabs>
        <w:tab w:val="right" w:pos="1089"/>
      </w:tabs>
      <w:spacing w:before="40" w:line="240" w:lineRule="atLeast"/>
      <w:ind w:left="1327" w:hanging="1327"/>
    </w:pPr>
    <w:rPr>
      <w:sz w:val="20"/>
    </w:rPr>
  </w:style>
  <w:style w:type="paragraph" w:customStyle="1" w:styleId="CTA3a">
    <w:name w:val="CTA 3(a)"/>
    <w:basedOn w:val="OPCParaBase"/>
    <w:rsid w:val="00487155"/>
    <w:pPr>
      <w:tabs>
        <w:tab w:val="right" w:pos="556"/>
      </w:tabs>
      <w:spacing w:before="40" w:line="240" w:lineRule="atLeast"/>
      <w:ind w:left="805" w:hanging="805"/>
    </w:pPr>
    <w:rPr>
      <w:sz w:val="20"/>
    </w:rPr>
  </w:style>
  <w:style w:type="paragraph" w:customStyle="1" w:styleId="CTA3ai">
    <w:name w:val="CTA 3(a)(i)"/>
    <w:basedOn w:val="OPCParaBase"/>
    <w:rsid w:val="00487155"/>
    <w:pPr>
      <w:tabs>
        <w:tab w:val="right" w:pos="1140"/>
      </w:tabs>
      <w:spacing w:before="40" w:line="240" w:lineRule="atLeast"/>
      <w:ind w:left="1361" w:hanging="1361"/>
    </w:pPr>
    <w:rPr>
      <w:sz w:val="20"/>
    </w:rPr>
  </w:style>
  <w:style w:type="paragraph" w:customStyle="1" w:styleId="CTA4a">
    <w:name w:val="CTA 4(a)"/>
    <w:basedOn w:val="OPCParaBase"/>
    <w:rsid w:val="00487155"/>
    <w:pPr>
      <w:tabs>
        <w:tab w:val="right" w:pos="624"/>
      </w:tabs>
      <w:spacing w:before="40" w:line="240" w:lineRule="atLeast"/>
      <w:ind w:left="873" w:hanging="873"/>
    </w:pPr>
    <w:rPr>
      <w:sz w:val="20"/>
    </w:rPr>
  </w:style>
  <w:style w:type="paragraph" w:customStyle="1" w:styleId="CTA4ai">
    <w:name w:val="CTA 4(a)(i)"/>
    <w:basedOn w:val="OPCParaBase"/>
    <w:rsid w:val="00487155"/>
    <w:pPr>
      <w:tabs>
        <w:tab w:val="right" w:pos="1213"/>
      </w:tabs>
      <w:spacing w:before="40" w:line="240" w:lineRule="atLeast"/>
      <w:ind w:left="1452" w:hanging="1452"/>
    </w:pPr>
    <w:rPr>
      <w:sz w:val="20"/>
    </w:rPr>
  </w:style>
  <w:style w:type="paragraph" w:customStyle="1" w:styleId="CTACAPS">
    <w:name w:val="CTA CAPS"/>
    <w:basedOn w:val="OPCParaBase"/>
    <w:rsid w:val="00487155"/>
    <w:pPr>
      <w:spacing w:before="60" w:line="240" w:lineRule="atLeast"/>
    </w:pPr>
    <w:rPr>
      <w:sz w:val="20"/>
    </w:rPr>
  </w:style>
  <w:style w:type="paragraph" w:customStyle="1" w:styleId="CTAright">
    <w:name w:val="CTA right"/>
    <w:basedOn w:val="OPCParaBase"/>
    <w:rsid w:val="00487155"/>
    <w:pPr>
      <w:spacing w:before="60" w:line="240" w:lineRule="auto"/>
      <w:jc w:val="right"/>
    </w:pPr>
    <w:rPr>
      <w:sz w:val="20"/>
    </w:rPr>
  </w:style>
  <w:style w:type="paragraph" w:customStyle="1" w:styleId="subsection">
    <w:name w:val="subsection"/>
    <w:aliases w:val="ss"/>
    <w:basedOn w:val="OPCParaBase"/>
    <w:rsid w:val="00487155"/>
    <w:pPr>
      <w:tabs>
        <w:tab w:val="right" w:pos="1021"/>
      </w:tabs>
      <w:spacing w:before="180" w:line="240" w:lineRule="auto"/>
      <w:ind w:left="1134" w:hanging="1134"/>
    </w:pPr>
  </w:style>
  <w:style w:type="paragraph" w:customStyle="1" w:styleId="Definition">
    <w:name w:val="Definition"/>
    <w:aliases w:val="dd"/>
    <w:basedOn w:val="OPCParaBase"/>
    <w:rsid w:val="00487155"/>
    <w:pPr>
      <w:spacing w:before="180" w:line="240" w:lineRule="auto"/>
      <w:ind w:left="1134"/>
    </w:pPr>
  </w:style>
  <w:style w:type="paragraph" w:customStyle="1" w:styleId="ETAsubitem">
    <w:name w:val="ETA(subitem)"/>
    <w:basedOn w:val="OPCParaBase"/>
    <w:rsid w:val="00487155"/>
    <w:pPr>
      <w:tabs>
        <w:tab w:val="right" w:pos="340"/>
      </w:tabs>
      <w:spacing w:before="60" w:line="240" w:lineRule="auto"/>
      <w:ind w:left="454" w:hanging="454"/>
    </w:pPr>
    <w:rPr>
      <w:sz w:val="20"/>
    </w:rPr>
  </w:style>
  <w:style w:type="paragraph" w:customStyle="1" w:styleId="ETApara">
    <w:name w:val="ETA(para)"/>
    <w:basedOn w:val="OPCParaBase"/>
    <w:rsid w:val="00487155"/>
    <w:pPr>
      <w:tabs>
        <w:tab w:val="right" w:pos="754"/>
      </w:tabs>
      <w:spacing w:before="60" w:line="240" w:lineRule="auto"/>
      <w:ind w:left="828" w:hanging="828"/>
    </w:pPr>
    <w:rPr>
      <w:sz w:val="20"/>
    </w:rPr>
  </w:style>
  <w:style w:type="paragraph" w:customStyle="1" w:styleId="ETAsubpara">
    <w:name w:val="ETA(subpara)"/>
    <w:basedOn w:val="OPCParaBase"/>
    <w:rsid w:val="00487155"/>
    <w:pPr>
      <w:tabs>
        <w:tab w:val="right" w:pos="1083"/>
      </w:tabs>
      <w:spacing w:before="60" w:line="240" w:lineRule="auto"/>
      <w:ind w:left="1191" w:hanging="1191"/>
    </w:pPr>
    <w:rPr>
      <w:sz w:val="20"/>
    </w:rPr>
  </w:style>
  <w:style w:type="paragraph" w:customStyle="1" w:styleId="ETAsub-subpara">
    <w:name w:val="ETA(sub-subpara)"/>
    <w:basedOn w:val="OPCParaBase"/>
    <w:rsid w:val="00487155"/>
    <w:pPr>
      <w:tabs>
        <w:tab w:val="right" w:pos="1412"/>
      </w:tabs>
      <w:spacing w:before="60" w:line="240" w:lineRule="auto"/>
      <w:ind w:left="1525" w:hanging="1525"/>
    </w:pPr>
    <w:rPr>
      <w:sz w:val="20"/>
    </w:rPr>
  </w:style>
  <w:style w:type="paragraph" w:customStyle="1" w:styleId="Formula">
    <w:name w:val="Formula"/>
    <w:basedOn w:val="OPCParaBase"/>
    <w:rsid w:val="00487155"/>
    <w:pPr>
      <w:spacing w:line="240" w:lineRule="auto"/>
      <w:ind w:left="1134"/>
    </w:pPr>
    <w:rPr>
      <w:sz w:val="20"/>
    </w:rPr>
  </w:style>
  <w:style w:type="paragraph" w:styleId="Header">
    <w:name w:val="header"/>
    <w:basedOn w:val="OPCParaBase"/>
    <w:link w:val="HeaderChar"/>
    <w:unhideWhenUsed/>
    <w:rsid w:val="004871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155"/>
    <w:rPr>
      <w:rFonts w:eastAsia="Times New Roman" w:cs="Times New Roman"/>
      <w:sz w:val="16"/>
      <w:lang w:eastAsia="en-AU"/>
    </w:rPr>
  </w:style>
  <w:style w:type="paragraph" w:customStyle="1" w:styleId="House">
    <w:name w:val="House"/>
    <w:basedOn w:val="OPCParaBase"/>
    <w:rsid w:val="00487155"/>
    <w:pPr>
      <w:spacing w:line="240" w:lineRule="auto"/>
    </w:pPr>
    <w:rPr>
      <w:sz w:val="28"/>
    </w:rPr>
  </w:style>
  <w:style w:type="paragraph" w:customStyle="1" w:styleId="Item">
    <w:name w:val="Item"/>
    <w:aliases w:val="i"/>
    <w:basedOn w:val="OPCParaBase"/>
    <w:next w:val="ItemHead"/>
    <w:rsid w:val="00487155"/>
    <w:pPr>
      <w:keepLines/>
      <w:spacing w:before="80" w:line="240" w:lineRule="auto"/>
      <w:ind w:left="709"/>
    </w:pPr>
  </w:style>
  <w:style w:type="paragraph" w:customStyle="1" w:styleId="ItemHead">
    <w:name w:val="ItemHead"/>
    <w:aliases w:val="ih"/>
    <w:basedOn w:val="OPCParaBase"/>
    <w:next w:val="Item"/>
    <w:rsid w:val="00487155"/>
    <w:pPr>
      <w:keepLines/>
      <w:spacing w:before="220" w:line="240" w:lineRule="auto"/>
      <w:ind w:left="709" w:hanging="709"/>
    </w:pPr>
    <w:rPr>
      <w:rFonts w:ascii="Arial" w:hAnsi="Arial"/>
      <w:b/>
      <w:kern w:val="28"/>
      <w:sz w:val="24"/>
    </w:rPr>
  </w:style>
  <w:style w:type="paragraph" w:customStyle="1" w:styleId="LongT">
    <w:name w:val="LongT"/>
    <w:basedOn w:val="OPCParaBase"/>
    <w:rsid w:val="00487155"/>
    <w:pPr>
      <w:spacing w:line="240" w:lineRule="auto"/>
    </w:pPr>
    <w:rPr>
      <w:b/>
      <w:sz w:val="32"/>
    </w:rPr>
  </w:style>
  <w:style w:type="paragraph" w:customStyle="1" w:styleId="notedraft">
    <w:name w:val="note(draft)"/>
    <w:aliases w:val="nd"/>
    <w:basedOn w:val="OPCParaBase"/>
    <w:rsid w:val="00487155"/>
    <w:pPr>
      <w:spacing w:before="240" w:line="240" w:lineRule="auto"/>
      <w:ind w:left="284" w:hanging="284"/>
    </w:pPr>
    <w:rPr>
      <w:i/>
      <w:sz w:val="24"/>
    </w:rPr>
  </w:style>
  <w:style w:type="paragraph" w:customStyle="1" w:styleId="notemargin">
    <w:name w:val="note(margin)"/>
    <w:aliases w:val="nm"/>
    <w:basedOn w:val="OPCParaBase"/>
    <w:rsid w:val="00487155"/>
    <w:pPr>
      <w:tabs>
        <w:tab w:val="left" w:pos="709"/>
      </w:tabs>
      <w:spacing w:before="122" w:line="198" w:lineRule="exact"/>
      <w:ind w:left="709" w:hanging="709"/>
    </w:pPr>
    <w:rPr>
      <w:sz w:val="18"/>
    </w:rPr>
  </w:style>
  <w:style w:type="paragraph" w:customStyle="1" w:styleId="notepara">
    <w:name w:val="note(para)"/>
    <w:aliases w:val="na"/>
    <w:basedOn w:val="OPCParaBase"/>
    <w:rsid w:val="00487155"/>
    <w:pPr>
      <w:spacing w:before="40" w:line="198" w:lineRule="exact"/>
      <w:ind w:left="2354" w:hanging="369"/>
    </w:pPr>
    <w:rPr>
      <w:sz w:val="18"/>
    </w:rPr>
  </w:style>
  <w:style w:type="paragraph" w:customStyle="1" w:styleId="noteParlAmend">
    <w:name w:val="note(ParlAmend)"/>
    <w:aliases w:val="npp"/>
    <w:basedOn w:val="OPCParaBase"/>
    <w:next w:val="ParlAmend"/>
    <w:rsid w:val="00487155"/>
    <w:pPr>
      <w:spacing w:line="240" w:lineRule="auto"/>
      <w:jc w:val="right"/>
    </w:pPr>
    <w:rPr>
      <w:rFonts w:ascii="Arial" w:hAnsi="Arial"/>
      <w:b/>
      <w:i/>
    </w:rPr>
  </w:style>
  <w:style w:type="paragraph" w:customStyle="1" w:styleId="notetext">
    <w:name w:val="note(text)"/>
    <w:aliases w:val="n"/>
    <w:basedOn w:val="OPCParaBase"/>
    <w:rsid w:val="00487155"/>
    <w:pPr>
      <w:spacing w:before="122" w:line="198" w:lineRule="exact"/>
      <w:ind w:left="1985" w:hanging="851"/>
    </w:pPr>
    <w:rPr>
      <w:sz w:val="18"/>
    </w:rPr>
  </w:style>
  <w:style w:type="paragraph" w:customStyle="1" w:styleId="Page1">
    <w:name w:val="Page1"/>
    <w:basedOn w:val="OPCParaBase"/>
    <w:rsid w:val="00487155"/>
    <w:pPr>
      <w:spacing w:before="5600" w:line="240" w:lineRule="auto"/>
    </w:pPr>
    <w:rPr>
      <w:b/>
      <w:sz w:val="32"/>
    </w:rPr>
  </w:style>
  <w:style w:type="paragraph" w:customStyle="1" w:styleId="PageBreak">
    <w:name w:val="PageBreak"/>
    <w:aliases w:val="pb"/>
    <w:basedOn w:val="OPCParaBase"/>
    <w:rsid w:val="00487155"/>
    <w:pPr>
      <w:spacing w:line="240" w:lineRule="auto"/>
    </w:pPr>
    <w:rPr>
      <w:sz w:val="10"/>
    </w:rPr>
  </w:style>
  <w:style w:type="paragraph" w:customStyle="1" w:styleId="paragraphsub">
    <w:name w:val="paragraph(sub)"/>
    <w:aliases w:val="aa"/>
    <w:basedOn w:val="OPCParaBase"/>
    <w:rsid w:val="00487155"/>
    <w:pPr>
      <w:tabs>
        <w:tab w:val="right" w:pos="1985"/>
      </w:tabs>
      <w:spacing w:before="40" w:line="240" w:lineRule="auto"/>
      <w:ind w:left="2098" w:hanging="2098"/>
    </w:pPr>
  </w:style>
  <w:style w:type="paragraph" w:customStyle="1" w:styleId="paragraphsub-sub">
    <w:name w:val="paragraph(sub-sub)"/>
    <w:aliases w:val="aaa"/>
    <w:basedOn w:val="OPCParaBase"/>
    <w:rsid w:val="00487155"/>
    <w:pPr>
      <w:tabs>
        <w:tab w:val="right" w:pos="2722"/>
      </w:tabs>
      <w:spacing w:before="40" w:line="240" w:lineRule="auto"/>
      <w:ind w:left="2835" w:hanging="2835"/>
    </w:pPr>
  </w:style>
  <w:style w:type="paragraph" w:customStyle="1" w:styleId="paragraph">
    <w:name w:val="paragraph"/>
    <w:aliases w:val="a"/>
    <w:basedOn w:val="OPCParaBase"/>
    <w:link w:val="paragraphChar"/>
    <w:rsid w:val="00487155"/>
    <w:pPr>
      <w:tabs>
        <w:tab w:val="right" w:pos="1531"/>
      </w:tabs>
      <w:spacing w:before="40" w:line="240" w:lineRule="auto"/>
      <w:ind w:left="1644" w:hanging="1644"/>
    </w:pPr>
  </w:style>
  <w:style w:type="paragraph" w:customStyle="1" w:styleId="ParlAmend">
    <w:name w:val="ParlAmend"/>
    <w:aliases w:val="pp"/>
    <w:basedOn w:val="OPCParaBase"/>
    <w:rsid w:val="00487155"/>
    <w:pPr>
      <w:spacing w:before="240" w:line="240" w:lineRule="atLeast"/>
      <w:ind w:hanging="567"/>
    </w:pPr>
    <w:rPr>
      <w:sz w:val="24"/>
    </w:rPr>
  </w:style>
  <w:style w:type="paragraph" w:customStyle="1" w:styleId="Penalty">
    <w:name w:val="Penalty"/>
    <w:basedOn w:val="OPCParaBase"/>
    <w:rsid w:val="00487155"/>
    <w:pPr>
      <w:tabs>
        <w:tab w:val="left" w:pos="2977"/>
      </w:tabs>
      <w:spacing w:before="180" w:line="240" w:lineRule="auto"/>
      <w:ind w:left="1985" w:hanging="851"/>
    </w:pPr>
  </w:style>
  <w:style w:type="paragraph" w:customStyle="1" w:styleId="Portfolio">
    <w:name w:val="Portfolio"/>
    <w:basedOn w:val="OPCParaBase"/>
    <w:rsid w:val="00487155"/>
    <w:pPr>
      <w:spacing w:line="240" w:lineRule="auto"/>
    </w:pPr>
    <w:rPr>
      <w:i/>
      <w:sz w:val="20"/>
    </w:rPr>
  </w:style>
  <w:style w:type="paragraph" w:customStyle="1" w:styleId="Preamble">
    <w:name w:val="Preamble"/>
    <w:basedOn w:val="OPCParaBase"/>
    <w:next w:val="Normal"/>
    <w:rsid w:val="004871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155"/>
    <w:pPr>
      <w:spacing w:line="240" w:lineRule="auto"/>
    </w:pPr>
    <w:rPr>
      <w:i/>
      <w:sz w:val="20"/>
    </w:rPr>
  </w:style>
  <w:style w:type="paragraph" w:customStyle="1" w:styleId="Session">
    <w:name w:val="Session"/>
    <w:basedOn w:val="OPCParaBase"/>
    <w:rsid w:val="00487155"/>
    <w:pPr>
      <w:spacing w:line="240" w:lineRule="auto"/>
    </w:pPr>
    <w:rPr>
      <w:sz w:val="28"/>
    </w:rPr>
  </w:style>
  <w:style w:type="paragraph" w:customStyle="1" w:styleId="Sponsor">
    <w:name w:val="Sponsor"/>
    <w:basedOn w:val="OPCParaBase"/>
    <w:rsid w:val="00487155"/>
    <w:pPr>
      <w:spacing w:line="240" w:lineRule="auto"/>
    </w:pPr>
    <w:rPr>
      <w:i/>
    </w:rPr>
  </w:style>
  <w:style w:type="paragraph" w:customStyle="1" w:styleId="Subitem">
    <w:name w:val="Subitem"/>
    <w:aliases w:val="iss"/>
    <w:basedOn w:val="OPCParaBase"/>
    <w:rsid w:val="00487155"/>
    <w:pPr>
      <w:spacing w:before="180" w:line="240" w:lineRule="auto"/>
      <w:ind w:left="709" w:hanging="709"/>
    </w:pPr>
  </w:style>
  <w:style w:type="paragraph" w:customStyle="1" w:styleId="SubitemHead">
    <w:name w:val="SubitemHead"/>
    <w:aliases w:val="issh"/>
    <w:basedOn w:val="OPCParaBase"/>
    <w:rsid w:val="004871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155"/>
    <w:pPr>
      <w:spacing w:before="40" w:line="240" w:lineRule="auto"/>
      <w:ind w:left="1134"/>
    </w:pPr>
  </w:style>
  <w:style w:type="paragraph" w:customStyle="1" w:styleId="SubsectionHead">
    <w:name w:val="SubsectionHead"/>
    <w:aliases w:val="ssh"/>
    <w:basedOn w:val="OPCParaBase"/>
    <w:next w:val="subsection"/>
    <w:rsid w:val="00487155"/>
    <w:pPr>
      <w:keepNext/>
      <w:keepLines/>
      <w:spacing w:before="240" w:line="240" w:lineRule="auto"/>
      <w:ind w:left="1134"/>
    </w:pPr>
    <w:rPr>
      <w:i/>
    </w:rPr>
  </w:style>
  <w:style w:type="paragraph" w:customStyle="1" w:styleId="Tablea">
    <w:name w:val="Table(a)"/>
    <w:aliases w:val="ta"/>
    <w:basedOn w:val="OPCParaBase"/>
    <w:rsid w:val="00487155"/>
    <w:pPr>
      <w:spacing w:before="60" w:line="240" w:lineRule="auto"/>
      <w:ind w:left="284" w:hanging="284"/>
    </w:pPr>
    <w:rPr>
      <w:sz w:val="20"/>
    </w:rPr>
  </w:style>
  <w:style w:type="paragraph" w:customStyle="1" w:styleId="TableAA">
    <w:name w:val="Table(AA)"/>
    <w:aliases w:val="taaa"/>
    <w:basedOn w:val="OPCParaBase"/>
    <w:rsid w:val="004871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1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155"/>
    <w:pPr>
      <w:spacing w:before="60" w:line="240" w:lineRule="atLeast"/>
    </w:pPr>
    <w:rPr>
      <w:sz w:val="20"/>
    </w:rPr>
  </w:style>
  <w:style w:type="paragraph" w:customStyle="1" w:styleId="TLPBoxTextnote">
    <w:name w:val="TLPBoxText(note"/>
    <w:aliases w:val="right)"/>
    <w:basedOn w:val="OPCParaBase"/>
    <w:rsid w:val="004871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15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7155"/>
    <w:pPr>
      <w:spacing w:before="122" w:line="198" w:lineRule="exact"/>
      <w:ind w:left="1985" w:hanging="851"/>
      <w:jc w:val="right"/>
    </w:pPr>
    <w:rPr>
      <w:sz w:val="18"/>
    </w:rPr>
  </w:style>
  <w:style w:type="paragraph" w:customStyle="1" w:styleId="TLPTableBullet">
    <w:name w:val="TLPTableBullet"/>
    <w:aliases w:val="ttb"/>
    <w:basedOn w:val="OPCParaBase"/>
    <w:rsid w:val="00487155"/>
    <w:pPr>
      <w:spacing w:line="240" w:lineRule="exact"/>
      <w:ind w:left="284" w:hanging="284"/>
    </w:pPr>
    <w:rPr>
      <w:sz w:val="20"/>
    </w:rPr>
  </w:style>
  <w:style w:type="paragraph" w:styleId="TOC1">
    <w:name w:val="toc 1"/>
    <w:basedOn w:val="OPCParaBase"/>
    <w:next w:val="Normal"/>
    <w:uiPriority w:val="39"/>
    <w:unhideWhenUsed/>
    <w:rsid w:val="00487155"/>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7155"/>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7155"/>
    <w:pPr>
      <w:keepNext/>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7155"/>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7155"/>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7155"/>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715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715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715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7155"/>
    <w:pPr>
      <w:keepLines/>
      <w:spacing w:before="240" w:after="120" w:line="240" w:lineRule="auto"/>
      <w:ind w:left="794"/>
    </w:pPr>
    <w:rPr>
      <w:b/>
      <w:kern w:val="28"/>
      <w:sz w:val="20"/>
    </w:rPr>
  </w:style>
  <w:style w:type="paragraph" w:customStyle="1" w:styleId="TofSectsHeading">
    <w:name w:val="TofSects(Heading)"/>
    <w:basedOn w:val="OPCParaBase"/>
    <w:rsid w:val="00487155"/>
    <w:pPr>
      <w:spacing w:before="240" w:after="120" w:line="240" w:lineRule="auto"/>
    </w:pPr>
    <w:rPr>
      <w:b/>
      <w:sz w:val="24"/>
    </w:rPr>
  </w:style>
  <w:style w:type="paragraph" w:customStyle="1" w:styleId="TofSectsSection">
    <w:name w:val="TofSects(Section)"/>
    <w:basedOn w:val="OPCParaBase"/>
    <w:rsid w:val="00487155"/>
    <w:pPr>
      <w:keepLines/>
      <w:spacing w:before="40" w:line="240" w:lineRule="auto"/>
      <w:ind w:left="1588" w:hanging="794"/>
    </w:pPr>
    <w:rPr>
      <w:kern w:val="28"/>
      <w:sz w:val="18"/>
    </w:rPr>
  </w:style>
  <w:style w:type="paragraph" w:customStyle="1" w:styleId="TofSectsSubdiv">
    <w:name w:val="TofSects(Subdiv)"/>
    <w:basedOn w:val="OPCParaBase"/>
    <w:rsid w:val="00487155"/>
    <w:pPr>
      <w:keepLines/>
      <w:spacing w:before="80" w:line="240" w:lineRule="auto"/>
      <w:ind w:left="1588" w:hanging="794"/>
    </w:pPr>
    <w:rPr>
      <w:kern w:val="28"/>
    </w:rPr>
  </w:style>
  <w:style w:type="paragraph" w:customStyle="1" w:styleId="WRStyle">
    <w:name w:val="WR Style"/>
    <w:aliases w:val="WR"/>
    <w:basedOn w:val="OPCParaBase"/>
    <w:rsid w:val="00487155"/>
    <w:pPr>
      <w:spacing w:before="240" w:line="240" w:lineRule="auto"/>
      <w:ind w:left="284" w:hanging="284"/>
    </w:pPr>
    <w:rPr>
      <w:b/>
      <w:i/>
      <w:kern w:val="28"/>
      <w:sz w:val="24"/>
    </w:rPr>
  </w:style>
  <w:style w:type="paragraph" w:customStyle="1" w:styleId="Body">
    <w:name w:val="Body"/>
    <w:aliases w:val="b"/>
    <w:basedOn w:val="OPCParaBase"/>
    <w:link w:val="BodyChar"/>
    <w:rsid w:val="00487155"/>
    <w:pPr>
      <w:spacing w:before="240" w:line="240" w:lineRule="auto"/>
    </w:pPr>
    <w:rPr>
      <w:sz w:val="24"/>
    </w:rPr>
  </w:style>
  <w:style w:type="paragraph" w:customStyle="1" w:styleId="BodyNum">
    <w:name w:val="BodyNum"/>
    <w:aliases w:val="b1"/>
    <w:basedOn w:val="OPCParaBase"/>
    <w:rsid w:val="00487155"/>
    <w:pPr>
      <w:numPr>
        <w:numId w:val="13"/>
      </w:numPr>
      <w:spacing w:before="240" w:line="240" w:lineRule="auto"/>
    </w:pPr>
    <w:rPr>
      <w:sz w:val="24"/>
    </w:rPr>
  </w:style>
  <w:style w:type="paragraph" w:customStyle="1" w:styleId="BodyPara">
    <w:name w:val="BodyPara"/>
    <w:aliases w:val="ba"/>
    <w:basedOn w:val="OPCParaBase"/>
    <w:rsid w:val="00487155"/>
    <w:pPr>
      <w:numPr>
        <w:ilvl w:val="1"/>
        <w:numId w:val="13"/>
      </w:numPr>
      <w:spacing w:before="240" w:line="240" w:lineRule="auto"/>
    </w:pPr>
    <w:rPr>
      <w:sz w:val="24"/>
    </w:rPr>
  </w:style>
  <w:style w:type="paragraph" w:customStyle="1" w:styleId="BodyParaBullet">
    <w:name w:val="BodyParaBullet"/>
    <w:aliases w:val="bpb"/>
    <w:basedOn w:val="OPCParaBase"/>
    <w:rsid w:val="0048715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7155"/>
    <w:pPr>
      <w:numPr>
        <w:ilvl w:val="3"/>
        <w:numId w:val="13"/>
      </w:numPr>
      <w:spacing w:before="240" w:line="240" w:lineRule="auto"/>
    </w:pPr>
    <w:rPr>
      <w:sz w:val="24"/>
    </w:rPr>
  </w:style>
  <w:style w:type="numbering" w:customStyle="1" w:styleId="OPCBodyList">
    <w:name w:val="OPCBodyList"/>
    <w:uiPriority w:val="99"/>
    <w:rsid w:val="00487155"/>
    <w:pPr>
      <w:numPr>
        <w:numId w:val="13"/>
      </w:numPr>
    </w:pPr>
  </w:style>
  <w:style w:type="paragraph" w:customStyle="1" w:styleId="Head1">
    <w:name w:val="Head 1"/>
    <w:aliases w:val="1"/>
    <w:basedOn w:val="OPCParaBase"/>
    <w:next w:val="BodyNum"/>
    <w:rsid w:val="0048715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715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715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715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715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7155"/>
    <w:pPr>
      <w:spacing w:before="122" w:line="198" w:lineRule="exact"/>
      <w:ind w:left="2353" w:hanging="709"/>
    </w:pPr>
    <w:rPr>
      <w:sz w:val="18"/>
    </w:rPr>
  </w:style>
  <w:style w:type="paragraph" w:styleId="Footer">
    <w:name w:val="footer"/>
    <w:link w:val="FooterChar"/>
    <w:rsid w:val="004871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155"/>
    <w:rPr>
      <w:rFonts w:eastAsia="Times New Roman" w:cs="Times New Roman"/>
      <w:sz w:val="22"/>
      <w:szCs w:val="24"/>
      <w:lang w:eastAsia="en-AU"/>
    </w:rPr>
  </w:style>
  <w:style w:type="character" w:styleId="PageNumber">
    <w:name w:val="page number"/>
    <w:basedOn w:val="DefaultParagraphFont"/>
    <w:rsid w:val="00487155"/>
  </w:style>
  <w:style w:type="paragraph" w:styleId="BalloonText">
    <w:name w:val="Balloon Text"/>
    <w:basedOn w:val="Normal"/>
    <w:link w:val="BalloonTextChar"/>
    <w:uiPriority w:val="99"/>
    <w:semiHidden/>
    <w:unhideWhenUsed/>
    <w:rsid w:val="00487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55"/>
    <w:rPr>
      <w:rFonts w:ascii="Tahoma" w:hAnsi="Tahoma" w:cs="Tahoma"/>
      <w:sz w:val="16"/>
      <w:szCs w:val="16"/>
    </w:rPr>
  </w:style>
  <w:style w:type="character" w:customStyle="1" w:styleId="BodyChar">
    <w:name w:val="Body Char"/>
    <w:aliases w:val="b Char"/>
    <w:basedOn w:val="DefaultParagraphFont"/>
    <w:link w:val="Body"/>
    <w:rsid w:val="00A63611"/>
    <w:rPr>
      <w:rFonts w:eastAsia="Times New Roman" w:cs="Times New Roman"/>
      <w:sz w:val="24"/>
      <w:lang w:eastAsia="en-AU"/>
    </w:rPr>
  </w:style>
  <w:style w:type="character" w:customStyle="1" w:styleId="Heading1Char">
    <w:name w:val="Heading 1 Char"/>
    <w:basedOn w:val="DefaultParagraphFont"/>
    <w:link w:val="Heading1"/>
    <w:uiPriority w:val="9"/>
    <w:rsid w:val="00650D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0D9E"/>
    <w:pPr>
      <w:outlineLvl w:val="9"/>
    </w:pPr>
  </w:style>
  <w:style w:type="character" w:customStyle="1" w:styleId="paragraphChar">
    <w:name w:val="paragraph Char"/>
    <w:aliases w:val="a Char"/>
    <w:basedOn w:val="DefaultParagraphFont"/>
    <w:link w:val="paragraph"/>
    <w:rsid w:val="00474B8A"/>
    <w:rPr>
      <w:rFonts w:eastAsia="Times New Roman" w:cs="Times New Roman"/>
      <w:sz w:val="22"/>
      <w:lang w:eastAsia="en-AU"/>
    </w:rPr>
  </w:style>
  <w:style w:type="paragraph" w:customStyle="1" w:styleId="Note">
    <w:name w:val="Note"/>
    <w:basedOn w:val="Normal"/>
    <w:rsid w:val="00474B8A"/>
    <w:pPr>
      <w:spacing w:before="120" w:line="220" w:lineRule="exact"/>
      <w:ind w:left="964"/>
      <w:jc w:val="both"/>
    </w:pPr>
    <w:rPr>
      <w:rFonts w:eastAsia="Times New Roman" w:cs="Times New Roman"/>
      <w:sz w:val="20"/>
      <w:szCs w:val="24"/>
    </w:rPr>
  </w:style>
  <w:style w:type="character" w:styleId="Hyperlink">
    <w:name w:val="Hyperlink"/>
    <w:basedOn w:val="DefaultParagraphFont"/>
    <w:uiPriority w:val="99"/>
    <w:unhideWhenUsed/>
    <w:rsid w:val="00565571"/>
    <w:rPr>
      <w:color w:val="0000FF" w:themeColor="hyperlink"/>
      <w:u w:val="single"/>
    </w:rPr>
  </w:style>
  <w:style w:type="character" w:styleId="FollowedHyperlink">
    <w:name w:val="FollowedHyperlink"/>
    <w:basedOn w:val="DefaultParagraphFont"/>
    <w:uiPriority w:val="99"/>
    <w:semiHidden/>
    <w:unhideWhenUsed/>
    <w:rsid w:val="00565571"/>
    <w:rPr>
      <w:color w:val="800080" w:themeColor="followedHyperlink"/>
      <w:u w:val="single"/>
    </w:rPr>
  </w:style>
  <w:style w:type="paragraph" w:styleId="ListParagraph">
    <w:name w:val="List Paragraph"/>
    <w:basedOn w:val="Normal"/>
    <w:uiPriority w:val="34"/>
    <w:qFormat/>
    <w:rsid w:val="00C5116C"/>
    <w:pPr>
      <w:spacing w:line="240" w:lineRule="auto"/>
      <w:ind w:left="720"/>
    </w:pPr>
    <w:rPr>
      <w:rFonts w:ascii="Calibr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155"/>
    <w:pPr>
      <w:spacing w:line="260" w:lineRule="atLeast"/>
    </w:pPr>
    <w:rPr>
      <w:sz w:val="22"/>
    </w:rPr>
  </w:style>
  <w:style w:type="paragraph" w:styleId="Heading1">
    <w:name w:val="heading 1"/>
    <w:basedOn w:val="Normal"/>
    <w:next w:val="Normal"/>
    <w:link w:val="Heading1Char"/>
    <w:uiPriority w:val="9"/>
    <w:qFormat/>
    <w:rsid w:val="00650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155"/>
  </w:style>
  <w:style w:type="paragraph" w:customStyle="1" w:styleId="OPCParaBase">
    <w:name w:val="OPCParaBase"/>
    <w:qFormat/>
    <w:rsid w:val="00487155"/>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155"/>
    <w:pPr>
      <w:spacing w:line="240" w:lineRule="auto"/>
    </w:pPr>
    <w:rPr>
      <w:b/>
      <w:sz w:val="40"/>
    </w:rPr>
  </w:style>
  <w:style w:type="paragraph" w:customStyle="1" w:styleId="ActHead1">
    <w:name w:val="ActHead 1"/>
    <w:aliases w:val="c"/>
    <w:basedOn w:val="OPCParaBase"/>
    <w:next w:val="Normal"/>
    <w:qFormat/>
    <w:rsid w:val="004871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1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1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1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1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1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1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1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1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155"/>
  </w:style>
  <w:style w:type="paragraph" w:customStyle="1" w:styleId="Blocks">
    <w:name w:val="Blocks"/>
    <w:aliases w:val="bb"/>
    <w:basedOn w:val="OPCParaBase"/>
    <w:qFormat/>
    <w:rsid w:val="00487155"/>
    <w:pPr>
      <w:spacing w:line="240" w:lineRule="auto"/>
    </w:pPr>
    <w:rPr>
      <w:sz w:val="24"/>
    </w:rPr>
  </w:style>
  <w:style w:type="paragraph" w:customStyle="1" w:styleId="BoxText">
    <w:name w:val="BoxText"/>
    <w:aliases w:val="bt"/>
    <w:basedOn w:val="OPCParaBase"/>
    <w:rsid w:val="004871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155"/>
    <w:rPr>
      <w:b/>
    </w:rPr>
  </w:style>
  <w:style w:type="paragraph" w:customStyle="1" w:styleId="BoxHeadItalic">
    <w:name w:val="BoxHeadItalic"/>
    <w:aliases w:val="bhi"/>
    <w:basedOn w:val="BoxText"/>
    <w:next w:val="Normal"/>
    <w:qFormat/>
    <w:rsid w:val="00487155"/>
    <w:rPr>
      <w:i/>
    </w:rPr>
  </w:style>
  <w:style w:type="paragraph" w:customStyle="1" w:styleId="BoxList">
    <w:name w:val="BoxList"/>
    <w:aliases w:val="bl"/>
    <w:basedOn w:val="BoxText"/>
    <w:qFormat/>
    <w:rsid w:val="00487155"/>
    <w:pPr>
      <w:ind w:left="1559" w:hanging="425"/>
    </w:pPr>
  </w:style>
  <w:style w:type="paragraph" w:customStyle="1" w:styleId="BoxNote">
    <w:name w:val="BoxNote"/>
    <w:aliases w:val="bn"/>
    <w:basedOn w:val="BoxText"/>
    <w:qFormat/>
    <w:rsid w:val="00487155"/>
    <w:pPr>
      <w:tabs>
        <w:tab w:val="left" w:pos="1985"/>
      </w:tabs>
      <w:spacing w:before="122" w:line="198" w:lineRule="exact"/>
      <w:ind w:left="2948" w:hanging="1814"/>
    </w:pPr>
    <w:rPr>
      <w:sz w:val="18"/>
    </w:rPr>
  </w:style>
  <w:style w:type="paragraph" w:customStyle="1" w:styleId="BoxPara">
    <w:name w:val="BoxPara"/>
    <w:aliases w:val="bp"/>
    <w:basedOn w:val="BoxText"/>
    <w:qFormat/>
    <w:rsid w:val="00487155"/>
    <w:pPr>
      <w:tabs>
        <w:tab w:val="right" w:pos="2268"/>
      </w:tabs>
      <w:ind w:left="2552" w:hanging="1418"/>
    </w:pPr>
  </w:style>
  <w:style w:type="paragraph" w:customStyle="1" w:styleId="BoxStep">
    <w:name w:val="BoxStep"/>
    <w:aliases w:val="bs"/>
    <w:basedOn w:val="BoxText"/>
    <w:qFormat/>
    <w:rsid w:val="00487155"/>
    <w:pPr>
      <w:ind w:left="1985" w:hanging="851"/>
    </w:pPr>
  </w:style>
  <w:style w:type="character" w:customStyle="1" w:styleId="CharAmPartNo">
    <w:name w:val="CharAmPartNo"/>
    <w:basedOn w:val="OPCCharBase"/>
    <w:uiPriority w:val="1"/>
    <w:qFormat/>
    <w:rsid w:val="00487155"/>
  </w:style>
  <w:style w:type="character" w:customStyle="1" w:styleId="CharAmPartText">
    <w:name w:val="CharAmPartText"/>
    <w:basedOn w:val="OPCCharBase"/>
    <w:uiPriority w:val="1"/>
    <w:qFormat/>
    <w:rsid w:val="00487155"/>
  </w:style>
  <w:style w:type="character" w:customStyle="1" w:styleId="CharAmSchNo">
    <w:name w:val="CharAmSchNo"/>
    <w:basedOn w:val="OPCCharBase"/>
    <w:uiPriority w:val="1"/>
    <w:qFormat/>
    <w:rsid w:val="00487155"/>
  </w:style>
  <w:style w:type="character" w:customStyle="1" w:styleId="CharAmSchText">
    <w:name w:val="CharAmSchText"/>
    <w:basedOn w:val="OPCCharBase"/>
    <w:uiPriority w:val="1"/>
    <w:qFormat/>
    <w:rsid w:val="00487155"/>
  </w:style>
  <w:style w:type="character" w:customStyle="1" w:styleId="CharBoldItalic">
    <w:name w:val="CharBoldItalic"/>
    <w:basedOn w:val="OPCCharBase"/>
    <w:uiPriority w:val="1"/>
    <w:qFormat/>
    <w:rsid w:val="00487155"/>
    <w:rPr>
      <w:b/>
      <w:i/>
    </w:rPr>
  </w:style>
  <w:style w:type="character" w:customStyle="1" w:styleId="CharChapNo">
    <w:name w:val="CharChapNo"/>
    <w:basedOn w:val="OPCCharBase"/>
    <w:uiPriority w:val="1"/>
    <w:qFormat/>
    <w:rsid w:val="00487155"/>
  </w:style>
  <w:style w:type="character" w:customStyle="1" w:styleId="CharChapText">
    <w:name w:val="CharChapText"/>
    <w:basedOn w:val="OPCCharBase"/>
    <w:uiPriority w:val="1"/>
    <w:qFormat/>
    <w:rsid w:val="00487155"/>
  </w:style>
  <w:style w:type="character" w:customStyle="1" w:styleId="CharDivNo">
    <w:name w:val="CharDivNo"/>
    <w:basedOn w:val="OPCCharBase"/>
    <w:uiPriority w:val="1"/>
    <w:qFormat/>
    <w:rsid w:val="00487155"/>
  </w:style>
  <w:style w:type="character" w:customStyle="1" w:styleId="CharDivText">
    <w:name w:val="CharDivText"/>
    <w:basedOn w:val="OPCCharBase"/>
    <w:uiPriority w:val="1"/>
    <w:qFormat/>
    <w:rsid w:val="00487155"/>
  </w:style>
  <w:style w:type="character" w:customStyle="1" w:styleId="CharItalic">
    <w:name w:val="CharItalic"/>
    <w:basedOn w:val="OPCCharBase"/>
    <w:uiPriority w:val="1"/>
    <w:qFormat/>
    <w:rsid w:val="00487155"/>
    <w:rPr>
      <w:i/>
    </w:rPr>
  </w:style>
  <w:style w:type="character" w:customStyle="1" w:styleId="CharPartNo">
    <w:name w:val="CharPartNo"/>
    <w:basedOn w:val="OPCCharBase"/>
    <w:uiPriority w:val="1"/>
    <w:qFormat/>
    <w:rsid w:val="00487155"/>
  </w:style>
  <w:style w:type="character" w:customStyle="1" w:styleId="CharPartText">
    <w:name w:val="CharPartText"/>
    <w:basedOn w:val="OPCCharBase"/>
    <w:uiPriority w:val="1"/>
    <w:qFormat/>
    <w:rsid w:val="00487155"/>
  </w:style>
  <w:style w:type="character" w:customStyle="1" w:styleId="CharSectno">
    <w:name w:val="CharSectno"/>
    <w:basedOn w:val="OPCCharBase"/>
    <w:uiPriority w:val="1"/>
    <w:qFormat/>
    <w:rsid w:val="00487155"/>
  </w:style>
  <w:style w:type="character" w:customStyle="1" w:styleId="CharSubdNo">
    <w:name w:val="CharSubdNo"/>
    <w:basedOn w:val="OPCCharBase"/>
    <w:uiPriority w:val="1"/>
    <w:qFormat/>
    <w:rsid w:val="00487155"/>
  </w:style>
  <w:style w:type="character" w:customStyle="1" w:styleId="CharSubdText">
    <w:name w:val="CharSubdText"/>
    <w:basedOn w:val="OPCCharBase"/>
    <w:uiPriority w:val="1"/>
    <w:qFormat/>
    <w:rsid w:val="00487155"/>
  </w:style>
  <w:style w:type="paragraph" w:customStyle="1" w:styleId="CTA--">
    <w:name w:val="CTA --"/>
    <w:basedOn w:val="OPCParaBase"/>
    <w:next w:val="Normal"/>
    <w:rsid w:val="00487155"/>
    <w:pPr>
      <w:spacing w:before="60" w:line="240" w:lineRule="atLeast"/>
      <w:ind w:left="142" w:hanging="142"/>
    </w:pPr>
    <w:rPr>
      <w:sz w:val="20"/>
    </w:rPr>
  </w:style>
  <w:style w:type="paragraph" w:customStyle="1" w:styleId="CTA-">
    <w:name w:val="CTA -"/>
    <w:basedOn w:val="OPCParaBase"/>
    <w:rsid w:val="00487155"/>
    <w:pPr>
      <w:spacing w:before="60" w:line="240" w:lineRule="atLeast"/>
      <w:ind w:left="85" w:hanging="85"/>
    </w:pPr>
    <w:rPr>
      <w:sz w:val="20"/>
    </w:rPr>
  </w:style>
  <w:style w:type="paragraph" w:customStyle="1" w:styleId="CTA---">
    <w:name w:val="CTA ---"/>
    <w:basedOn w:val="OPCParaBase"/>
    <w:next w:val="Normal"/>
    <w:rsid w:val="00487155"/>
    <w:pPr>
      <w:spacing w:before="60" w:line="240" w:lineRule="atLeast"/>
      <w:ind w:left="198" w:hanging="198"/>
    </w:pPr>
    <w:rPr>
      <w:sz w:val="20"/>
    </w:rPr>
  </w:style>
  <w:style w:type="paragraph" w:customStyle="1" w:styleId="CTA----">
    <w:name w:val="CTA ----"/>
    <w:basedOn w:val="OPCParaBase"/>
    <w:next w:val="Normal"/>
    <w:rsid w:val="00487155"/>
    <w:pPr>
      <w:spacing w:before="60" w:line="240" w:lineRule="atLeast"/>
      <w:ind w:left="255" w:hanging="255"/>
    </w:pPr>
    <w:rPr>
      <w:sz w:val="20"/>
    </w:rPr>
  </w:style>
  <w:style w:type="paragraph" w:customStyle="1" w:styleId="CTA1a">
    <w:name w:val="CTA 1(a)"/>
    <w:basedOn w:val="OPCParaBase"/>
    <w:rsid w:val="00487155"/>
    <w:pPr>
      <w:tabs>
        <w:tab w:val="right" w:pos="414"/>
      </w:tabs>
      <w:spacing w:before="40" w:line="240" w:lineRule="atLeast"/>
      <w:ind w:left="675" w:hanging="675"/>
    </w:pPr>
    <w:rPr>
      <w:sz w:val="20"/>
    </w:rPr>
  </w:style>
  <w:style w:type="paragraph" w:customStyle="1" w:styleId="CTA1ai">
    <w:name w:val="CTA 1(a)(i)"/>
    <w:basedOn w:val="OPCParaBase"/>
    <w:rsid w:val="00487155"/>
    <w:pPr>
      <w:tabs>
        <w:tab w:val="right" w:pos="1004"/>
      </w:tabs>
      <w:spacing w:before="40" w:line="240" w:lineRule="atLeast"/>
      <w:ind w:left="1253" w:hanging="1253"/>
    </w:pPr>
    <w:rPr>
      <w:sz w:val="20"/>
    </w:rPr>
  </w:style>
  <w:style w:type="paragraph" w:customStyle="1" w:styleId="CTA2a">
    <w:name w:val="CTA 2(a)"/>
    <w:basedOn w:val="OPCParaBase"/>
    <w:rsid w:val="00487155"/>
    <w:pPr>
      <w:tabs>
        <w:tab w:val="right" w:pos="482"/>
      </w:tabs>
      <w:spacing w:before="40" w:line="240" w:lineRule="atLeast"/>
      <w:ind w:left="748" w:hanging="748"/>
    </w:pPr>
    <w:rPr>
      <w:sz w:val="20"/>
    </w:rPr>
  </w:style>
  <w:style w:type="paragraph" w:customStyle="1" w:styleId="CTA2ai">
    <w:name w:val="CTA 2(a)(i)"/>
    <w:basedOn w:val="OPCParaBase"/>
    <w:rsid w:val="00487155"/>
    <w:pPr>
      <w:tabs>
        <w:tab w:val="right" w:pos="1089"/>
      </w:tabs>
      <w:spacing w:before="40" w:line="240" w:lineRule="atLeast"/>
      <w:ind w:left="1327" w:hanging="1327"/>
    </w:pPr>
    <w:rPr>
      <w:sz w:val="20"/>
    </w:rPr>
  </w:style>
  <w:style w:type="paragraph" w:customStyle="1" w:styleId="CTA3a">
    <w:name w:val="CTA 3(a)"/>
    <w:basedOn w:val="OPCParaBase"/>
    <w:rsid w:val="00487155"/>
    <w:pPr>
      <w:tabs>
        <w:tab w:val="right" w:pos="556"/>
      </w:tabs>
      <w:spacing w:before="40" w:line="240" w:lineRule="atLeast"/>
      <w:ind w:left="805" w:hanging="805"/>
    </w:pPr>
    <w:rPr>
      <w:sz w:val="20"/>
    </w:rPr>
  </w:style>
  <w:style w:type="paragraph" w:customStyle="1" w:styleId="CTA3ai">
    <w:name w:val="CTA 3(a)(i)"/>
    <w:basedOn w:val="OPCParaBase"/>
    <w:rsid w:val="00487155"/>
    <w:pPr>
      <w:tabs>
        <w:tab w:val="right" w:pos="1140"/>
      </w:tabs>
      <w:spacing w:before="40" w:line="240" w:lineRule="atLeast"/>
      <w:ind w:left="1361" w:hanging="1361"/>
    </w:pPr>
    <w:rPr>
      <w:sz w:val="20"/>
    </w:rPr>
  </w:style>
  <w:style w:type="paragraph" w:customStyle="1" w:styleId="CTA4a">
    <w:name w:val="CTA 4(a)"/>
    <w:basedOn w:val="OPCParaBase"/>
    <w:rsid w:val="00487155"/>
    <w:pPr>
      <w:tabs>
        <w:tab w:val="right" w:pos="624"/>
      </w:tabs>
      <w:spacing w:before="40" w:line="240" w:lineRule="atLeast"/>
      <w:ind w:left="873" w:hanging="873"/>
    </w:pPr>
    <w:rPr>
      <w:sz w:val="20"/>
    </w:rPr>
  </w:style>
  <w:style w:type="paragraph" w:customStyle="1" w:styleId="CTA4ai">
    <w:name w:val="CTA 4(a)(i)"/>
    <w:basedOn w:val="OPCParaBase"/>
    <w:rsid w:val="00487155"/>
    <w:pPr>
      <w:tabs>
        <w:tab w:val="right" w:pos="1213"/>
      </w:tabs>
      <w:spacing w:before="40" w:line="240" w:lineRule="atLeast"/>
      <w:ind w:left="1452" w:hanging="1452"/>
    </w:pPr>
    <w:rPr>
      <w:sz w:val="20"/>
    </w:rPr>
  </w:style>
  <w:style w:type="paragraph" w:customStyle="1" w:styleId="CTACAPS">
    <w:name w:val="CTA CAPS"/>
    <w:basedOn w:val="OPCParaBase"/>
    <w:rsid w:val="00487155"/>
    <w:pPr>
      <w:spacing w:before="60" w:line="240" w:lineRule="atLeast"/>
    </w:pPr>
    <w:rPr>
      <w:sz w:val="20"/>
    </w:rPr>
  </w:style>
  <w:style w:type="paragraph" w:customStyle="1" w:styleId="CTAright">
    <w:name w:val="CTA right"/>
    <w:basedOn w:val="OPCParaBase"/>
    <w:rsid w:val="00487155"/>
    <w:pPr>
      <w:spacing w:before="60" w:line="240" w:lineRule="auto"/>
      <w:jc w:val="right"/>
    </w:pPr>
    <w:rPr>
      <w:sz w:val="20"/>
    </w:rPr>
  </w:style>
  <w:style w:type="paragraph" w:customStyle="1" w:styleId="subsection">
    <w:name w:val="subsection"/>
    <w:aliases w:val="ss"/>
    <w:basedOn w:val="OPCParaBase"/>
    <w:rsid w:val="00487155"/>
    <w:pPr>
      <w:tabs>
        <w:tab w:val="right" w:pos="1021"/>
      </w:tabs>
      <w:spacing w:before="180" w:line="240" w:lineRule="auto"/>
      <w:ind w:left="1134" w:hanging="1134"/>
    </w:pPr>
  </w:style>
  <w:style w:type="paragraph" w:customStyle="1" w:styleId="Definition">
    <w:name w:val="Definition"/>
    <w:aliases w:val="dd"/>
    <w:basedOn w:val="OPCParaBase"/>
    <w:rsid w:val="00487155"/>
    <w:pPr>
      <w:spacing w:before="180" w:line="240" w:lineRule="auto"/>
      <w:ind w:left="1134"/>
    </w:pPr>
  </w:style>
  <w:style w:type="paragraph" w:customStyle="1" w:styleId="ETAsubitem">
    <w:name w:val="ETA(subitem)"/>
    <w:basedOn w:val="OPCParaBase"/>
    <w:rsid w:val="00487155"/>
    <w:pPr>
      <w:tabs>
        <w:tab w:val="right" w:pos="340"/>
      </w:tabs>
      <w:spacing w:before="60" w:line="240" w:lineRule="auto"/>
      <w:ind w:left="454" w:hanging="454"/>
    </w:pPr>
    <w:rPr>
      <w:sz w:val="20"/>
    </w:rPr>
  </w:style>
  <w:style w:type="paragraph" w:customStyle="1" w:styleId="ETApara">
    <w:name w:val="ETA(para)"/>
    <w:basedOn w:val="OPCParaBase"/>
    <w:rsid w:val="00487155"/>
    <w:pPr>
      <w:tabs>
        <w:tab w:val="right" w:pos="754"/>
      </w:tabs>
      <w:spacing w:before="60" w:line="240" w:lineRule="auto"/>
      <w:ind w:left="828" w:hanging="828"/>
    </w:pPr>
    <w:rPr>
      <w:sz w:val="20"/>
    </w:rPr>
  </w:style>
  <w:style w:type="paragraph" w:customStyle="1" w:styleId="ETAsubpara">
    <w:name w:val="ETA(subpara)"/>
    <w:basedOn w:val="OPCParaBase"/>
    <w:rsid w:val="00487155"/>
    <w:pPr>
      <w:tabs>
        <w:tab w:val="right" w:pos="1083"/>
      </w:tabs>
      <w:spacing w:before="60" w:line="240" w:lineRule="auto"/>
      <w:ind w:left="1191" w:hanging="1191"/>
    </w:pPr>
    <w:rPr>
      <w:sz w:val="20"/>
    </w:rPr>
  </w:style>
  <w:style w:type="paragraph" w:customStyle="1" w:styleId="ETAsub-subpara">
    <w:name w:val="ETA(sub-subpara)"/>
    <w:basedOn w:val="OPCParaBase"/>
    <w:rsid w:val="00487155"/>
    <w:pPr>
      <w:tabs>
        <w:tab w:val="right" w:pos="1412"/>
      </w:tabs>
      <w:spacing w:before="60" w:line="240" w:lineRule="auto"/>
      <w:ind w:left="1525" w:hanging="1525"/>
    </w:pPr>
    <w:rPr>
      <w:sz w:val="20"/>
    </w:rPr>
  </w:style>
  <w:style w:type="paragraph" w:customStyle="1" w:styleId="Formula">
    <w:name w:val="Formula"/>
    <w:basedOn w:val="OPCParaBase"/>
    <w:rsid w:val="00487155"/>
    <w:pPr>
      <w:spacing w:line="240" w:lineRule="auto"/>
      <w:ind w:left="1134"/>
    </w:pPr>
    <w:rPr>
      <w:sz w:val="20"/>
    </w:rPr>
  </w:style>
  <w:style w:type="paragraph" w:styleId="Header">
    <w:name w:val="header"/>
    <w:basedOn w:val="OPCParaBase"/>
    <w:link w:val="HeaderChar"/>
    <w:unhideWhenUsed/>
    <w:rsid w:val="004871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155"/>
    <w:rPr>
      <w:rFonts w:eastAsia="Times New Roman" w:cs="Times New Roman"/>
      <w:sz w:val="16"/>
      <w:lang w:eastAsia="en-AU"/>
    </w:rPr>
  </w:style>
  <w:style w:type="paragraph" w:customStyle="1" w:styleId="House">
    <w:name w:val="House"/>
    <w:basedOn w:val="OPCParaBase"/>
    <w:rsid w:val="00487155"/>
    <w:pPr>
      <w:spacing w:line="240" w:lineRule="auto"/>
    </w:pPr>
    <w:rPr>
      <w:sz w:val="28"/>
    </w:rPr>
  </w:style>
  <w:style w:type="paragraph" w:customStyle="1" w:styleId="Item">
    <w:name w:val="Item"/>
    <w:aliases w:val="i"/>
    <w:basedOn w:val="OPCParaBase"/>
    <w:next w:val="ItemHead"/>
    <w:rsid w:val="00487155"/>
    <w:pPr>
      <w:keepLines/>
      <w:spacing w:before="80" w:line="240" w:lineRule="auto"/>
      <w:ind w:left="709"/>
    </w:pPr>
  </w:style>
  <w:style w:type="paragraph" w:customStyle="1" w:styleId="ItemHead">
    <w:name w:val="ItemHead"/>
    <w:aliases w:val="ih"/>
    <w:basedOn w:val="OPCParaBase"/>
    <w:next w:val="Item"/>
    <w:rsid w:val="00487155"/>
    <w:pPr>
      <w:keepLines/>
      <w:spacing w:before="220" w:line="240" w:lineRule="auto"/>
      <w:ind w:left="709" w:hanging="709"/>
    </w:pPr>
    <w:rPr>
      <w:rFonts w:ascii="Arial" w:hAnsi="Arial"/>
      <w:b/>
      <w:kern w:val="28"/>
      <w:sz w:val="24"/>
    </w:rPr>
  </w:style>
  <w:style w:type="paragraph" w:customStyle="1" w:styleId="LongT">
    <w:name w:val="LongT"/>
    <w:basedOn w:val="OPCParaBase"/>
    <w:rsid w:val="00487155"/>
    <w:pPr>
      <w:spacing w:line="240" w:lineRule="auto"/>
    </w:pPr>
    <w:rPr>
      <w:b/>
      <w:sz w:val="32"/>
    </w:rPr>
  </w:style>
  <w:style w:type="paragraph" w:customStyle="1" w:styleId="notedraft">
    <w:name w:val="note(draft)"/>
    <w:aliases w:val="nd"/>
    <w:basedOn w:val="OPCParaBase"/>
    <w:rsid w:val="00487155"/>
    <w:pPr>
      <w:spacing w:before="240" w:line="240" w:lineRule="auto"/>
      <w:ind w:left="284" w:hanging="284"/>
    </w:pPr>
    <w:rPr>
      <w:i/>
      <w:sz w:val="24"/>
    </w:rPr>
  </w:style>
  <w:style w:type="paragraph" w:customStyle="1" w:styleId="notemargin">
    <w:name w:val="note(margin)"/>
    <w:aliases w:val="nm"/>
    <w:basedOn w:val="OPCParaBase"/>
    <w:rsid w:val="00487155"/>
    <w:pPr>
      <w:tabs>
        <w:tab w:val="left" w:pos="709"/>
      </w:tabs>
      <w:spacing w:before="122" w:line="198" w:lineRule="exact"/>
      <w:ind w:left="709" w:hanging="709"/>
    </w:pPr>
    <w:rPr>
      <w:sz w:val="18"/>
    </w:rPr>
  </w:style>
  <w:style w:type="paragraph" w:customStyle="1" w:styleId="notepara">
    <w:name w:val="note(para)"/>
    <w:aliases w:val="na"/>
    <w:basedOn w:val="OPCParaBase"/>
    <w:rsid w:val="00487155"/>
    <w:pPr>
      <w:spacing w:before="40" w:line="198" w:lineRule="exact"/>
      <w:ind w:left="2354" w:hanging="369"/>
    </w:pPr>
    <w:rPr>
      <w:sz w:val="18"/>
    </w:rPr>
  </w:style>
  <w:style w:type="paragraph" w:customStyle="1" w:styleId="noteParlAmend">
    <w:name w:val="note(ParlAmend)"/>
    <w:aliases w:val="npp"/>
    <w:basedOn w:val="OPCParaBase"/>
    <w:next w:val="ParlAmend"/>
    <w:rsid w:val="00487155"/>
    <w:pPr>
      <w:spacing w:line="240" w:lineRule="auto"/>
      <w:jc w:val="right"/>
    </w:pPr>
    <w:rPr>
      <w:rFonts w:ascii="Arial" w:hAnsi="Arial"/>
      <w:b/>
      <w:i/>
    </w:rPr>
  </w:style>
  <w:style w:type="paragraph" w:customStyle="1" w:styleId="notetext">
    <w:name w:val="note(text)"/>
    <w:aliases w:val="n"/>
    <w:basedOn w:val="OPCParaBase"/>
    <w:rsid w:val="00487155"/>
    <w:pPr>
      <w:spacing w:before="122" w:line="198" w:lineRule="exact"/>
      <w:ind w:left="1985" w:hanging="851"/>
    </w:pPr>
    <w:rPr>
      <w:sz w:val="18"/>
    </w:rPr>
  </w:style>
  <w:style w:type="paragraph" w:customStyle="1" w:styleId="Page1">
    <w:name w:val="Page1"/>
    <w:basedOn w:val="OPCParaBase"/>
    <w:rsid w:val="00487155"/>
    <w:pPr>
      <w:spacing w:before="5600" w:line="240" w:lineRule="auto"/>
    </w:pPr>
    <w:rPr>
      <w:b/>
      <w:sz w:val="32"/>
    </w:rPr>
  </w:style>
  <w:style w:type="paragraph" w:customStyle="1" w:styleId="PageBreak">
    <w:name w:val="PageBreak"/>
    <w:aliases w:val="pb"/>
    <w:basedOn w:val="OPCParaBase"/>
    <w:rsid w:val="00487155"/>
    <w:pPr>
      <w:spacing w:line="240" w:lineRule="auto"/>
    </w:pPr>
    <w:rPr>
      <w:sz w:val="10"/>
    </w:rPr>
  </w:style>
  <w:style w:type="paragraph" w:customStyle="1" w:styleId="paragraphsub">
    <w:name w:val="paragraph(sub)"/>
    <w:aliases w:val="aa"/>
    <w:basedOn w:val="OPCParaBase"/>
    <w:rsid w:val="00487155"/>
    <w:pPr>
      <w:tabs>
        <w:tab w:val="right" w:pos="1985"/>
      </w:tabs>
      <w:spacing w:before="40" w:line="240" w:lineRule="auto"/>
      <w:ind w:left="2098" w:hanging="2098"/>
    </w:pPr>
  </w:style>
  <w:style w:type="paragraph" w:customStyle="1" w:styleId="paragraphsub-sub">
    <w:name w:val="paragraph(sub-sub)"/>
    <w:aliases w:val="aaa"/>
    <w:basedOn w:val="OPCParaBase"/>
    <w:rsid w:val="00487155"/>
    <w:pPr>
      <w:tabs>
        <w:tab w:val="right" w:pos="2722"/>
      </w:tabs>
      <w:spacing w:before="40" w:line="240" w:lineRule="auto"/>
      <w:ind w:left="2835" w:hanging="2835"/>
    </w:pPr>
  </w:style>
  <w:style w:type="paragraph" w:customStyle="1" w:styleId="paragraph">
    <w:name w:val="paragraph"/>
    <w:aliases w:val="a"/>
    <w:basedOn w:val="OPCParaBase"/>
    <w:link w:val="paragraphChar"/>
    <w:rsid w:val="00487155"/>
    <w:pPr>
      <w:tabs>
        <w:tab w:val="right" w:pos="1531"/>
      </w:tabs>
      <w:spacing w:before="40" w:line="240" w:lineRule="auto"/>
      <w:ind w:left="1644" w:hanging="1644"/>
    </w:pPr>
  </w:style>
  <w:style w:type="paragraph" w:customStyle="1" w:styleId="ParlAmend">
    <w:name w:val="ParlAmend"/>
    <w:aliases w:val="pp"/>
    <w:basedOn w:val="OPCParaBase"/>
    <w:rsid w:val="00487155"/>
    <w:pPr>
      <w:spacing w:before="240" w:line="240" w:lineRule="atLeast"/>
      <w:ind w:hanging="567"/>
    </w:pPr>
    <w:rPr>
      <w:sz w:val="24"/>
    </w:rPr>
  </w:style>
  <w:style w:type="paragraph" w:customStyle="1" w:styleId="Penalty">
    <w:name w:val="Penalty"/>
    <w:basedOn w:val="OPCParaBase"/>
    <w:rsid w:val="00487155"/>
    <w:pPr>
      <w:tabs>
        <w:tab w:val="left" w:pos="2977"/>
      </w:tabs>
      <w:spacing w:before="180" w:line="240" w:lineRule="auto"/>
      <w:ind w:left="1985" w:hanging="851"/>
    </w:pPr>
  </w:style>
  <w:style w:type="paragraph" w:customStyle="1" w:styleId="Portfolio">
    <w:name w:val="Portfolio"/>
    <w:basedOn w:val="OPCParaBase"/>
    <w:rsid w:val="00487155"/>
    <w:pPr>
      <w:spacing w:line="240" w:lineRule="auto"/>
    </w:pPr>
    <w:rPr>
      <w:i/>
      <w:sz w:val="20"/>
    </w:rPr>
  </w:style>
  <w:style w:type="paragraph" w:customStyle="1" w:styleId="Preamble">
    <w:name w:val="Preamble"/>
    <w:basedOn w:val="OPCParaBase"/>
    <w:next w:val="Normal"/>
    <w:rsid w:val="004871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155"/>
    <w:pPr>
      <w:spacing w:line="240" w:lineRule="auto"/>
    </w:pPr>
    <w:rPr>
      <w:i/>
      <w:sz w:val="20"/>
    </w:rPr>
  </w:style>
  <w:style w:type="paragraph" w:customStyle="1" w:styleId="Session">
    <w:name w:val="Session"/>
    <w:basedOn w:val="OPCParaBase"/>
    <w:rsid w:val="00487155"/>
    <w:pPr>
      <w:spacing w:line="240" w:lineRule="auto"/>
    </w:pPr>
    <w:rPr>
      <w:sz w:val="28"/>
    </w:rPr>
  </w:style>
  <w:style w:type="paragraph" w:customStyle="1" w:styleId="Sponsor">
    <w:name w:val="Sponsor"/>
    <w:basedOn w:val="OPCParaBase"/>
    <w:rsid w:val="00487155"/>
    <w:pPr>
      <w:spacing w:line="240" w:lineRule="auto"/>
    </w:pPr>
    <w:rPr>
      <w:i/>
    </w:rPr>
  </w:style>
  <w:style w:type="paragraph" w:customStyle="1" w:styleId="Subitem">
    <w:name w:val="Subitem"/>
    <w:aliases w:val="iss"/>
    <w:basedOn w:val="OPCParaBase"/>
    <w:rsid w:val="00487155"/>
    <w:pPr>
      <w:spacing w:before="180" w:line="240" w:lineRule="auto"/>
      <w:ind w:left="709" w:hanging="709"/>
    </w:pPr>
  </w:style>
  <w:style w:type="paragraph" w:customStyle="1" w:styleId="SubitemHead">
    <w:name w:val="SubitemHead"/>
    <w:aliases w:val="issh"/>
    <w:basedOn w:val="OPCParaBase"/>
    <w:rsid w:val="004871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155"/>
    <w:pPr>
      <w:spacing w:before="40" w:line="240" w:lineRule="auto"/>
      <w:ind w:left="1134"/>
    </w:pPr>
  </w:style>
  <w:style w:type="paragraph" w:customStyle="1" w:styleId="SubsectionHead">
    <w:name w:val="SubsectionHead"/>
    <w:aliases w:val="ssh"/>
    <w:basedOn w:val="OPCParaBase"/>
    <w:next w:val="subsection"/>
    <w:rsid w:val="00487155"/>
    <w:pPr>
      <w:keepNext/>
      <w:keepLines/>
      <w:spacing w:before="240" w:line="240" w:lineRule="auto"/>
      <w:ind w:left="1134"/>
    </w:pPr>
    <w:rPr>
      <w:i/>
    </w:rPr>
  </w:style>
  <w:style w:type="paragraph" w:customStyle="1" w:styleId="Tablea">
    <w:name w:val="Table(a)"/>
    <w:aliases w:val="ta"/>
    <w:basedOn w:val="OPCParaBase"/>
    <w:rsid w:val="00487155"/>
    <w:pPr>
      <w:spacing w:before="60" w:line="240" w:lineRule="auto"/>
      <w:ind w:left="284" w:hanging="284"/>
    </w:pPr>
    <w:rPr>
      <w:sz w:val="20"/>
    </w:rPr>
  </w:style>
  <w:style w:type="paragraph" w:customStyle="1" w:styleId="TableAA">
    <w:name w:val="Table(AA)"/>
    <w:aliases w:val="taaa"/>
    <w:basedOn w:val="OPCParaBase"/>
    <w:rsid w:val="004871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1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155"/>
    <w:pPr>
      <w:spacing w:before="60" w:line="240" w:lineRule="atLeast"/>
    </w:pPr>
    <w:rPr>
      <w:sz w:val="20"/>
    </w:rPr>
  </w:style>
  <w:style w:type="paragraph" w:customStyle="1" w:styleId="TLPBoxTextnote">
    <w:name w:val="TLPBoxText(note"/>
    <w:aliases w:val="right)"/>
    <w:basedOn w:val="OPCParaBase"/>
    <w:rsid w:val="004871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15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7155"/>
    <w:pPr>
      <w:spacing w:before="122" w:line="198" w:lineRule="exact"/>
      <w:ind w:left="1985" w:hanging="851"/>
      <w:jc w:val="right"/>
    </w:pPr>
    <w:rPr>
      <w:sz w:val="18"/>
    </w:rPr>
  </w:style>
  <w:style w:type="paragraph" w:customStyle="1" w:styleId="TLPTableBullet">
    <w:name w:val="TLPTableBullet"/>
    <w:aliases w:val="ttb"/>
    <w:basedOn w:val="OPCParaBase"/>
    <w:rsid w:val="00487155"/>
    <w:pPr>
      <w:spacing w:line="240" w:lineRule="exact"/>
      <w:ind w:left="284" w:hanging="284"/>
    </w:pPr>
    <w:rPr>
      <w:sz w:val="20"/>
    </w:rPr>
  </w:style>
  <w:style w:type="paragraph" w:styleId="TOC1">
    <w:name w:val="toc 1"/>
    <w:basedOn w:val="OPCParaBase"/>
    <w:next w:val="Normal"/>
    <w:uiPriority w:val="39"/>
    <w:unhideWhenUsed/>
    <w:rsid w:val="00487155"/>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7155"/>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7155"/>
    <w:pPr>
      <w:keepNext/>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7155"/>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7155"/>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7155"/>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715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715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715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7155"/>
    <w:pPr>
      <w:keepLines/>
      <w:spacing w:before="240" w:after="120" w:line="240" w:lineRule="auto"/>
      <w:ind w:left="794"/>
    </w:pPr>
    <w:rPr>
      <w:b/>
      <w:kern w:val="28"/>
      <w:sz w:val="20"/>
    </w:rPr>
  </w:style>
  <w:style w:type="paragraph" w:customStyle="1" w:styleId="TofSectsHeading">
    <w:name w:val="TofSects(Heading)"/>
    <w:basedOn w:val="OPCParaBase"/>
    <w:rsid w:val="00487155"/>
    <w:pPr>
      <w:spacing w:before="240" w:after="120" w:line="240" w:lineRule="auto"/>
    </w:pPr>
    <w:rPr>
      <w:b/>
      <w:sz w:val="24"/>
    </w:rPr>
  </w:style>
  <w:style w:type="paragraph" w:customStyle="1" w:styleId="TofSectsSection">
    <w:name w:val="TofSects(Section)"/>
    <w:basedOn w:val="OPCParaBase"/>
    <w:rsid w:val="00487155"/>
    <w:pPr>
      <w:keepLines/>
      <w:spacing w:before="40" w:line="240" w:lineRule="auto"/>
      <w:ind w:left="1588" w:hanging="794"/>
    </w:pPr>
    <w:rPr>
      <w:kern w:val="28"/>
      <w:sz w:val="18"/>
    </w:rPr>
  </w:style>
  <w:style w:type="paragraph" w:customStyle="1" w:styleId="TofSectsSubdiv">
    <w:name w:val="TofSects(Subdiv)"/>
    <w:basedOn w:val="OPCParaBase"/>
    <w:rsid w:val="00487155"/>
    <w:pPr>
      <w:keepLines/>
      <w:spacing w:before="80" w:line="240" w:lineRule="auto"/>
      <w:ind w:left="1588" w:hanging="794"/>
    </w:pPr>
    <w:rPr>
      <w:kern w:val="28"/>
    </w:rPr>
  </w:style>
  <w:style w:type="paragraph" w:customStyle="1" w:styleId="WRStyle">
    <w:name w:val="WR Style"/>
    <w:aliases w:val="WR"/>
    <w:basedOn w:val="OPCParaBase"/>
    <w:rsid w:val="00487155"/>
    <w:pPr>
      <w:spacing w:before="240" w:line="240" w:lineRule="auto"/>
      <w:ind w:left="284" w:hanging="284"/>
    </w:pPr>
    <w:rPr>
      <w:b/>
      <w:i/>
      <w:kern w:val="28"/>
      <w:sz w:val="24"/>
    </w:rPr>
  </w:style>
  <w:style w:type="paragraph" w:customStyle="1" w:styleId="Body">
    <w:name w:val="Body"/>
    <w:aliases w:val="b"/>
    <w:basedOn w:val="OPCParaBase"/>
    <w:link w:val="BodyChar"/>
    <w:rsid w:val="00487155"/>
    <w:pPr>
      <w:spacing w:before="240" w:line="240" w:lineRule="auto"/>
    </w:pPr>
    <w:rPr>
      <w:sz w:val="24"/>
    </w:rPr>
  </w:style>
  <w:style w:type="paragraph" w:customStyle="1" w:styleId="BodyNum">
    <w:name w:val="BodyNum"/>
    <w:aliases w:val="b1"/>
    <w:basedOn w:val="OPCParaBase"/>
    <w:rsid w:val="00487155"/>
    <w:pPr>
      <w:numPr>
        <w:numId w:val="13"/>
      </w:numPr>
      <w:spacing w:before="240" w:line="240" w:lineRule="auto"/>
    </w:pPr>
    <w:rPr>
      <w:sz w:val="24"/>
    </w:rPr>
  </w:style>
  <w:style w:type="paragraph" w:customStyle="1" w:styleId="BodyPara">
    <w:name w:val="BodyPara"/>
    <w:aliases w:val="ba"/>
    <w:basedOn w:val="OPCParaBase"/>
    <w:rsid w:val="00487155"/>
    <w:pPr>
      <w:numPr>
        <w:ilvl w:val="1"/>
        <w:numId w:val="13"/>
      </w:numPr>
      <w:spacing w:before="240" w:line="240" w:lineRule="auto"/>
    </w:pPr>
    <w:rPr>
      <w:sz w:val="24"/>
    </w:rPr>
  </w:style>
  <w:style w:type="paragraph" w:customStyle="1" w:styleId="BodyParaBullet">
    <w:name w:val="BodyParaBullet"/>
    <w:aliases w:val="bpb"/>
    <w:basedOn w:val="OPCParaBase"/>
    <w:rsid w:val="0048715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7155"/>
    <w:pPr>
      <w:numPr>
        <w:ilvl w:val="3"/>
        <w:numId w:val="13"/>
      </w:numPr>
      <w:spacing w:before="240" w:line="240" w:lineRule="auto"/>
    </w:pPr>
    <w:rPr>
      <w:sz w:val="24"/>
    </w:rPr>
  </w:style>
  <w:style w:type="numbering" w:customStyle="1" w:styleId="OPCBodyList">
    <w:name w:val="OPCBodyList"/>
    <w:uiPriority w:val="99"/>
    <w:rsid w:val="00487155"/>
    <w:pPr>
      <w:numPr>
        <w:numId w:val="13"/>
      </w:numPr>
    </w:pPr>
  </w:style>
  <w:style w:type="paragraph" w:customStyle="1" w:styleId="Head1">
    <w:name w:val="Head 1"/>
    <w:aliases w:val="1"/>
    <w:basedOn w:val="OPCParaBase"/>
    <w:next w:val="BodyNum"/>
    <w:rsid w:val="0048715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715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715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715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715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7155"/>
    <w:pPr>
      <w:spacing w:before="122" w:line="198" w:lineRule="exact"/>
      <w:ind w:left="2353" w:hanging="709"/>
    </w:pPr>
    <w:rPr>
      <w:sz w:val="18"/>
    </w:rPr>
  </w:style>
  <w:style w:type="paragraph" w:styleId="Footer">
    <w:name w:val="footer"/>
    <w:link w:val="FooterChar"/>
    <w:rsid w:val="004871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155"/>
    <w:rPr>
      <w:rFonts w:eastAsia="Times New Roman" w:cs="Times New Roman"/>
      <w:sz w:val="22"/>
      <w:szCs w:val="24"/>
      <w:lang w:eastAsia="en-AU"/>
    </w:rPr>
  </w:style>
  <w:style w:type="character" w:styleId="PageNumber">
    <w:name w:val="page number"/>
    <w:basedOn w:val="DefaultParagraphFont"/>
    <w:rsid w:val="00487155"/>
  </w:style>
  <w:style w:type="paragraph" w:styleId="BalloonText">
    <w:name w:val="Balloon Text"/>
    <w:basedOn w:val="Normal"/>
    <w:link w:val="BalloonTextChar"/>
    <w:uiPriority w:val="99"/>
    <w:semiHidden/>
    <w:unhideWhenUsed/>
    <w:rsid w:val="00487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55"/>
    <w:rPr>
      <w:rFonts w:ascii="Tahoma" w:hAnsi="Tahoma" w:cs="Tahoma"/>
      <w:sz w:val="16"/>
      <w:szCs w:val="16"/>
    </w:rPr>
  </w:style>
  <w:style w:type="character" w:customStyle="1" w:styleId="BodyChar">
    <w:name w:val="Body Char"/>
    <w:aliases w:val="b Char"/>
    <w:basedOn w:val="DefaultParagraphFont"/>
    <w:link w:val="Body"/>
    <w:rsid w:val="00A63611"/>
    <w:rPr>
      <w:rFonts w:eastAsia="Times New Roman" w:cs="Times New Roman"/>
      <w:sz w:val="24"/>
      <w:lang w:eastAsia="en-AU"/>
    </w:rPr>
  </w:style>
  <w:style w:type="character" w:customStyle="1" w:styleId="Heading1Char">
    <w:name w:val="Heading 1 Char"/>
    <w:basedOn w:val="DefaultParagraphFont"/>
    <w:link w:val="Heading1"/>
    <w:uiPriority w:val="9"/>
    <w:rsid w:val="00650D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0D9E"/>
    <w:pPr>
      <w:outlineLvl w:val="9"/>
    </w:pPr>
  </w:style>
  <w:style w:type="character" w:customStyle="1" w:styleId="paragraphChar">
    <w:name w:val="paragraph Char"/>
    <w:aliases w:val="a Char"/>
    <w:basedOn w:val="DefaultParagraphFont"/>
    <w:link w:val="paragraph"/>
    <w:rsid w:val="00474B8A"/>
    <w:rPr>
      <w:rFonts w:eastAsia="Times New Roman" w:cs="Times New Roman"/>
      <w:sz w:val="22"/>
      <w:lang w:eastAsia="en-AU"/>
    </w:rPr>
  </w:style>
  <w:style w:type="paragraph" w:customStyle="1" w:styleId="Note">
    <w:name w:val="Note"/>
    <w:basedOn w:val="Normal"/>
    <w:rsid w:val="00474B8A"/>
    <w:pPr>
      <w:spacing w:before="120" w:line="220" w:lineRule="exact"/>
      <w:ind w:left="964"/>
      <w:jc w:val="both"/>
    </w:pPr>
    <w:rPr>
      <w:rFonts w:eastAsia="Times New Roman" w:cs="Times New Roman"/>
      <w:sz w:val="20"/>
      <w:szCs w:val="24"/>
    </w:rPr>
  </w:style>
  <w:style w:type="character" w:styleId="Hyperlink">
    <w:name w:val="Hyperlink"/>
    <w:basedOn w:val="DefaultParagraphFont"/>
    <w:uiPriority w:val="99"/>
    <w:unhideWhenUsed/>
    <w:rsid w:val="00565571"/>
    <w:rPr>
      <w:color w:val="0000FF" w:themeColor="hyperlink"/>
      <w:u w:val="single"/>
    </w:rPr>
  </w:style>
  <w:style w:type="character" w:styleId="FollowedHyperlink">
    <w:name w:val="FollowedHyperlink"/>
    <w:basedOn w:val="DefaultParagraphFont"/>
    <w:uiPriority w:val="99"/>
    <w:semiHidden/>
    <w:unhideWhenUsed/>
    <w:rsid w:val="00565571"/>
    <w:rPr>
      <w:color w:val="800080" w:themeColor="followedHyperlink"/>
      <w:u w:val="single"/>
    </w:rPr>
  </w:style>
  <w:style w:type="paragraph" w:styleId="ListParagraph">
    <w:name w:val="List Paragraph"/>
    <w:basedOn w:val="Normal"/>
    <w:uiPriority w:val="34"/>
    <w:qFormat/>
    <w:rsid w:val="00C5116C"/>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3950">
      <w:bodyDiv w:val="1"/>
      <w:marLeft w:val="0"/>
      <w:marRight w:val="0"/>
      <w:marTop w:val="0"/>
      <w:marBottom w:val="0"/>
      <w:divBdr>
        <w:top w:val="none" w:sz="0" w:space="0" w:color="auto"/>
        <w:left w:val="none" w:sz="0" w:space="0" w:color="auto"/>
        <w:bottom w:val="none" w:sz="0" w:space="0" w:color="auto"/>
        <w:right w:val="none" w:sz="0" w:space="0" w:color="auto"/>
      </w:divBdr>
    </w:div>
    <w:div w:id="6372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ph.gov.au/About_Parliament/Senate/Powers_practice_n_procedures" TargetMode="External"/><Relationship Id="rId4" Type="http://schemas.microsoft.com/office/2007/relationships/stylesWithEffects" Target="stylesWithEffects.xml"/><Relationship Id="rId9" Type="http://schemas.openxmlformats.org/officeDocument/2006/relationships/hyperlink" Target="http://www.aph.gov.au/About_Parliament/House_of_Representatives/Powers_practice_and_procedure"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4B26-B115-4EB4-ACEA-5487BB81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35</Pages>
  <Words>12281</Words>
  <Characters>63744</Characters>
  <Application>Microsoft Office Word</Application>
  <DocSecurity>12</DocSecurity>
  <Lines>1225</Lines>
  <Paragraphs>731</Paragraphs>
  <ScaleCrop>false</ScaleCrop>
  <HeadingPairs>
    <vt:vector size="2" baseType="variant">
      <vt:variant>
        <vt:lpstr>Title</vt:lpstr>
      </vt:variant>
      <vt:variant>
        <vt:i4>1</vt:i4>
      </vt:variant>
    </vt:vector>
  </HeadingPairs>
  <TitlesOfParts>
    <vt:vector size="1" baseType="lpstr">
      <vt:lpstr>OPC Drafting Manual</vt:lpstr>
    </vt:vector>
  </TitlesOfParts>
  <Company>Office of Parliamentary Counsel</Company>
  <LinksUpToDate>false</LinksUpToDate>
  <CharactersWithSpaces>75294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Drafting Manual</dc:title>
  <dc:creator>Peter Quiggin</dc:creator>
  <cp:lastModifiedBy>Doyle, Simone</cp:lastModifiedBy>
  <cp:revision>2</cp:revision>
  <cp:lastPrinted>2015-10-01T23:25:00Z</cp:lastPrinted>
  <dcterms:created xsi:type="dcterms:W3CDTF">2019-07-25T04:58:00Z</dcterms:created>
  <dcterms:modified xsi:type="dcterms:W3CDTF">2019-07-25T04:58:00Z</dcterms:modified>
  <cp:category>Other - For Folio and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PC:D19/7098</vt:lpwstr>
  </property>
</Properties>
</file>