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B23" w:rsidRPr="00117354" w:rsidRDefault="000A6B23" w:rsidP="00117354">
      <w:pPr>
        <w:pStyle w:val="Head1"/>
      </w:pPr>
      <w:bookmarkStart w:id="0" w:name="_GoBack"/>
      <w:bookmarkEnd w:id="0"/>
      <w:r w:rsidRPr="00117354">
        <w:t>Drafting Direction No. 2.1</w:t>
      </w:r>
      <w:r w:rsidRPr="00117354">
        <w:br/>
        <w:t>English usage, gender</w:t>
      </w:r>
      <w:r w:rsidR="00B62804" w:rsidRPr="00117354">
        <w:noBreakHyphen/>
      </w:r>
      <w:r w:rsidRPr="00117354">
        <w:t>specific and gender</w:t>
      </w:r>
      <w:r w:rsidR="00B62804" w:rsidRPr="00117354">
        <w:noBreakHyphen/>
      </w:r>
      <w:r w:rsidRPr="00117354">
        <w:t>neutral language, grammar, punctuation and spelling</w:t>
      </w:r>
    </w:p>
    <w:p w:rsidR="002B1951" w:rsidRPr="00117354" w:rsidRDefault="002B1951" w:rsidP="002B1951">
      <w:pPr>
        <w:pStyle w:val="notemargin"/>
      </w:pPr>
      <w:r w:rsidRPr="00117354">
        <w:t>Note:</w:t>
      </w:r>
      <w:r w:rsidRPr="00117354">
        <w:tab/>
        <w:t>This Drafting Direction contains references to the “head drafter”. It is a reference to the senior person who is responsible for matters of drafting policy. This form is used to enable the Drafting Directions to be applied in other organisations. In OPC the head drafter is FPC for Bills and the PLC for instruments.</w:t>
      </w:r>
    </w:p>
    <w:p w:rsidR="005E690A" w:rsidRPr="00117354" w:rsidRDefault="005E690A" w:rsidP="005E690A">
      <w:pPr>
        <w:pStyle w:val="Release"/>
      </w:pPr>
      <w:r w:rsidRPr="00117354">
        <w:t xml:space="preserve">Document release </w:t>
      </w:r>
      <w:r w:rsidR="00DF35F9" w:rsidRPr="00117354">
        <w:t>4</w:t>
      </w:r>
      <w:r w:rsidRPr="00117354">
        <w:t>.</w:t>
      </w:r>
      <w:r w:rsidR="00292D65" w:rsidRPr="00117354">
        <w:t>4</w:t>
      </w:r>
    </w:p>
    <w:p w:rsidR="000168A0" w:rsidRPr="00117354" w:rsidRDefault="000168A0" w:rsidP="000168A0">
      <w:pPr>
        <w:pStyle w:val="Issued"/>
      </w:pPr>
      <w:r w:rsidRPr="00117354">
        <w:t xml:space="preserve">Reissued </w:t>
      </w:r>
      <w:r w:rsidR="00E83090" w:rsidRPr="00117354">
        <w:t>1</w:t>
      </w:r>
      <w:r w:rsidR="00FA1441" w:rsidRPr="00117354">
        <w:t xml:space="preserve"> March </w:t>
      </w:r>
      <w:r w:rsidRPr="00117354">
        <w:t>201</w:t>
      </w:r>
      <w:r w:rsidR="00292D65" w:rsidRPr="00117354">
        <w:t>6</w:t>
      </w:r>
    </w:p>
    <w:p w:rsidR="000168A0" w:rsidRPr="00117354" w:rsidRDefault="000168A0" w:rsidP="000A6B23">
      <w:pPr>
        <w:rPr>
          <w:sz w:val="32"/>
        </w:rPr>
      </w:pPr>
    </w:p>
    <w:p w:rsidR="000A6B23" w:rsidRPr="00117354" w:rsidRDefault="000A6B23" w:rsidP="000A6B23">
      <w:pPr>
        <w:rPr>
          <w:sz w:val="32"/>
        </w:rPr>
      </w:pPr>
      <w:r w:rsidRPr="00117354">
        <w:rPr>
          <w:sz w:val="32"/>
        </w:rPr>
        <w:t>Contents</w:t>
      </w:r>
    </w:p>
    <w:p w:rsidR="00117354" w:rsidRPr="00117354" w:rsidRDefault="00117354" w:rsidP="00117354">
      <w:pPr>
        <w:pStyle w:val="TOC2"/>
        <w:rPr>
          <w:rFonts w:asciiTheme="minorHAnsi" w:eastAsiaTheme="minorEastAsia" w:hAnsiTheme="minorHAnsi" w:cstheme="minorBidi"/>
          <w:b w:val="0"/>
          <w:sz w:val="22"/>
          <w:szCs w:val="22"/>
        </w:rPr>
      </w:pPr>
      <w:r w:rsidRPr="00117354">
        <w:rPr>
          <w:sz w:val="32"/>
        </w:rPr>
        <w:fldChar w:fldCharType="begin"/>
      </w:r>
      <w:r w:rsidRPr="00117354">
        <w:rPr>
          <w:sz w:val="32"/>
        </w:rPr>
        <w:instrText xml:space="preserve"> TOC \o "2-9" </w:instrText>
      </w:r>
      <w:r w:rsidRPr="00117354">
        <w:rPr>
          <w:sz w:val="32"/>
        </w:rPr>
        <w:fldChar w:fldCharType="separate"/>
      </w:r>
      <w:r w:rsidRPr="00117354">
        <w:t>Part 1—English usage and grammar</w:t>
      </w:r>
      <w:r w:rsidRPr="00117354">
        <w:rPr>
          <w:b w:val="0"/>
          <w:sz w:val="20"/>
        </w:rPr>
        <w:tab/>
      </w:r>
      <w:r w:rsidRPr="00117354">
        <w:rPr>
          <w:b w:val="0"/>
          <w:sz w:val="20"/>
        </w:rPr>
        <w:fldChar w:fldCharType="begin"/>
      </w:r>
      <w:r w:rsidRPr="00117354">
        <w:rPr>
          <w:b w:val="0"/>
          <w:sz w:val="20"/>
        </w:rPr>
        <w:instrText xml:space="preserve"> PAGEREF _Toc444613772 \h </w:instrText>
      </w:r>
      <w:r w:rsidRPr="00117354">
        <w:rPr>
          <w:b w:val="0"/>
          <w:sz w:val="20"/>
        </w:rPr>
      </w:r>
      <w:r w:rsidRPr="00117354">
        <w:rPr>
          <w:b w:val="0"/>
          <w:sz w:val="20"/>
        </w:rPr>
        <w:fldChar w:fldCharType="separate"/>
      </w:r>
      <w:r>
        <w:rPr>
          <w:b w:val="0"/>
          <w:sz w:val="20"/>
        </w:rPr>
        <w:t>2</w:t>
      </w:r>
      <w:r w:rsidRPr="00117354">
        <w:rPr>
          <w:b w:val="0"/>
          <w:sz w:val="20"/>
        </w:rPr>
        <w:fldChar w:fldCharType="end"/>
      </w:r>
    </w:p>
    <w:p w:rsidR="00117354" w:rsidRPr="00117354" w:rsidRDefault="00117354" w:rsidP="00117354">
      <w:pPr>
        <w:pStyle w:val="TOC3"/>
        <w:rPr>
          <w:rFonts w:asciiTheme="minorHAnsi" w:eastAsiaTheme="minorEastAsia" w:hAnsiTheme="minorHAnsi" w:cstheme="minorBidi"/>
          <w:sz w:val="22"/>
          <w:szCs w:val="22"/>
        </w:rPr>
      </w:pPr>
      <w:r w:rsidRPr="00117354">
        <w:t>Plain English Manual</w:t>
      </w:r>
      <w:r w:rsidRPr="00117354">
        <w:rPr>
          <w:sz w:val="20"/>
        </w:rPr>
        <w:tab/>
      </w:r>
      <w:r w:rsidRPr="00117354">
        <w:rPr>
          <w:sz w:val="20"/>
        </w:rPr>
        <w:fldChar w:fldCharType="begin"/>
      </w:r>
      <w:r w:rsidRPr="00117354">
        <w:rPr>
          <w:sz w:val="20"/>
        </w:rPr>
        <w:instrText xml:space="preserve"> PAGEREF _Toc444613773 \h </w:instrText>
      </w:r>
      <w:r w:rsidRPr="00117354">
        <w:rPr>
          <w:sz w:val="20"/>
        </w:rPr>
      </w:r>
      <w:r w:rsidRPr="00117354">
        <w:rPr>
          <w:sz w:val="20"/>
        </w:rPr>
        <w:fldChar w:fldCharType="separate"/>
      </w:r>
      <w:r>
        <w:rPr>
          <w:sz w:val="20"/>
        </w:rPr>
        <w:t>2</w:t>
      </w:r>
      <w:r w:rsidRPr="00117354">
        <w:rPr>
          <w:sz w:val="20"/>
        </w:rPr>
        <w:fldChar w:fldCharType="end"/>
      </w:r>
    </w:p>
    <w:p w:rsidR="00117354" w:rsidRPr="00117354" w:rsidRDefault="00117354" w:rsidP="00117354">
      <w:pPr>
        <w:pStyle w:val="TOC3"/>
        <w:rPr>
          <w:rFonts w:asciiTheme="minorHAnsi" w:eastAsiaTheme="minorEastAsia" w:hAnsiTheme="minorHAnsi" w:cstheme="minorBidi"/>
          <w:sz w:val="22"/>
          <w:szCs w:val="22"/>
        </w:rPr>
      </w:pPr>
      <w:r w:rsidRPr="00117354">
        <w:t>Lessons from Chew v The Queen—distinguishing purpose from result in prohibitions</w:t>
      </w:r>
      <w:r w:rsidRPr="00117354">
        <w:rPr>
          <w:sz w:val="20"/>
        </w:rPr>
        <w:tab/>
      </w:r>
      <w:r w:rsidRPr="00117354">
        <w:rPr>
          <w:sz w:val="20"/>
        </w:rPr>
        <w:fldChar w:fldCharType="begin"/>
      </w:r>
      <w:r w:rsidRPr="00117354">
        <w:rPr>
          <w:sz w:val="20"/>
        </w:rPr>
        <w:instrText xml:space="preserve"> PAGEREF _Toc444613774 \h </w:instrText>
      </w:r>
      <w:r w:rsidRPr="00117354">
        <w:rPr>
          <w:sz w:val="20"/>
        </w:rPr>
      </w:r>
      <w:r w:rsidRPr="00117354">
        <w:rPr>
          <w:sz w:val="20"/>
        </w:rPr>
        <w:fldChar w:fldCharType="separate"/>
      </w:r>
      <w:r>
        <w:rPr>
          <w:sz w:val="20"/>
        </w:rPr>
        <w:t>2</w:t>
      </w:r>
      <w:r w:rsidRPr="00117354">
        <w:rPr>
          <w:sz w:val="20"/>
        </w:rPr>
        <w:fldChar w:fldCharType="end"/>
      </w:r>
    </w:p>
    <w:p w:rsidR="00117354" w:rsidRPr="00117354" w:rsidRDefault="00117354" w:rsidP="00117354">
      <w:pPr>
        <w:pStyle w:val="TOC4"/>
        <w:rPr>
          <w:rFonts w:asciiTheme="minorHAnsi" w:eastAsiaTheme="minorEastAsia" w:hAnsiTheme="minorHAnsi" w:cstheme="minorBidi"/>
          <w:sz w:val="22"/>
          <w:szCs w:val="22"/>
        </w:rPr>
      </w:pPr>
      <w:r w:rsidRPr="00117354">
        <w:t>Background</w:t>
      </w:r>
      <w:r w:rsidRPr="00117354">
        <w:rPr>
          <w:sz w:val="20"/>
        </w:rPr>
        <w:tab/>
      </w:r>
      <w:r w:rsidRPr="00117354">
        <w:rPr>
          <w:sz w:val="20"/>
        </w:rPr>
        <w:fldChar w:fldCharType="begin"/>
      </w:r>
      <w:r w:rsidRPr="00117354">
        <w:rPr>
          <w:sz w:val="20"/>
        </w:rPr>
        <w:instrText xml:space="preserve"> PAGEREF _Toc444613775 \h </w:instrText>
      </w:r>
      <w:r w:rsidRPr="00117354">
        <w:rPr>
          <w:sz w:val="20"/>
        </w:rPr>
      </w:r>
      <w:r w:rsidRPr="00117354">
        <w:rPr>
          <w:sz w:val="20"/>
        </w:rPr>
        <w:fldChar w:fldCharType="separate"/>
      </w:r>
      <w:r>
        <w:rPr>
          <w:sz w:val="20"/>
        </w:rPr>
        <w:t>2</w:t>
      </w:r>
      <w:r w:rsidRPr="00117354">
        <w:rPr>
          <w:sz w:val="20"/>
        </w:rPr>
        <w:fldChar w:fldCharType="end"/>
      </w:r>
    </w:p>
    <w:p w:rsidR="00117354" w:rsidRPr="00117354" w:rsidRDefault="00117354" w:rsidP="00117354">
      <w:pPr>
        <w:pStyle w:val="TOC4"/>
        <w:rPr>
          <w:rFonts w:asciiTheme="minorHAnsi" w:eastAsiaTheme="minorEastAsia" w:hAnsiTheme="minorHAnsi" w:cstheme="minorBidi"/>
          <w:sz w:val="22"/>
          <w:szCs w:val="22"/>
        </w:rPr>
      </w:pPr>
      <w:r w:rsidRPr="00117354">
        <w:t>Distinguishing purpose from result</w:t>
      </w:r>
      <w:r w:rsidRPr="00117354">
        <w:rPr>
          <w:sz w:val="20"/>
        </w:rPr>
        <w:tab/>
      </w:r>
      <w:r w:rsidRPr="00117354">
        <w:rPr>
          <w:sz w:val="20"/>
        </w:rPr>
        <w:fldChar w:fldCharType="begin"/>
      </w:r>
      <w:r w:rsidRPr="00117354">
        <w:rPr>
          <w:sz w:val="20"/>
        </w:rPr>
        <w:instrText xml:space="preserve"> PAGEREF _Toc444613776 \h </w:instrText>
      </w:r>
      <w:r w:rsidRPr="00117354">
        <w:rPr>
          <w:sz w:val="20"/>
        </w:rPr>
      </w:r>
      <w:r w:rsidRPr="00117354">
        <w:rPr>
          <w:sz w:val="20"/>
        </w:rPr>
        <w:fldChar w:fldCharType="separate"/>
      </w:r>
      <w:r>
        <w:rPr>
          <w:sz w:val="20"/>
        </w:rPr>
        <w:t>2</w:t>
      </w:r>
      <w:r w:rsidRPr="00117354">
        <w:rPr>
          <w:sz w:val="20"/>
        </w:rPr>
        <w:fldChar w:fldCharType="end"/>
      </w:r>
    </w:p>
    <w:p w:rsidR="00117354" w:rsidRPr="00117354" w:rsidRDefault="00117354" w:rsidP="00117354">
      <w:pPr>
        <w:pStyle w:val="TOC3"/>
        <w:rPr>
          <w:rFonts w:asciiTheme="minorHAnsi" w:eastAsiaTheme="minorEastAsia" w:hAnsiTheme="minorHAnsi" w:cstheme="minorBidi"/>
          <w:sz w:val="22"/>
          <w:szCs w:val="22"/>
        </w:rPr>
      </w:pPr>
      <w:r w:rsidRPr="00117354">
        <w:t>Nouns of multitude</w:t>
      </w:r>
      <w:r w:rsidRPr="00117354">
        <w:rPr>
          <w:sz w:val="20"/>
        </w:rPr>
        <w:tab/>
      </w:r>
      <w:r w:rsidRPr="00117354">
        <w:rPr>
          <w:sz w:val="20"/>
        </w:rPr>
        <w:fldChar w:fldCharType="begin"/>
      </w:r>
      <w:r w:rsidRPr="00117354">
        <w:rPr>
          <w:sz w:val="20"/>
        </w:rPr>
        <w:instrText xml:space="preserve"> PAGEREF _Toc444613777 \h </w:instrText>
      </w:r>
      <w:r w:rsidRPr="00117354">
        <w:rPr>
          <w:sz w:val="20"/>
        </w:rPr>
      </w:r>
      <w:r w:rsidRPr="00117354">
        <w:rPr>
          <w:sz w:val="20"/>
        </w:rPr>
        <w:fldChar w:fldCharType="separate"/>
      </w:r>
      <w:r>
        <w:rPr>
          <w:sz w:val="20"/>
        </w:rPr>
        <w:t>3</w:t>
      </w:r>
      <w:r w:rsidRPr="00117354">
        <w:rPr>
          <w:sz w:val="20"/>
        </w:rPr>
        <w:fldChar w:fldCharType="end"/>
      </w:r>
    </w:p>
    <w:p w:rsidR="00117354" w:rsidRPr="00117354" w:rsidRDefault="00117354" w:rsidP="00117354">
      <w:pPr>
        <w:pStyle w:val="TOC2"/>
        <w:rPr>
          <w:rFonts w:asciiTheme="minorHAnsi" w:eastAsiaTheme="minorEastAsia" w:hAnsiTheme="minorHAnsi" w:cstheme="minorBidi"/>
          <w:b w:val="0"/>
          <w:sz w:val="22"/>
          <w:szCs w:val="22"/>
        </w:rPr>
      </w:pPr>
      <w:r w:rsidRPr="00117354">
        <w:t>Part 2—Gender</w:t>
      </w:r>
      <w:r w:rsidRPr="00117354">
        <w:noBreakHyphen/>
        <w:t>specific and gender</w:t>
      </w:r>
      <w:r w:rsidRPr="00117354">
        <w:noBreakHyphen/>
        <w:t>neutral language</w:t>
      </w:r>
      <w:r w:rsidRPr="00117354">
        <w:rPr>
          <w:b w:val="0"/>
          <w:sz w:val="20"/>
        </w:rPr>
        <w:tab/>
      </w:r>
      <w:r w:rsidRPr="00117354">
        <w:rPr>
          <w:b w:val="0"/>
          <w:sz w:val="20"/>
        </w:rPr>
        <w:fldChar w:fldCharType="begin"/>
      </w:r>
      <w:r w:rsidRPr="00117354">
        <w:rPr>
          <w:b w:val="0"/>
          <w:sz w:val="20"/>
        </w:rPr>
        <w:instrText xml:space="preserve"> PAGEREF _Toc444613778 \h </w:instrText>
      </w:r>
      <w:r w:rsidRPr="00117354">
        <w:rPr>
          <w:b w:val="0"/>
          <w:sz w:val="20"/>
        </w:rPr>
      </w:r>
      <w:r w:rsidRPr="00117354">
        <w:rPr>
          <w:b w:val="0"/>
          <w:sz w:val="20"/>
        </w:rPr>
        <w:fldChar w:fldCharType="separate"/>
      </w:r>
      <w:r>
        <w:rPr>
          <w:b w:val="0"/>
          <w:sz w:val="20"/>
        </w:rPr>
        <w:t>3</w:t>
      </w:r>
      <w:r w:rsidRPr="00117354">
        <w:rPr>
          <w:b w:val="0"/>
          <w:sz w:val="20"/>
        </w:rPr>
        <w:fldChar w:fldCharType="end"/>
      </w:r>
    </w:p>
    <w:p w:rsidR="00117354" w:rsidRPr="00117354" w:rsidRDefault="00117354" w:rsidP="00117354">
      <w:pPr>
        <w:pStyle w:val="TOC3"/>
        <w:rPr>
          <w:rFonts w:asciiTheme="minorHAnsi" w:eastAsiaTheme="minorEastAsia" w:hAnsiTheme="minorHAnsi" w:cstheme="minorBidi"/>
          <w:sz w:val="22"/>
          <w:szCs w:val="22"/>
        </w:rPr>
      </w:pPr>
      <w:r w:rsidRPr="00117354">
        <w:t>New drafting</w:t>
      </w:r>
      <w:r w:rsidRPr="00117354">
        <w:rPr>
          <w:sz w:val="20"/>
        </w:rPr>
        <w:tab/>
      </w:r>
      <w:r w:rsidRPr="00117354">
        <w:rPr>
          <w:sz w:val="20"/>
        </w:rPr>
        <w:fldChar w:fldCharType="begin"/>
      </w:r>
      <w:r w:rsidRPr="00117354">
        <w:rPr>
          <w:sz w:val="20"/>
        </w:rPr>
        <w:instrText xml:space="preserve"> PAGEREF _Toc444613779 \h </w:instrText>
      </w:r>
      <w:r w:rsidRPr="00117354">
        <w:rPr>
          <w:sz w:val="20"/>
        </w:rPr>
      </w:r>
      <w:r w:rsidRPr="00117354">
        <w:rPr>
          <w:sz w:val="20"/>
        </w:rPr>
        <w:fldChar w:fldCharType="separate"/>
      </w:r>
      <w:r>
        <w:rPr>
          <w:sz w:val="20"/>
        </w:rPr>
        <w:t>3</w:t>
      </w:r>
      <w:r w:rsidRPr="00117354">
        <w:rPr>
          <w:sz w:val="20"/>
        </w:rPr>
        <w:fldChar w:fldCharType="end"/>
      </w:r>
    </w:p>
    <w:p w:rsidR="00117354" w:rsidRPr="00117354" w:rsidRDefault="00117354" w:rsidP="00117354">
      <w:pPr>
        <w:pStyle w:val="TOC4"/>
        <w:rPr>
          <w:rFonts w:asciiTheme="minorHAnsi" w:eastAsiaTheme="minorEastAsia" w:hAnsiTheme="minorHAnsi" w:cstheme="minorBidi"/>
          <w:sz w:val="22"/>
          <w:szCs w:val="22"/>
        </w:rPr>
      </w:pPr>
      <w:r w:rsidRPr="00117354">
        <w:t>Use of masculine and feminine personal pronouns</w:t>
      </w:r>
      <w:r w:rsidRPr="00117354">
        <w:rPr>
          <w:sz w:val="20"/>
        </w:rPr>
        <w:tab/>
      </w:r>
      <w:r w:rsidRPr="00117354">
        <w:rPr>
          <w:sz w:val="20"/>
        </w:rPr>
        <w:fldChar w:fldCharType="begin"/>
      </w:r>
      <w:r w:rsidRPr="00117354">
        <w:rPr>
          <w:sz w:val="20"/>
        </w:rPr>
        <w:instrText xml:space="preserve"> PAGEREF _Toc444613780 \h </w:instrText>
      </w:r>
      <w:r w:rsidRPr="00117354">
        <w:rPr>
          <w:sz w:val="20"/>
        </w:rPr>
      </w:r>
      <w:r w:rsidRPr="00117354">
        <w:rPr>
          <w:sz w:val="20"/>
        </w:rPr>
        <w:fldChar w:fldCharType="separate"/>
      </w:r>
      <w:r>
        <w:rPr>
          <w:sz w:val="20"/>
        </w:rPr>
        <w:t>3</w:t>
      </w:r>
      <w:r w:rsidRPr="00117354">
        <w:rPr>
          <w:sz w:val="20"/>
        </w:rPr>
        <w:fldChar w:fldCharType="end"/>
      </w:r>
    </w:p>
    <w:p w:rsidR="00117354" w:rsidRPr="00117354" w:rsidRDefault="00117354" w:rsidP="00117354">
      <w:pPr>
        <w:pStyle w:val="TOC4"/>
        <w:rPr>
          <w:rFonts w:asciiTheme="minorHAnsi" w:eastAsiaTheme="minorEastAsia" w:hAnsiTheme="minorHAnsi" w:cstheme="minorBidi"/>
          <w:sz w:val="22"/>
          <w:szCs w:val="22"/>
        </w:rPr>
      </w:pPr>
      <w:r w:rsidRPr="00117354">
        <w:t>Use of “Chair” (instead of “Chairperson” or “Chairman”)</w:t>
      </w:r>
      <w:r w:rsidRPr="00117354">
        <w:rPr>
          <w:sz w:val="20"/>
        </w:rPr>
        <w:tab/>
      </w:r>
      <w:r w:rsidRPr="00117354">
        <w:rPr>
          <w:sz w:val="20"/>
        </w:rPr>
        <w:fldChar w:fldCharType="begin"/>
      </w:r>
      <w:r w:rsidRPr="00117354">
        <w:rPr>
          <w:sz w:val="20"/>
        </w:rPr>
        <w:instrText xml:space="preserve"> PAGEREF _Toc444613781 \h </w:instrText>
      </w:r>
      <w:r w:rsidRPr="00117354">
        <w:rPr>
          <w:sz w:val="20"/>
        </w:rPr>
      </w:r>
      <w:r w:rsidRPr="00117354">
        <w:rPr>
          <w:sz w:val="20"/>
        </w:rPr>
        <w:fldChar w:fldCharType="separate"/>
      </w:r>
      <w:r>
        <w:rPr>
          <w:sz w:val="20"/>
        </w:rPr>
        <w:t>3</w:t>
      </w:r>
      <w:r w:rsidRPr="00117354">
        <w:rPr>
          <w:sz w:val="20"/>
        </w:rPr>
        <w:fldChar w:fldCharType="end"/>
      </w:r>
    </w:p>
    <w:p w:rsidR="00117354" w:rsidRPr="00117354" w:rsidRDefault="00117354" w:rsidP="00117354">
      <w:pPr>
        <w:pStyle w:val="TOC4"/>
        <w:rPr>
          <w:rFonts w:asciiTheme="minorHAnsi" w:eastAsiaTheme="minorEastAsia" w:hAnsiTheme="minorHAnsi" w:cstheme="minorBidi"/>
          <w:sz w:val="22"/>
          <w:szCs w:val="22"/>
        </w:rPr>
      </w:pPr>
      <w:r w:rsidRPr="00117354">
        <w:t>“Gender</w:t>
      </w:r>
      <w:r w:rsidRPr="00117354">
        <w:noBreakHyphen/>
        <w:t>specific” words</w:t>
      </w:r>
      <w:r w:rsidRPr="00117354">
        <w:rPr>
          <w:sz w:val="20"/>
        </w:rPr>
        <w:tab/>
      </w:r>
      <w:r w:rsidRPr="00117354">
        <w:rPr>
          <w:sz w:val="20"/>
        </w:rPr>
        <w:fldChar w:fldCharType="begin"/>
      </w:r>
      <w:r w:rsidRPr="00117354">
        <w:rPr>
          <w:sz w:val="20"/>
        </w:rPr>
        <w:instrText xml:space="preserve"> PAGEREF _Toc444613782 \h </w:instrText>
      </w:r>
      <w:r w:rsidRPr="00117354">
        <w:rPr>
          <w:sz w:val="20"/>
        </w:rPr>
      </w:r>
      <w:r w:rsidRPr="00117354">
        <w:rPr>
          <w:sz w:val="20"/>
        </w:rPr>
        <w:fldChar w:fldCharType="separate"/>
      </w:r>
      <w:r>
        <w:rPr>
          <w:sz w:val="20"/>
        </w:rPr>
        <w:t>4</w:t>
      </w:r>
      <w:r w:rsidRPr="00117354">
        <w:rPr>
          <w:sz w:val="20"/>
        </w:rPr>
        <w:fldChar w:fldCharType="end"/>
      </w:r>
    </w:p>
    <w:p w:rsidR="00117354" w:rsidRPr="00117354" w:rsidRDefault="00117354" w:rsidP="00117354">
      <w:pPr>
        <w:pStyle w:val="TOC3"/>
        <w:rPr>
          <w:rFonts w:asciiTheme="minorHAnsi" w:eastAsiaTheme="minorEastAsia" w:hAnsiTheme="minorHAnsi" w:cstheme="minorBidi"/>
          <w:sz w:val="22"/>
          <w:szCs w:val="22"/>
        </w:rPr>
      </w:pPr>
      <w:r w:rsidRPr="00117354">
        <w:t>Amendments of existing legislation</w:t>
      </w:r>
      <w:r w:rsidRPr="00117354">
        <w:rPr>
          <w:sz w:val="20"/>
        </w:rPr>
        <w:tab/>
      </w:r>
      <w:r w:rsidRPr="00117354">
        <w:rPr>
          <w:sz w:val="20"/>
        </w:rPr>
        <w:fldChar w:fldCharType="begin"/>
      </w:r>
      <w:r w:rsidRPr="00117354">
        <w:rPr>
          <w:sz w:val="20"/>
        </w:rPr>
        <w:instrText xml:space="preserve"> PAGEREF _Toc444613783 \h </w:instrText>
      </w:r>
      <w:r w:rsidRPr="00117354">
        <w:rPr>
          <w:sz w:val="20"/>
        </w:rPr>
      </w:r>
      <w:r w:rsidRPr="00117354">
        <w:rPr>
          <w:sz w:val="20"/>
        </w:rPr>
        <w:fldChar w:fldCharType="separate"/>
      </w:r>
      <w:r>
        <w:rPr>
          <w:sz w:val="20"/>
        </w:rPr>
        <w:t>4</w:t>
      </w:r>
      <w:r w:rsidRPr="00117354">
        <w:rPr>
          <w:sz w:val="20"/>
        </w:rPr>
        <w:fldChar w:fldCharType="end"/>
      </w:r>
    </w:p>
    <w:p w:rsidR="00117354" w:rsidRPr="00117354" w:rsidRDefault="00117354" w:rsidP="00117354">
      <w:pPr>
        <w:pStyle w:val="TOC4"/>
        <w:rPr>
          <w:rFonts w:asciiTheme="minorHAnsi" w:eastAsiaTheme="minorEastAsia" w:hAnsiTheme="minorHAnsi" w:cstheme="minorBidi"/>
          <w:sz w:val="22"/>
          <w:szCs w:val="22"/>
        </w:rPr>
      </w:pPr>
      <w:r w:rsidRPr="00117354">
        <w:t>Insertion of feminine pronouns</w:t>
      </w:r>
      <w:r w:rsidRPr="00117354">
        <w:rPr>
          <w:sz w:val="20"/>
        </w:rPr>
        <w:tab/>
      </w:r>
      <w:r w:rsidRPr="00117354">
        <w:rPr>
          <w:sz w:val="20"/>
        </w:rPr>
        <w:fldChar w:fldCharType="begin"/>
      </w:r>
      <w:r w:rsidRPr="00117354">
        <w:rPr>
          <w:sz w:val="20"/>
        </w:rPr>
        <w:instrText xml:space="preserve"> PAGEREF _Toc444613784 \h </w:instrText>
      </w:r>
      <w:r w:rsidRPr="00117354">
        <w:rPr>
          <w:sz w:val="20"/>
        </w:rPr>
      </w:r>
      <w:r w:rsidRPr="00117354">
        <w:rPr>
          <w:sz w:val="20"/>
        </w:rPr>
        <w:fldChar w:fldCharType="separate"/>
      </w:r>
      <w:r>
        <w:rPr>
          <w:sz w:val="20"/>
        </w:rPr>
        <w:t>4</w:t>
      </w:r>
      <w:r w:rsidRPr="00117354">
        <w:rPr>
          <w:sz w:val="20"/>
        </w:rPr>
        <w:fldChar w:fldCharType="end"/>
      </w:r>
    </w:p>
    <w:p w:rsidR="00117354" w:rsidRPr="00117354" w:rsidRDefault="00117354" w:rsidP="00117354">
      <w:pPr>
        <w:pStyle w:val="TOC4"/>
        <w:rPr>
          <w:rFonts w:asciiTheme="minorHAnsi" w:eastAsiaTheme="minorEastAsia" w:hAnsiTheme="minorHAnsi" w:cstheme="minorBidi"/>
          <w:sz w:val="22"/>
          <w:szCs w:val="22"/>
        </w:rPr>
      </w:pPr>
      <w:r w:rsidRPr="00117354">
        <w:t>Chairman/Chairperson and deputies</w:t>
      </w:r>
      <w:r w:rsidRPr="00117354">
        <w:rPr>
          <w:sz w:val="20"/>
        </w:rPr>
        <w:tab/>
      </w:r>
      <w:r w:rsidRPr="00117354">
        <w:rPr>
          <w:sz w:val="20"/>
        </w:rPr>
        <w:fldChar w:fldCharType="begin"/>
      </w:r>
      <w:r w:rsidRPr="00117354">
        <w:rPr>
          <w:sz w:val="20"/>
        </w:rPr>
        <w:instrText xml:space="preserve"> PAGEREF _Toc444613785 \h </w:instrText>
      </w:r>
      <w:r w:rsidRPr="00117354">
        <w:rPr>
          <w:sz w:val="20"/>
        </w:rPr>
      </w:r>
      <w:r w:rsidRPr="00117354">
        <w:rPr>
          <w:sz w:val="20"/>
        </w:rPr>
        <w:fldChar w:fldCharType="separate"/>
      </w:r>
      <w:r>
        <w:rPr>
          <w:sz w:val="20"/>
        </w:rPr>
        <w:t>4</w:t>
      </w:r>
      <w:r w:rsidRPr="00117354">
        <w:rPr>
          <w:sz w:val="20"/>
        </w:rPr>
        <w:fldChar w:fldCharType="end"/>
      </w:r>
    </w:p>
    <w:p w:rsidR="00117354" w:rsidRPr="00117354" w:rsidRDefault="00117354" w:rsidP="00117354">
      <w:pPr>
        <w:pStyle w:val="TOC4"/>
        <w:rPr>
          <w:rFonts w:asciiTheme="minorHAnsi" w:eastAsiaTheme="minorEastAsia" w:hAnsiTheme="minorHAnsi" w:cstheme="minorBidi"/>
          <w:sz w:val="22"/>
          <w:szCs w:val="22"/>
        </w:rPr>
      </w:pPr>
      <w:r w:rsidRPr="00117354">
        <w:t>“Gender</w:t>
      </w:r>
      <w:r w:rsidRPr="00117354">
        <w:noBreakHyphen/>
        <w:t>specific” words</w:t>
      </w:r>
      <w:r w:rsidRPr="00117354">
        <w:rPr>
          <w:sz w:val="20"/>
        </w:rPr>
        <w:tab/>
      </w:r>
      <w:r w:rsidRPr="00117354">
        <w:rPr>
          <w:sz w:val="20"/>
        </w:rPr>
        <w:fldChar w:fldCharType="begin"/>
      </w:r>
      <w:r w:rsidRPr="00117354">
        <w:rPr>
          <w:sz w:val="20"/>
        </w:rPr>
        <w:instrText xml:space="preserve"> PAGEREF _Toc444613786 \h </w:instrText>
      </w:r>
      <w:r w:rsidRPr="00117354">
        <w:rPr>
          <w:sz w:val="20"/>
        </w:rPr>
      </w:r>
      <w:r w:rsidRPr="00117354">
        <w:rPr>
          <w:sz w:val="20"/>
        </w:rPr>
        <w:fldChar w:fldCharType="separate"/>
      </w:r>
      <w:r>
        <w:rPr>
          <w:sz w:val="20"/>
        </w:rPr>
        <w:t>5</w:t>
      </w:r>
      <w:r w:rsidRPr="00117354">
        <w:rPr>
          <w:sz w:val="20"/>
        </w:rPr>
        <w:fldChar w:fldCharType="end"/>
      </w:r>
    </w:p>
    <w:p w:rsidR="00117354" w:rsidRPr="00117354" w:rsidRDefault="00117354" w:rsidP="00117354">
      <w:pPr>
        <w:pStyle w:val="TOC2"/>
        <w:rPr>
          <w:rFonts w:asciiTheme="minorHAnsi" w:eastAsiaTheme="minorEastAsia" w:hAnsiTheme="minorHAnsi" w:cstheme="minorBidi"/>
          <w:b w:val="0"/>
          <w:sz w:val="22"/>
          <w:szCs w:val="22"/>
        </w:rPr>
      </w:pPr>
      <w:r w:rsidRPr="00117354">
        <w:t>Part 3—Punctuation</w:t>
      </w:r>
      <w:r w:rsidRPr="00117354">
        <w:rPr>
          <w:b w:val="0"/>
          <w:sz w:val="20"/>
        </w:rPr>
        <w:tab/>
      </w:r>
      <w:r w:rsidRPr="00117354">
        <w:rPr>
          <w:b w:val="0"/>
          <w:sz w:val="20"/>
        </w:rPr>
        <w:fldChar w:fldCharType="begin"/>
      </w:r>
      <w:r w:rsidRPr="00117354">
        <w:rPr>
          <w:b w:val="0"/>
          <w:sz w:val="20"/>
        </w:rPr>
        <w:instrText xml:space="preserve"> PAGEREF _Toc444613787 \h </w:instrText>
      </w:r>
      <w:r w:rsidRPr="00117354">
        <w:rPr>
          <w:b w:val="0"/>
          <w:sz w:val="20"/>
        </w:rPr>
      </w:r>
      <w:r w:rsidRPr="00117354">
        <w:rPr>
          <w:b w:val="0"/>
          <w:sz w:val="20"/>
        </w:rPr>
        <w:fldChar w:fldCharType="separate"/>
      </w:r>
      <w:r>
        <w:rPr>
          <w:b w:val="0"/>
          <w:sz w:val="20"/>
        </w:rPr>
        <w:t>5</w:t>
      </w:r>
      <w:r w:rsidRPr="00117354">
        <w:rPr>
          <w:b w:val="0"/>
          <w:sz w:val="20"/>
        </w:rPr>
        <w:fldChar w:fldCharType="end"/>
      </w:r>
    </w:p>
    <w:p w:rsidR="00117354" w:rsidRPr="00117354" w:rsidRDefault="00117354" w:rsidP="00117354">
      <w:pPr>
        <w:pStyle w:val="TOC3"/>
        <w:rPr>
          <w:rFonts w:asciiTheme="minorHAnsi" w:eastAsiaTheme="minorEastAsia" w:hAnsiTheme="minorHAnsi" w:cstheme="minorBidi"/>
          <w:sz w:val="22"/>
          <w:szCs w:val="22"/>
        </w:rPr>
      </w:pPr>
      <w:r w:rsidRPr="00117354">
        <w:t>More lessons from Chew v The Queen—use of punctuation</w:t>
      </w:r>
      <w:r w:rsidRPr="00117354">
        <w:rPr>
          <w:sz w:val="20"/>
        </w:rPr>
        <w:tab/>
      </w:r>
      <w:r w:rsidRPr="00117354">
        <w:rPr>
          <w:sz w:val="20"/>
        </w:rPr>
        <w:fldChar w:fldCharType="begin"/>
      </w:r>
      <w:r w:rsidRPr="00117354">
        <w:rPr>
          <w:sz w:val="20"/>
        </w:rPr>
        <w:instrText xml:space="preserve"> PAGEREF _Toc444613788 \h </w:instrText>
      </w:r>
      <w:r w:rsidRPr="00117354">
        <w:rPr>
          <w:sz w:val="20"/>
        </w:rPr>
      </w:r>
      <w:r w:rsidRPr="00117354">
        <w:rPr>
          <w:sz w:val="20"/>
        </w:rPr>
        <w:fldChar w:fldCharType="separate"/>
      </w:r>
      <w:r>
        <w:rPr>
          <w:sz w:val="20"/>
        </w:rPr>
        <w:t>5</w:t>
      </w:r>
      <w:r w:rsidRPr="00117354">
        <w:rPr>
          <w:sz w:val="20"/>
        </w:rPr>
        <w:fldChar w:fldCharType="end"/>
      </w:r>
    </w:p>
    <w:p w:rsidR="00117354" w:rsidRPr="00117354" w:rsidRDefault="00117354" w:rsidP="00117354">
      <w:pPr>
        <w:pStyle w:val="TOC3"/>
        <w:rPr>
          <w:rFonts w:asciiTheme="minorHAnsi" w:eastAsiaTheme="minorEastAsia" w:hAnsiTheme="minorHAnsi" w:cstheme="minorBidi"/>
          <w:sz w:val="22"/>
          <w:szCs w:val="22"/>
        </w:rPr>
      </w:pPr>
      <w:r w:rsidRPr="00117354">
        <w:t>Punctuating a final paragraph or subparagraph</w:t>
      </w:r>
      <w:r w:rsidRPr="00117354">
        <w:rPr>
          <w:sz w:val="20"/>
        </w:rPr>
        <w:tab/>
      </w:r>
      <w:r w:rsidRPr="00117354">
        <w:rPr>
          <w:sz w:val="20"/>
        </w:rPr>
        <w:fldChar w:fldCharType="begin"/>
      </w:r>
      <w:r w:rsidRPr="00117354">
        <w:rPr>
          <w:sz w:val="20"/>
        </w:rPr>
        <w:instrText xml:space="preserve"> PAGEREF _Toc444613789 \h </w:instrText>
      </w:r>
      <w:r w:rsidRPr="00117354">
        <w:rPr>
          <w:sz w:val="20"/>
        </w:rPr>
      </w:r>
      <w:r w:rsidRPr="00117354">
        <w:rPr>
          <w:sz w:val="20"/>
        </w:rPr>
        <w:fldChar w:fldCharType="separate"/>
      </w:r>
      <w:r>
        <w:rPr>
          <w:sz w:val="20"/>
        </w:rPr>
        <w:t>5</w:t>
      </w:r>
      <w:r w:rsidRPr="00117354">
        <w:rPr>
          <w:sz w:val="20"/>
        </w:rPr>
        <w:fldChar w:fldCharType="end"/>
      </w:r>
    </w:p>
    <w:p w:rsidR="00117354" w:rsidRPr="00117354" w:rsidRDefault="00117354" w:rsidP="00117354">
      <w:pPr>
        <w:pStyle w:val="TOC2"/>
        <w:rPr>
          <w:rFonts w:asciiTheme="minorHAnsi" w:eastAsiaTheme="minorEastAsia" w:hAnsiTheme="minorHAnsi" w:cstheme="minorBidi"/>
          <w:b w:val="0"/>
          <w:sz w:val="22"/>
          <w:szCs w:val="22"/>
        </w:rPr>
      </w:pPr>
      <w:r w:rsidRPr="00117354">
        <w:t>Part 4—Spelling</w:t>
      </w:r>
      <w:r w:rsidRPr="00117354">
        <w:rPr>
          <w:b w:val="0"/>
          <w:sz w:val="20"/>
        </w:rPr>
        <w:tab/>
      </w:r>
      <w:r w:rsidRPr="00117354">
        <w:rPr>
          <w:b w:val="0"/>
          <w:sz w:val="20"/>
        </w:rPr>
        <w:fldChar w:fldCharType="begin"/>
      </w:r>
      <w:r w:rsidRPr="00117354">
        <w:rPr>
          <w:b w:val="0"/>
          <w:sz w:val="20"/>
        </w:rPr>
        <w:instrText xml:space="preserve"> PAGEREF _Toc444613790 \h </w:instrText>
      </w:r>
      <w:r w:rsidRPr="00117354">
        <w:rPr>
          <w:b w:val="0"/>
          <w:sz w:val="20"/>
        </w:rPr>
      </w:r>
      <w:r w:rsidRPr="00117354">
        <w:rPr>
          <w:b w:val="0"/>
          <w:sz w:val="20"/>
        </w:rPr>
        <w:fldChar w:fldCharType="separate"/>
      </w:r>
      <w:r>
        <w:rPr>
          <w:b w:val="0"/>
          <w:sz w:val="20"/>
        </w:rPr>
        <w:t>6</w:t>
      </w:r>
      <w:r w:rsidRPr="00117354">
        <w:rPr>
          <w:b w:val="0"/>
          <w:sz w:val="20"/>
        </w:rPr>
        <w:fldChar w:fldCharType="end"/>
      </w:r>
    </w:p>
    <w:p w:rsidR="00117354" w:rsidRPr="00117354" w:rsidRDefault="00117354" w:rsidP="00117354">
      <w:pPr>
        <w:pStyle w:val="TOC3"/>
        <w:rPr>
          <w:rFonts w:asciiTheme="minorHAnsi" w:eastAsiaTheme="minorEastAsia" w:hAnsiTheme="minorHAnsi" w:cstheme="minorBidi"/>
          <w:sz w:val="22"/>
          <w:szCs w:val="22"/>
        </w:rPr>
      </w:pPr>
      <w:r w:rsidRPr="00117354">
        <w:t>Adoption of Macquarie Dictionary or Style Manual</w:t>
      </w:r>
      <w:r w:rsidRPr="00117354">
        <w:rPr>
          <w:sz w:val="20"/>
        </w:rPr>
        <w:tab/>
      </w:r>
      <w:r w:rsidRPr="00117354">
        <w:rPr>
          <w:sz w:val="20"/>
        </w:rPr>
        <w:fldChar w:fldCharType="begin"/>
      </w:r>
      <w:r w:rsidRPr="00117354">
        <w:rPr>
          <w:sz w:val="20"/>
        </w:rPr>
        <w:instrText xml:space="preserve"> PAGEREF _Toc444613791 \h </w:instrText>
      </w:r>
      <w:r w:rsidRPr="00117354">
        <w:rPr>
          <w:sz w:val="20"/>
        </w:rPr>
      </w:r>
      <w:r w:rsidRPr="00117354">
        <w:rPr>
          <w:sz w:val="20"/>
        </w:rPr>
        <w:fldChar w:fldCharType="separate"/>
      </w:r>
      <w:r>
        <w:rPr>
          <w:sz w:val="20"/>
        </w:rPr>
        <w:t>6</w:t>
      </w:r>
      <w:r w:rsidRPr="00117354">
        <w:rPr>
          <w:sz w:val="20"/>
        </w:rPr>
        <w:fldChar w:fldCharType="end"/>
      </w:r>
    </w:p>
    <w:p w:rsidR="00117354" w:rsidRPr="00117354" w:rsidRDefault="00117354" w:rsidP="00117354">
      <w:pPr>
        <w:pStyle w:val="TOC3"/>
        <w:rPr>
          <w:rFonts w:asciiTheme="minorHAnsi" w:eastAsiaTheme="minorEastAsia" w:hAnsiTheme="minorHAnsi" w:cstheme="minorBidi"/>
          <w:sz w:val="22"/>
          <w:szCs w:val="22"/>
        </w:rPr>
      </w:pPr>
      <w:r w:rsidRPr="00117354">
        <w:t>Spelling of “Indigenous”</w:t>
      </w:r>
      <w:r w:rsidRPr="00117354">
        <w:rPr>
          <w:sz w:val="20"/>
        </w:rPr>
        <w:tab/>
      </w:r>
      <w:r w:rsidRPr="00117354">
        <w:rPr>
          <w:sz w:val="20"/>
        </w:rPr>
        <w:fldChar w:fldCharType="begin"/>
      </w:r>
      <w:r w:rsidRPr="00117354">
        <w:rPr>
          <w:sz w:val="20"/>
        </w:rPr>
        <w:instrText xml:space="preserve"> PAGEREF _Toc444613792 \h </w:instrText>
      </w:r>
      <w:r w:rsidRPr="00117354">
        <w:rPr>
          <w:sz w:val="20"/>
        </w:rPr>
      </w:r>
      <w:r w:rsidRPr="00117354">
        <w:rPr>
          <w:sz w:val="20"/>
        </w:rPr>
        <w:fldChar w:fldCharType="separate"/>
      </w:r>
      <w:r>
        <w:rPr>
          <w:sz w:val="20"/>
        </w:rPr>
        <w:t>6</w:t>
      </w:r>
      <w:r w:rsidRPr="00117354">
        <w:rPr>
          <w:sz w:val="20"/>
        </w:rPr>
        <w:fldChar w:fldCharType="end"/>
      </w:r>
    </w:p>
    <w:p w:rsidR="00117354" w:rsidRPr="00117354" w:rsidRDefault="00117354" w:rsidP="00117354">
      <w:pPr>
        <w:pStyle w:val="TOC2"/>
        <w:rPr>
          <w:rFonts w:asciiTheme="minorHAnsi" w:eastAsiaTheme="minorEastAsia" w:hAnsiTheme="minorHAnsi" w:cstheme="minorBidi"/>
          <w:b w:val="0"/>
          <w:sz w:val="22"/>
          <w:szCs w:val="22"/>
        </w:rPr>
      </w:pPr>
      <w:r w:rsidRPr="00117354">
        <w:t>Part 5—Numbers, percentages and fractions</w:t>
      </w:r>
      <w:r w:rsidRPr="00117354">
        <w:rPr>
          <w:b w:val="0"/>
          <w:sz w:val="20"/>
        </w:rPr>
        <w:tab/>
      </w:r>
      <w:r w:rsidRPr="00117354">
        <w:rPr>
          <w:b w:val="0"/>
          <w:sz w:val="20"/>
        </w:rPr>
        <w:fldChar w:fldCharType="begin"/>
      </w:r>
      <w:r w:rsidRPr="00117354">
        <w:rPr>
          <w:b w:val="0"/>
          <w:sz w:val="20"/>
        </w:rPr>
        <w:instrText xml:space="preserve"> PAGEREF _Toc444613793 \h </w:instrText>
      </w:r>
      <w:r w:rsidRPr="00117354">
        <w:rPr>
          <w:b w:val="0"/>
          <w:sz w:val="20"/>
        </w:rPr>
      </w:r>
      <w:r w:rsidRPr="00117354">
        <w:rPr>
          <w:b w:val="0"/>
          <w:sz w:val="20"/>
        </w:rPr>
        <w:fldChar w:fldCharType="separate"/>
      </w:r>
      <w:r>
        <w:rPr>
          <w:b w:val="0"/>
          <w:sz w:val="20"/>
        </w:rPr>
        <w:t>6</w:t>
      </w:r>
      <w:r w:rsidRPr="00117354">
        <w:rPr>
          <w:b w:val="0"/>
          <w:sz w:val="20"/>
        </w:rPr>
        <w:fldChar w:fldCharType="end"/>
      </w:r>
    </w:p>
    <w:p w:rsidR="00117354" w:rsidRPr="00117354" w:rsidRDefault="00117354" w:rsidP="00117354">
      <w:pPr>
        <w:pStyle w:val="TOC3"/>
        <w:rPr>
          <w:rFonts w:asciiTheme="minorHAnsi" w:eastAsiaTheme="minorEastAsia" w:hAnsiTheme="minorHAnsi" w:cstheme="minorBidi"/>
          <w:sz w:val="22"/>
          <w:szCs w:val="22"/>
        </w:rPr>
      </w:pPr>
      <w:r w:rsidRPr="00117354">
        <w:t>Cardinal numbers</w:t>
      </w:r>
      <w:r w:rsidRPr="00117354">
        <w:rPr>
          <w:sz w:val="20"/>
        </w:rPr>
        <w:tab/>
      </w:r>
      <w:r w:rsidRPr="00117354">
        <w:rPr>
          <w:sz w:val="20"/>
        </w:rPr>
        <w:fldChar w:fldCharType="begin"/>
      </w:r>
      <w:r w:rsidRPr="00117354">
        <w:rPr>
          <w:sz w:val="20"/>
        </w:rPr>
        <w:instrText xml:space="preserve"> PAGEREF _Toc444613794 \h </w:instrText>
      </w:r>
      <w:r w:rsidRPr="00117354">
        <w:rPr>
          <w:sz w:val="20"/>
        </w:rPr>
      </w:r>
      <w:r w:rsidRPr="00117354">
        <w:rPr>
          <w:sz w:val="20"/>
        </w:rPr>
        <w:fldChar w:fldCharType="separate"/>
      </w:r>
      <w:r>
        <w:rPr>
          <w:sz w:val="20"/>
        </w:rPr>
        <w:t>6</w:t>
      </w:r>
      <w:r w:rsidRPr="00117354">
        <w:rPr>
          <w:sz w:val="20"/>
        </w:rPr>
        <w:fldChar w:fldCharType="end"/>
      </w:r>
    </w:p>
    <w:p w:rsidR="00117354" w:rsidRPr="00117354" w:rsidRDefault="00117354" w:rsidP="00117354">
      <w:pPr>
        <w:pStyle w:val="TOC4"/>
        <w:rPr>
          <w:rFonts w:asciiTheme="minorHAnsi" w:eastAsiaTheme="minorEastAsia" w:hAnsiTheme="minorHAnsi" w:cstheme="minorBidi"/>
          <w:sz w:val="22"/>
          <w:szCs w:val="22"/>
        </w:rPr>
      </w:pPr>
      <w:r w:rsidRPr="00117354">
        <w:t>The general rule</w:t>
      </w:r>
      <w:r w:rsidRPr="00117354">
        <w:rPr>
          <w:sz w:val="20"/>
        </w:rPr>
        <w:tab/>
      </w:r>
      <w:r w:rsidRPr="00117354">
        <w:rPr>
          <w:sz w:val="20"/>
        </w:rPr>
        <w:fldChar w:fldCharType="begin"/>
      </w:r>
      <w:r w:rsidRPr="00117354">
        <w:rPr>
          <w:sz w:val="20"/>
        </w:rPr>
        <w:instrText xml:space="preserve"> PAGEREF _Toc444613795 \h </w:instrText>
      </w:r>
      <w:r w:rsidRPr="00117354">
        <w:rPr>
          <w:sz w:val="20"/>
        </w:rPr>
      </w:r>
      <w:r w:rsidRPr="00117354">
        <w:rPr>
          <w:sz w:val="20"/>
        </w:rPr>
        <w:fldChar w:fldCharType="separate"/>
      </w:r>
      <w:r>
        <w:rPr>
          <w:sz w:val="20"/>
        </w:rPr>
        <w:t>6</w:t>
      </w:r>
      <w:r w:rsidRPr="00117354">
        <w:rPr>
          <w:sz w:val="20"/>
        </w:rPr>
        <w:fldChar w:fldCharType="end"/>
      </w:r>
    </w:p>
    <w:p w:rsidR="00117354" w:rsidRPr="00117354" w:rsidRDefault="00117354" w:rsidP="00117354">
      <w:pPr>
        <w:pStyle w:val="TOC4"/>
        <w:rPr>
          <w:rFonts w:asciiTheme="minorHAnsi" w:eastAsiaTheme="minorEastAsia" w:hAnsiTheme="minorHAnsi" w:cstheme="minorBidi"/>
          <w:sz w:val="22"/>
          <w:szCs w:val="22"/>
        </w:rPr>
      </w:pPr>
      <w:r w:rsidRPr="00117354">
        <w:t>Exception—“zero” and “one”</w:t>
      </w:r>
      <w:r w:rsidRPr="00117354">
        <w:rPr>
          <w:sz w:val="20"/>
        </w:rPr>
        <w:tab/>
      </w:r>
      <w:r w:rsidRPr="00117354">
        <w:rPr>
          <w:sz w:val="20"/>
        </w:rPr>
        <w:fldChar w:fldCharType="begin"/>
      </w:r>
      <w:r w:rsidRPr="00117354">
        <w:rPr>
          <w:sz w:val="20"/>
        </w:rPr>
        <w:instrText xml:space="preserve"> PAGEREF _Toc444613796 \h </w:instrText>
      </w:r>
      <w:r w:rsidRPr="00117354">
        <w:rPr>
          <w:sz w:val="20"/>
        </w:rPr>
      </w:r>
      <w:r w:rsidRPr="00117354">
        <w:rPr>
          <w:sz w:val="20"/>
        </w:rPr>
        <w:fldChar w:fldCharType="separate"/>
      </w:r>
      <w:r>
        <w:rPr>
          <w:sz w:val="20"/>
        </w:rPr>
        <w:t>6</w:t>
      </w:r>
      <w:r w:rsidRPr="00117354">
        <w:rPr>
          <w:sz w:val="20"/>
        </w:rPr>
        <w:fldChar w:fldCharType="end"/>
      </w:r>
    </w:p>
    <w:p w:rsidR="00117354" w:rsidRPr="00117354" w:rsidRDefault="00117354" w:rsidP="00117354">
      <w:pPr>
        <w:pStyle w:val="TOC4"/>
        <w:rPr>
          <w:rFonts w:asciiTheme="minorHAnsi" w:eastAsiaTheme="minorEastAsia" w:hAnsiTheme="minorHAnsi" w:cstheme="minorBidi"/>
          <w:sz w:val="22"/>
          <w:szCs w:val="22"/>
        </w:rPr>
      </w:pPr>
      <w:r w:rsidRPr="00117354">
        <w:t>Exception—cardinal numbers at the start of sentences or headings</w:t>
      </w:r>
      <w:r w:rsidRPr="00117354">
        <w:rPr>
          <w:sz w:val="20"/>
        </w:rPr>
        <w:tab/>
      </w:r>
      <w:r w:rsidRPr="00117354">
        <w:rPr>
          <w:sz w:val="20"/>
        </w:rPr>
        <w:fldChar w:fldCharType="begin"/>
      </w:r>
      <w:r w:rsidRPr="00117354">
        <w:rPr>
          <w:sz w:val="20"/>
        </w:rPr>
        <w:instrText xml:space="preserve"> PAGEREF _Toc444613797 \h </w:instrText>
      </w:r>
      <w:r w:rsidRPr="00117354">
        <w:rPr>
          <w:sz w:val="20"/>
        </w:rPr>
      </w:r>
      <w:r w:rsidRPr="00117354">
        <w:rPr>
          <w:sz w:val="20"/>
        </w:rPr>
        <w:fldChar w:fldCharType="separate"/>
      </w:r>
      <w:r>
        <w:rPr>
          <w:sz w:val="20"/>
        </w:rPr>
        <w:t>7</w:t>
      </w:r>
      <w:r w:rsidRPr="00117354">
        <w:rPr>
          <w:sz w:val="20"/>
        </w:rPr>
        <w:fldChar w:fldCharType="end"/>
      </w:r>
    </w:p>
    <w:p w:rsidR="00117354" w:rsidRPr="00117354" w:rsidRDefault="00117354" w:rsidP="00117354">
      <w:pPr>
        <w:pStyle w:val="TOC3"/>
        <w:rPr>
          <w:rFonts w:asciiTheme="minorHAnsi" w:eastAsiaTheme="minorEastAsia" w:hAnsiTheme="minorHAnsi" w:cstheme="minorBidi"/>
          <w:sz w:val="22"/>
          <w:szCs w:val="22"/>
        </w:rPr>
      </w:pPr>
      <w:r w:rsidRPr="00117354">
        <w:t>Ordinal numbers</w:t>
      </w:r>
      <w:r w:rsidRPr="00117354">
        <w:rPr>
          <w:sz w:val="20"/>
        </w:rPr>
        <w:tab/>
      </w:r>
      <w:r w:rsidRPr="00117354">
        <w:rPr>
          <w:sz w:val="20"/>
        </w:rPr>
        <w:fldChar w:fldCharType="begin"/>
      </w:r>
      <w:r w:rsidRPr="00117354">
        <w:rPr>
          <w:sz w:val="20"/>
        </w:rPr>
        <w:instrText xml:space="preserve"> PAGEREF _Toc444613798 \h </w:instrText>
      </w:r>
      <w:r w:rsidRPr="00117354">
        <w:rPr>
          <w:sz w:val="20"/>
        </w:rPr>
      </w:r>
      <w:r w:rsidRPr="00117354">
        <w:rPr>
          <w:sz w:val="20"/>
        </w:rPr>
        <w:fldChar w:fldCharType="separate"/>
      </w:r>
      <w:r>
        <w:rPr>
          <w:sz w:val="20"/>
        </w:rPr>
        <w:t>7</w:t>
      </w:r>
      <w:r w:rsidRPr="00117354">
        <w:rPr>
          <w:sz w:val="20"/>
        </w:rPr>
        <w:fldChar w:fldCharType="end"/>
      </w:r>
    </w:p>
    <w:p w:rsidR="00117354" w:rsidRPr="00117354" w:rsidRDefault="00117354" w:rsidP="00117354">
      <w:pPr>
        <w:pStyle w:val="TOC3"/>
        <w:rPr>
          <w:rFonts w:asciiTheme="minorHAnsi" w:eastAsiaTheme="minorEastAsia" w:hAnsiTheme="minorHAnsi" w:cstheme="minorBidi"/>
          <w:sz w:val="22"/>
          <w:szCs w:val="22"/>
        </w:rPr>
      </w:pPr>
      <w:r w:rsidRPr="00117354">
        <w:t>Numbers greater than 999</w:t>
      </w:r>
      <w:r w:rsidRPr="00117354">
        <w:rPr>
          <w:sz w:val="20"/>
        </w:rPr>
        <w:tab/>
      </w:r>
      <w:r w:rsidRPr="00117354">
        <w:rPr>
          <w:sz w:val="20"/>
        </w:rPr>
        <w:fldChar w:fldCharType="begin"/>
      </w:r>
      <w:r w:rsidRPr="00117354">
        <w:rPr>
          <w:sz w:val="20"/>
        </w:rPr>
        <w:instrText xml:space="preserve"> PAGEREF _Toc444613799 \h </w:instrText>
      </w:r>
      <w:r w:rsidRPr="00117354">
        <w:rPr>
          <w:sz w:val="20"/>
        </w:rPr>
      </w:r>
      <w:r w:rsidRPr="00117354">
        <w:rPr>
          <w:sz w:val="20"/>
        </w:rPr>
        <w:fldChar w:fldCharType="separate"/>
      </w:r>
      <w:r>
        <w:rPr>
          <w:sz w:val="20"/>
        </w:rPr>
        <w:t>8</w:t>
      </w:r>
      <w:r w:rsidRPr="00117354">
        <w:rPr>
          <w:sz w:val="20"/>
        </w:rPr>
        <w:fldChar w:fldCharType="end"/>
      </w:r>
    </w:p>
    <w:p w:rsidR="00117354" w:rsidRPr="00117354" w:rsidRDefault="00117354" w:rsidP="00117354">
      <w:pPr>
        <w:pStyle w:val="TOC3"/>
        <w:rPr>
          <w:rFonts w:asciiTheme="minorHAnsi" w:eastAsiaTheme="minorEastAsia" w:hAnsiTheme="minorHAnsi" w:cstheme="minorBidi"/>
          <w:sz w:val="22"/>
          <w:szCs w:val="22"/>
        </w:rPr>
      </w:pPr>
      <w:r w:rsidRPr="00117354">
        <w:t>Percentages</w:t>
      </w:r>
      <w:r w:rsidRPr="00117354">
        <w:rPr>
          <w:sz w:val="20"/>
        </w:rPr>
        <w:tab/>
      </w:r>
      <w:r w:rsidRPr="00117354">
        <w:rPr>
          <w:sz w:val="20"/>
        </w:rPr>
        <w:fldChar w:fldCharType="begin"/>
      </w:r>
      <w:r w:rsidRPr="00117354">
        <w:rPr>
          <w:sz w:val="20"/>
        </w:rPr>
        <w:instrText xml:space="preserve"> PAGEREF _Toc444613800 \h </w:instrText>
      </w:r>
      <w:r w:rsidRPr="00117354">
        <w:rPr>
          <w:sz w:val="20"/>
        </w:rPr>
      </w:r>
      <w:r w:rsidRPr="00117354">
        <w:rPr>
          <w:sz w:val="20"/>
        </w:rPr>
        <w:fldChar w:fldCharType="separate"/>
      </w:r>
      <w:r>
        <w:rPr>
          <w:sz w:val="20"/>
        </w:rPr>
        <w:t>8</w:t>
      </w:r>
      <w:r w:rsidRPr="00117354">
        <w:rPr>
          <w:sz w:val="20"/>
        </w:rPr>
        <w:fldChar w:fldCharType="end"/>
      </w:r>
    </w:p>
    <w:p w:rsidR="00117354" w:rsidRPr="00117354" w:rsidRDefault="00117354" w:rsidP="00117354">
      <w:pPr>
        <w:pStyle w:val="TOC3"/>
        <w:rPr>
          <w:rFonts w:asciiTheme="minorHAnsi" w:eastAsiaTheme="minorEastAsia" w:hAnsiTheme="minorHAnsi" w:cstheme="minorBidi"/>
          <w:sz w:val="22"/>
          <w:szCs w:val="22"/>
        </w:rPr>
      </w:pPr>
      <w:r w:rsidRPr="00117354">
        <w:t>Fractions</w:t>
      </w:r>
      <w:r w:rsidRPr="00117354">
        <w:rPr>
          <w:sz w:val="20"/>
        </w:rPr>
        <w:tab/>
      </w:r>
      <w:r w:rsidRPr="00117354">
        <w:rPr>
          <w:sz w:val="20"/>
        </w:rPr>
        <w:fldChar w:fldCharType="begin"/>
      </w:r>
      <w:r w:rsidRPr="00117354">
        <w:rPr>
          <w:sz w:val="20"/>
        </w:rPr>
        <w:instrText xml:space="preserve"> PAGEREF _Toc444613801 \h </w:instrText>
      </w:r>
      <w:r w:rsidRPr="00117354">
        <w:rPr>
          <w:sz w:val="20"/>
        </w:rPr>
      </w:r>
      <w:r w:rsidRPr="00117354">
        <w:rPr>
          <w:sz w:val="20"/>
        </w:rPr>
        <w:fldChar w:fldCharType="separate"/>
      </w:r>
      <w:r>
        <w:rPr>
          <w:sz w:val="20"/>
        </w:rPr>
        <w:t>8</w:t>
      </w:r>
      <w:r w:rsidRPr="00117354">
        <w:rPr>
          <w:sz w:val="20"/>
        </w:rPr>
        <w:fldChar w:fldCharType="end"/>
      </w:r>
    </w:p>
    <w:p w:rsidR="000A6B23" w:rsidRPr="00117354" w:rsidRDefault="00117354" w:rsidP="00117354">
      <w:pPr>
        <w:rPr>
          <w:sz w:val="32"/>
        </w:rPr>
      </w:pPr>
      <w:r w:rsidRPr="00117354">
        <w:rPr>
          <w:sz w:val="32"/>
        </w:rPr>
        <w:fldChar w:fldCharType="end"/>
      </w:r>
    </w:p>
    <w:p w:rsidR="000A6B23" w:rsidRPr="00117354" w:rsidRDefault="000A6B23" w:rsidP="00117354">
      <w:pPr>
        <w:pStyle w:val="Head2"/>
      </w:pPr>
      <w:r w:rsidRPr="00117354">
        <w:br w:type="page"/>
      </w:r>
      <w:bookmarkStart w:id="1" w:name="_Toc444613772"/>
      <w:r w:rsidRPr="00117354">
        <w:lastRenderedPageBreak/>
        <w:t>Part 1—English usage and grammar</w:t>
      </w:r>
      <w:bookmarkEnd w:id="1"/>
    </w:p>
    <w:p w:rsidR="000A6B23" w:rsidRPr="00117354" w:rsidRDefault="000A6B23" w:rsidP="00117354">
      <w:pPr>
        <w:pStyle w:val="Head3"/>
      </w:pPr>
      <w:bookmarkStart w:id="2" w:name="_Toc444613773"/>
      <w:r w:rsidRPr="00117354">
        <w:t>Plain English Manual</w:t>
      </w:r>
      <w:bookmarkEnd w:id="2"/>
    </w:p>
    <w:p w:rsidR="000A6B23" w:rsidRPr="00117354" w:rsidRDefault="000A6B23" w:rsidP="00AF6A75">
      <w:pPr>
        <w:pStyle w:val="BodyNum"/>
      </w:pPr>
      <w:r w:rsidRPr="00117354">
        <w:t>The Plain English Manual should be regarded as having the same status as a Drafting Direction.</w:t>
      </w:r>
    </w:p>
    <w:p w:rsidR="004B3006" w:rsidRPr="00117354" w:rsidRDefault="004B3006" w:rsidP="004B3006">
      <w:pPr>
        <w:pStyle w:val="BodyNum"/>
        <w:rPr>
          <w:rFonts w:eastAsiaTheme="minorHAnsi"/>
        </w:rPr>
      </w:pPr>
      <w:r w:rsidRPr="00117354">
        <w:rPr>
          <w:rFonts w:eastAsiaTheme="minorHAnsi"/>
        </w:rPr>
        <w:t xml:space="preserve">However, </w:t>
      </w:r>
      <w:r w:rsidR="00C22A51" w:rsidRPr="00117354">
        <w:rPr>
          <w:rFonts w:eastAsiaTheme="minorHAnsi"/>
        </w:rPr>
        <w:t xml:space="preserve">paragraph 69 (which is about the use of “and/or”), </w:t>
      </w:r>
      <w:r w:rsidRPr="00117354">
        <w:rPr>
          <w:rFonts w:eastAsiaTheme="minorHAnsi"/>
        </w:rPr>
        <w:t>paragraph</w:t>
      </w:r>
      <w:r w:rsidR="000B6AD6" w:rsidRPr="00117354">
        <w:rPr>
          <w:rFonts w:eastAsiaTheme="minorHAnsi"/>
        </w:rPr>
        <w:t>s</w:t>
      </w:r>
      <w:r w:rsidRPr="00117354">
        <w:rPr>
          <w:rFonts w:eastAsiaTheme="minorHAnsi"/>
        </w:rPr>
        <w:t xml:space="preserve"> </w:t>
      </w:r>
      <w:r w:rsidR="000B6AD6" w:rsidRPr="00117354">
        <w:rPr>
          <w:rFonts w:eastAsiaTheme="minorHAnsi"/>
        </w:rPr>
        <w:t xml:space="preserve">155 and </w:t>
      </w:r>
      <w:r w:rsidRPr="00117354">
        <w:rPr>
          <w:rFonts w:eastAsiaTheme="minorHAnsi"/>
        </w:rPr>
        <w:t>156 (which refer to including objects provision</w:t>
      </w:r>
      <w:r w:rsidR="00D8429D" w:rsidRPr="00117354">
        <w:rPr>
          <w:rFonts w:eastAsiaTheme="minorHAnsi"/>
        </w:rPr>
        <w:t>s</w:t>
      </w:r>
      <w:r w:rsidRPr="00117354">
        <w:rPr>
          <w:rFonts w:eastAsiaTheme="minorHAnsi"/>
        </w:rPr>
        <w:t xml:space="preserve"> in amending Bill</w:t>
      </w:r>
      <w:r w:rsidR="000B6AD6" w:rsidRPr="00117354">
        <w:rPr>
          <w:rFonts w:eastAsiaTheme="minorHAnsi"/>
        </w:rPr>
        <w:t>s</w:t>
      </w:r>
      <w:r w:rsidRPr="00117354">
        <w:rPr>
          <w:rFonts w:eastAsiaTheme="minorHAnsi"/>
        </w:rPr>
        <w:t xml:space="preserve">) and paragraph 169 (which refers to including alphabetical indexes at the end of long Bills) are practices that OPC </w:t>
      </w:r>
      <w:r w:rsidR="00C22A51" w:rsidRPr="00117354">
        <w:rPr>
          <w:rFonts w:eastAsiaTheme="minorHAnsi"/>
        </w:rPr>
        <w:t>does</w:t>
      </w:r>
      <w:r w:rsidRPr="00117354">
        <w:rPr>
          <w:rFonts w:eastAsiaTheme="minorHAnsi"/>
        </w:rPr>
        <w:t xml:space="preserve"> not </w:t>
      </w:r>
      <w:r w:rsidR="00C22A51" w:rsidRPr="00117354">
        <w:rPr>
          <w:rFonts w:eastAsiaTheme="minorHAnsi"/>
        </w:rPr>
        <w:t>follow</w:t>
      </w:r>
      <w:r w:rsidRPr="00117354">
        <w:rPr>
          <w:rFonts w:eastAsiaTheme="minorHAnsi"/>
        </w:rPr>
        <w:t>.</w:t>
      </w:r>
    </w:p>
    <w:p w:rsidR="004B3006" w:rsidRPr="00117354" w:rsidRDefault="004B3006" w:rsidP="004B3006">
      <w:pPr>
        <w:pStyle w:val="BodyNum"/>
        <w:rPr>
          <w:rFonts w:eastAsiaTheme="minorHAnsi"/>
        </w:rPr>
      </w:pPr>
      <w:r w:rsidRPr="00117354">
        <w:rPr>
          <w:rFonts w:eastAsiaTheme="minorHAnsi"/>
        </w:rPr>
        <w:t>If there are any other inconsistencies between the Plain English Manual and any other Drafting Direction</w:t>
      </w:r>
      <w:r w:rsidR="00C22A51" w:rsidRPr="00117354">
        <w:rPr>
          <w:rFonts w:eastAsiaTheme="minorHAnsi"/>
        </w:rPr>
        <w:t xml:space="preserve"> or Word Note</w:t>
      </w:r>
      <w:r w:rsidRPr="00117354">
        <w:rPr>
          <w:rFonts w:eastAsiaTheme="minorHAnsi"/>
        </w:rPr>
        <w:t xml:space="preserve">, the other Drafting Direction </w:t>
      </w:r>
      <w:r w:rsidR="00C22A51" w:rsidRPr="00117354">
        <w:rPr>
          <w:rFonts w:eastAsiaTheme="minorHAnsi"/>
        </w:rPr>
        <w:t xml:space="preserve">or Word Note </w:t>
      </w:r>
      <w:r w:rsidRPr="00117354">
        <w:rPr>
          <w:rFonts w:eastAsiaTheme="minorHAnsi"/>
        </w:rPr>
        <w:t>prevails.</w:t>
      </w:r>
    </w:p>
    <w:p w:rsidR="000A6B23" w:rsidRPr="00117354" w:rsidRDefault="000A6B23" w:rsidP="00117354">
      <w:pPr>
        <w:pStyle w:val="Head3"/>
      </w:pPr>
      <w:bookmarkStart w:id="3" w:name="_Toc444613774"/>
      <w:r w:rsidRPr="00117354">
        <w:t>Lessons from Chew v The Queen—distinguishing purpose from result in prohibitions</w:t>
      </w:r>
      <w:bookmarkEnd w:id="3"/>
    </w:p>
    <w:p w:rsidR="000A6B23" w:rsidRPr="00117354" w:rsidRDefault="000A6B23" w:rsidP="00117354">
      <w:pPr>
        <w:pStyle w:val="Head4"/>
      </w:pPr>
      <w:bookmarkStart w:id="4" w:name="_Toc444613775"/>
      <w:r w:rsidRPr="00117354">
        <w:t>Background</w:t>
      </w:r>
      <w:bookmarkEnd w:id="4"/>
    </w:p>
    <w:p w:rsidR="000A6B23" w:rsidRPr="00117354" w:rsidRDefault="000A6B23" w:rsidP="00AF6A75">
      <w:pPr>
        <w:pStyle w:val="BodyNum"/>
      </w:pPr>
      <w:r w:rsidRPr="00117354">
        <w:t xml:space="preserve">In </w:t>
      </w:r>
      <w:r w:rsidRPr="00117354">
        <w:rPr>
          <w:i/>
        </w:rPr>
        <w:t>Chew v The Queen</w:t>
      </w:r>
      <w:r w:rsidRPr="00117354">
        <w:t xml:space="preserve"> (1992) 173 CLR 626, the High Court interpreted subsection 229(4) of the Companies (Western Australia) Code which read:</w:t>
      </w:r>
    </w:p>
    <w:p w:rsidR="000A6B23" w:rsidRPr="00117354" w:rsidRDefault="000A6B23" w:rsidP="000A6B23">
      <w:pPr>
        <w:pStyle w:val="subsection"/>
      </w:pPr>
      <w:r w:rsidRPr="00117354">
        <w:tab/>
      </w:r>
      <w:r w:rsidRPr="00117354">
        <w:tab/>
        <w:t>An officer or employee of a corporation shall not make improper use of his position as such an officer or employee, to gain, directly or indirectly, an advantage for himself or for any other person or to cause detriment to the corporation.</w:t>
      </w:r>
    </w:p>
    <w:p w:rsidR="000A6B23" w:rsidRPr="00117354" w:rsidRDefault="003712D1" w:rsidP="00AF6A75">
      <w:pPr>
        <w:pStyle w:val="BodyNum"/>
      </w:pPr>
      <w:r w:rsidRPr="00117354">
        <w:t>Five</w:t>
      </w:r>
      <w:r w:rsidR="000A6B23" w:rsidRPr="00117354">
        <w:t xml:space="preserve"> Justices held that an officer or employee contravenes the provision if he or she makes improper use of his or her position as such </w:t>
      </w:r>
      <w:r w:rsidR="000A6B23" w:rsidRPr="00117354">
        <w:rPr>
          <w:b/>
        </w:rPr>
        <w:t xml:space="preserve">for the purpose of </w:t>
      </w:r>
      <w:r w:rsidR="000A6B23" w:rsidRPr="00117354">
        <w:t xml:space="preserve">gaining an advantage etc. or causing detriment etc. One Justice held that it is enough if the officer or employee makes such use of the position and this </w:t>
      </w:r>
      <w:r w:rsidR="000A6B23" w:rsidRPr="00117354">
        <w:rPr>
          <w:b/>
        </w:rPr>
        <w:t xml:space="preserve">results in </w:t>
      </w:r>
      <w:r w:rsidR="000A6B23" w:rsidRPr="00117354">
        <w:t>a gain or detriment, regardless of the purpose of the officer or employee. One Justice held that the provision requires both the purpose and the result.</w:t>
      </w:r>
    </w:p>
    <w:p w:rsidR="000A6B23" w:rsidRPr="00117354" w:rsidRDefault="000A6B23" w:rsidP="00AF6A75">
      <w:pPr>
        <w:pStyle w:val="BodyNum"/>
      </w:pPr>
      <w:r w:rsidRPr="00117354">
        <w:t>The judgments in the case yiel</w:t>
      </w:r>
      <w:r w:rsidR="00BE7A02" w:rsidRPr="00117354">
        <w:t>d</w:t>
      </w:r>
      <w:r w:rsidRPr="00117354">
        <w:t xml:space="preserve"> some lessons for drafters.</w:t>
      </w:r>
    </w:p>
    <w:p w:rsidR="000A6B23" w:rsidRPr="00117354" w:rsidRDefault="000A6B23" w:rsidP="00117354">
      <w:pPr>
        <w:pStyle w:val="Head4"/>
      </w:pPr>
      <w:bookmarkStart w:id="5" w:name="_Toc444613776"/>
      <w:r w:rsidRPr="00117354">
        <w:t>Distinguishing purpose from result</w:t>
      </w:r>
      <w:bookmarkEnd w:id="5"/>
    </w:p>
    <w:p w:rsidR="000A6B23" w:rsidRPr="00117354" w:rsidRDefault="000A6B23" w:rsidP="00AF6A75">
      <w:pPr>
        <w:pStyle w:val="BodyNum"/>
      </w:pPr>
      <w:r w:rsidRPr="00117354">
        <w:t xml:space="preserve">The spread of judicial opinion in </w:t>
      </w:r>
      <w:r w:rsidRPr="00117354">
        <w:rPr>
          <w:i/>
        </w:rPr>
        <w:t>Chew</w:t>
      </w:r>
      <w:r w:rsidRPr="00117354">
        <w:t xml:space="preserve"> forces the conclusion that the infinitive construction in the provision (“to gain ... or to cause detriment ...”) did not convey the intended meaning clearly enough.</w:t>
      </w:r>
    </w:p>
    <w:p w:rsidR="000A6B23" w:rsidRPr="00117354" w:rsidRDefault="000A6B23" w:rsidP="00AF6A75">
      <w:pPr>
        <w:pStyle w:val="BodyNum"/>
      </w:pPr>
      <w:r w:rsidRPr="00117354">
        <w:t>In similar p</w:t>
      </w:r>
      <w:r w:rsidR="00BE7A02" w:rsidRPr="00117354">
        <w:t xml:space="preserve">rovisions, you should </w:t>
      </w:r>
      <w:r w:rsidRPr="00117354">
        <w:t>indicate expressly whether a purpose or result is meant. If both are intended, expressly state that.</w:t>
      </w:r>
    </w:p>
    <w:p w:rsidR="000A6B23" w:rsidRPr="00117354" w:rsidRDefault="000A6B23" w:rsidP="00AF6A75">
      <w:pPr>
        <w:pStyle w:val="BodyNum"/>
      </w:pPr>
      <w:r w:rsidRPr="00117354">
        <w:t>In drafting a provision intended to cover purpose, you should consider:</w:t>
      </w:r>
    </w:p>
    <w:p w:rsidR="000A6B23" w:rsidRPr="00117354" w:rsidRDefault="000A6B23" w:rsidP="00AF6A75">
      <w:pPr>
        <w:pStyle w:val="BodyPara"/>
      </w:pPr>
      <w:r w:rsidRPr="00117354">
        <w:t>whether it is necessary to cover the case of multiple purposes and, if so, how the proscribed purpose should relate to the others; and</w:t>
      </w:r>
    </w:p>
    <w:p w:rsidR="000A6B23" w:rsidRPr="00117354" w:rsidRDefault="000A6B23" w:rsidP="00AF6A75">
      <w:pPr>
        <w:pStyle w:val="BodyPara"/>
      </w:pPr>
      <w:r w:rsidRPr="00117354">
        <w:t>whether it must be the sole purpose, or the sole or dominant purpose, or whether it needs only to be a substantial purpose; and</w:t>
      </w:r>
    </w:p>
    <w:p w:rsidR="000A6B23" w:rsidRPr="00117354" w:rsidRDefault="000A6B23" w:rsidP="00AF6A75">
      <w:pPr>
        <w:pStyle w:val="BodyPara"/>
      </w:pPr>
      <w:r w:rsidRPr="00117354">
        <w:lastRenderedPageBreak/>
        <w:t>if the purpose is to be the dominant purpose, whether it should be dominant over each other purpose, or dominant over all the other purposes taken together.</w:t>
      </w:r>
    </w:p>
    <w:p w:rsidR="000A6B23" w:rsidRPr="00117354" w:rsidRDefault="000A6B23" w:rsidP="00AF6A75">
      <w:pPr>
        <w:pStyle w:val="BodyNum"/>
      </w:pPr>
      <w:r w:rsidRPr="00117354">
        <w:t xml:space="preserve">Although the question of multiple purposes did not arise in </w:t>
      </w:r>
      <w:r w:rsidRPr="00117354">
        <w:rPr>
          <w:i/>
        </w:rPr>
        <w:t>Chew</w:t>
      </w:r>
      <w:r w:rsidRPr="00117354">
        <w:t>, the provision should perhaps have dealt with it.</w:t>
      </w:r>
    </w:p>
    <w:p w:rsidR="000A6B23" w:rsidRPr="00117354" w:rsidRDefault="000A6B23" w:rsidP="00AF6A75">
      <w:pPr>
        <w:pStyle w:val="BodyNum"/>
      </w:pPr>
      <w:r w:rsidRPr="00117354">
        <w:t>If the provision had been intended to operate by reference to result rather than purpose, it should probably have read as follows:</w:t>
      </w:r>
    </w:p>
    <w:p w:rsidR="000A6B23" w:rsidRPr="00117354" w:rsidRDefault="000A6B23" w:rsidP="000A6B23">
      <w:pPr>
        <w:pStyle w:val="subsection"/>
      </w:pPr>
      <w:r w:rsidRPr="00117354">
        <w:tab/>
      </w:r>
      <w:r w:rsidRPr="00117354">
        <w:tab/>
        <w:t>An officer or employee of a corporation contravenes this subsection if he or she makes improper use of his or her position as such an officer or employee and the improper use:</w:t>
      </w:r>
    </w:p>
    <w:p w:rsidR="000A6B23" w:rsidRPr="00117354" w:rsidRDefault="000A6B23" w:rsidP="000A6B23">
      <w:pPr>
        <w:pStyle w:val="paragraph"/>
      </w:pPr>
      <w:r w:rsidRPr="00117354">
        <w:tab/>
        <w:t>(a)</w:t>
      </w:r>
      <w:r w:rsidRPr="00117354">
        <w:tab/>
        <w:t>results in the officer or employee gaining, directly or indirectly, an advantage for himself or herself or for any other person; or</w:t>
      </w:r>
    </w:p>
    <w:p w:rsidR="000A6B23" w:rsidRPr="00117354" w:rsidRDefault="000A6B23" w:rsidP="000A6B23">
      <w:pPr>
        <w:pStyle w:val="paragraph"/>
      </w:pPr>
      <w:r w:rsidRPr="00117354">
        <w:tab/>
        <w:t>(b)</w:t>
      </w:r>
      <w:r w:rsidRPr="00117354">
        <w:tab/>
        <w:t>causes detriment to the corporation.</w:t>
      </w:r>
    </w:p>
    <w:p w:rsidR="000A6B23" w:rsidRPr="00117354" w:rsidRDefault="000A6B23" w:rsidP="00AF6A75">
      <w:pPr>
        <w:pStyle w:val="BodyNum"/>
      </w:pPr>
      <w:r w:rsidRPr="00117354">
        <w:t>The “must not” form is inappropriate here, because the contravention is not complete until one of the specified results happens.</w:t>
      </w:r>
    </w:p>
    <w:p w:rsidR="000A6B23" w:rsidRPr="00117354" w:rsidRDefault="000A6B23" w:rsidP="00AF6A75">
      <w:pPr>
        <w:pStyle w:val="BodyNum"/>
      </w:pPr>
      <w:r w:rsidRPr="00117354">
        <w:t>In expressing purpose or result, different forms of words may be appropriate in different cases.</w:t>
      </w:r>
    </w:p>
    <w:p w:rsidR="000A6B23" w:rsidRPr="00117354" w:rsidRDefault="000A6B23" w:rsidP="00117354">
      <w:pPr>
        <w:pStyle w:val="Head3"/>
      </w:pPr>
      <w:bookmarkStart w:id="6" w:name="_Toc444613777"/>
      <w:r w:rsidRPr="00117354">
        <w:t>Nouns of multitude</w:t>
      </w:r>
      <w:bookmarkEnd w:id="6"/>
    </w:p>
    <w:p w:rsidR="000A6B23" w:rsidRPr="00117354" w:rsidRDefault="000A6B23" w:rsidP="00AF6A75">
      <w:pPr>
        <w:pStyle w:val="BodyNum"/>
      </w:pPr>
      <w:r w:rsidRPr="00117354">
        <w:t>Nouns of multitude such as “number”, “majority” etc. are not always singular in number. On the contrary they are usually plural. The most common mistake is to assume that the word “number” must be singular. For example, it is correct to say that “the number of books on the table is six” because it is the number that is six, not the books. But “a number of books are on the table” is correct because it is the books that are on the table, not the number. Fowler says that a good working rule (although not an inflexible one) is that the definite article before a noun of multitude usually means that the noun is singular and an indefinite article usually means that the noun is plural.</w:t>
      </w:r>
    </w:p>
    <w:p w:rsidR="000A6B23" w:rsidRPr="00117354" w:rsidRDefault="000A6B23" w:rsidP="00117354">
      <w:pPr>
        <w:pStyle w:val="Head2"/>
      </w:pPr>
      <w:bookmarkStart w:id="7" w:name="_Toc444613778"/>
      <w:r w:rsidRPr="00117354">
        <w:t>Part 2—Gender</w:t>
      </w:r>
      <w:r w:rsidR="00B62804" w:rsidRPr="00117354">
        <w:noBreakHyphen/>
      </w:r>
      <w:r w:rsidRPr="00117354">
        <w:t>specific and gender</w:t>
      </w:r>
      <w:r w:rsidR="00B62804" w:rsidRPr="00117354">
        <w:noBreakHyphen/>
      </w:r>
      <w:r w:rsidRPr="00117354">
        <w:t>neutral language</w:t>
      </w:r>
      <w:bookmarkEnd w:id="7"/>
      <w:r w:rsidRPr="00117354">
        <w:t xml:space="preserve"> </w:t>
      </w:r>
    </w:p>
    <w:p w:rsidR="000A6B23" w:rsidRPr="00117354" w:rsidRDefault="000A6B23" w:rsidP="00117354">
      <w:pPr>
        <w:pStyle w:val="Head3"/>
      </w:pPr>
      <w:bookmarkStart w:id="8" w:name="_Toc444613779"/>
      <w:r w:rsidRPr="00117354">
        <w:t>New drafting</w:t>
      </w:r>
      <w:bookmarkEnd w:id="8"/>
    </w:p>
    <w:p w:rsidR="000A6B23" w:rsidRPr="00117354" w:rsidRDefault="000A6B23" w:rsidP="00117354">
      <w:pPr>
        <w:pStyle w:val="Head4"/>
      </w:pPr>
      <w:bookmarkStart w:id="9" w:name="_Toc444613780"/>
      <w:r w:rsidRPr="00117354">
        <w:t>Use of masculine and feminine personal pronouns</w:t>
      </w:r>
      <w:bookmarkEnd w:id="9"/>
    </w:p>
    <w:p w:rsidR="000A6B23" w:rsidRPr="00117354" w:rsidRDefault="000A6B23" w:rsidP="00AF6A75">
      <w:pPr>
        <w:pStyle w:val="BodyNum"/>
      </w:pPr>
      <w:r w:rsidRPr="00117354">
        <w:t xml:space="preserve">A masculine personal pronoun in </w:t>
      </w:r>
      <w:r w:rsidR="00BE7A02" w:rsidRPr="00117354">
        <w:t xml:space="preserve">draft legislation </w:t>
      </w:r>
      <w:r w:rsidRPr="00117354">
        <w:t>must always be accompanied by a feminine personal pronoun (and vice versa) except in the very rare case of legislation intended to apply to people of one sex but not the other (</w:t>
      </w:r>
      <w:r w:rsidR="00D9140B" w:rsidRPr="00117354">
        <w:t>e.g.</w:t>
      </w:r>
      <w:r w:rsidRPr="00117354">
        <w:t xml:space="preserve"> maternity leave legislation). Drafters should use their discretion in deciding, in individual cases, whether it would be better to avoid the use of pronouns altogether by repeating the relevant noun instead.</w:t>
      </w:r>
    </w:p>
    <w:p w:rsidR="000A6B23" w:rsidRPr="00117354" w:rsidRDefault="000A6B23" w:rsidP="00117354">
      <w:pPr>
        <w:pStyle w:val="Head4"/>
      </w:pPr>
      <w:bookmarkStart w:id="10" w:name="_Toc444613781"/>
      <w:r w:rsidRPr="00117354">
        <w:t>Use of “Chair” (instead of “Chairperson” or “Chairman”)</w:t>
      </w:r>
      <w:bookmarkEnd w:id="10"/>
    </w:p>
    <w:p w:rsidR="000A6B23" w:rsidRPr="00117354" w:rsidRDefault="000A6B23" w:rsidP="00AF6A75">
      <w:pPr>
        <w:pStyle w:val="BodyNum"/>
      </w:pPr>
      <w:r w:rsidRPr="00117354">
        <w:t>“Chair” should be used (instead of “Chairperson” or “Chairman”) when establishing new offices. If your instructors do not wish to use “Chair”, you will need to explore other titles such as “President”, “Senior Member”, “Convener”, etc.</w:t>
      </w:r>
    </w:p>
    <w:p w:rsidR="000A6B23" w:rsidRPr="00117354" w:rsidRDefault="000A6B23" w:rsidP="00117354">
      <w:pPr>
        <w:pStyle w:val="Head4"/>
      </w:pPr>
      <w:bookmarkStart w:id="11" w:name="_Toc444613782"/>
      <w:r w:rsidRPr="00117354">
        <w:lastRenderedPageBreak/>
        <w:t>“Gender</w:t>
      </w:r>
      <w:r w:rsidR="00B62804" w:rsidRPr="00117354">
        <w:noBreakHyphen/>
      </w:r>
      <w:r w:rsidRPr="00117354">
        <w:t>specific” words</w:t>
      </w:r>
      <w:bookmarkEnd w:id="11"/>
    </w:p>
    <w:p w:rsidR="000A6B23" w:rsidRPr="00117354" w:rsidRDefault="000A6B23" w:rsidP="00AF6A75">
      <w:pPr>
        <w:pStyle w:val="BodyNum"/>
      </w:pPr>
      <w:r w:rsidRPr="00117354">
        <w:t>Words ending in “man” which might reasonably be seen as importing the masculine gender should be avoided in favour of gender</w:t>
      </w:r>
      <w:r w:rsidR="00B62804" w:rsidRPr="00117354">
        <w:noBreakHyphen/>
      </w:r>
      <w:r w:rsidRPr="00117354">
        <w:t xml:space="preserve">neutral words, </w:t>
      </w:r>
      <w:r w:rsidR="00D9140B" w:rsidRPr="00117354">
        <w:t>e.g.</w:t>
      </w:r>
      <w:r w:rsidRPr="00117354">
        <w:t xml:space="preserve"> “police officer” instead of “policeman”. However, you should avoid substitutes created simply by replacing “man” with “person” (“policeperson” would not be acceptable).</w:t>
      </w:r>
    </w:p>
    <w:p w:rsidR="000A6B23" w:rsidRPr="00117354" w:rsidRDefault="000A6B23" w:rsidP="00117354">
      <w:pPr>
        <w:pStyle w:val="Head3"/>
      </w:pPr>
      <w:bookmarkStart w:id="12" w:name="_Toc444613783"/>
      <w:r w:rsidRPr="00117354">
        <w:t xml:space="preserve">Amendments of existing </w:t>
      </w:r>
      <w:r w:rsidR="00BE7A02" w:rsidRPr="00117354">
        <w:t>legislation</w:t>
      </w:r>
      <w:bookmarkEnd w:id="12"/>
    </w:p>
    <w:p w:rsidR="000A6B23" w:rsidRPr="00117354" w:rsidRDefault="000A6B23" w:rsidP="00117354">
      <w:pPr>
        <w:pStyle w:val="Head4"/>
      </w:pPr>
      <w:bookmarkStart w:id="13" w:name="_Toc444613784"/>
      <w:r w:rsidRPr="00117354">
        <w:t>Insertion of feminine pronouns</w:t>
      </w:r>
      <w:bookmarkEnd w:id="13"/>
    </w:p>
    <w:p w:rsidR="000A6B23" w:rsidRPr="00117354" w:rsidRDefault="000A6B23" w:rsidP="00AF6A75">
      <w:pPr>
        <w:pStyle w:val="BodyNum"/>
      </w:pPr>
      <w:r w:rsidRPr="00117354">
        <w:t>There are still large numbers of occurrences of masculine pronouns without equivalent feminine pronouns in the statute book. However, most of them do not require amendment. The occurrences that do</w:t>
      </w:r>
      <w:r w:rsidR="00E62E32" w:rsidRPr="00117354">
        <w:t xml:space="preserve"> </w:t>
      </w:r>
      <w:r w:rsidRPr="00117354">
        <w:t>n</w:t>
      </w:r>
      <w:r w:rsidR="00E62E32" w:rsidRPr="00117354">
        <w:t>o</w:t>
      </w:r>
      <w:r w:rsidRPr="00117354">
        <w:t>t require amendment include the following:</w:t>
      </w:r>
    </w:p>
    <w:p w:rsidR="000A6B23" w:rsidRPr="00117354" w:rsidRDefault="000A6B23" w:rsidP="00D11562">
      <w:pPr>
        <w:pStyle w:val="BodyParaBullet"/>
      </w:pPr>
      <w:r w:rsidRPr="00117354">
        <w:t xml:space="preserve">occurrences in agreements or other documents set out in </w:t>
      </w:r>
      <w:r w:rsidR="00BE7A02" w:rsidRPr="00117354">
        <w:t xml:space="preserve">legislation </w:t>
      </w:r>
      <w:r w:rsidRPr="00117354">
        <w:t>(these occurrences would only be amended if the agreements or other documents are themselves amended);</w:t>
      </w:r>
    </w:p>
    <w:p w:rsidR="000A6B23" w:rsidRPr="00117354" w:rsidRDefault="000A6B23" w:rsidP="00D11562">
      <w:pPr>
        <w:pStyle w:val="BodyParaBullet"/>
      </w:pPr>
      <w:r w:rsidRPr="00117354">
        <w:t xml:space="preserve">occurrences in </w:t>
      </w:r>
      <w:r w:rsidR="00BE7A02" w:rsidRPr="00117354">
        <w:t xml:space="preserve">legislation </w:t>
      </w:r>
      <w:r w:rsidRPr="00117354">
        <w:t xml:space="preserve">that have little or no current or future operation (many </w:t>
      </w:r>
      <w:r w:rsidR="00BE7A02" w:rsidRPr="00117354">
        <w:t xml:space="preserve">of these occurrences </w:t>
      </w:r>
      <w:r w:rsidRPr="00117354">
        <w:t>remain on the statute book for years, often because this is easier for administrators than repealing them and making any necessary transitional or savings provisions—it would be a waste of time to update their language);</w:t>
      </w:r>
    </w:p>
    <w:p w:rsidR="000A6B23" w:rsidRPr="00117354" w:rsidRDefault="000A6B23" w:rsidP="00D11562">
      <w:pPr>
        <w:pStyle w:val="BodyParaBullet"/>
      </w:pPr>
      <w:r w:rsidRPr="00117354">
        <w:t xml:space="preserve">occurrences in </w:t>
      </w:r>
      <w:r w:rsidR="00BE7A02" w:rsidRPr="00117354">
        <w:t xml:space="preserve">legislation </w:t>
      </w:r>
      <w:r w:rsidRPr="00117354">
        <w:t>in which the use of masculine pronouns alone might reflect a deliberate policy, and where amendments should not be made without a conscious policy decision (</w:t>
      </w:r>
      <w:r w:rsidR="00BE7A02" w:rsidRPr="00117354">
        <w:t xml:space="preserve">this legislation </w:t>
      </w:r>
      <w:r w:rsidRPr="00117354">
        <w:t xml:space="preserve">would usually be a subset of </w:t>
      </w:r>
      <w:r w:rsidR="00BE7A02" w:rsidRPr="00117354">
        <w:t xml:space="preserve">legislation </w:t>
      </w:r>
      <w:r w:rsidRPr="00117354">
        <w:t xml:space="preserve">with little or no current or future operation, but not always—see the discussion about the </w:t>
      </w:r>
      <w:r w:rsidRPr="00117354">
        <w:rPr>
          <w:i/>
        </w:rPr>
        <w:t xml:space="preserve">Navigation Act </w:t>
      </w:r>
      <w:r w:rsidR="004C2CE5" w:rsidRPr="00117354">
        <w:rPr>
          <w:i/>
        </w:rPr>
        <w:t>20</w:t>
      </w:r>
      <w:r w:rsidR="00445056" w:rsidRPr="00117354">
        <w:rPr>
          <w:i/>
        </w:rPr>
        <w:t>12</w:t>
      </w:r>
      <w:r w:rsidR="00445056" w:rsidRPr="00117354">
        <w:t xml:space="preserve"> </w:t>
      </w:r>
      <w:r w:rsidRPr="00117354">
        <w:t xml:space="preserve">in paragraph </w:t>
      </w:r>
      <w:r w:rsidR="00C208B3" w:rsidRPr="00117354">
        <w:fldChar w:fldCharType="begin"/>
      </w:r>
      <w:r w:rsidR="003712D1" w:rsidRPr="00117354">
        <w:instrText xml:space="preserve"> REF _Ref233609187 \r \h </w:instrText>
      </w:r>
      <w:r w:rsidR="00C208B3" w:rsidRPr="00117354">
        <w:fldChar w:fldCharType="separate"/>
      </w:r>
      <w:r w:rsidR="00117354">
        <w:t>24</w:t>
      </w:r>
      <w:r w:rsidR="00C208B3" w:rsidRPr="00117354">
        <w:fldChar w:fldCharType="end"/>
      </w:r>
      <w:r w:rsidRPr="00117354">
        <w:t>).</w:t>
      </w:r>
    </w:p>
    <w:p w:rsidR="00445056" w:rsidRPr="00117354" w:rsidRDefault="000A6B23" w:rsidP="00AF6A75">
      <w:pPr>
        <w:pStyle w:val="BodyNum"/>
      </w:pPr>
      <w:r w:rsidRPr="00117354">
        <w:t>If you come across a case in which feminine pronouns should be inserted, you should make the necessary amendments if time permits.</w:t>
      </w:r>
      <w:r w:rsidR="00963B6A" w:rsidRPr="00117354">
        <w:t xml:space="preserve"> There may be some efficiency in arranging for </w:t>
      </w:r>
      <w:r w:rsidR="008560C1" w:rsidRPr="00117354">
        <w:t>service centre staff</w:t>
      </w:r>
      <w:r w:rsidR="00963B6A" w:rsidRPr="00117354">
        <w:t xml:space="preserve"> to prepare a first draft of the amendments.</w:t>
      </w:r>
    </w:p>
    <w:p w:rsidR="000A6B23" w:rsidRPr="00117354" w:rsidRDefault="000A6B23" w:rsidP="00117354">
      <w:pPr>
        <w:pStyle w:val="Head4"/>
      </w:pPr>
      <w:bookmarkStart w:id="14" w:name="_Toc444613785"/>
      <w:r w:rsidRPr="00117354">
        <w:t>Chairman/Chairperson and deputies</w:t>
      </w:r>
      <w:bookmarkEnd w:id="14"/>
    </w:p>
    <w:p w:rsidR="000A6B23" w:rsidRPr="00117354" w:rsidRDefault="000A6B23" w:rsidP="00AF6A75">
      <w:pPr>
        <w:pStyle w:val="BodyNum"/>
      </w:pPr>
      <w:r w:rsidRPr="00117354">
        <w:t xml:space="preserve">If you are amending </w:t>
      </w:r>
      <w:r w:rsidR="00972E5C" w:rsidRPr="00117354">
        <w:t xml:space="preserve">legislation </w:t>
      </w:r>
      <w:r w:rsidRPr="00117354">
        <w:t xml:space="preserve">that establishes an office of “Chairman”, you should replace that title with “Chair”. </w:t>
      </w:r>
    </w:p>
    <w:p w:rsidR="000A6B23" w:rsidRPr="00117354" w:rsidRDefault="000A6B23" w:rsidP="00AF6A75">
      <w:pPr>
        <w:pStyle w:val="BodyNum"/>
      </w:pPr>
      <w:r w:rsidRPr="00117354">
        <w:t xml:space="preserve">If you are amending </w:t>
      </w:r>
      <w:r w:rsidR="00972E5C" w:rsidRPr="00117354">
        <w:t xml:space="preserve">legislation </w:t>
      </w:r>
      <w:r w:rsidRPr="00117354">
        <w:t>that establishes an office of “Chairperson”, you should not replace that title with “Chair” unless requested by your instructors to do so.</w:t>
      </w:r>
    </w:p>
    <w:p w:rsidR="000A6B23" w:rsidRPr="00117354" w:rsidRDefault="000A6B23" w:rsidP="00AF6A75">
      <w:pPr>
        <w:pStyle w:val="BodyNum"/>
      </w:pPr>
      <w:r w:rsidRPr="00117354">
        <w:t xml:space="preserve">If you are amending </w:t>
      </w:r>
      <w:r w:rsidR="00972E5C" w:rsidRPr="00117354">
        <w:t xml:space="preserve">legislation </w:t>
      </w:r>
      <w:r w:rsidRPr="00117354">
        <w:t>to establish an office of deputy to an existing office of “Chairperson”, the titles of the offices should be consistent (</w:t>
      </w:r>
      <w:r w:rsidR="00D9140B" w:rsidRPr="00117354">
        <w:t>e.g.</w:t>
      </w:r>
      <w:r w:rsidRPr="00117354">
        <w:t xml:space="preserve"> “Deputy Chairperson” and “Chairperson”).</w:t>
      </w:r>
    </w:p>
    <w:p w:rsidR="000A6B23" w:rsidRPr="00117354" w:rsidRDefault="000A6B23" w:rsidP="00AF6A75">
      <w:pPr>
        <w:pStyle w:val="BodyNum"/>
      </w:pPr>
      <w:r w:rsidRPr="00117354">
        <w:t xml:space="preserve">Note that section 18B of the </w:t>
      </w:r>
      <w:r w:rsidRPr="00117354">
        <w:rPr>
          <w:i/>
        </w:rPr>
        <w:t xml:space="preserve">Acts Interpretation Act </w:t>
      </w:r>
      <w:r w:rsidR="00972E5C" w:rsidRPr="00117354">
        <w:rPr>
          <w:i/>
        </w:rPr>
        <w:t>1901</w:t>
      </w:r>
      <w:r w:rsidR="00972E5C" w:rsidRPr="00117354">
        <w:t xml:space="preserve"> (which applies to legislative instruments because of paragraph 13(1)(a) of the </w:t>
      </w:r>
      <w:r w:rsidR="00972E5C" w:rsidRPr="00117354">
        <w:rPr>
          <w:i/>
        </w:rPr>
        <w:t>Legislati</w:t>
      </w:r>
      <w:r w:rsidR="00292D65" w:rsidRPr="00117354">
        <w:rPr>
          <w:i/>
        </w:rPr>
        <w:t xml:space="preserve">on </w:t>
      </w:r>
      <w:r w:rsidR="00972E5C" w:rsidRPr="00117354">
        <w:rPr>
          <w:i/>
        </w:rPr>
        <w:t>Act 2003</w:t>
      </w:r>
      <w:r w:rsidR="00972E5C" w:rsidRPr="00117354">
        <w:t xml:space="preserve">) </w:t>
      </w:r>
      <w:r w:rsidRPr="00117354">
        <w:t xml:space="preserve">allows the occupant of an office </w:t>
      </w:r>
      <w:r w:rsidR="002905C7" w:rsidRPr="00117354">
        <w:t xml:space="preserve">that has the title </w:t>
      </w:r>
      <w:r w:rsidRPr="00117354">
        <w:t xml:space="preserve">of </w:t>
      </w:r>
      <w:r w:rsidR="002905C7" w:rsidRPr="00117354">
        <w:t>Chair, Chairperson, Chairman or Chairwoman</w:t>
      </w:r>
      <w:r w:rsidRPr="00117354">
        <w:t xml:space="preserve"> to be referred to </w:t>
      </w:r>
      <w:r w:rsidR="002905C7" w:rsidRPr="00117354">
        <w:t>by any of those titles or any other similar title.</w:t>
      </w:r>
      <w:r w:rsidRPr="00117354">
        <w:t xml:space="preserve"> Similar provision is made in respect of </w:t>
      </w:r>
      <w:r w:rsidR="002905C7" w:rsidRPr="00117354">
        <w:t>an office that has a deputy chair title.</w:t>
      </w:r>
    </w:p>
    <w:p w:rsidR="000A6B23" w:rsidRPr="00117354" w:rsidRDefault="000A6B23" w:rsidP="00117354">
      <w:pPr>
        <w:pStyle w:val="Head4"/>
      </w:pPr>
      <w:bookmarkStart w:id="15" w:name="_Toc444613786"/>
      <w:r w:rsidRPr="00117354">
        <w:lastRenderedPageBreak/>
        <w:t>“Gender</w:t>
      </w:r>
      <w:r w:rsidR="00B62804" w:rsidRPr="00117354">
        <w:noBreakHyphen/>
      </w:r>
      <w:r w:rsidRPr="00117354">
        <w:t>specific” words</w:t>
      </w:r>
      <w:bookmarkEnd w:id="15"/>
    </w:p>
    <w:p w:rsidR="000A6B23" w:rsidRPr="00117354" w:rsidRDefault="000A6B23" w:rsidP="00AF6A75">
      <w:pPr>
        <w:pStyle w:val="BodyNum"/>
      </w:pPr>
      <w:bookmarkStart w:id="16" w:name="_Ref233609187"/>
      <w:r w:rsidRPr="00117354">
        <w:t>The few possibly “gender</w:t>
      </w:r>
      <w:r w:rsidR="00B62804" w:rsidRPr="00117354">
        <w:noBreakHyphen/>
      </w:r>
      <w:r w:rsidRPr="00117354">
        <w:t>specific” words that do remain in Commonwealth legislation need to be treated with considerable care. For instance:</w:t>
      </w:r>
      <w:bookmarkEnd w:id="16"/>
    </w:p>
    <w:p w:rsidR="000A6B23" w:rsidRPr="00117354" w:rsidRDefault="000A6B23" w:rsidP="00D11562">
      <w:pPr>
        <w:pStyle w:val="BodyParaBullet"/>
      </w:pPr>
      <w:r w:rsidRPr="00117354">
        <w:t>“Ombudsman” is</w:t>
      </w:r>
      <w:r w:rsidR="00972E5C" w:rsidRPr="00117354">
        <w:t xml:space="preserve"> </w:t>
      </w:r>
      <w:r w:rsidRPr="00117354">
        <w:t xml:space="preserve">generally accepted as having an origin unrelated to the English use of “man” as a suffix. </w:t>
      </w:r>
    </w:p>
    <w:p w:rsidR="000A6B23" w:rsidRPr="00117354" w:rsidRDefault="000A6B23" w:rsidP="00D11562">
      <w:pPr>
        <w:pStyle w:val="BodyParaBullet"/>
      </w:pPr>
      <w:r w:rsidRPr="00117354">
        <w:t xml:space="preserve">The </w:t>
      </w:r>
      <w:r w:rsidRPr="00117354">
        <w:rPr>
          <w:i/>
        </w:rPr>
        <w:t xml:space="preserve">Navigation Act </w:t>
      </w:r>
      <w:r w:rsidR="004C2CE5" w:rsidRPr="00117354">
        <w:rPr>
          <w:i/>
        </w:rPr>
        <w:t>2012</w:t>
      </w:r>
      <w:r w:rsidR="00445056" w:rsidRPr="00117354">
        <w:t xml:space="preserve"> </w:t>
      </w:r>
      <w:r w:rsidRPr="00117354">
        <w:t xml:space="preserve">still refers to “masters” of ships. </w:t>
      </w:r>
      <w:r w:rsidR="00972E5C" w:rsidRPr="00117354">
        <w:t>T</w:t>
      </w:r>
      <w:r w:rsidRPr="00117354">
        <w:t>h</w:t>
      </w:r>
      <w:r w:rsidR="0018400C" w:rsidRPr="00117354">
        <w:t>is</w:t>
      </w:r>
      <w:r w:rsidRPr="00117354">
        <w:t xml:space="preserve"> expression </w:t>
      </w:r>
      <w:r w:rsidR="0018400C" w:rsidRPr="00117354">
        <w:t xml:space="preserve">is </w:t>
      </w:r>
      <w:r w:rsidRPr="00117354">
        <w:t xml:space="preserve">still found in relevant international treaties and there is considerable reluctance to change </w:t>
      </w:r>
      <w:r w:rsidR="0018400C" w:rsidRPr="00117354">
        <w:t>it</w:t>
      </w:r>
      <w:r w:rsidRPr="00117354">
        <w:t xml:space="preserve"> without a careful examination of any possible legal consequences.</w:t>
      </w:r>
    </w:p>
    <w:p w:rsidR="000A6B23" w:rsidRPr="00117354" w:rsidRDefault="000A6B23" w:rsidP="00AF6A75">
      <w:pPr>
        <w:pStyle w:val="BodyNum"/>
      </w:pPr>
      <w:r w:rsidRPr="00117354">
        <w:t>If you come across an apparently “gender</w:t>
      </w:r>
      <w:r w:rsidR="00B62804" w:rsidRPr="00117354">
        <w:noBreakHyphen/>
      </w:r>
      <w:r w:rsidRPr="00117354">
        <w:t xml:space="preserve">specific” expression in existing legislation, you should discuss the matter with your instructors, and with </w:t>
      </w:r>
      <w:r w:rsidR="00972E5C" w:rsidRPr="00117354">
        <w:t>the head drafter</w:t>
      </w:r>
      <w:r w:rsidRPr="00117354">
        <w:t>, before deciding to replace it.</w:t>
      </w:r>
    </w:p>
    <w:p w:rsidR="000A6B23" w:rsidRPr="00117354" w:rsidRDefault="000A6B23" w:rsidP="00117354">
      <w:pPr>
        <w:pStyle w:val="Head2"/>
      </w:pPr>
      <w:bookmarkStart w:id="17" w:name="_Toc444613787"/>
      <w:r w:rsidRPr="00117354">
        <w:t>Part 3—Punctuation</w:t>
      </w:r>
      <w:bookmarkEnd w:id="17"/>
    </w:p>
    <w:p w:rsidR="000A6B23" w:rsidRPr="00117354" w:rsidRDefault="000A6B23" w:rsidP="00117354">
      <w:pPr>
        <w:pStyle w:val="Head3"/>
      </w:pPr>
      <w:bookmarkStart w:id="18" w:name="_Toc444613788"/>
      <w:r w:rsidRPr="00117354">
        <w:t>More lessons from Chew v The Queen—use of punctuation</w:t>
      </w:r>
      <w:bookmarkEnd w:id="18"/>
    </w:p>
    <w:p w:rsidR="000A6B23" w:rsidRPr="00117354" w:rsidRDefault="000A6B23" w:rsidP="00AF6A75">
      <w:pPr>
        <w:pStyle w:val="BodyNum"/>
      </w:pPr>
      <w:r w:rsidRPr="00117354">
        <w:t xml:space="preserve">Most of the judgments in </w:t>
      </w:r>
      <w:r w:rsidRPr="00117354">
        <w:rPr>
          <w:i/>
        </w:rPr>
        <w:t xml:space="preserve">Chew v The Queen </w:t>
      </w:r>
      <w:r w:rsidRPr="00117354">
        <w:t>considered the first comma in the provision and speculated about its origin and effect, but no Justice thought that the comma helped resolve the issue in the appeal.</w:t>
      </w:r>
    </w:p>
    <w:p w:rsidR="000A6B23" w:rsidRPr="00117354" w:rsidRDefault="000A6B23" w:rsidP="00AF6A75">
      <w:pPr>
        <w:pStyle w:val="BodyNum"/>
      </w:pPr>
      <w:r w:rsidRPr="00117354">
        <w:t>Although 2 Justices expressed something like the traditional reservations about punctuation as an aid to interpretation, the others all treated it as an integral part of the provision. It is clearly appropriate for drafters to rely on punctuation in order to convey meaning.</w:t>
      </w:r>
    </w:p>
    <w:p w:rsidR="000A6B23" w:rsidRPr="00117354" w:rsidRDefault="000A6B23" w:rsidP="00AF6A75">
      <w:pPr>
        <w:pStyle w:val="BodyNum"/>
      </w:pPr>
      <w:r w:rsidRPr="00117354">
        <w:t>However, it is plain from the result of the case that the first comma in the provision served no useful purpose.</w:t>
      </w:r>
    </w:p>
    <w:p w:rsidR="000A6B23" w:rsidRPr="00117354" w:rsidRDefault="000A6B23" w:rsidP="00AF6A75">
      <w:pPr>
        <w:pStyle w:val="BodyNum"/>
      </w:pPr>
      <w:r w:rsidRPr="00117354">
        <w:t>Punctuation that is required neither by the rules of grammar nor to help convey a provision’s meaning should be avoided. Before using a comma simply as an aid to readability, you should consider whether it would be better to recast the provision.</w:t>
      </w:r>
    </w:p>
    <w:p w:rsidR="000A6B23" w:rsidRPr="00117354" w:rsidRDefault="000A6B23" w:rsidP="00117354">
      <w:pPr>
        <w:pStyle w:val="Head3"/>
      </w:pPr>
      <w:bookmarkStart w:id="19" w:name="_Toc444613789"/>
      <w:r w:rsidRPr="00117354">
        <w:t>Punctuating a final paragraph or subparagraph</w:t>
      </w:r>
      <w:bookmarkEnd w:id="19"/>
    </w:p>
    <w:p w:rsidR="000A6B23" w:rsidRPr="00117354" w:rsidRDefault="000A6B23" w:rsidP="00AF6A75">
      <w:pPr>
        <w:pStyle w:val="BodyNum"/>
      </w:pPr>
      <w:r w:rsidRPr="00117354">
        <w:t>A final paragraph or subparagraph that is not the end of a section or subsection should be punctuated with a semi</w:t>
      </w:r>
      <w:r w:rsidR="00B62804" w:rsidRPr="00117354">
        <w:noBreakHyphen/>
      </w:r>
      <w:r w:rsidRPr="00117354">
        <w:t>colon (as in paragraph (1)(b) of the following example):</w:t>
      </w:r>
    </w:p>
    <w:p w:rsidR="000A6B23" w:rsidRPr="00117354" w:rsidRDefault="000A6B23" w:rsidP="000A6B23">
      <w:pPr>
        <w:pStyle w:val="subsection"/>
      </w:pPr>
      <w:r w:rsidRPr="00117354">
        <w:tab/>
        <w:t>(1)</w:t>
      </w:r>
      <w:r w:rsidRPr="00117354">
        <w:tab/>
        <w:t>If:</w:t>
      </w:r>
    </w:p>
    <w:p w:rsidR="000A6B23" w:rsidRPr="00117354" w:rsidRDefault="000A6B23" w:rsidP="000A6B23">
      <w:pPr>
        <w:pStyle w:val="paragraph"/>
      </w:pPr>
      <w:r w:rsidRPr="00117354">
        <w:tab/>
        <w:t>(a)</w:t>
      </w:r>
      <w:r w:rsidRPr="00117354">
        <w:tab/>
        <w:t>... ; and</w:t>
      </w:r>
    </w:p>
    <w:p w:rsidR="000A6B23" w:rsidRPr="00117354" w:rsidRDefault="000A6B23" w:rsidP="000A6B23">
      <w:pPr>
        <w:pStyle w:val="paragraph"/>
      </w:pPr>
      <w:r w:rsidRPr="00117354">
        <w:tab/>
        <w:t>(b)</w:t>
      </w:r>
      <w:r w:rsidRPr="00117354">
        <w:tab/>
        <w:t>... ;</w:t>
      </w:r>
    </w:p>
    <w:p w:rsidR="000A6B23" w:rsidRPr="00117354" w:rsidRDefault="000A6B23" w:rsidP="000A6B23">
      <w:pPr>
        <w:pStyle w:val="subsection2"/>
      </w:pPr>
      <w:r w:rsidRPr="00117354">
        <w:t>then ....</w:t>
      </w:r>
    </w:p>
    <w:p w:rsidR="000A6B23" w:rsidRPr="00117354" w:rsidRDefault="000A6B23" w:rsidP="00117354">
      <w:pPr>
        <w:pStyle w:val="Head2"/>
      </w:pPr>
      <w:bookmarkStart w:id="20" w:name="_Toc444613790"/>
      <w:r w:rsidRPr="00117354">
        <w:lastRenderedPageBreak/>
        <w:t>Part 4—Spelling</w:t>
      </w:r>
      <w:bookmarkEnd w:id="20"/>
    </w:p>
    <w:p w:rsidR="000A6B23" w:rsidRPr="00117354" w:rsidRDefault="000A6B23" w:rsidP="00117354">
      <w:pPr>
        <w:pStyle w:val="Head3"/>
      </w:pPr>
      <w:bookmarkStart w:id="21" w:name="_Toc444613791"/>
      <w:r w:rsidRPr="00117354">
        <w:t xml:space="preserve">Adoption of </w:t>
      </w:r>
      <w:r w:rsidR="00972E5C" w:rsidRPr="00117354">
        <w:t xml:space="preserve">Macquarie Dictionary or </w:t>
      </w:r>
      <w:r w:rsidRPr="00117354">
        <w:t>Style Manual</w:t>
      </w:r>
      <w:bookmarkEnd w:id="21"/>
    </w:p>
    <w:p w:rsidR="000A6B23" w:rsidRPr="00117354" w:rsidRDefault="000A6B23" w:rsidP="00AF6A75">
      <w:pPr>
        <w:pStyle w:val="BodyNum"/>
      </w:pPr>
      <w:r w:rsidRPr="00117354">
        <w:t xml:space="preserve">Spellings recommended in the </w:t>
      </w:r>
      <w:r w:rsidR="00972E5C" w:rsidRPr="00117354">
        <w:t xml:space="preserve">latest edition of the </w:t>
      </w:r>
      <w:r w:rsidRPr="00117354">
        <w:t>Macquarie Dictionary or Style Manual should generally be used in legislation.</w:t>
      </w:r>
      <w:r w:rsidR="00972E5C" w:rsidRPr="00117354">
        <w:t xml:space="preserve"> Changes in the Macquarie </w:t>
      </w:r>
      <w:r w:rsidR="00E53CC2" w:rsidRPr="00117354">
        <w:t xml:space="preserve">Dictionary </w:t>
      </w:r>
      <w:r w:rsidR="00972E5C" w:rsidRPr="00117354">
        <w:t>reflect the evolving nature of spelling in Australian English usage. For example:</w:t>
      </w:r>
    </w:p>
    <w:p w:rsidR="00972E5C" w:rsidRPr="00117354" w:rsidRDefault="00972E5C" w:rsidP="00972E5C">
      <w:pPr>
        <w:pStyle w:val="BodyParaBullet"/>
      </w:pPr>
      <w:r w:rsidRPr="00117354">
        <w:t>“internet” is no longer capitalised;</w:t>
      </w:r>
    </w:p>
    <w:p w:rsidR="00972E5C" w:rsidRPr="00117354" w:rsidRDefault="00972E5C" w:rsidP="00972E5C">
      <w:pPr>
        <w:pStyle w:val="BodyParaBullet"/>
      </w:pPr>
      <w:r w:rsidRPr="00117354">
        <w:t>“website” is one word (note that the expression “internet site” should not be used);</w:t>
      </w:r>
    </w:p>
    <w:p w:rsidR="00972E5C" w:rsidRPr="00117354" w:rsidRDefault="00972E5C" w:rsidP="00972E5C">
      <w:pPr>
        <w:pStyle w:val="BodyParaBullet"/>
      </w:pPr>
      <w:r w:rsidRPr="00117354">
        <w:t>lodgement and acknowledgement are now spelt with an “e”.</w:t>
      </w:r>
    </w:p>
    <w:p w:rsidR="009F1722" w:rsidRPr="00117354" w:rsidRDefault="00894E7D" w:rsidP="00972E5C">
      <w:pPr>
        <w:pStyle w:val="BodyNum"/>
      </w:pPr>
      <w:r w:rsidRPr="00117354">
        <w:t>However</w:t>
      </w:r>
      <w:r w:rsidR="009F1722" w:rsidRPr="00117354">
        <w:t>:</w:t>
      </w:r>
    </w:p>
    <w:p w:rsidR="009F1722" w:rsidRPr="00117354" w:rsidRDefault="00F83015" w:rsidP="009F1722">
      <w:pPr>
        <w:pStyle w:val="BodyParaBullet"/>
      </w:pPr>
      <w:r w:rsidRPr="00117354">
        <w:t>the spelling “judgement” (with an “e”) is used, except in the context of a court’s decision or reasoning in which case the spelling “judgment” (without an “e”) is used</w:t>
      </w:r>
      <w:r w:rsidR="009F1722" w:rsidRPr="00117354">
        <w:t>;</w:t>
      </w:r>
      <w:r w:rsidR="001C2242" w:rsidRPr="00117354">
        <w:t xml:space="preserve"> and</w:t>
      </w:r>
    </w:p>
    <w:p w:rsidR="00641407" w:rsidRPr="00117354" w:rsidRDefault="00641407" w:rsidP="009F1722">
      <w:pPr>
        <w:pStyle w:val="BodyParaBullet"/>
      </w:pPr>
      <w:r w:rsidRPr="00117354">
        <w:t>“trade mark” should be two separate words (not a single word as recommended by the Macquarie).</w:t>
      </w:r>
    </w:p>
    <w:p w:rsidR="00972E5C" w:rsidRPr="00117354" w:rsidRDefault="0006277B" w:rsidP="00972E5C">
      <w:pPr>
        <w:pStyle w:val="BodyNum"/>
      </w:pPr>
      <w:r w:rsidRPr="00117354">
        <w:t xml:space="preserve">If there is a conflict between the </w:t>
      </w:r>
      <w:r w:rsidR="00FF534B" w:rsidRPr="00117354">
        <w:t xml:space="preserve">Macquarie Dictionary </w:t>
      </w:r>
      <w:r w:rsidRPr="00117354">
        <w:t>and the Style Manual, you should follow the spelling in the Macquarie Dictionary</w:t>
      </w:r>
      <w:r w:rsidR="009A2A99" w:rsidRPr="00117354">
        <w:t xml:space="preserve"> since it is more</w:t>
      </w:r>
      <w:r w:rsidR="00FF534B" w:rsidRPr="00117354">
        <w:t xml:space="preserve"> frequently updated. </w:t>
      </w:r>
      <w:r w:rsidR="009A2A99" w:rsidRPr="00117354">
        <w:t>If</w:t>
      </w:r>
      <w:r w:rsidR="00972E5C" w:rsidRPr="00117354">
        <w:t xml:space="preserve"> a change in the Macquarie Dictionary would result in a change in practice, </w:t>
      </w:r>
      <w:r w:rsidR="009A2A99" w:rsidRPr="00117354">
        <w:t xml:space="preserve">you should advise </w:t>
      </w:r>
      <w:r w:rsidR="00972E5C" w:rsidRPr="00117354">
        <w:t>the head drafter.</w:t>
      </w:r>
    </w:p>
    <w:p w:rsidR="000A6B23" w:rsidRPr="00117354" w:rsidRDefault="000A6B23" w:rsidP="00117354">
      <w:pPr>
        <w:pStyle w:val="Head3"/>
      </w:pPr>
      <w:bookmarkStart w:id="22" w:name="_Toc444613792"/>
      <w:r w:rsidRPr="00117354">
        <w:t>Spelling of “Indigenous”</w:t>
      </w:r>
      <w:bookmarkEnd w:id="22"/>
    </w:p>
    <w:p w:rsidR="000A6B23" w:rsidRPr="00117354" w:rsidRDefault="000A6B23" w:rsidP="00AF6A75">
      <w:pPr>
        <w:pStyle w:val="BodyNum"/>
      </w:pPr>
      <w:r w:rsidRPr="00117354">
        <w:t>Always capitalise “Indigenous” when it refers to the original inhabitants of Australia—as in “Indigenous Australians” and “Indigenous communities”. It needs no capitals when used in a general sense to refer to the original inhabitants of other countries.</w:t>
      </w:r>
    </w:p>
    <w:p w:rsidR="000A6B23" w:rsidRPr="00117354" w:rsidRDefault="000A6B23" w:rsidP="00AF6A75">
      <w:pPr>
        <w:pStyle w:val="BodyNum"/>
      </w:pPr>
      <w:r w:rsidRPr="00117354">
        <w:t xml:space="preserve">However, it is not necessary to amend existing uses of “indigenous” that should be capitalised according to this approach, unless this would lead to glaring inconsistencies with new material being inserted into the </w:t>
      </w:r>
      <w:r w:rsidR="008664E0" w:rsidRPr="00117354">
        <w:t xml:space="preserve">legislation </w:t>
      </w:r>
      <w:r w:rsidRPr="00117354">
        <w:t>concerned.</w:t>
      </w:r>
    </w:p>
    <w:p w:rsidR="00781482" w:rsidRPr="00117354" w:rsidRDefault="00781482" w:rsidP="00117354">
      <w:pPr>
        <w:pStyle w:val="Head2"/>
      </w:pPr>
      <w:bookmarkStart w:id="23" w:name="_Toc444613793"/>
      <w:r w:rsidRPr="00117354">
        <w:t xml:space="preserve">Part </w:t>
      </w:r>
      <w:r w:rsidR="00AB11B1" w:rsidRPr="00117354">
        <w:t>5</w:t>
      </w:r>
      <w:r w:rsidRPr="00117354">
        <w:t>—Numbers, percentages and fractions</w:t>
      </w:r>
      <w:bookmarkEnd w:id="23"/>
    </w:p>
    <w:p w:rsidR="00781482" w:rsidRPr="00117354" w:rsidRDefault="00781482" w:rsidP="00117354">
      <w:pPr>
        <w:pStyle w:val="Head3"/>
      </w:pPr>
      <w:bookmarkStart w:id="24" w:name="_Toc444613794"/>
      <w:r w:rsidRPr="00117354">
        <w:t>Cardinal numbers</w:t>
      </w:r>
      <w:bookmarkEnd w:id="24"/>
    </w:p>
    <w:p w:rsidR="00781482" w:rsidRPr="00117354" w:rsidRDefault="00781482" w:rsidP="00117354">
      <w:pPr>
        <w:pStyle w:val="Head4"/>
      </w:pPr>
      <w:bookmarkStart w:id="25" w:name="_Toc444613795"/>
      <w:r w:rsidRPr="00117354">
        <w:t>The general rule</w:t>
      </w:r>
      <w:bookmarkEnd w:id="25"/>
    </w:p>
    <w:p w:rsidR="00781482" w:rsidRPr="00117354" w:rsidRDefault="00781482" w:rsidP="00781482">
      <w:pPr>
        <w:pStyle w:val="BodyNum"/>
      </w:pPr>
      <w:r w:rsidRPr="00117354">
        <w:t xml:space="preserve">Cardinal numbers must be expressed </w:t>
      </w:r>
      <w:r w:rsidR="00AB11B1" w:rsidRPr="00117354">
        <w:t>as</w:t>
      </w:r>
      <w:r w:rsidRPr="00117354">
        <w:t xml:space="preserve"> Arabic numerals (for example “2” ). There are </w:t>
      </w:r>
      <w:r w:rsidR="0035220C" w:rsidRPr="00117354">
        <w:t>2</w:t>
      </w:r>
      <w:r w:rsidRPr="00117354">
        <w:t xml:space="preserve"> exceptions to this rule, which are set out in paragraphs </w:t>
      </w:r>
      <w:r w:rsidR="00BF11BD" w:rsidRPr="00117354">
        <w:fldChar w:fldCharType="begin"/>
      </w:r>
      <w:r w:rsidR="00BF11BD" w:rsidRPr="00117354">
        <w:instrText xml:space="preserve"> REF _Ref248297137 \r \h  \* MERGEFORMAT </w:instrText>
      </w:r>
      <w:r w:rsidR="00BF11BD" w:rsidRPr="00117354">
        <w:fldChar w:fldCharType="separate"/>
      </w:r>
      <w:r w:rsidR="00117354">
        <w:t>37</w:t>
      </w:r>
      <w:r w:rsidR="00BF11BD" w:rsidRPr="00117354">
        <w:fldChar w:fldCharType="end"/>
      </w:r>
      <w:r w:rsidR="00B83696" w:rsidRPr="00117354">
        <w:t xml:space="preserve"> and</w:t>
      </w:r>
      <w:r w:rsidRPr="00117354">
        <w:t xml:space="preserve"> </w:t>
      </w:r>
      <w:r w:rsidR="00BF11BD" w:rsidRPr="00117354">
        <w:fldChar w:fldCharType="begin"/>
      </w:r>
      <w:r w:rsidR="00BF11BD" w:rsidRPr="00117354">
        <w:instrText xml:space="preserve"> REF _Ref248654846 \r \h  \* MERGEFORMAT </w:instrText>
      </w:r>
      <w:r w:rsidR="00BF11BD" w:rsidRPr="00117354">
        <w:fldChar w:fldCharType="separate"/>
      </w:r>
      <w:r w:rsidR="00117354">
        <w:t>40</w:t>
      </w:r>
      <w:r w:rsidR="00BF11BD" w:rsidRPr="00117354">
        <w:fldChar w:fldCharType="end"/>
      </w:r>
      <w:r w:rsidR="00B83696" w:rsidRPr="00117354">
        <w:t xml:space="preserve"> </w:t>
      </w:r>
      <w:r w:rsidRPr="00117354">
        <w:t>below.</w:t>
      </w:r>
    </w:p>
    <w:p w:rsidR="00781482" w:rsidRPr="00117354" w:rsidRDefault="00AB11B1" w:rsidP="00117354">
      <w:pPr>
        <w:pStyle w:val="Head4"/>
      </w:pPr>
      <w:bookmarkStart w:id="26" w:name="_Toc444613796"/>
      <w:r w:rsidRPr="00117354">
        <w:t>Exception—</w:t>
      </w:r>
      <w:r w:rsidR="00781482" w:rsidRPr="00117354">
        <w:t xml:space="preserve">“zero” and </w:t>
      </w:r>
      <w:r w:rsidR="00B228F9" w:rsidRPr="00117354">
        <w:t>“</w:t>
      </w:r>
      <w:r w:rsidR="00781482" w:rsidRPr="00117354">
        <w:t>one”</w:t>
      </w:r>
      <w:bookmarkEnd w:id="26"/>
    </w:p>
    <w:p w:rsidR="00781482" w:rsidRPr="00117354" w:rsidRDefault="00781482" w:rsidP="00781482">
      <w:pPr>
        <w:pStyle w:val="BodyNum"/>
      </w:pPr>
      <w:bookmarkStart w:id="27" w:name="_Ref248297137"/>
      <w:bookmarkStart w:id="28" w:name="_Ref244340174"/>
      <w:r w:rsidRPr="00117354">
        <w:t xml:space="preserve">The cardinal numbers “zero” and </w:t>
      </w:r>
      <w:r w:rsidR="00B228F9" w:rsidRPr="00117354">
        <w:t>“</w:t>
      </w:r>
      <w:r w:rsidRPr="00117354">
        <w:t xml:space="preserve">one” should be </w:t>
      </w:r>
      <w:r w:rsidR="00AB11B1" w:rsidRPr="00117354">
        <w:t>expressed</w:t>
      </w:r>
      <w:r w:rsidRPr="00117354">
        <w:t xml:space="preserve"> as a word</w:t>
      </w:r>
      <w:r w:rsidR="00AB11B1" w:rsidRPr="00117354">
        <w:t xml:space="preserve"> unless</w:t>
      </w:r>
      <w:r w:rsidRPr="00117354">
        <w:t>:</w:t>
      </w:r>
      <w:bookmarkEnd w:id="27"/>
    </w:p>
    <w:p w:rsidR="00781482" w:rsidRPr="00117354" w:rsidRDefault="00781482" w:rsidP="00781482">
      <w:pPr>
        <w:pStyle w:val="BodyPara"/>
      </w:pPr>
      <w:r w:rsidRPr="00117354">
        <w:lastRenderedPageBreak/>
        <w:t>the number is to be preceded by or followed by a mathematical symbol, or a unit of measurement</w:t>
      </w:r>
      <w:r w:rsidR="00AB11B1" w:rsidRPr="00117354">
        <w:t>, currency</w:t>
      </w:r>
      <w:r w:rsidRPr="00117354">
        <w:t xml:space="preserve"> or time;</w:t>
      </w:r>
      <w:r w:rsidR="00AB11B1" w:rsidRPr="00117354">
        <w:t xml:space="preserve"> or</w:t>
      </w:r>
    </w:p>
    <w:p w:rsidR="00781482" w:rsidRPr="00117354" w:rsidRDefault="00781482" w:rsidP="00781482">
      <w:pPr>
        <w:pStyle w:val="BodyPara"/>
      </w:pPr>
      <w:r w:rsidRPr="00117354">
        <w:t>the number represents an abstract mathematical concept such as an indexation factor;</w:t>
      </w:r>
      <w:r w:rsidR="00AB11B1" w:rsidRPr="00117354">
        <w:t xml:space="preserve"> or</w:t>
      </w:r>
    </w:p>
    <w:p w:rsidR="00781482" w:rsidRPr="00117354" w:rsidRDefault="00781482" w:rsidP="00781482">
      <w:pPr>
        <w:pStyle w:val="BodyPara"/>
      </w:pPr>
      <w:r w:rsidRPr="00117354">
        <w:t>the number is used in a date;</w:t>
      </w:r>
      <w:r w:rsidR="00AB11B1" w:rsidRPr="00117354">
        <w:t xml:space="preserve"> or</w:t>
      </w:r>
    </w:p>
    <w:p w:rsidR="00781482" w:rsidRPr="00117354" w:rsidRDefault="00781482" w:rsidP="00781482">
      <w:pPr>
        <w:pStyle w:val="BodyPara"/>
      </w:pPr>
      <w:r w:rsidRPr="00117354">
        <w:t>the number is used to indicate a number of penalty units.</w:t>
      </w:r>
    </w:p>
    <w:p w:rsidR="00781482" w:rsidRPr="00117354" w:rsidRDefault="00781482" w:rsidP="00781482">
      <w:pPr>
        <w:pStyle w:val="BodyNum"/>
      </w:pPr>
      <w:r w:rsidRPr="00117354">
        <w:t>This means that the following uses of the numbers “zero” and “one” are correct:</w:t>
      </w:r>
    </w:p>
    <w:p w:rsidR="00781482" w:rsidRPr="00117354" w:rsidRDefault="00AB11B1" w:rsidP="00781482">
      <w:pPr>
        <w:pStyle w:val="BodyPara"/>
      </w:pPr>
      <w:r w:rsidRPr="00117354">
        <w:t>“one of the following”</w:t>
      </w:r>
      <w:r w:rsidR="00781482" w:rsidRPr="00117354">
        <w:t>;</w:t>
      </w:r>
    </w:p>
    <w:p w:rsidR="00781482" w:rsidRPr="00117354" w:rsidRDefault="00781482" w:rsidP="00781482">
      <w:pPr>
        <w:pStyle w:val="BodyPara"/>
      </w:pPr>
      <w:r w:rsidRPr="00117354">
        <w:t xml:space="preserve">“if one person is a child of </w:t>
      </w:r>
      <w:r w:rsidR="00AB11B1" w:rsidRPr="00117354">
        <w:t>another person”</w:t>
      </w:r>
      <w:r w:rsidRPr="00117354">
        <w:t>;</w:t>
      </w:r>
    </w:p>
    <w:p w:rsidR="00781482" w:rsidRPr="00117354" w:rsidRDefault="00AB11B1" w:rsidP="00781482">
      <w:pPr>
        <w:pStyle w:val="BodyPara"/>
      </w:pPr>
      <w:r w:rsidRPr="00117354">
        <w:t>“at least one application”</w:t>
      </w:r>
      <w:r w:rsidR="00781482" w:rsidRPr="00117354">
        <w:t>;</w:t>
      </w:r>
    </w:p>
    <w:p w:rsidR="00781482" w:rsidRPr="00117354" w:rsidRDefault="00AB11B1" w:rsidP="00781482">
      <w:pPr>
        <w:pStyle w:val="BodyPara"/>
      </w:pPr>
      <w:r w:rsidRPr="00117354">
        <w:t>“1 year/1 month/1 week/1 day”</w:t>
      </w:r>
      <w:r w:rsidR="00781482" w:rsidRPr="00117354">
        <w:t>;</w:t>
      </w:r>
    </w:p>
    <w:p w:rsidR="00781482" w:rsidRPr="00117354" w:rsidRDefault="00AB11B1" w:rsidP="00781482">
      <w:pPr>
        <w:pStyle w:val="BodyPara"/>
      </w:pPr>
      <w:r w:rsidRPr="00117354">
        <w:t>“1 penalty unit”</w:t>
      </w:r>
      <w:r w:rsidR="00781482" w:rsidRPr="00117354">
        <w:t>;</w:t>
      </w:r>
    </w:p>
    <w:p w:rsidR="00781482" w:rsidRPr="00117354" w:rsidRDefault="00781482" w:rsidP="00781482">
      <w:pPr>
        <w:pStyle w:val="BodyPara"/>
      </w:pPr>
      <w:r w:rsidRPr="00117354">
        <w:t>“0%” or “1%”;</w:t>
      </w:r>
    </w:p>
    <w:p w:rsidR="00781482" w:rsidRPr="00117354" w:rsidRDefault="00781482" w:rsidP="00781482">
      <w:pPr>
        <w:pStyle w:val="BodyPara"/>
      </w:pPr>
      <w:r w:rsidRPr="00117354">
        <w:t>“$0” or “$1”;</w:t>
      </w:r>
    </w:p>
    <w:p w:rsidR="00781482" w:rsidRPr="00117354" w:rsidRDefault="00AA17ED" w:rsidP="00781482">
      <w:pPr>
        <w:pStyle w:val="BodyPara"/>
      </w:pPr>
      <w:r w:rsidRPr="00117354">
        <w:t>“0'” or “1'”;</w:t>
      </w:r>
    </w:p>
    <w:p w:rsidR="00781482" w:rsidRPr="00117354" w:rsidRDefault="00781482" w:rsidP="00781482">
      <w:pPr>
        <w:pStyle w:val="BodyPara"/>
      </w:pPr>
      <w:r w:rsidRPr="00117354">
        <w:t>“0 megalitres” or “1 megalitre”;</w:t>
      </w:r>
    </w:p>
    <w:p w:rsidR="00781482" w:rsidRPr="00117354" w:rsidRDefault="00781482" w:rsidP="00781482">
      <w:pPr>
        <w:pStyle w:val="BodyPara"/>
      </w:pPr>
      <w:r w:rsidRPr="00117354">
        <w:t>“0 kilometres” or “1 kilometre”;</w:t>
      </w:r>
    </w:p>
    <w:p w:rsidR="00781482" w:rsidRPr="00117354" w:rsidRDefault="00781482" w:rsidP="00781482">
      <w:pPr>
        <w:pStyle w:val="BodyPara"/>
      </w:pPr>
      <w:r w:rsidRPr="00117354">
        <w:t>“1 January 2009”.</w:t>
      </w:r>
    </w:p>
    <w:p w:rsidR="00781482" w:rsidRPr="00117354" w:rsidRDefault="00781482" w:rsidP="00781482">
      <w:pPr>
        <w:pStyle w:val="BodyNum"/>
      </w:pPr>
      <w:r w:rsidRPr="00117354">
        <w:t>If you are uncertain whether to use “zero” or “0”, consider using “nil”.</w:t>
      </w:r>
    </w:p>
    <w:p w:rsidR="00781482" w:rsidRPr="00117354" w:rsidRDefault="00AB11B1" w:rsidP="00117354">
      <w:pPr>
        <w:pStyle w:val="Head4"/>
      </w:pPr>
      <w:bookmarkStart w:id="29" w:name="_Toc444613797"/>
      <w:r w:rsidRPr="00117354">
        <w:t>Exception—</w:t>
      </w:r>
      <w:r w:rsidR="00781482" w:rsidRPr="00117354">
        <w:t>cardinal numbers at the start of sentences</w:t>
      </w:r>
      <w:r w:rsidR="00067160" w:rsidRPr="00117354">
        <w:t xml:space="preserve"> </w:t>
      </w:r>
      <w:r w:rsidR="00763ECD" w:rsidRPr="00117354">
        <w:t>or</w:t>
      </w:r>
      <w:r w:rsidR="00067160" w:rsidRPr="00117354">
        <w:t xml:space="preserve"> headings</w:t>
      </w:r>
      <w:bookmarkEnd w:id="29"/>
    </w:p>
    <w:p w:rsidR="00781482" w:rsidRPr="00117354" w:rsidRDefault="00781482" w:rsidP="00781482">
      <w:pPr>
        <w:pStyle w:val="BodyNum"/>
      </w:pPr>
      <w:bookmarkStart w:id="30" w:name="_Ref248654846"/>
      <w:r w:rsidRPr="00117354">
        <w:t xml:space="preserve">Cardinal numbers </w:t>
      </w:r>
      <w:r w:rsidR="00AB11B1" w:rsidRPr="00117354">
        <w:t xml:space="preserve">that start a sentence </w:t>
      </w:r>
      <w:r w:rsidR="00067160" w:rsidRPr="00117354">
        <w:t>or</w:t>
      </w:r>
      <w:r w:rsidR="004623A8" w:rsidRPr="00117354">
        <w:t xml:space="preserve"> provision</w:t>
      </w:r>
      <w:r w:rsidR="00067160" w:rsidRPr="00117354">
        <w:t xml:space="preserve"> heading </w:t>
      </w:r>
      <w:r w:rsidRPr="00117354">
        <w:t xml:space="preserve">should be </w:t>
      </w:r>
      <w:r w:rsidR="00AB11B1" w:rsidRPr="00117354">
        <w:t>expressed as words</w:t>
      </w:r>
      <w:r w:rsidRPr="00117354">
        <w:t>. For example, the following subsection is correct:</w:t>
      </w:r>
      <w:bookmarkEnd w:id="28"/>
      <w:bookmarkEnd w:id="30"/>
    </w:p>
    <w:p w:rsidR="00781482" w:rsidRPr="00117354" w:rsidRDefault="00781482" w:rsidP="00781482">
      <w:pPr>
        <w:pStyle w:val="subsection"/>
      </w:pPr>
      <w:r w:rsidRPr="00117354">
        <w:tab/>
        <w:t>(4)</w:t>
      </w:r>
      <w:r w:rsidRPr="00117354">
        <w:tab/>
        <w:t>Two or more fees may be prescribed for the same matter.</w:t>
      </w:r>
    </w:p>
    <w:p w:rsidR="00781482" w:rsidRPr="00117354" w:rsidRDefault="00781482" w:rsidP="00117354">
      <w:pPr>
        <w:pStyle w:val="Head3"/>
      </w:pPr>
      <w:bookmarkStart w:id="31" w:name="_Toc444613798"/>
      <w:r w:rsidRPr="00117354">
        <w:t>Ordinal numbers</w:t>
      </w:r>
      <w:bookmarkEnd w:id="31"/>
    </w:p>
    <w:p w:rsidR="00781482" w:rsidRPr="00117354" w:rsidRDefault="00781482" w:rsidP="00781482">
      <w:pPr>
        <w:pStyle w:val="BodyNum"/>
      </w:pPr>
      <w:bookmarkStart w:id="32" w:name="_Ref290480535"/>
      <w:r w:rsidRPr="00117354">
        <w:t>Ordinal number</w:t>
      </w:r>
      <w:r w:rsidR="00B228F9" w:rsidRPr="00117354">
        <w:t>s</w:t>
      </w:r>
      <w:r w:rsidRPr="00117354">
        <w:t xml:space="preserve"> up to and including “tenth” should be </w:t>
      </w:r>
      <w:r w:rsidR="00AB11B1" w:rsidRPr="00117354">
        <w:t>expressed</w:t>
      </w:r>
      <w:r w:rsidRPr="00117354">
        <w:t xml:space="preserve"> as words. Ordinal numbers above “tenth” should be </w:t>
      </w:r>
      <w:r w:rsidR="00AB11B1" w:rsidRPr="00117354">
        <w:t>expressed using</w:t>
      </w:r>
      <w:r w:rsidRPr="00117354">
        <w:t xml:space="preserve"> Arabic numerals (for example “12th”).</w:t>
      </w:r>
      <w:bookmarkEnd w:id="32"/>
    </w:p>
    <w:p w:rsidR="00781482" w:rsidRPr="00117354" w:rsidRDefault="00781482" w:rsidP="00781482">
      <w:pPr>
        <w:pStyle w:val="BodyNum"/>
      </w:pPr>
      <w:bookmarkStart w:id="33" w:name="_Ref290480538"/>
      <w:r w:rsidRPr="00117354">
        <w:t>This means that the following uses of ordinal numbers are correct:</w:t>
      </w:r>
      <w:bookmarkEnd w:id="33"/>
    </w:p>
    <w:p w:rsidR="00141A6C" w:rsidRPr="00117354" w:rsidRDefault="00AB11B1" w:rsidP="00141A6C">
      <w:pPr>
        <w:pStyle w:val="BodyPara"/>
      </w:pPr>
      <w:r w:rsidRPr="00117354">
        <w:t>“the first day of the month”</w:t>
      </w:r>
      <w:r w:rsidR="00141A6C" w:rsidRPr="00117354">
        <w:t>;</w:t>
      </w:r>
    </w:p>
    <w:p w:rsidR="00781482" w:rsidRPr="00117354" w:rsidRDefault="00781482" w:rsidP="00781482">
      <w:pPr>
        <w:pStyle w:val="BodyPara"/>
      </w:pPr>
      <w:r w:rsidRPr="00117354">
        <w:t>“the second of the following”;</w:t>
      </w:r>
    </w:p>
    <w:p w:rsidR="00781482" w:rsidRPr="00117354" w:rsidRDefault="00AB11B1" w:rsidP="00781482">
      <w:pPr>
        <w:pStyle w:val="BodyPara"/>
      </w:pPr>
      <w:r w:rsidRPr="00117354">
        <w:lastRenderedPageBreak/>
        <w:t>“a third person”</w:t>
      </w:r>
      <w:r w:rsidR="00781482" w:rsidRPr="00117354">
        <w:t>;</w:t>
      </w:r>
    </w:p>
    <w:p w:rsidR="00141A6C" w:rsidRPr="00117354" w:rsidRDefault="00141A6C" w:rsidP="00781482">
      <w:pPr>
        <w:pStyle w:val="BodyPara"/>
      </w:pPr>
      <w:r w:rsidRPr="00117354">
        <w:t>“</w:t>
      </w:r>
      <w:r w:rsidR="00B228F9" w:rsidRPr="00117354">
        <w:t>the 21st day</w:t>
      </w:r>
      <w:r w:rsidRPr="00117354">
        <w:t>”;</w:t>
      </w:r>
    </w:p>
    <w:p w:rsidR="00141A6C" w:rsidRPr="00117354" w:rsidRDefault="00141A6C" w:rsidP="00141A6C">
      <w:pPr>
        <w:pStyle w:val="BodyPara"/>
      </w:pPr>
      <w:r w:rsidRPr="00117354">
        <w:t>“the 48th hour”.</w:t>
      </w:r>
    </w:p>
    <w:p w:rsidR="00787059" w:rsidRPr="00117354" w:rsidRDefault="00787059" w:rsidP="00067160">
      <w:pPr>
        <w:pStyle w:val="BodyNum"/>
      </w:pPr>
      <w:r w:rsidRPr="00117354">
        <w:t xml:space="preserve">The rules in paragraphs </w:t>
      </w:r>
      <w:r w:rsidR="00C208B3" w:rsidRPr="00117354">
        <w:fldChar w:fldCharType="begin"/>
      </w:r>
      <w:r w:rsidRPr="00117354">
        <w:instrText xml:space="preserve"> REF _Ref290480535 \r \h </w:instrText>
      </w:r>
      <w:r w:rsidR="00C208B3" w:rsidRPr="00117354">
        <w:fldChar w:fldCharType="separate"/>
      </w:r>
      <w:r w:rsidR="00117354">
        <w:t>41</w:t>
      </w:r>
      <w:r w:rsidR="00C208B3" w:rsidRPr="00117354">
        <w:fldChar w:fldCharType="end"/>
      </w:r>
      <w:r w:rsidRPr="00117354">
        <w:t xml:space="preserve"> and </w:t>
      </w:r>
      <w:r w:rsidR="00C208B3" w:rsidRPr="00117354">
        <w:fldChar w:fldCharType="begin"/>
      </w:r>
      <w:r w:rsidRPr="00117354">
        <w:instrText xml:space="preserve"> REF _Ref290480538 \r \h </w:instrText>
      </w:r>
      <w:r w:rsidR="00C208B3" w:rsidRPr="00117354">
        <w:fldChar w:fldCharType="separate"/>
      </w:r>
      <w:r w:rsidR="00117354">
        <w:t>42</w:t>
      </w:r>
      <w:r w:rsidR="00C208B3" w:rsidRPr="00117354">
        <w:fldChar w:fldCharType="end"/>
      </w:r>
      <w:r w:rsidRPr="00117354">
        <w:t xml:space="preserve"> also apply to ordinal numbers in amending items, amending item headings and parliamentary amendments.</w:t>
      </w:r>
    </w:p>
    <w:p w:rsidR="00781482" w:rsidRPr="00117354" w:rsidRDefault="00781482" w:rsidP="00067160">
      <w:pPr>
        <w:pStyle w:val="BodyNum"/>
      </w:pPr>
      <w:r w:rsidRPr="00117354">
        <w:t>In an ordinal number</w:t>
      </w:r>
      <w:r w:rsidR="00AB11B1" w:rsidRPr="00117354">
        <w:t xml:space="preserve"> that is expressed using an Arabic numeral</w:t>
      </w:r>
      <w:r w:rsidRPr="00117354">
        <w:t>, the 2 letters coming immediately after the numeral should not appear in superscript.</w:t>
      </w:r>
    </w:p>
    <w:p w:rsidR="00067160" w:rsidRPr="00117354" w:rsidRDefault="00067160" w:rsidP="00117354">
      <w:pPr>
        <w:pStyle w:val="Head3"/>
      </w:pPr>
      <w:bookmarkStart w:id="34" w:name="_Toc444613799"/>
      <w:r w:rsidRPr="00117354">
        <w:t>Numbers greater than 999</w:t>
      </w:r>
      <w:bookmarkEnd w:id="34"/>
    </w:p>
    <w:p w:rsidR="005B1E7D" w:rsidRPr="00117354" w:rsidRDefault="00067160" w:rsidP="00067160">
      <w:pPr>
        <w:pStyle w:val="BodyNum"/>
      </w:pPr>
      <w:r w:rsidRPr="00117354">
        <w:t xml:space="preserve">Numbers greater than 999 </w:t>
      </w:r>
      <w:r w:rsidR="005B1E7D" w:rsidRPr="00117354">
        <w:t>should be expressed using commas rather than using spaces or, for a 4 digit number, using a comma rather than no space. For example:</w:t>
      </w:r>
    </w:p>
    <w:p w:rsidR="005B1E7D" w:rsidRPr="00117354" w:rsidRDefault="00067160" w:rsidP="005B1E7D">
      <w:pPr>
        <w:pStyle w:val="BodyParaBullet"/>
      </w:pPr>
      <w:r w:rsidRPr="00117354">
        <w:t xml:space="preserve">$4,928,000 </w:t>
      </w:r>
      <w:r w:rsidR="005B1E7D" w:rsidRPr="00117354">
        <w:t xml:space="preserve">(not </w:t>
      </w:r>
      <w:r w:rsidRPr="00117354">
        <w:t>$4 928 000</w:t>
      </w:r>
      <w:r w:rsidR="005B1E7D" w:rsidRPr="00117354">
        <w:t>);</w:t>
      </w:r>
    </w:p>
    <w:p w:rsidR="00067160" w:rsidRPr="00117354" w:rsidRDefault="00067160" w:rsidP="005B1E7D">
      <w:pPr>
        <w:pStyle w:val="BodyParaBullet"/>
      </w:pPr>
      <w:r w:rsidRPr="00117354">
        <w:t xml:space="preserve">1,000 penalty units </w:t>
      </w:r>
      <w:r w:rsidR="005B1E7D" w:rsidRPr="00117354">
        <w:t xml:space="preserve">(not </w:t>
      </w:r>
      <w:r w:rsidRPr="00117354">
        <w:t>1000 penalty units</w:t>
      </w:r>
      <w:r w:rsidR="005B1E7D" w:rsidRPr="00117354">
        <w:t>)</w:t>
      </w:r>
      <w:r w:rsidRPr="00117354">
        <w:t>.</w:t>
      </w:r>
    </w:p>
    <w:p w:rsidR="00BC3DAE" w:rsidRPr="00117354" w:rsidRDefault="00BC3DAE" w:rsidP="00117354">
      <w:pPr>
        <w:pStyle w:val="Head3"/>
      </w:pPr>
      <w:bookmarkStart w:id="35" w:name="_Toc444613800"/>
      <w:r w:rsidRPr="00117354">
        <w:t>Percentages</w:t>
      </w:r>
      <w:bookmarkEnd w:id="35"/>
    </w:p>
    <w:p w:rsidR="00BC3DAE" w:rsidRPr="00117354" w:rsidRDefault="00BC3DAE" w:rsidP="00781482">
      <w:pPr>
        <w:pStyle w:val="BodyNum"/>
      </w:pPr>
      <w:r w:rsidRPr="00117354">
        <w:t xml:space="preserve">Percentages should be </w:t>
      </w:r>
      <w:r w:rsidR="00AB11B1" w:rsidRPr="00117354">
        <w:t>expressed</w:t>
      </w:r>
      <w:r w:rsidRPr="00117354">
        <w:t xml:space="preserve"> using the symbol “%”, not the words “per cent”.</w:t>
      </w:r>
    </w:p>
    <w:p w:rsidR="00BC3DAE" w:rsidRPr="00117354" w:rsidRDefault="00BC3DAE" w:rsidP="00117354">
      <w:pPr>
        <w:pStyle w:val="Head3"/>
      </w:pPr>
      <w:bookmarkStart w:id="36" w:name="_Toc444613801"/>
      <w:r w:rsidRPr="00117354">
        <w:t>Fractions</w:t>
      </w:r>
      <w:bookmarkEnd w:id="36"/>
    </w:p>
    <w:p w:rsidR="00A256C1" w:rsidRPr="00117354" w:rsidRDefault="00B519D8" w:rsidP="00BC3DAE">
      <w:pPr>
        <w:pStyle w:val="BodyNum"/>
      </w:pPr>
      <w:bookmarkStart w:id="37" w:name="_Ref248654782"/>
      <w:r w:rsidRPr="00117354">
        <w:t>Non</w:t>
      </w:r>
      <w:r w:rsidR="00B62804" w:rsidRPr="00117354">
        <w:noBreakHyphen/>
      </w:r>
      <w:r w:rsidRPr="00117354">
        <w:t>decimal fractions</w:t>
      </w:r>
      <w:r w:rsidR="00BC3DAE" w:rsidRPr="00117354">
        <w:t xml:space="preserve"> </w:t>
      </w:r>
      <w:r w:rsidR="00397C3F" w:rsidRPr="00117354">
        <w:t xml:space="preserve">with a denominator </w:t>
      </w:r>
      <w:r w:rsidR="00A256C1" w:rsidRPr="00117354">
        <w:t>greater</w:t>
      </w:r>
      <w:r w:rsidR="00397C3F" w:rsidRPr="00117354">
        <w:t xml:space="preserve"> than 10 must </w:t>
      </w:r>
      <w:r w:rsidR="00A256C1" w:rsidRPr="00117354">
        <w:t xml:space="preserve">always </w:t>
      </w:r>
      <w:r w:rsidR="00397C3F" w:rsidRPr="00117354">
        <w:t xml:space="preserve">be expressed using Arabic numerals (for example, </w:t>
      </w:r>
      <w:r w:rsidR="002410C7" w:rsidRPr="00117354">
        <w:t>“</w:t>
      </w:r>
      <w:r w:rsidR="00A256C1" w:rsidRPr="00117354">
        <w:rPr>
          <w:position w:val="6"/>
          <w:sz w:val="18"/>
        </w:rPr>
        <w:t>1</w:t>
      </w:r>
      <w:r w:rsidR="001F6306" w:rsidRPr="00117354">
        <w:rPr>
          <w:position w:val="6"/>
          <w:sz w:val="18"/>
        </w:rPr>
        <w:t>1</w:t>
      </w:r>
      <w:r w:rsidR="00A256C1" w:rsidRPr="00117354">
        <w:t>/</w:t>
      </w:r>
      <w:r w:rsidR="00A256C1" w:rsidRPr="00117354">
        <w:rPr>
          <w:sz w:val="18"/>
        </w:rPr>
        <w:t>12</w:t>
      </w:r>
      <w:r w:rsidR="002410C7" w:rsidRPr="00117354">
        <w:t xml:space="preserve">” </w:t>
      </w:r>
      <w:r w:rsidR="00397C3F" w:rsidRPr="00117354">
        <w:t xml:space="preserve">or </w:t>
      </w:r>
      <w:r w:rsidR="002410C7" w:rsidRPr="00117354">
        <w:t>“</w:t>
      </w:r>
      <w:r w:rsidR="00A256C1" w:rsidRPr="00117354">
        <w:rPr>
          <w:position w:val="6"/>
          <w:sz w:val="18"/>
        </w:rPr>
        <w:t>1</w:t>
      </w:r>
      <w:r w:rsidR="00A256C1" w:rsidRPr="00117354">
        <w:t>/</w:t>
      </w:r>
      <w:r w:rsidR="00A256C1" w:rsidRPr="00117354">
        <w:rPr>
          <w:sz w:val="18"/>
        </w:rPr>
        <w:t>26</w:t>
      </w:r>
      <w:r w:rsidR="002410C7" w:rsidRPr="00117354">
        <w:t>”</w:t>
      </w:r>
      <w:r w:rsidR="00397C3F" w:rsidRPr="00117354">
        <w:t>). It is a matter for the drafter’s discretion whether a non</w:t>
      </w:r>
      <w:r w:rsidR="00B62804" w:rsidRPr="00117354">
        <w:noBreakHyphen/>
      </w:r>
      <w:r w:rsidR="00397C3F" w:rsidRPr="00117354">
        <w:t xml:space="preserve">decimal fraction with a denominator of 10 or less </w:t>
      </w:r>
      <w:r w:rsidR="00AB11B1" w:rsidRPr="00117354">
        <w:t>should be expressed</w:t>
      </w:r>
      <w:r w:rsidR="00BC3DAE" w:rsidRPr="00117354">
        <w:t xml:space="preserve"> as words </w:t>
      </w:r>
      <w:r w:rsidR="00397C3F" w:rsidRPr="00117354">
        <w:t>or using Arabic numerals</w:t>
      </w:r>
      <w:r w:rsidR="00BC3DAE" w:rsidRPr="00117354">
        <w:t xml:space="preserve"> </w:t>
      </w:r>
      <w:r w:rsidR="00A256C1" w:rsidRPr="00117354">
        <w:t>(for example, “three</w:t>
      </w:r>
      <w:r w:rsidR="00B62804" w:rsidRPr="00117354">
        <w:noBreakHyphen/>
      </w:r>
      <w:r w:rsidR="00A256C1" w:rsidRPr="00117354">
        <w:t xml:space="preserve">quarters” or </w:t>
      </w:r>
      <w:r w:rsidR="002410C7" w:rsidRPr="00117354">
        <w:t>“</w:t>
      </w:r>
      <w:r w:rsidR="00A256C1" w:rsidRPr="00117354">
        <w:rPr>
          <w:position w:val="6"/>
          <w:sz w:val="18"/>
        </w:rPr>
        <w:t>3</w:t>
      </w:r>
      <w:r w:rsidR="00A256C1" w:rsidRPr="00117354">
        <w:t>/</w:t>
      </w:r>
      <w:r w:rsidR="00A256C1" w:rsidRPr="00117354">
        <w:rPr>
          <w:sz w:val="18"/>
        </w:rPr>
        <w:t>4</w:t>
      </w:r>
      <w:r w:rsidR="002410C7" w:rsidRPr="00117354">
        <w:t>”</w:t>
      </w:r>
      <w:r w:rsidR="00A256C1" w:rsidRPr="00117354">
        <w:t>).</w:t>
      </w:r>
    </w:p>
    <w:p w:rsidR="00067160" w:rsidRPr="00117354" w:rsidRDefault="00A256C1" w:rsidP="005A5AF1">
      <w:pPr>
        <w:pStyle w:val="BodyNum"/>
      </w:pPr>
      <w:r w:rsidRPr="00117354">
        <w:t>I</w:t>
      </w:r>
      <w:r w:rsidR="000D3149" w:rsidRPr="00117354">
        <w:t>f a</w:t>
      </w:r>
      <w:r w:rsidR="00AB11B1" w:rsidRPr="00117354">
        <w:t xml:space="preserve"> </w:t>
      </w:r>
      <w:r w:rsidR="006D6F54" w:rsidRPr="00117354">
        <w:t>fraction</w:t>
      </w:r>
      <w:r w:rsidR="00BC3DAE" w:rsidRPr="00117354">
        <w:t xml:space="preserve"> </w:t>
      </w:r>
      <w:r w:rsidR="000D3149" w:rsidRPr="00117354">
        <w:t>is expressed in</w:t>
      </w:r>
      <w:r w:rsidR="00AB11B1" w:rsidRPr="00117354">
        <w:t xml:space="preserve"> 2 words</w:t>
      </w:r>
      <w:r w:rsidR="00397C3F" w:rsidRPr="00117354">
        <w:t>, a hyphen should be used</w:t>
      </w:r>
      <w:bookmarkEnd w:id="37"/>
      <w:r w:rsidR="00FC17F9" w:rsidRPr="00117354">
        <w:t xml:space="preserve"> (for example, “one</w:t>
      </w:r>
      <w:r w:rsidR="00B62804" w:rsidRPr="00117354">
        <w:noBreakHyphen/>
      </w:r>
      <w:r w:rsidR="00FC17F9" w:rsidRPr="00117354">
        <w:t>quarter”, “one</w:t>
      </w:r>
      <w:r w:rsidR="00B62804" w:rsidRPr="00117354">
        <w:noBreakHyphen/>
      </w:r>
      <w:r w:rsidR="00FC17F9" w:rsidRPr="00117354">
        <w:t>half” and “three</w:t>
      </w:r>
      <w:r w:rsidR="00B62804" w:rsidRPr="00117354">
        <w:noBreakHyphen/>
      </w:r>
      <w:r w:rsidR="00FC17F9" w:rsidRPr="00117354">
        <w:t>quarters</w:t>
      </w:r>
      <w:r w:rsidR="00397C3F" w:rsidRPr="00117354">
        <w:t>”).</w:t>
      </w:r>
      <w:r w:rsidRPr="00117354">
        <w:t xml:space="preserve"> </w:t>
      </w:r>
      <w:r w:rsidR="00D15FDA" w:rsidRPr="00117354">
        <w:t>If a fraction is expressed using Arabic numerals, do not use the Word feature for fractions.</w:t>
      </w:r>
      <w:r w:rsidR="005A5AF1" w:rsidRPr="00117354">
        <w:t xml:space="preserve"> Fractions can be inserted by clicking the OPC Fraction (1/2) button on the OPC tab or by selecting the OPC Macros menu, Formatting, Insert Fraction (see Word Note 12).</w:t>
      </w:r>
    </w:p>
    <w:p w:rsidR="00BC3DAE" w:rsidRPr="00117354" w:rsidRDefault="00BC3DAE" w:rsidP="00BC3DAE">
      <w:pPr>
        <w:pStyle w:val="BodyNum"/>
      </w:pPr>
      <w:r w:rsidRPr="00117354">
        <w:t xml:space="preserve">The rule in paragraph </w:t>
      </w:r>
      <w:r w:rsidR="00C208B3" w:rsidRPr="00117354">
        <w:rPr>
          <w:highlight w:val="yellow"/>
        </w:rPr>
        <w:fldChar w:fldCharType="begin"/>
      </w:r>
      <w:r w:rsidR="00B83696" w:rsidRPr="00117354">
        <w:instrText xml:space="preserve"> REF _Ref248654782 \r \h </w:instrText>
      </w:r>
      <w:r w:rsidR="00C208B3" w:rsidRPr="00117354">
        <w:rPr>
          <w:highlight w:val="yellow"/>
        </w:rPr>
      </w:r>
      <w:r w:rsidR="00C208B3" w:rsidRPr="00117354">
        <w:rPr>
          <w:highlight w:val="yellow"/>
        </w:rPr>
        <w:fldChar w:fldCharType="separate"/>
      </w:r>
      <w:r w:rsidR="00117354">
        <w:t>47</w:t>
      </w:r>
      <w:r w:rsidR="00C208B3" w:rsidRPr="00117354">
        <w:rPr>
          <w:highlight w:val="yellow"/>
        </w:rPr>
        <w:fldChar w:fldCharType="end"/>
      </w:r>
      <w:r w:rsidRPr="00117354">
        <w:t xml:space="preserve"> does not affect the use of decimal </w:t>
      </w:r>
      <w:r w:rsidR="00B519D8" w:rsidRPr="00117354">
        <w:t>fractions</w:t>
      </w:r>
      <w:r w:rsidRPr="00117354">
        <w:t xml:space="preserve"> (</w:t>
      </w:r>
      <w:r w:rsidR="00AB11B1" w:rsidRPr="00117354">
        <w:t>for example,</w:t>
      </w:r>
      <w:r w:rsidRPr="00117354">
        <w:t xml:space="preserve"> “0.5%” or “rounding 0.5 cents upwards”).</w:t>
      </w:r>
    </w:p>
    <w:p w:rsidR="000A6B23" w:rsidRPr="00117354" w:rsidRDefault="000A6B23" w:rsidP="000A6B23">
      <w:pPr>
        <w:pStyle w:val="Body"/>
      </w:pPr>
    </w:p>
    <w:p w:rsidR="000A6B23" w:rsidRPr="00117354" w:rsidRDefault="000A6B23" w:rsidP="000A6B23">
      <w:pPr>
        <w:pStyle w:val="Body"/>
      </w:pPr>
    </w:p>
    <w:p w:rsidR="00F83015" w:rsidRPr="00117354" w:rsidRDefault="00F83015" w:rsidP="00F83015">
      <w:pPr>
        <w:pStyle w:val="Body"/>
      </w:pPr>
      <w:r w:rsidRPr="00117354">
        <w:t>Peter Quiggin PSM</w:t>
      </w:r>
    </w:p>
    <w:p w:rsidR="00F83015" w:rsidRPr="00117354" w:rsidRDefault="00F83015" w:rsidP="00F83015">
      <w:pPr>
        <w:pStyle w:val="Blocks"/>
      </w:pPr>
      <w:r w:rsidRPr="00117354">
        <w:t>First Parliamentary Counsel</w:t>
      </w:r>
      <w:r w:rsidRPr="00117354">
        <w:br/>
      </w:r>
      <w:r w:rsidR="00E83090" w:rsidRPr="00117354">
        <w:t>1</w:t>
      </w:r>
      <w:r w:rsidRPr="00117354">
        <w:t xml:space="preserve"> </w:t>
      </w:r>
      <w:r w:rsidR="00FA1441" w:rsidRPr="00117354">
        <w:t xml:space="preserve">March </w:t>
      </w:r>
      <w:r w:rsidRPr="00117354">
        <w:t>201</w:t>
      </w:r>
      <w:r w:rsidR="008C1B42" w:rsidRPr="00117354">
        <w:t>6</w:t>
      </w:r>
    </w:p>
    <w:p w:rsidR="00ED30B3" w:rsidRPr="00117354" w:rsidRDefault="00ED30B3" w:rsidP="00ED30B3">
      <w:pPr>
        <w:pStyle w:val="BodyNum"/>
        <w:numPr>
          <w:ilvl w:val="0"/>
          <w:numId w:val="0"/>
        </w:numPr>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3009"/>
        <w:gridCol w:w="3009"/>
        <w:gridCol w:w="3009"/>
      </w:tblGrid>
      <w:tr w:rsidR="00AE7603" w:rsidRPr="00117354" w:rsidTr="008C1B42">
        <w:trPr>
          <w:tblHeader/>
        </w:trPr>
        <w:tc>
          <w:tcPr>
            <w:tcW w:w="9027" w:type="dxa"/>
            <w:gridSpan w:val="3"/>
            <w:tcBorders>
              <w:top w:val="single" w:sz="12" w:space="0" w:color="auto"/>
              <w:bottom w:val="single" w:sz="6" w:space="0" w:color="auto"/>
            </w:tcBorders>
            <w:shd w:val="clear" w:color="auto" w:fill="auto"/>
          </w:tcPr>
          <w:p w:rsidR="00AE7603" w:rsidRPr="00117354" w:rsidRDefault="00AE7603" w:rsidP="00885428">
            <w:pPr>
              <w:pStyle w:val="Tabletext"/>
              <w:keepNext/>
              <w:rPr>
                <w:b/>
              </w:rPr>
            </w:pPr>
            <w:r w:rsidRPr="00117354">
              <w:rPr>
                <w:b/>
              </w:rPr>
              <w:lastRenderedPageBreak/>
              <w:t>Document History</w:t>
            </w:r>
          </w:p>
        </w:tc>
      </w:tr>
      <w:tr w:rsidR="00AE7603" w:rsidRPr="00117354" w:rsidTr="008C1B42">
        <w:trPr>
          <w:tblHeader/>
        </w:trPr>
        <w:tc>
          <w:tcPr>
            <w:tcW w:w="3009" w:type="dxa"/>
            <w:tcBorders>
              <w:top w:val="single" w:sz="6" w:space="0" w:color="auto"/>
              <w:bottom w:val="single" w:sz="12" w:space="0" w:color="auto"/>
            </w:tcBorders>
            <w:shd w:val="clear" w:color="auto" w:fill="auto"/>
          </w:tcPr>
          <w:p w:rsidR="00AE7603" w:rsidRPr="00117354" w:rsidRDefault="00AE7603" w:rsidP="00885428">
            <w:pPr>
              <w:pStyle w:val="Tabletext"/>
              <w:keepNext/>
              <w:rPr>
                <w:b/>
              </w:rPr>
            </w:pPr>
            <w:r w:rsidRPr="00117354">
              <w:rPr>
                <w:b/>
              </w:rPr>
              <w:t>Release</w:t>
            </w:r>
          </w:p>
        </w:tc>
        <w:tc>
          <w:tcPr>
            <w:tcW w:w="3009" w:type="dxa"/>
            <w:tcBorders>
              <w:top w:val="single" w:sz="6" w:space="0" w:color="auto"/>
              <w:bottom w:val="single" w:sz="12" w:space="0" w:color="auto"/>
            </w:tcBorders>
            <w:shd w:val="clear" w:color="auto" w:fill="auto"/>
          </w:tcPr>
          <w:p w:rsidR="00AE7603" w:rsidRPr="00117354" w:rsidRDefault="00AE7603" w:rsidP="00885428">
            <w:pPr>
              <w:pStyle w:val="Tabletext"/>
              <w:keepNext/>
              <w:rPr>
                <w:b/>
              </w:rPr>
            </w:pPr>
            <w:r w:rsidRPr="00117354">
              <w:rPr>
                <w:b/>
              </w:rPr>
              <w:t>Release date</w:t>
            </w:r>
          </w:p>
        </w:tc>
        <w:tc>
          <w:tcPr>
            <w:tcW w:w="3009" w:type="dxa"/>
            <w:tcBorders>
              <w:top w:val="single" w:sz="6" w:space="0" w:color="auto"/>
              <w:bottom w:val="single" w:sz="12" w:space="0" w:color="auto"/>
            </w:tcBorders>
            <w:shd w:val="clear" w:color="auto" w:fill="auto"/>
          </w:tcPr>
          <w:p w:rsidR="00AE7603" w:rsidRPr="00117354" w:rsidRDefault="00AE7603" w:rsidP="00885428">
            <w:pPr>
              <w:pStyle w:val="Tabletext"/>
              <w:keepNext/>
              <w:rPr>
                <w:b/>
              </w:rPr>
            </w:pPr>
            <w:r w:rsidRPr="00117354">
              <w:rPr>
                <w:b/>
              </w:rPr>
              <w:t>Document number</w:t>
            </w:r>
          </w:p>
        </w:tc>
      </w:tr>
      <w:tr w:rsidR="00AE7603" w:rsidRPr="00117354" w:rsidTr="008C1B42">
        <w:tc>
          <w:tcPr>
            <w:tcW w:w="3009" w:type="dxa"/>
            <w:tcBorders>
              <w:top w:val="single" w:sz="12" w:space="0" w:color="auto"/>
            </w:tcBorders>
            <w:shd w:val="clear" w:color="auto" w:fill="auto"/>
          </w:tcPr>
          <w:p w:rsidR="00AE7603" w:rsidRPr="00117354" w:rsidRDefault="00AE7603" w:rsidP="00885428">
            <w:pPr>
              <w:pStyle w:val="Tabletext"/>
            </w:pPr>
            <w:r w:rsidRPr="00117354">
              <w:t>1.0</w:t>
            </w:r>
          </w:p>
        </w:tc>
        <w:tc>
          <w:tcPr>
            <w:tcW w:w="3009" w:type="dxa"/>
            <w:tcBorders>
              <w:top w:val="single" w:sz="12" w:space="0" w:color="auto"/>
            </w:tcBorders>
            <w:shd w:val="clear" w:color="auto" w:fill="auto"/>
          </w:tcPr>
          <w:p w:rsidR="00AE7603" w:rsidRPr="00117354" w:rsidRDefault="00AE7603" w:rsidP="00885428">
            <w:pPr>
              <w:pStyle w:val="Tabletext"/>
            </w:pPr>
            <w:r w:rsidRPr="00117354">
              <w:t>1 May 2006</w:t>
            </w:r>
          </w:p>
        </w:tc>
        <w:tc>
          <w:tcPr>
            <w:tcW w:w="3009" w:type="dxa"/>
            <w:tcBorders>
              <w:top w:val="single" w:sz="12" w:space="0" w:color="auto"/>
            </w:tcBorders>
            <w:shd w:val="clear" w:color="auto" w:fill="auto"/>
          </w:tcPr>
          <w:p w:rsidR="00AE7603" w:rsidRPr="00117354" w:rsidRDefault="00AE7603" w:rsidP="00885428">
            <w:pPr>
              <w:pStyle w:val="Tabletext"/>
            </w:pPr>
            <w:r w:rsidRPr="00117354">
              <w:t>s06pf331.v01.doc</w:t>
            </w:r>
          </w:p>
        </w:tc>
      </w:tr>
      <w:tr w:rsidR="00AE7603" w:rsidRPr="00117354" w:rsidTr="008C1B42">
        <w:tc>
          <w:tcPr>
            <w:tcW w:w="3009" w:type="dxa"/>
            <w:shd w:val="clear" w:color="auto" w:fill="auto"/>
          </w:tcPr>
          <w:p w:rsidR="00AE7603" w:rsidRPr="00117354" w:rsidRDefault="00AE7603" w:rsidP="00885428">
            <w:pPr>
              <w:pStyle w:val="Tabletext"/>
            </w:pPr>
            <w:r w:rsidRPr="00117354">
              <w:t>1.1</w:t>
            </w:r>
          </w:p>
        </w:tc>
        <w:tc>
          <w:tcPr>
            <w:tcW w:w="3009" w:type="dxa"/>
            <w:shd w:val="clear" w:color="auto" w:fill="auto"/>
          </w:tcPr>
          <w:p w:rsidR="00AE7603" w:rsidRPr="00117354" w:rsidRDefault="00AE7603" w:rsidP="00885428">
            <w:pPr>
              <w:pStyle w:val="Tabletext"/>
            </w:pPr>
            <w:r w:rsidRPr="00117354">
              <w:t>2 May 2007</w:t>
            </w:r>
          </w:p>
        </w:tc>
        <w:tc>
          <w:tcPr>
            <w:tcW w:w="3009" w:type="dxa"/>
            <w:shd w:val="clear" w:color="auto" w:fill="auto"/>
          </w:tcPr>
          <w:p w:rsidR="00AE7603" w:rsidRPr="00117354" w:rsidRDefault="00AE7603" w:rsidP="00885428">
            <w:pPr>
              <w:pStyle w:val="Tabletext"/>
            </w:pPr>
            <w:r w:rsidRPr="00117354">
              <w:t>s06pf331.v03.doc</w:t>
            </w:r>
          </w:p>
        </w:tc>
      </w:tr>
      <w:tr w:rsidR="00AE7603" w:rsidRPr="00117354" w:rsidTr="008C1B42">
        <w:tc>
          <w:tcPr>
            <w:tcW w:w="3009" w:type="dxa"/>
            <w:shd w:val="clear" w:color="auto" w:fill="auto"/>
          </w:tcPr>
          <w:p w:rsidR="00AE7603" w:rsidRPr="00117354" w:rsidRDefault="00AE7603" w:rsidP="00885428">
            <w:pPr>
              <w:pStyle w:val="Tabletext"/>
            </w:pPr>
            <w:r w:rsidRPr="00117354">
              <w:t>2.0</w:t>
            </w:r>
          </w:p>
        </w:tc>
        <w:tc>
          <w:tcPr>
            <w:tcW w:w="3009" w:type="dxa"/>
            <w:shd w:val="clear" w:color="auto" w:fill="auto"/>
          </w:tcPr>
          <w:p w:rsidR="00AE7603" w:rsidRPr="00117354" w:rsidRDefault="00AE7603" w:rsidP="00885428">
            <w:pPr>
              <w:pStyle w:val="Tabletext"/>
            </w:pPr>
            <w:r w:rsidRPr="00117354">
              <w:t>16 September 2008</w:t>
            </w:r>
          </w:p>
        </w:tc>
        <w:tc>
          <w:tcPr>
            <w:tcW w:w="3009" w:type="dxa"/>
            <w:shd w:val="clear" w:color="auto" w:fill="auto"/>
          </w:tcPr>
          <w:p w:rsidR="00AE7603" w:rsidRPr="00117354" w:rsidRDefault="00AE7603" w:rsidP="00885428">
            <w:pPr>
              <w:pStyle w:val="Tabletext"/>
            </w:pPr>
            <w:r w:rsidRPr="00117354">
              <w:t>s06pf331.v09.doc</w:t>
            </w:r>
          </w:p>
        </w:tc>
      </w:tr>
      <w:tr w:rsidR="00AE7603" w:rsidRPr="00117354" w:rsidTr="008C1B42">
        <w:tc>
          <w:tcPr>
            <w:tcW w:w="3009" w:type="dxa"/>
            <w:shd w:val="clear" w:color="auto" w:fill="auto"/>
          </w:tcPr>
          <w:p w:rsidR="00AE7603" w:rsidRPr="00117354" w:rsidRDefault="00AE7603" w:rsidP="00885428">
            <w:pPr>
              <w:pStyle w:val="Tabletext"/>
            </w:pPr>
            <w:r w:rsidRPr="00117354">
              <w:t>2.1</w:t>
            </w:r>
          </w:p>
        </w:tc>
        <w:tc>
          <w:tcPr>
            <w:tcW w:w="3009" w:type="dxa"/>
            <w:shd w:val="clear" w:color="auto" w:fill="auto"/>
          </w:tcPr>
          <w:p w:rsidR="00AE7603" w:rsidRPr="00117354" w:rsidRDefault="00AE7603" w:rsidP="00885428">
            <w:pPr>
              <w:pStyle w:val="Tabletext"/>
            </w:pPr>
            <w:r w:rsidRPr="00117354">
              <w:t>18 June 2009</w:t>
            </w:r>
          </w:p>
        </w:tc>
        <w:tc>
          <w:tcPr>
            <w:tcW w:w="3009" w:type="dxa"/>
            <w:shd w:val="clear" w:color="auto" w:fill="auto"/>
          </w:tcPr>
          <w:p w:rsidR="00AE7603" w:rsidRPr="00117354" w:rsidRDefault="00AE7603" w:rsidP="00885428">
            <w:pPr>
              <w:pStyle w:val="Tabletext"/>
            </w:pPr>
            <w:r w:rsidRPr="00117354">
              <w:t>s06pf331.v18.doc</w:t>
            </w:r>
          </w:p>
        </w:tc>
      </w:tr>
      <w:tr w:rsidR="00AE7603" w:rsidRPr="00117354" w:rsidTr="008C1B42">
        <w:tc>
          <w:tcPr>
            <w:tcW w:w="3009" w:type="dxa"/>
            <w:shd w:val="clear" w:color="auto" w:fill="auto"/>
          </w:tcPr>
          <w:p w:rsidR="00AE7603" w:rsidRPr="00117354" w:rsidRDefault="00AE7603" w:rsidP="00885428">
            <w:pPr>
              <w:pStyle w:val="Tabletext"/>
            </w:pPr>
            <w:r w:rsidRPr="00117354">
              <w:t>3.0</w:t>
            </w:r>
          </w:p>
        </w:tc>
        <w:tc>
          <w:tcPr>
            <w:tcW w:w="3009" w:type="dxa"/>
            <w:shd w:val="clear" w:color="auto" w:fill="auto"/>
          </w:tcPr>
          <w:p w:rsidR="00AE7603" w:rsidRPr="00117354" w:rsidRDefault="00AE7603" w:rsidP="00885428">
            <w:pPr>
              <w:pStyle w:val="Tabletext"/>
            </w:pPr>
            <w:r w:rsidRPr="00117354">
              <w:t>9 February 2010</w:t>
            </w:r>
          </w:p>
        </w:tc>
        <w:tc>
          <w:tcPr>
            <w:tcW w:w="3009" w:type="dxa"/>
            <w:shd w:val="clear" w:color="auto" w:fill="auto"/>
          </w:tcPr>
          <w:p w:rsidR="00AE7603" w:rsidRPr="00117354" w:rsidRDefault="00AE7603" w:rsidP="00885428">
            <w:pPr>
              <w:pStyle w:val="Tabletext"/>
            </w:pPr>
            <w:r w:rsidRPr="00117354">
              <w:t>s06pf331.v26.docx</w:t>
            </w:r>
          </w:p>
        </w:tc>
      </w:tr>
      <w:tr w:rsidR="00A11157" w:rsidRPr="00117354" w:rsidTr="008C1B42">
        <w:tc>
          <w:tcPr>
            <w:tcW w:w="3009" w:type="dxa"/>
            <w:shd w:val="clear" w:color="auto" w:fill="auto"/>
          </w:tcPr>
          <w:p w:rsidR="00A11157" w:rsidRPr="00117354" w:rsidRDefault="00DF35F9" w:rsidP="00DF35F9">
            <w:pPr>
              <w:pStyle w:val="Tabletext"/>
            </w:pPr>
            <w:r w:rsidRPr="00117354">
              <w:t>4</w:t>
            </w:r>
            <w:r w:rsidR="00A11157" w:rsidRPr="00117354">
              <w:t>.0</w:t>
            </w:r>
          </w:p>
        </w:tc>
        <w:tc>
          <w:tcPr>
            <w:tcW w:w="3009" w:type="dxa"/>
            <w:shd w:val="clear" w:color="auto" w:fill="auto"/>
          </w:tcPr>
          <w:p w:rsidR="00A11157" w:rsidRPr="00117354" w:rsidRDefault="00551104" w:rsidP="00A11157">
            <w:pPr>
              <w:pStyle w:val="Tabletext"/>
            </w:pPr>
            <w:r w:rsidRPr="00117354">
              <w:t>2 October 2012</w:t>
            </w:r>
          </w:p>
        </w:tc>
        <w:tc>
          <w:tcPr>
            <w:tcW w:w="3009" w:type="dxa"/>
            <w:shd w:val="clear" w:color="auto" w:fill="auto"/>
          </w:tcPr>
          <w:p w:rsidR="00B95DD9" w:rsidRPr="00117354" w:rsidRDefault="00CA7156" w:rsidP="00551104">
            <w:pPr>
              <w:pStyle w:val="Tabletext"/>
            </w:pPr>
            <w:r w:rsidRPr="00117354">
              <w:t>s06pf331.v3</w:t>
            </w:r>
            <w:r w:rsidR="00551104" w:rsidRPr="00117354">
              <w:t>6</w:t>
            </w:r>
            <w:r w:rsidRPr="00117354">
              <w:t>.docx</w:t>
            </w:r>
          </w:p>
        </w:tc>
      </w:tr>
      <w:tr w:rsidR="009B1960" w:rsidRPr="00117354" w:rsidTr="008C1B42">
        <w:tc>
          <w:tcPr>
            <w:tcW w:w="3009" w:type="dxa"/>
            <w:shd w:val="clear" w:color="auto" w:fill="auto"/>
          </w:tcPr>
          <w:p w:rsidR="009B1960" w:rsidRPr="00117354" w:rsidRDefault="009B1960" w:rsidP="00B620AD">
            <w:pPr>
              <w:pStyle w:val="Tabletext"/>
            </w:pPr>
            <w:r w:rsidRPr="00117354">
              <w:t>4.1</w:t>
            </w:r>
          </w:p>
        </w:tc>
        <w:tc>
          <w:tcPr>
            <w:tcW w:w="3009" w:type="dxa"/>
            <w:shd w:val="clear" w:color="auto" w:fill="auto"/>
          </w:tcPr>
          <w:p w:rsidR="009B1960" w:rsidRPr="00117354" w:rsidRDefault="009B1960" w:rsidP="00B620AD">
            <w:pPr>
              <w:pStyle w:val="Tabletext"/>
            </w:pPr>
            <w:r w:rsidRPr="00117354">
              <w:t>29 October 2012</w:t>
            </w:r>
          </w:p>
        </w:tc>
        <w:tc>
          <w:tcPr>
            <w:tcW w:w="3009" w:type="dxa"/>
            <w:shd w:val="clear" w:color="auto" w:fill="auto"/>
          </w:tcPr>
          <w:p w:rsidR="009B1960" w:rsidRPr="00117354" w:rsidRDefault="009B1960" w:rsidP="00B620AD">
            <w:pPr>
              <w:pStyle w:val="Tabletext"/>
            </w:pPr>
            <w:r w:rsidRPr="00117354">
              <w:t>s06pf331.v37.docx</w:t>
            </w:r>
          </w:p>
        </w:tc>
      </w:tr>
      <w:tr w:rsidR="009B1960" w:rsidRPr="00117354" w:rsidTr="008C1B42">
        <w:tc>
          <w:tcPr>
            <w:tcW w:w="3009" w:type="dxa"/>
            <w:shd w:val="clear" w:color="auto" w:fill="auto"/>
          </w:tcPr>
          <w:p w:rsidR="009B1960" w:rsidRPr="00117354" w:rsidRDefault="009B1960" w:rsidP="00DF35F9">
            <w:pPr>
              <w:pStyle w:val="Tabletext"/>
            </w:pPr>
            <w:r w:rsidRPr="00117354">
              <w:t>4.2</w:t>
            </w:r>
          </w:p>
        </w:tc>
        <w:tc>
          <w:tcPr>
            <w:tcW w:w="3009" w:type="dxa"/>
            <w:shd w:val="clear" w:color="auto" w:fill="auto"/>
          </w:tcPr>
          <w:p w:rsidR="009B1960" w:rsidRPr="00117354" w:rsidRDefault="003A0A48" w:rsidP="003A0A48">
            <w:pPr>
              <w:pStyle w:val="Tabletext"/>
            </w:pPr>
            <w:r w:rsidRPr="00117354">
              <w:t>19 December 2013</w:t>
            </w:r>
          </w:p>
        </w:tc>
        <w:tc>
          <w:tcPr>
            <w:tcW w:w="3009" w:type="dxa"/>
            <w:shd w:val="clear" w:color="auto" w:fill="auto"/>
          </w:tcPr>
          <w:p w:rsidR="009B1960" w:rsidRPr="00117354" w:rsidRDefault="003A0A48" w:rsidP="003A0A48">
            <w:pPr>
              <w:pStyle w:val="Tabletext"/>
            </w:pPr>
            <w:r w:rsidRPr="00117354">
              <w:t>s06pf331.v39.docx</w:t>
            </w:r>
          </w:p>
        </w:tc>
      </w:tr>
      <w:tr w:rsidR="004C11C9" w:rsidRPr="00117354" w:rsidTr="008C1B42">
        <w:tc>
          <w:tcPr>
            <w:tcW w:w="3009" w:type="dxa"/>
            <w:tcBorders>
              <w:bottom w:val="single" w:sz="2" w:space="0" w:color="auto"/>
            </w:tcBorders>
            <w:shd w:val="clear" w:color="auto" w:fill="auto"/>
          </w:tcPr>
          <w:p w:rsidR="004C11C9" w:rsidRPr="00117354" w:rsidRDefault="004C11C9" w:rsidP="00E62DE8">
            <w:pPr>
              <w:pStyle w:val="Tabletext"/>
            </w:pPr>
            <w:r w:rsidRPr="00117354">
              <w:t>4.3</w:t>
            </w:r>
          </w:p>
        </w:tc>
        <w:tc>
          <w:tcPr>
            <w:tcW w:w="3009" w:type="dxa"/>
            <w:tcBorders>
              <w:bottom w:val="single" w:sz="2" w:space="0" w:color="auto"/>
            </w:tcBorders>
            <w:shd w:val="clear" w:color="auto" w:fill="auto"/>
          </w:tcPr>
          <w:p w:rsidR="004C11C9" w:rsidRPr="00117354" w:rsidRDefault="004C11C9" w:rsidP="00E62DE8">
            <w:pPr>
              <w:pStyle w:val="Tabletext"/>
            </w:pPr>
            <w:r w:rsidRPr="00117354">
              <w:t>4</w:t>
            </w:r>
            <w:r w:rsidRPr="00117354">
              <w:rPr>
                <w:i/>
              </w:rPr>
              <w:t xml:space="preserve"> </w:t>
            </w:r>
            <w:r w:rsidRPr="00117354">
              <w:t>February 2015</w:t>
            </w:r>
          </w:p>
        </w:tc>
        <w:tc>
          <w:tcPr>
            <w:tcW w:w="3009" w:type="dxa"/>
            <w:tcBorders>
              <w:bottom w:val="single" w:sz="2" w:space="0" w:color="auto"/>
            </w:tcBorders>
            <w:shd w:val="clear" w:color="auto" w:fill="auto"/>
          </w:tcPr>
          <w:p w:rsidR="004C11C9" w:rsidRPr="00117354" w:rsidRDefault="004C11C9" w:rsidP="00E62DE8">
            <w:pPr>
              <w:pStyle w:val="Tabletext"/>
            </w:pPr>
            <w:r w:rsidRPr="00117354">
              <w:t>s06pf331.v43.docx</w:t>
            </w:r>
          </w:p>
        </w:tc>
      </w:tr>
      <w:tr w:rsidR="00D135EB" w:rsidRPr="00117354" w:rsidTr="008C1B42">
        <w:tc>
          <w:tcPr>
            <w:tcW w:w="3009" w:type="dxa"/>
            <w:tcBorders>
              <w:top w:val="single" w:sz="2" w:space="0" w:color="auto"/>
              <w:bottom w:val="single" w:sz="12" w:space="0" w:color="auto"/>
            </w:tcBorders>
            <w:shd w:val="clear" w:color="auto" w:fill="auto"/>
          </w:tcPr>
          <w:p w:rsidR="00D135EB" w:rsidRPr="00117354" w:rsidRDefault="00D135EB" w:rsidP="004C11C9">
            <w:pPr>
              <w:pStyle w:val="Tabletext"/>
            </w:pPr>
            <w:r w:rsidRPr="00117354">
              <w:t>4.</w:t>
            </w:r>
            <w:r w:rsidR="004C11C9" w:rsidRPr="00117354">
              <w:t>4</w:t>
            </w:r>
          </w:p>
        </w:tc>
        <w:tc>
          <w:tcPr>
            <w:tcW w:w="3009" w:type="dxa"/>
            <w:tcBorders>
              <w:top w:val="single" w:sz="2" w:space="0" w:color="auto"/>
              <w:bottom w:val="single" w:sz="12" w:space="0" w:color="auto"/>
            </w:tcBorders>
            <w:shd w:val="clear" w:color="auto" w:fill="auto"/>
          </w:tcPr>
          <w:p w:rsidR="00D135EB" w:rsidRPr="00117354" w:rsidRDefault="00E83090" w:rsidP="00FA1441">
            <w:pPr>
              <w:pStyle w:val="Tabletext"/>
            </w:pPr>
            <w:r w:rsidRPr="00117354">
              <w:t>1</w:t>
            </w:r>
            <w:r w:rsidR="00FA1441" w:rsidRPr="00117354">
              <w:t xml:space="preserve"> March </w:t>
            </w:r>
            <w:r w:rsidR="00D135EB" w:rsidRPr="00117354">
              <w:t>201</w:t>
            </w:r>
            <w:r w:rsidR="004C11C9" w:rsidRPr="00117354">
              <w:t>6</w:t>
            </w:r>
          </w:p>
        </w:tc>
        <w:tc>
          <w:tcPr>
            <w:tcW w:w="3009" w:type="dxa"/>
            <w:tcBorders>
              <w:top w:val="single" w:sz="2" w:space="0" w:color="auto"/>
              <w:bottom w:val="single" w:sz="12" w:space="0" w:color="auto"/>
            </w:tcBorders>
            <w:shd w:val="clear" w:color="auto" w:fill="auto"/>
          </w:tcPr>
          <w:p w:rsidR="00D135EB" w:rsidRPr="00117354" w:rsidRDefault="00D135EB" w:rsidP="00117354">
            <w:pPr>
              <w:pStyle w:val="Tabletext"/>
            </w:pPr>
            <w:r w:rsidRPr="00117354">
              <w:t>s06pf331.v</w:t>
            </w:r>
            <w:r w:rsidR="00117354" w:rsidRPr="00117354">
              <w:t>48</w:t>
            </w:r>
            <w:r w:rsidRPr="00117354">
              <w:t>.docx</w:t>
            </w:r>
          </w:p>
        </w:tc>
      </w:tr>
    </w:tbl>
    <w:p w:rsidR="00AE7603" w:rsidRPr="00117354" w:rsidRDefault="00AE7603" w:rsidP="00AE7603">
      <w:pPr>
        <w:pStyle w:val="notemargin"/>
      </w:pPr>
      <w:r w:rsidRPr="00117354">
        <w:t>Note:</w:t>
      </w:r>
      <w:r w:rsidRPr="00117354">
        <w:tab/>
        <w:t>Before the issue of the current series of Drafting Directions, this Drafting Direction was known as Drafting Direction No. 11 of 2004 and Drafting Direction No. 3 of 2001.</w:t>
      </w:r>
    </w:p>
    <w:sectPr w:rsidR="00AE7603" w:rsidRPr="00117354" w:rsidSect="00E25B9A">
      <w:headerReference w:type="even" r:id="rId9"/>
      <w:headerReference w:type="default" r:id="rId10"/>
      <w:footerReference w:type="even" r:id="rId11"/>
      <w:footerReference w:type="default" r:id="rId12"/>
      <w:headerReference w:type="first" r:id="rId13"/>
      <w:footerReference w:type="first" r:id="rId14"/>
      <w:pgSz w:w="11907" w:h="1683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21E" w:rsidRDefault="008A621E" w:rsidP="00A34568">
      <w:pPr>
        <w:spacing w:line="240" w:lineRule="auto"/>
      </w:pPr>
      <w:r>
        <w:separator/>
      </w:r>
    </w:p>
  </w:endnote>
  <w:endnote w:type="continuationSeparator" w:id="0">
    <w:p w:rsidR="008A621E" w:rsidRDefault="008A621E" w:rsidP="00A345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B9A" w:rsidRDefault="00E25B9A" w:rsidP="00E25B9A">
    <w:pPr>
      <w:pStyle w:val="Footer"/>
      <w:tabs>
        <w:tab w:val="right" w:pos="8789"/>
      </w:tabs>
    </w:pPr>
    <w:r>
      <w:rPr>
        <w:sz w:val="20"/>
      </w:rPr>
      <w:t xml:space="preserve">Page </w:t>
    </w:r>
    <w:r w:rsidR="00C208B3">
      <w:rPr>
        <w:rStyle w:val="PageNumber"/>
        <w:sz w:val="20"/>
      </w:rPr>
      <w:fldChar w:fldCharType="begin"/>
    </w:r>
    <w:r>
      <w:rPr>
        <w:rStyle w:val="PageNumber"/>
        <w:sz w:val="20"/>
      </w:rPr>
      <w:instrText xml:space="preserve"> PAGE </w:instrText>
    </w:r>
    <w:r w:rsidR="00C208B3">
      <w:rPr>
        <w:rStyle w:val="PageNumber"/>
        <w:sz w:val="20"/>
      </w:rPr>
      <w:fldChar w:fldCharType="separate"/>
    </w:r>
    <w:r w:rsidR="00D05369">
      <w:rPr>
        <w:rStyle w:val="PageNumber"/>
        <w:noProof/>
        <w:sz w:val="20"/>
      </w:rPr>
      <w:t>8</w:t>
    </w:r>
    <w:r w:rsidR="00C208B3">
      <w:rPr>
        <w:rStyle w:val="PageNumber"/>
        <w:sz w:val="20"/>
      </w:rPr>
      <w:fldChar w:fldCharType="end"/>
    </w:r>
    <w:r>
      <w:rPr>
        <w:sz w:val="16"/>
      </w:rPr>
      <w:t xml:space="preserve"> </w:t>
    </w:r>
    <w:r>
      <w:rPr>
        <w:sz w:val="16"/>
      </w:rPr>
      <w:tab/>
      <w:t>[</w:t>
    </w:r>
    <w:r w:rsidR="00D05369">
      <w:rPr>
        <w:noProof/>
        <w:sz w:val="16"/>
      </w:rPr>
      <w:t>s06pf331.v48.docx</w:t>
    </w:r>
    <w:r>
      <w:rPr>
        <w:sz w:val="16"/>
      </w:rPr>
      <w:t>] [</w:t>
    </w:r>
    <w:r w:rsidR="00D05369">
      <w:rPr>
        <w:noProof/>
        <w:sz w:val="16"/>
      </w:rPr>
      <w:t>1 Mar 2016</w:t>
    </w:r>
    <w:r>
      <w:rPr>
        <w:sz w:val="16"/>
      </w:rPr>
      <w:t>] [</w:t>
    </w:r>
    <w:r w:rsidR="00D05369">
      <w:rPr>
        <w:noProof/>
        <w:sz w:val="16"/>
      </w:rPr>
      <w:t>4:42 PM</w:t>
    </w:r>
    <w:r>
      <w:rPr>
        <w:sz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B9A" w:rsidRDefault="00E25B9A" w:rsidP="00E25B9A">
    <w:pPr>
      <w:tabs>
        <w:tab w:val="right" w:pos="8931"/>
      </w:tabs>
      <w:rPr>
        <w:sz w:val="16"/>
      </w:rPr>
    </w:pPr>
    <w:r>
      <w:rPr>
        <w:sz w:val="16"/>
      </w:rPr>
      <w:t>[</w:t>
    </w:r>
    <w:r w:rsidR="00D05369">
      <w:rPr>
        <w:noProof/>
        <w:sz w:val="16"/>
      </w:rPr>
      <w:t>s06pf331.v48.docx</w:t>
    </w:r>
    <w:r>
      <w:rPr>
        <w:sz w:val="16"/>
      </w:rPr>
      <w:t>] [</w:t>
    </w:r>
    <w:r w:rsidR="00D05369">
      <w:rPr>
        <w:noProof/>
        <w:sz w:val="16"/>
      </w:rPr>
      <w:t>1 Mar 2016</w:t>
    </w:r>
    <w:r>
      <w:rPr>
        <w:sz w:val="16"/>
      </w:rPr>
      <w:t>] [</w:t>
    </w:r>
    <w:r w:rsidR="00D05369">
      <w:rPr>
        <w:noProof/>
        <w:sz w:val="16"/>
      </w:rPr>
      <w:t>4:42 PM</w:t>
    </w:r>
    <w:r>
      <w:rPr>
        <w:sz w:val="16"/>
      </w:rPr>
      <w:t>]</w:t>
    </w:r>
    <w:r>
      <w:rPr>
        <w:sz w:val="16"/>
      </w:rPr>
      <w:tab/>
    </w:r>
    <w:r>
      <w:rPr>
        <w:sz w:val="20"/>
      </w:rPr>
      <w:t xml:space="preserve">Page </w:t>
    </w:r>
    <w:r w:rsidR="00C208B3">
      <w:rPr>
        <w:rStyle w:val="PageNumber"/>
        <w:sz w:val="20"/>
      </w:rPr>
      <w:fldChar w:fldCharType="begin"/>
    </w:r>
    <w:r>
      <w:rPr>
        <w:rStyle w:val="PageNumber"/>
        <w:sz w:val="20"/>
      </w:rPr>
      <w:instrText xml:space="preserve"> PAGE </w:instrText>
    </w:r>
    <w:r w:rsidR="00C208B3">
      <w:rPr>
        <w:rStyle w:val="PageNumber"/>
        <w:sz w:val="20"/>
      </w:rPr>
      <w:fldChar w:fldCharType="separate"/>
    </w:r>
    <w:r w:rsidR="00D05369">
      <w:rPr>
        <w:rStyle w:val="PageNumber"/>
        <w:noProof/>
        <w:sz w:val="20"/>
      </w:rPr>
      <w:t>9</w:t>
    </w:r>
    <w:r w:rsidR="00C208B3">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B9A" w:rsidRDefault="00E25B9A" w:rsidP="00E25B9A">
    <w:pPr>
      <w:tabs>
        <w:tab w:val="right" w:pos="8931"/>
      </w:tabs>
    </w:pPr>
    <w:r>
      <w:rPr>
        <w:sz w:val="16"/>
      </w:rPr>
      <w:t>[</w:t>
    </w:r>
    <w:r w:rsidR="00D05369">
      <w:rPr>
        <w:noProof/>
        <w:sz w:val="16"/>
      </w:rPr>
      <w:t>s06pf331.v48.docx</w:t>
    </w:r>
    <w:r>
      <w:rPr>
        <w:sz w:val="16"/>
      </w:rPr>
      <w:t>] [</w:t>
    </w:r>
    <w:r w:rsidR="00D05369">
      <w:rPr>
        <w:noProof/>
        <w:sz w:val="16"/>
      </w:rPr>
      <w:t>1 Mar 2016</w:t>
    </w:r>
    <w:r>
      <w:rPr>
        <w:sz w:val="16"/>
      </w:rPr>
      <w:t>] [</w:t>
    </w:r>
    <w:r w:rsidR="00D05369">
      <w:rPr>
        <w:noProof/>
        <w:sz w:val="16"/>
      </w:rPr>
      <w:t>4:42 PM</w:t>
    </w:r>
    <w:r>
      <w:rPr>
        <w:sz w:val="16"/>
      </w:rPr>
      <w:t>]</w:t>
    </w:r>
    <w:r>
      <w:tab/>
    </w:r>
    <w:r>
      <w:rPr>
        <w:sz w:val="20"/>
      </w:rPr>
      <w:t xml:space="preserve">Page </w:t>
    </w:r>
    <w:r w:rsidR="00C208B3">
      <w:rPr>
        <w:rStyle w:val="PageNumber"/>
        <w:sz w:val="20"/>
      </w:rPr>
      <w:fldChar w:fldCharType="begin"/>
    </w:r>
    <w:r>
      <w:rPr>
        <w:rStyle w:val="PageNumber"/>
        <w:sz w:val="20"/>
      </w:rPr>
      <w:instrText xml:space="preserve"> PAGE </w:instrText>
    </w:r>
    <w:r w:rsidR="00C208B3">
      <w:rPr>
        <w:rStyle w:val="PageNumber"/>
        <w:sz w:val="20"/>
      </w:rPr>
      <w:fldChar w:fldCharType="separate"/>
    </w:r>
    <w:r w:rsidR="00D05369">
      <w:rPr>
        <w:rStyle w:val="PageNumber"/>
        <w:noProof/>
        <w:sz w:val="20"/>
      </w:rPr>
      <w:t>1</w:t>
    </w:r>
    <w:r w:rsidR="00C208B3">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21E" w:rsidRDefault="008A621E" w:rsidP="00A34568">
      <w:pPr>
        <w:spacing w:line="240" w:lineRule="auto"/>
      </w:pPr>
      <w:r>
        <w:separator/>
      </w:r>
    </w:p>
  </w:footnote>
  <w:footnote w:type="continuationSeparator" w:id="0">
    <w:p w:rsidR="008A621E" w:rsidRDefault="008A621E" w:rsidP="00A3456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B9A" w:rsidRDefault="00C208B3" w:rsidP="00E25B9A">
    <w:pPr>
      <w:pStyle w:val="Header"/>
    </w:pPr>
    <w:r>
      <w:rPr>
        <w:rStyle w:val="PageNumber"/>
      </w:rPr>
      <w:fldChar w:fldCharType="begin"/>
    </w:r>
    <w:r w:rsidR="00E25B9A">
      <w:rPr>
        <w:rStyle w:val="PageNumber"/>
      </w:rPr>
      <w:instrText xml:space="preserve"> STYLEREF "Head 1" </w:instrText>
    </w:r>
    <w:r>
      <w:rPr>
        <w:rStyle w:val="PageNumber"/>
      </w:rPr>
      <w:fldChar w:fldCharType="separate"/>
    </w:r>
    <w:r w:rsidR="00117354">
      <w:rPr>
        <w:rStyle w:val="PageNumber"/>
        <w:noProof/>
      </w:rPr>
      <w:t>Drafting Direction No. 2.1</w:t>
    </w:r>
    <w:r w:rsidR="00117354">
      <w:rPr>
        <w:rStyle w:val="PageNumber"/>
        <w:noProof/>
      </w:rPr>
      <w:br/>
      <w:t>English usage, gender-specific and gender-neutral language, grammar, punctuation and spelling</w:t>
    </w:r>
    <w:r>
      <w:rPr>
        <w:rStyle w:val="PageNumber"/>
      </w:rPr>
      <w:fldChar w:fldCharType="end"/>
    </w:r>
  </w:p>
  <w:p w:rsidR="00E25B9A" w:rsidRDefault="00E25B9A" w:rsidP="00E25B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B9A" w:rsidRDefault="00C208B3" w:rsidP="00E25B9A">
    <w:pPr>
      <w:pStyle w:val="Header"/>
      <w:jc w:val="right"/>
    </w:pPr>
    <w:r>
      <w:rPr>
        <w:rStyle w:val="PageNumber"/>
      </w:rPr>
      <w:fldChar w:fldCharType="begin"/>
    </w:r>
    <w:r w:rsidR="00E25B9A">
      <w:rPr>
        <w:rStyle w:val="PageNumber"/>
      </w:rPr>
      <w:instrText xml:space="preserve"> STYLEREF "Head 1" </w:instrText>
    </w:r>
    <w:r>
      <w:rPr>
        <w:rStyle w:val="PageNumber"/>
      </w:rPr>
      <w:fldChar w:fldCharType="separate"/>
    </w:r>
    <w:r w:rsidR="00117354">
      <w:rPr>
        <w:rStyle w:val="PageNumber"/>
        <w:noProof/>
      </w:rPr>
      <w:t>Drafting Direction No. 2.1</w:t>
    </w:r>
    <w:r w:rsidR="00117354">
      <w:rPr>
        <w:rStyle w:val="PageNumber"/>
        <w:noProof/>
      </w:rPr>
      <w:br/>
      <w:t>English usage, gender-specific and gender-neutral language, grammar, punctuation and spelling</w:t>
    </w:r>
    <w:r>
      <w:rPr>
        <w:rStyle w:val="PageNumber"/>
      </w:rPr>
      <w:fldChar w:fldCharType="end"/>
    </w:r>
  </w:p>
  <w:p w:rsidR="00E25B9A" w:rsidRDefault="00E25B9A" w:rsidP="00E25B9A">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B9A" w:rsidRDefault="00C208B3" w:rsidP="00E25B9A">
    <w:pPr>
      <w:pStyle w:val="Header"/>
      <w:jc w:val="right"/>
      <w:rPr>
        <w:rStyle w:val="PageNumber"/>
      </w:rPr>
    </w:pPr>
    <w:r>
      <w:rPr>
        <w:rStyle w:val="PageNumber"/>
      </w:rPr>
      <w:fldChar w:fldCharType="begin"/>
    </w:r>
    <w:r w:rsidR="00E25B9A">
      <w:rPr>
        <w:rStyle w:val="PageNumber"/>
      </w:rPr>
      <w:instrText xml:space="preserve"> STYLEREF "Head 1" </w:instrText>
    </w:r>
    <w:r>
      <w:rPr>
        <w:rStyle w:val="PageNumber"/>
      </w:rPr>
      <w:fldChar w:fldCharType="separate"/>
    </w:r>
    <w:r w:rsidR="00117354">
      <w:rPr>
        <w:rStyle w:val="PageNumber"/>
        <w:noProof/>
      </w:rPr>
      <w:t>Drafting Direction No. 2.1</w:t>
    </w:r>
    <w:r w:rsidR="00117354">
      <w:rPr>
        <w:rStyle w:val="PageNumber"/>
        <w:noProof/>
      </w:rPr>
      <w:br/>
      <w:t>English usage, gender-specific and gender-neutral language, grammar, punctuation and spelling</w:t>
    </w:r>
    <w:r>
      <w:rPr>
        <w:rStyle w:val="PageNumber"/>
      </w:rPr>
      <w:fldChar w:fldCharType="end"/>
    </w:r>
  </w:p>
  <w:p w:rsidR="00E25B9A" w:rsidRDefault="00E25B9A" w:rsidP="00E25B9A">
    <w:pPr>
      <w:pStyle w:val="Header"/>
      <w:spacing w:before="240" w:after="600"/>
      <w:jc w:val="center"/>
      <w:rPr>
        <w:b/>
        <w:caps/>
        <w:sz w:val="36"/>
        <w:lang w:val="en-US"/>
      </w:rPr>
    </w:pPr>
    <w:r>
      <w:rPr>
        <w:b/>
        <w:caps/>
        <w:sz w:val="36"/>
        <w:lang w:val="en-US"/>
      </w:rPr>
      <w:t>Parliamentary Counsel</w:t>
    </w:r>
  </w:p>
  <w:p w:rsidR="00E25B9A" w:rsidRDefault="00E25B9A" w:rsidP="00E25B9A">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46CEF80"/>
    <w:lvl w:ilvl="0">
      <w:start w:val="1"/>
      <w:numFmt w:val="decimal"/>
      <w:lvlText w:val="%1."/>
      <w:lvlJc w:val="left"/>
      <w:pPr>
        <w:tabs>
          <w:tab w:val="num" w:pos="1492"/>
        </w:tabs>
        <w:ind w:left="1492" w:hanging="360"/>
      </w:pPr>
    </w:lvl>
  </w:abstractNum>
  <w:abstractNum w:abstractNumId="1">
    <w:nsid w:val="FFFFFF7D"/>
    <w:multiLevelType w:val="singleLevel"/>
    <w:tmpl w:val="0472C198"/>
    <w:lvl w:ilvl="0">
      <w:start w:val="1"/>
      <w:numFmt w:val="decimal"/>
      <w:lvlText w:val="%1."/>
      <w:lvlJc w:val="left"/>
      <w:pPr>
        <w:tabs>
          <w:tab w:val="num" w:pos="1209"/>
        </w:tabs>
        <w:ind w:left="1209" w:hanging="360"/>
      </w:pPr>
    </w:lvl>
  </w:abstractNum>
  <w:abstractNum w:abstractNumId="2">
    <w:nsid w:val="FFFFFF7E"/>
    <w:multiLevelType w:val="singleLevel"/>
    <w:tmpl w:val="AC8851A2"/>
    <w:lvl w:ilvl="0">
      <w:start w:val="1"/>
      <w:numFmt w:val="decimal"/>
      <w:lvlText w:val="%1."/>
      <w:lvlJc w:val="left"/>
      <w:pPr>
        <w:tabs>
          <w:tab w:val="num" w:pos="926"/>
        </w:tabs>
        <w:ind w:left="926" w:hanging="360"/>
      </w:pPr>
    </w:lvl>
  </w:abstractNum>
  <w:abstractNum w:abstractNumId="3">
    <w:nsid w:val="FFFFFF7F"/>
    <w:multiLevelType w:val="singleLevel"/>
    <w:tmpl w:val="296A0F1A"/>
    <w:lvl w:ilvl="0">
      <w:start w:val="1"/>
      <w:numFmt w:val="decimal"/>
      <w:lvlText w:val="%1."/>
      <w:lvlJc w:val="left"/>
      <w:pPr>
        <w:tabs>
          <w:tab w:val="num" w:pos="643"/>
        </w:tabs>
        <w:ind w:left="643" w:hanging="360"/>
      </w:pPr>
    </w:lvl>
  </w:abstractNum>
  <w:abstractNum w:abstractNumId="4">
    <w:nsid w:val="FFFFFF80"/>
    <w:multiLevelType w:val="singleLevel"/>
    <w:tmpl w:val="2A266E6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9B68CF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2892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1A09C0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7C56E0"/>
    <w:lvl w:ilvl="0">
      <w:start w:val="1"/>
      <w:numFmt w:val="decimal"/>
      <w:lvlText w:val="%1."/>
      <w:lvlJc w:val="left"/>
      <w:pPr>
        <w:tabs>
          <w:tab w:val="num" w:pos="360"/>
        </w:tabs>
        <w:ind w:left="360" w:hanging="360"/>
      </w:pPr>
    </w:lvl>
  </w:abstractNum>
  <w:abstractNum w:abstractNumId="9">
    <w:nsid w:val="FFFFFF89"/>
    <w:multiLevelType w:val="singleLevel"/>
    <w:tmpl w:val="E5C69B6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2B519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3D55CB9"/>
    <w:multiLevelType w:val="multilevel"/>
    <w:tmpl w:val="C2E0882C"/>
    <w:lvl w:ilvl="0">
      <w:start w:val="1"/>
      <w:numFmt w:val="bullet"/>
      <w:lvlText w:val=""/>
      <w:lvlJc w:val="left"/>
      <w:pPr>
        <w:tabs>
          <w:tab w:val="num" w:pos="720"/>
        </w:tabs>
        <w:ind w:left="0" w:firstLine="0"/>
      </w:pPr>
      <w:rPr>
        <w:rFonts w:ascii="Symbol" w:hAnsi="Symbol"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2"/>
  </w:num>
  <w:num w:numId="14">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TrueTypeFonts/>
  <w:saveSubsetFonts/>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B23"/>
    <w:rsid w:val="000136AF"/>
    <w:rsid w:val="000168A0"/>
    <w:rsid w:val="00025508"/>
    <w:rsid w:val="0002550E"/>
    <w:rsid w:val="00056743"/>
    <w:rsid w:val="000614BF"/>
    <w:rsid w:val="0006277B"/>
    <w:rsid w:val="00067160"/>
    <w:rsid w:val="000A6B23"/>
    <w:rsid w:val="000B43CD"/>
    <w:rsid w:val="000B6AD6"/>
    <w:rsid w:val="000C17CA"/>
    <w:rsid w:val="000C64CF"/>
    <w:rsid w:val="000D05EF"/>
    <w:rsid w:val="000D3149"/>
    <w:rsid w:val="000E2E58"/>
    <w:rsid w:val="00101F4C"/>
    <w:rsid w:val="0010745C"/>
    <w:rsid w:val="00117354"/>
    <w:rsid w:val="001353D6"/>
    <w:rsid w:val="00141A6C"/>
    <w:rsid w:val="00166C2F"/>
    <w:rsid w:val="0018217C"/>
    <w:rsid w:val="0018400C"/>
    <w:rsid w:val="00191E1E"/>
    <w:rsid w:val="001939E1"/>
    <w:rsid w:val="00193E45"/>
    <w:rsid w:val="00195382"/>
    <w:rsid w:val="001B11B0"/>
    <w:rsid w:val="001B7002"/>
    <w:rsid w:val="001C2242"/>
    <w:rsid w:val="001C69C4"/>
    <w:rsid w:val="001D3C54"/>
    <w:rsid w:val="001E3590"/>
    <w:rsid w:val="001E3A0B"/>
    <w:rsid w:val="001E7407"/>
    <w:rsid w:val="001F19C1"/>
    <w:rsid w:val="001F6306"/>
    <w:rsid w:val="00201B73"/>
    <w:rsid w:val="00210A5A"/>
    <w:rsid w:val="0021247D"/>
    <w:rsid w:val="002271B2"/>
    <w:rsid w:val="002410C7"/>
    <w:rsid w:val="002411E5"/>
    <w:rsid w:val="00251147"/>
    <w:rsid w:val="00251351"/>
    <w:rsid w:val="00253D1B"/>
    <w:rsid w:val="00276097"/>
    <w:rsid w:val="00287713"/>
    <w:rsid w:val="002905C7"/>
    <w:rsid w:val="00292D65"/>
    <w:rsid w:val="00295FBA"/>
    <w:rsid w:val="002970D7"/>
    <w:rsid w:val="00297ECB"/>
    <w:rsid w:val="002A7DA5"/>
    <w:rsid w:val="002B1951"/>
    <w:rsid w:val="002B3053"/>
    <w:rsid w:val="002B66D5"/>
    <w:rsid w:val="002D043A"/>
    <w:rsid w:val="002D6911"/>
    <w:rsid w:val="002E6135"/>
    <w:rsid w:val="002F2B06"/>
    <w:rsid w:val="002F2C5C"/>
    <w:rsid w:val="00310AAA"/>
    <w:rsid w:val="00331642"/>
    <w:rsid w:val="00335468"/>
    <w:rsid w:val="00343A1E"/>
    <w:rsid w:val="00347BA6"/>
    <w:rsid w:val="0035220C"/>
    <w:rsid w:val="00352B0F"/>
    <w:rsid w:val="00360FB0"/>
    <w:rsid w:val="00362945"/>
    <w:rsid w:val="0036702F"/>
    <w:rsid w:val="0037065E"/>
    <w:rsid w:val="003712D1"/>
    <w:rsid w:val="00381FAE"/>
    <w:rsid w:val="00397C3F"/>
    <w:rsid w:val="003A0A48"/>
    <w:rsid w:val="003A11A5"/>
    <w:rsid w:val="003B5735"/>
    <w:rsid w:val="003C22A6"/>
    <w:rsid w:val="003D0BFE"/>
    <w:rsid w:val="003D0E8F"/>
    <w:rsid w:val="003D5700"/>
    <w:rsid w:val="003F1834"/>
    <w:rsid w:val="00402EF9"/>
    <w:rsid w:val="00405ED3"/>
    <w:rsid w:val="004116CD"/>
    <w:rsid w:val="004123D1"/>
    <w:rsid w:val="00424CA9"/>
    <w:rsid w:val="0044291A"/>
    <w:rsid w:val="00445056"/>
    <w:rsid w:val="004564A7"/>
    <w:rsid w:val="004623A8"/>
    <w:rsid w:val="00463AB8"/>
    <w:rsid w:val="004653F8"/>
    <w:rsid w:val="00465CDA"/>
    <w:rsid w:val="00467D16"/>
    <w:rsid w:val="00496F97"/>
    <w:rsid w:val="004B3006"/>
    <w:rsid w:val="004B4278"/>
    <w:rsid w:val="004B6588"/>
    <w:rsid w:val="004C11C9"/>
    <w:rsid w:val="004C2CE5"/>
    <w:rsid w:val="004C56D9"/>
    <w:rsid w:val="004D2519"/>
    <w:rsid w:val="004D257D"/>
    <w:rsid w:val="004E0855"/>
    <w:rsid w:val="004E6B39"/>
    <w:rsid w:val="004F18C1"/>
    <w:rsid w:val="00516B8D"/>
    <w:rsid w:val="00537FBC"/>
    <w:rsid w:val="00551104"/>
    <w:rsid w:val="00560256"/>
    <w:rsid w:val="00584811"/>
    <w:rsid w:val="005857FB"/>
    <w:rsid w:val="00585BEA"/>
    <w:rsid w:val="00590AAF"/>
    <w:rsid w:val="00594161"/>
    <w:rsid w:val="00594749"/>
    <w:rsid w:val="005A4D63"/>
    <w:rsid w:val="005A5AF1"/>
    <w:rsid w:val="005B1E7D"/>
    <w:rsid w:val="005B2FAF"/>
    <w:rsid w:val="005B45D4"/>
    <w:rsid w:val="005C7533"/>
    <w:rsid w:val="005D587B"/>
    <w:rsid w:val="005E690A"/>
    <w:rsid w:val="005F2FA6"/>
    <w:rsid w:val="00600219"/>
    <w:rsid w:val="00604ACA"/>
    <w:rsid w:val="00613431"/>
    <w:rsid w:val="006168BE"/>
    <w:rsid w:val="006207A3"/>
    <w:rsid w:val="00634C65"/>
    <w:rsid w:val="00641407"/>
    <w:rsid w:val="00654AF5"/>
    <w:rsid w:val="00655ED4"/>
    <w:rsid w:val="00661924"/>
    <w:rsid w:val="0067061C"/>
    <w:rsid w:val="00677CC2"/>
    <w:rsid w:val="00680F77"/>
    <w:rsid w:val="0069207B"/>
    <w:rsid w:val="006A179F"/>
    <w:rsid w:val="006A3510"/>
    <w:rsid w:val="006B08B8"/>
    <w:rsid w:val="006B3676"/>
    <w:rsid w:val="006B7A16"/>
    <w:rsid w:val="006C5283"/>
    <w:rsid w:val="006C7F8C"/>
    <w:rsid w:val="006D2928"/>
    <w:rsid w:val="006D298B"/>
    <w:rsid w:val="006D6F54"/>
    <w:rsid w:val="006E453A"/>
    <w:rsid w:val="006E4ED0"/>
    <w:rsid w:val="006E57EC"/>
    <w:rsid w:val="006E61A0"/>
    <w:rsid w:val="00705D1D"/>
    <w:rsid w:val="00715D61"/>
    <w:rsid w:val="007218FF"/>
    <w:rsid w:val="007276BC"/>
    <w:rsid w:val="00731E00"/>
    <w:rsid w:val="00733990"/>
    <w:rsid w:val="007377AD"/>
    <w:rsid w:val="00737DEF"/>
    <w:rsid w:val="00763ECD"/>
    <w:rsid w:val="0076418F"/>
    <w:rsid w:val="007715C9"/>
    <w:rsid w:val="00773100"/>
    <w:rsid w:val="00774EDD"/>
    <w:rsid w:val="007757EC"/>
    <w:rsid w:val="00781482"/>
    <w:rsid w:val="00787059"/>
    <w:rsid w:val="007A08CA"/>
    <w:rsid w:val="007B7D5A"/>
    <w:rsid w:val="007C343A"/>
    <w:rsid w:val="007C728F"/>
    <w:rsid w:val="007E3CD8"/>
    <w:rsid w:val="00851A1C"/>
    <w:rsid w:val="00853922"/>
    <w:rsid w:val="00855C22"/>
    <w:rsid w:val="008560C1"/>
    <w:rsid w:val="00856A31"/>
    <w:rsid w:val="00864E0A"/>
    <w:rsid w:val="008664E0"/>
    <w:rsid w:val="008754D0"/>
    <w:rsid w:val="00894E7D"/>
    <w:rsid w:val="00897846"/>
    <w:rsid w:val="008A26E7"/>
    <w:rsid w:val="008A621E"/>
    <w:rsid w:val="008B441D"/>
    <w:rsid w:val="008B5E07"/>
    <w:rsid w:val="008C1B42"/>
    <w:rsid w:val="008E3B8C"/>
    <w:rsid w:val="008F4538"/>
    <w:rsid w:val="009111B0"/>
    <w:rsid w:val="0094622F"/>
    <w:rsid w:val="00947EC6"/>
    <w:rsid w:val="00960BB1"/>
    <w:rsid w:val="00961D9F"/>
    <w:rsid w:val="009638AB"/>
    <w:rsid w:val="00963B6A"/>
    <w:rsid w:val="00971BBE"/>
    <w:rsid w:val="00972E5C"/>
    <w:rsid w:val="00974C13"/>
    <w:rsid w:val="0099734D"/>
    <w:rsid w:val="009A0AF8"/>
    <w:rsid w:val="009A2A99"/>
    <w:rsid w:val="009A704A"/>
    <w:rsid w:val="009B1960"/>
    <w:rsid w:val="009C2202"/>
    <w:rsid w:val="009F1722"/>
    <w:rsid w:val="00A11157"/>
    <w:rsid w:val="00A145BC"/>
    <w:rsid w:val="00A16582"/>
    <w:rsid w:val="00A231E2"/>
    <w:rsid w:val="00A256C1"/>
    <w:rsid w:val="00A34568"/>
    <w:rsid w:val="00A45454"/>
    <w:rsid w:val="00A4621C"/>
    <w:rsid w:val="00A56C58"/>
    <w:rsid w:val="00A64912"/>
    <w:rsid w:val="00A64944"/>
    <w:rsid w:val="00A70A74"/>
    <w:rsid w:val="00A91BB4"/>
    <w:rsid w:val="00AA17ED"/>
    <w:rsid w:val="00AA1E8F"/>
    <w:rsid w:val="00AA71FD"/>
    <w:rsid w:val="00AB11B1"/>
    <w:rsid w:val="00AB57E1"/>
    <w:rsid w:val="00AD4AB5"/>
    <w:rsid w:val="00AD5641"/>
    <w:rsid w:val="00AE7603"/>
    <w:rsid w:val="00AF6A75"/>
    <w:rsid w:val="00B156AE"/>
    <w:rsid w:val="00B228F9"/>
    <w:rsid w:val="00B2384B"/>
    <w:rsid w:val="00B33B3C"/>
    <w:rsid w:val="00B519D8"/>
    <w:rsid w:val="00B62804"/>
    <w:rsid w:val="00B73BF0"/>
    <w:rsid w:val="00B83696"/>
    <w:rsid w:val="00B90BA9"/>
    <w:rsid w:val="00B95B6B"/>
    <w:rsid w:val="00B95DD9"/>
    <w:rsid w:val="00BA1E03"/>
    <w:rsid w:val="00BB1F91"/>
    <w:rsid w:val="00BC3DAE"/>
    <w:rsid w:val="00BD3055"/>
    <w:rsid w:val="00BD6787"/>
    <w:rsid w:val="00BE70E9"/>
    <w:rsid w:val="00BE719A"/>
    <w:rsid w:val="00BE720A"/>
    <w:rsid w:val="00BE7A02"/>
    <w:rsid w:val="00BF11BD"/>
    <w:rsid w:val="00C0344B"/>
    <w:rsid w:val="00C15607"/>
    <w:rsid w:val="00C208B3"/>
    <w:rsid w:val="00C22A51"/>
    <w:rsid w:val="00C42BF8"/>
    <w:rsid w:val="00C50043"/>
    <w:rsid w:val="00C601AD"/>
    <w:rsid w:val="00C61CDD"/>
    <w:rsid w:val="00C7573B"/>
    <w:rsid w:val="00C82FC3"/>
    <w:rsid w:val="00C8575E"/>
    <w:rsid w:val="00C857D8"/>
    <w:rsid w:val="00CA195C"/>
    <w:rsid w:val="00CA1D1E"/>
    <w:rsid w:val="00CA7156"/>
    <w:rsid w:val="00CD4D71"/>
    <w:rsid w:val="00CD6F06"/>
    <w:rsid w:val="00CD7CEC"/>
    <w:rsid w:val="00CF0BB2"/>
    <w:rsid w:val="00CF3A03"/>
    <w:rsid w:val="00D010A9"/>
    <w:rsid w:val="00D05369"/>
    <w:rsid w:val="00D05467"/>
    <w:rsid w:val="00D0621E"/>
    <w:rsid w:val="00D0710F"/>
    <w:rsid w:val="00D11562"/>
    <w:rsid w:val="00D12761"/>
    <w:rsid w:val="00D13441"/>
    <w:rsid w:val="00D135EB"/>
    <w:rsid w:val="00D15FDA"/>
    <w:rsid w:val="00D16FB3"/>
    <w:rsid w:val="00D2655A"/>
    <w:rsid w:val="00D475BE"/>
    <w:rsid w:val="00D70DFB"/>
    <w:rsid w:val="00D72F31"/>
    <w:rsid w:val="00D73BB6"/>
    <w:rsid w:val="00D766DF"/>
    <w:rsid w:val="00D81D88"/>
    <w:rsid w:val="00D8429D"/>
    <w:rsid w:val="00D9140B"/>
    <w:rsid w:val="00D94EE1"/>
    <w:rsid w:val="00D965C3"/>
    <w:rsid w:val="00DC27E1"/>
    <w:rsid w:val="00DD1C7F"/>
    <w:rsid w:val="00DE608A"/>
    <w:rsid w:val="00DF2901"/>
    <w:rsid w:val="00DF35F9"/>
    <w:rsid w:val="00E15C52"/>
    <w:rsid w:val="00E20D3B"/>
    <w:rsid w:val="00E25B9A"/>
    <w:rsid w:val="00E317EA"/>
    <w:rsid w:val="00E36FBB"/>
    <w:rsid w:val="00E41FC4"/>
    <w:rsid w:val="00E53CC2"/>
    <w:rsid w:val="00E57C5C"/>
    <w:rsid w:val="00E62E32"/>
    <w:rsid w:val="00E7493D"/>
    <w:rsid w:val="00E74DC7"/>
    <w:rsid w:val="00E8302D"/>
    <w:rsid w:val="00E83090"/>
    <w:rsid w:val="00E91DF3"/>
    <w:rsid w:val="00E94F94"/>
    <w:rsid w:val="00EA01C5"/>
    <w:rsid w:val="00EC6626"/>
    <w:rsid w:val="00ED30B3"/>
    <w:rsid w:val="00ED6B93"/>
    <w:rsid w:val="00EF2E3A"/>
    <w:rsid w:val="00F04811"/>
    <w:rsid w:val="00F078DC"/>
    <w:rsid w:val="00F15B9D"/>
    <w:rsid w:val="00F23888"/>
    <w:rsid w:val="00F23E5F"/>
    <w:rsid w:val="00F27D74"/>
    <w:rsid w:val="00F32C6B"/>
    <w:rsid w:val="00F4446D"/>
    <w:rsid w:val="00F51269"/>
    <w:rsid w:val="00F57AEB"/>
    <w:rsid w:val="00F6417A"/>
    <w:rsid w:val="00F64BEB"/>
    <w:rsid w:val="00F77DEC"/>
    <w:rsid w:val="00F8049B"/>
    <w:rsid w:val="00F81A79"/>
    <w:rsid w:val="00F826BB"/>
    <w:rsid w:val="00F83015"/>
    <w:rsid w:val="00FA1441"/>
    <w:rsid w:val="00FB1EED"/>
    <w:rsid w:val="00FC17F9"/>
    <w:rsid w:val="00FD2870"/>
    <w:rsid w:val="00FE16ED"/>
    <w:rsid w:val="00FF53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17354"/>
    <w:pPr>
      <w:spacing w:line="260" w:lineRule="atLeast"/>
    </w:pPr>
    <w:rPr>
      <w:sz w:val="22"/>
    </w:rPr>
  </w:style>
  <w:style w:type="character" w:default="1" w:styleId="DefaultParagraphFont">
    <w:name w:val="Default Paragraph Font"/>
    <w:uiPriority w:val="1"/>
    <w:semiHidden/>
    <w:unhideWhenUsed/>
    <w:rsid w:val="0011735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17354"/>
  </w:style>
  <w:style w:type="character" w:customStyle="1" w:styleId="OPCCharBase">
    <w:name w:val="OPCCharBase"/>
    <w:uiPriority w:val="1"/>
    <w:qFormat/>
    <w:rsid w:val="00117354"/>
  </w:style>
  <w:style w:type="paragraph" w:customStyle="1" w:styleId="OPCParaBase">
    <w:name w:val="OPCParaBase"/>
    <w:qFormat/>
    <w:rsid w:val="00117354"/>
    <w:pPr>
      <w:spacing w:line="260" w:lineRule="atLeast"/>
    </w:pPr>
    <w:rPr>
      <w:rFonts w:eastAsia="Times New Roman" w:cs="Times New Roman"/>
      <w:sz w:val="22"/>
      <w:lang w:eastAsia="en-AU"/>
    </w:rPr>
  </w:style>
  <w:style w:type="paragraph" w:customStyle="1" w:styleId="ShortT">
    <w:name w:val="ShortT"/>
    <w:basedOn w:val="OPCParaBase"/>
    <w:next w:val="Normal"/>
    <w:qFormat/>
    <w:rsid w:val="00117354"/>
    <w:pPr>
      <w:spacing w:line="240" w:lineRule="auto"/>
    </w:pPr>
    <w:rPr>
      <w:b/>
      <w:sz w:val="40"/>
    </w:rPr>
  </w:style>
  <w:style w:type="paragraph" w:customStyle="1" w:styleId="ActHead1">
    <w:name w:val="ActHead 1"/>
    <w:aliases w:val="c"/>
    <w:basedOn w:val="OPCParaBase"/>
    <w:next w:val="Normal"/>
    <w:qFormat/>
    <w:rsid w:val="0011735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1735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1735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1735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1735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1735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1735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1735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1735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17354"/>
  </w:style>
  <w:style w:type="paragraph" w:customStyle="1" w:styleId="Blocks">
    <w:name w:val="Blocks"/>
    <w:aliases w:val="bb"/>
    <w:basedOn w:val="OPCParaBase"/>
    <w:qFormat/>
    <w:rsid w:val="00117354"/>
    <w:pPr>
      <w:spacing w:line="240" w:lineRule="auto"/>
    </w:pPr>
    <w:rPr>
      <w:sz w:val="24"/>
    </w:rPr>
  </w:style>
  <w:style w:type="paragraph" w:customStyle="1" w:styleId="BoxText">
    <w:name w:val="BoxText"/>
    <w:aliases w:val="bt"/>
    <w:basedOn w:val="OPCParaBase"/>
    <w:rsid w:val="0011735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17354"/>
    <w:rPr>
      <w:b/>
    </w:rPr>
  </w:style>
  <w:style w:type="paragraph" w:customStyle="1" w:styleId="BoxHeadItalic">
    <w:name w:val="BoxHeadItalic"/>
    <w:aliases w:val="bhi"/>
    <w:basedOn w:val="BoxText"/>
    <w:next w:val="Normal"/>
    <w:qFormat/>
    <w:rsid w:val="00117354"/>
    <w:rPr>
      <w:i/>
    </w:rPr>
  </w:style>
  <w:style w:type="paragraph" w:customStyle="1" w:styleId="BoxList">
    <w:name w:val="BoxList"/>
    <w:aliases w:val="bl"/>
    <w:basedOn w:val="BoxText"/>
    <w:qFormat/>
    <w:rsid w:val="00117354"/>
    <w:pPr>
      <w:ind w:left="1559" w:hanging="425"/>
    </w:pPr>
  </w:style>
  <w:style w:type="paragraph" w:customStyle="1" w:styleId="BoxNote">
    <w:name w:val="BoxNote"/>
    <w:aliases w:val="bn"/>
    <w:basedOn w:val="BoxText"/>
    <w:qFormat/>
    <w:rsid w:val="00117354"/>
    <w:pPr>
      <w:tabs>
        <w:tab w:val="left" w:pos="1985"/>
      </w:tabs>
      <w:spacing w:before="122" w:line="198" w:lineRule="exact"/>
      <w:ind w:left="2948" w:hanging="1814"/>
    </w:pPr>
    <w:rPr>
      <w:sz w:val="18"/>
    </w:rPr>
  </w:style>
  <w:style w:type="paragraph" w:customStyle="1" w:styleId="BoxPara">
    <w:name w:val="BoxPara"/>
    <w:aliases w:val="bp"/>
    <w:basedOn w:val="BoxText"/>
    <w:qFormat/>
    <w:rsid w:val="00117354"/>
    <w:pPr>
      <w:tabs>
        <w:tab w:val="right" w:pos="2268"/>
      </w:tabs>
      <w:ind w:left="2552" w:hanging="1418"/>
    </w:pPr>
  </w:style>
  <w:style w:type="paragraph" w:customStyle="1" w:styleId="BoxStep">
    <w:name w:val="BoxStep"/>
    <w:aliases w:val="bs"/>
    <w:basedOn w:val="BoxText"/>
    <w:qFormat/>
    <w:rsid w:val="00117354"/>
    <w:pPr>
      <w:ind w:left="1985" w:hanging="851"/>
    </w:pPr>
  </w:style>
  <w:style w:type="character" w:customStyle="1" w:styleId="CharAmPartNo">
    <w:name w:val="CharAmPartNo"/>
    <w:basedOn w:val="OPCCharBase"/>
    <w:uiPriority w:val="1"/>
    <w:qFormat/>
    <w:rsid w:val="00117354"/>
  </w:style>
  <w:style w:type="character" w:customStyle="1" w:styleId="CharAmPartText">
    <w:name w:val="CharAmPartText"/>
    <w:basedOn w:val="OPCCharBase"/>
    <w:uiPriority w:val="1"/>
    <w:qFormat/>
    <w:rsid w:val="00117354"/>
  </w:style>
  <w:style w:type="character" w:customStyle="1" w:styleId="CharAmSchNo">
    <w:name w:val="CharAmSchNo"/>
    <w:basedOn w:val="OPCCharBase"/>
    <w:uiPriority w:val="1"/>
    <w:qFormat/>
    <w:rsid w:val="00117354"/>
  </w:style>
  <w:style w:type="character" w:customStyle="1" w:styleId="CharAmSchText">
    <w:name w:val="CharAmSchText"/>
    <w:basedOn w:val="OPCCharBase"/>
    <w:uiPriority w:val="1"/>
    <w:qFormat/>
    <w:rsid w:val="00117354"/>
  </w:style>
  <w:style w:type="character" w:customStyle="1" w:styleId="CharBoldItalic">
    <w:name w:val="CharBoldItalic"/>
    <w:basedOn w:val="OPCCharBase"/>
    <w:uiPriority w:val="1"/>
    <w:qFormat/>
    <w:rsid w:val="00117354"/>
    <w:rPr>
      <w:b/>
      <w:i/>
    </w:rPr>
  </w:style>
  <w:style w:type="character" w:customStyle="1" w:styleId="CharChapNo">
    <w:name w:val="CharChapNo"/>
    <w:basedOn w:val="OPCCharBase"/>
    <w:uiPriority w:val="1"/>
    <w:qFormat/>
    <w:rsid w:val="00117354"/>
  </w:style>
  <w:style w:type="character" w:customStyle="1" w:styleId="CharChapText">
    <w:name w:val="CharChapText"/>
    <w:basedOn w:val="OPCCharBase"/>
    <w:uiPriority w:val="1"/>
    <w:qFormat/>
    <w:rsid w:val="00117354"/>
  </w:style>
  <w:style w:type="character" w:customStyle="1" w:styleId="CharDivNo">
    <w:name w:val="CharDivNo"/>
    <w:basedOn w:val="OPCCharBase"/>
    <w:uiPriority w:val="1"/>
    <w:qFormat/>
    <w:rsid w:val="00117354"/>
  </w:style>
  <w:style w:type="character" w:customStyle="1" w:styleId="CharDivText">
    <w:name w:val="CharDivText"/>
    <w:basedOn w:val="OPCCharBase"/>
    <w:uiPriority w:val="1"/>
    <w:qFormat/>
    <w:rsid w:val="00117354"/>
  </w:style>
  <w:style w:type="character" w:customStyle="1" w:styleId="CharItalic">
    <w:name w:val="CharItalic"/>
    <w:basedOn w:val="OPCCharBase"/>
    <w:uiPriority w:val="1"/>
    <w:qFormat/>
    <w:rsid w:val="00117354"/>
    <w:rPr>
      <w:i/>
    </w:rPr>
  </w:style>
  <w:style w:type="character" w:customStyle="1" w:styleId="CharPartNo">
    <w:name w:val="CharPartNo"/>
    <w:basedOn w:val="OPCCharBase"/>
    <w:uiPriority w:val="1"/>
    <w:qFormat/>
    <w:rsid w:val="00117354"/>
  </w:style>
  <w:style w:type="character" w:customStyle="1" w:styleId="CharPartText">
    <w:name w:val="CharPartText"/>
    <w:basedOn w:val="OPCCharBase"/>
    <w:uiPriority w:val="1"/>
    <w:qFormat/>
    <w:rsid w:val="00117354"/>
  </w:style>
  <w:style w:type="character" w:customStyle="1" w:styleId="CharSectno">
    <w:name w:val="CharSectno"/>
    <w:basedOn w:val="OPCCharBase"/>
    <w:uiPriority w:val="1"/>
    <w:qFormat/>
    <w:rsid w:val="00117354"/>
  </w:style>
  <w:style w:type="character" w:customStyle="1" w:styleId="CharSubdNo">
    <w:name w:val="CharSubdNo"/>
    <w:basedOn w:val="OPCCharBase"/>
    <w:uiPriority w:val="1"/>
    <w:qFormat/>
    <w:rsid w:val="00117354"/>
  </w:style>
  <w:style w:type="character" w:customStyle="1" w:styleId="CharSubdText">
    <w:name w:val="CharSubdText"/>
    <w:basedOn w:val="OPCCharBase"/>
    <w:uiPriority w:val="1"/>
    <w:qFormat/>
    <w:rsid w:val="00117354"/>
  </w:style>
  <w:style w:type="paragraph" w:customStyle="1" w:styleId="CTA--">
    <w:name w:val="CTA --"/>
    <w:basedOn w:val="OPCParaBase"/>
    <w:next w:val="Normal"/>
    <w:rsid w:val="00117354"/>
    <w:pPr>
      <w:spacing w:before="60" w:line="240" w:lineRule="atLeast"/>
      <w:ind w:left="142" w:hanging="142"/>
    </w:pPr>
    <w:rPr>
      <w:sz w:val="20"/>
    </w:rPr>
  </w:style>
  <w:style w:type="paragraph" w:customStyle="1" w:styleId="CTA-">
    <w:name w:val="CTA -"/>
    <w:basedOn w:val="OPCParaBase"/>
    <w:rsid w:val="00117354"/>
    <w:pPr>
      <w:spacing w:before="60" w:line="240" w:lineRule="atLeast"/>
      <w:ind w:left="85" w:hanging="85"/>
    </w:pPr>
    <w:rPr>
      <w:sz w:val="20"/>
    </w:rPr>
  </w:style>
  <w:style w:type="paragraph" w:customStyle="1" w:styleId="CTA---">
    <w:name w:val="CTA ---"/>
    <w:basedOn w:val="OPCParaBase"/>
    <w:next w:val="Normal"/>
    <w:rsid w:val="00117354"/>
    <w:pPr>
      <w:spacing w:before="60" w:line="240" w:lineRule="atLeast"/>
      <w:ind w:left="198" w:hanging="198"/>
    </w:pPr>
    <w:rPr>
      <w:sz w:val="20"/>
    </w:rPr>
  </w:style>
  <w:style w:type="paragraph" w:customStyle="1" w:styleId="CTA----">
    <w:name w:val="CTA ----"/>
    <w:basedOn w:val="OPCParaBase"/>
    <w:next w:val="Normal"/>
    <w:rsid w:val="00117354"/>
    <w:pPr>
      <w:spacing w:before="60" w:line="240" w:lineRule="atLeast"/>
      <w:ind w:left="255" w:hanging="255"/>
    </w:pPr>
    <w:rPr>
      <w:sz w:val="20"/>
    </w:rPr>
  </w:style>
  <w:style w:type="paragraph" w:customStyle="1" w:styleId="CTA1a">
    <w:name w:val="CTA 1(a)"/>
    <w:basedOn w:val="OPCParaBase"/>
    <w:rsid w:val="00117354"/>
    <w:pPr>
      <w:tabs>
        <w:tab w:val="right" w:pos="414"/>
      </w:tabs>
      <w:spacing w:before="40" w:line="240" w:lineRule="atLeast"/>
      <w:ind w:left="675" w:hanging="675"/>
    </w:pPr>
    <w:rPr>
      <w:sz w:val="20"/>
    </w:rPr>
  </w:style>
  <w:style w:type="paragraph" w:customStyle="1" w:styleId="CTA1ai">
    <w:name w:val="CTA 1(a)(i)"/>
    <w:basedOn w:val="OPCParaBase"/>
    <w:rsid w:val="00117354"/>
    <w:pPr>
      <w:tabs>
        <w:tab w:val="right" w:pos="1004"/>
      </w:tabs>
      <w:spacing w:before="40" w:line="240" w:lineRule="atLeast"/>
      <w:ind w:left="1253" w:hanging="1253"/>
    </w:pPr>
    <w:rPr>
      <w:sz w:val="20"/>
    </w:rPr>
  </w:style>
  <w:style w:type="paragraph" w:customStyle="1" w:styleId="CTA2a">
    <w:name w:val="CTA 2(a)"/>
    <w:basedOn w:val="OPCParaBase"/>
    <w:rsid w:val="00117354"/>
    <w:pPr>
      <w:tabs>
        <w:tab w:val="right" w:pos="482"/>
      </w:tabs>
      <w:spacing w:before="40" w:line="240" w:lineRule="atLeast"/>
      <w:ind w:left="748" w:hanging="748"/>
    </w:pPr>
    <w:rPr>
      <w:sz w:val="20"/>
    </w:rPr>
  </w:style>
  <w:style w:type="paragraph" w:customStyle="1" w:styleId="CTA2ai">
    <w:name w:val="CTA 2(a)(i)"/>
    <w:basedOn w:val="OPCParaBase"/>
    <w:rsid w:val="00117354"/>
    <w:pPr>
      <w:tabs>
        <w:tab w:val="right" w:pos="1089"/>
      </w:tabs>
      <w:spacing w:before="40" w:line="240" w:lineRule="atLeast"/>
      <w:ind w:left="1327" w:hanging="1327"/>
    </w:pPr>
    <w:rPr>
      <w:sz w:val="20"/>
    </w:rPr>
  </w:style>
  <w:style w:type="paragraph" w:customStyle="1" w:styleId="CTA3a">
    <w:name w:val="CTA 3(a)"/>
    <w:basedOn w:val="OPCParaBase"/>
    <w:rsid w:val="00117354"/>
    <w:pPr>
      <w:tabs>
        <w:tab w:val="right" w:pos="556"/>
      </w:tabs>
      <w:spacing w:before="40" w:line="240" w:lineRule="atLeast"/>
      <w:ind w:left="805" w:hanging="805"/>
    </w:pPr>
    <w:rPr>
      <w:sz w:val="20"/>
    </w:rPr>
  </w:style>
  <w:style w:type="paragraph" w:customStyle="1" w:styleId="CTA3ai">
    <w:name w:val="CTA 3(a)(i)"/>
    <w:basedOn w:val="OPCParaBase"/>
    <w:rsid w:val="00117354"/>
    <w:pPr>
      <w:tabs>
        <w:tab w:val="right" w:pos="1140"/>
      </w:tabs>
      <w:spacing w:before="40" w:line="240" w:lineRule="atLeast"/>
      <w:ind w:left="1361" w:hanging="1361"/>
    </w:pPr>
    <w:rPr>
      <w:sz w:val="20"/>
    </w:rPr>
  </w:style>
  <w:style w:type="paragraph" w:customStyle="1" w:styleId="CTA4a">
    <w:name w:val="CTA 4(a)"/>
    <w:basedOn w:val="OPCParaBase"/>
    <w:rsid w:val="00117354"/>
    <w:pPr>
      <w:tabs>
        <w:tab w:val="right" w:pos="624"/>
      </w:tabs>
      <w:spacing w:before="40" w:line="240" w:lineRule="atLeast"/>
      <w:ind w:left="873" w:hanging="873"/>
    </w:pPr>
    <w:rPr>
      <w:sz w:val="20"/>
    </w:rPr>
  </w:style>
  <w:style w:type="paragraph" w:customStyle="1" w:styleId="CTA4ai">
    <w:name w:val="CTA 4(a)(i)"/>
    <w:basedOn w:val="OPCParaBase"/>
    <w:rsid w:val="00117354"/>
    <w:pPr>
      <w:tabs>
        <w:tab w:val="right" w:pos="1213"/>
      </w:tabs>
      <w:spacing w:before="40" w:line="240" w:lineRule="atLeast"/>
      <w:ind w:left="1452" w:hanging="1452"/>
    </w:pPr>
    <w:rPr>
      <w:sz w:val="20"/>
    </w:rPr>
  </w:style>
  <w:style w:type="paragraph" w:customStyle="1" w:styleId="CTACAPS">
    <w:name w:val="CTA CAPS"/>
    <w:basedOn w:val="OPCParaBase"/>
    <w:rsid w:val="00117354"/>
    <w:pPr>
      <w:spacing w:before="60" w:line="240" w:lineRule="atLeast"/>
    </w:pPr>
    <w:rPr>
      <w:sz w:val="20"/>
    </w:rPr>
  </w:style>
  <w:style w:type="paragraph" w:customStyle="1" w:styleId="CTAright">
    <w:name w:val="CTA right"/>
    <w:basedOn w:val="OPCParaBase"/>
    <w:rsid w:val="00117354"/>
    <w:pPr>
      <w:spacing w:before="60" w:line="240" w:lineRule="auto"/>
      <w:jc w:val="right"/>
    </w:pPr>
    <w:rPr>
      <w:sz w:val="20"/>
    </w:rPr>
  </w:style>
  <w:style w:type="paragraph" w:customStyle="1" w:styleId="subsection">
    <w:name w:val="subsection"/>
    <w:aliases w:val="ss"/>
    <w:basedOn w:val="OPCParaBase"/>
    <w:rsid w:val="00117354"/>
    <w:pPr>
      <w:tabs>
        <w:tab w:val="right" w:pos="1021"/>
      </w:tabs>
      <w:spacing w:before="180" w:line="240" w:lineRule="auto"/>
      <w:ind w:left="1134" w:hanging="1134"/>
    </w:pPr>
  </w:style>
  <w:style w:type="paragraph" w:customStyle="1" w:styleId="Definition">
    <w:name w:val="Definition"/>
    <w:aliases w:val="dd"/>
    <w:basedOn w:val="OPCParaBase"/>
    <w:rsid w:val="00117354"/>
    <w:pPr>
      <w:spacing w:before="180" w:line="240" w:lineRule="auto"/>
      <w:ind w:left="1134"/>
    </w:pPr>
  </w:style>
  <w:style w:type="paragraph" w:customStyle="1" w:styleId="ETAsubitem">
    <w:name w:val="ETA(subitem)"/>
    <w:basedOn w:val="OPCParaBase"/>
    <w:rsid w:val="00117354"/>
    <w:pPr>
      <w:tabs>
        <w:tab w:val="right" w:pos="340"/>
      </w:tabs>
      <w:spacing w:before="60" w:line="240" w:lineRule="auto"/>
      <w:ind w:left="454" w:hanging="454"/>
    </w:pPr>
    <w:rPr>
      <w:sz w:val="20"/>
    </w:rPr>
  </w:style>
  <w:style w:type="paragraph" w:customStyle="1" w:styleId="ETApara">
    <w:name w:val="ETA(para)"/>
    <w:basedOn w:val="OPCParaBase"/>
    <w:rsid w:val="00117354"/>
    <w:pPr>
      <w:tabs>
        <w:tab w:val="right" w:pos="754"/>
      </w:tabs>
      <w:spacing w:before="60" w:line="240" w:lineRule="auto"/>
      <w:ind w:left="828" w:hanging="828"/>
    </w:pPr>
    <w:rPr>
      <w:sz w:val="20"/>
    </w:rPr>
  </w:style>
  <w:style w:type="paragraph" w:customStyle="1" w:styleId="ETAsubpara">
    <w:name w:val="ETA(subpara)"/>
    <w:basedOn w:val="OPCParaBase"/>
    <w:rsid w:val="00117354"/>
    <w:pPr>
      <w:tabs>
        <w:tab w:val="right" w:pos="1083"/>
      </w:tabs>
      <w:spacing w:before="60" w:line="240" w:lineRule="auto"/>
      <w:ind w:left="1191" w:hanging="1191"/>
    </w:pPr>
    <w:rPr>
      <w:sz w:val="20"/>
    </w:rPr>
  </w:style>
  <w:style w:type="paragraph" w:customStyle="1" w:styleId="ETAsub-subpara">
    <w:name w:val="ETA(sub-subpara)"/>
    <w:basedOn w:val="OPCParaBase"/>
    <w:rsid w:val="00117354"/>
    <w:pPr>
      <w:tabs>
        <w:tab w:val="right" w:pos="1412"/>
      </w:tabs>
      <w:spacing w:before="60" w:line="240" w:lineRule="auto"/>
      <w:ind w:left="1525" w:hanging="1525"/>
    </w:pPr>
    <w:rPr>
      <w:sz w:val="20"/>
    </w:rPr>
  </w:style>
  <w:style w:type="paragraph" w:customStyle="1" w:styleId="Formula">
    <w:name w:val="Formula"/>
    <w:basedOn w:val="OPCParaBase"/>
    <w:rsid w:val="00117354"/>
    <w:pPr>
      <w:spacing w:line="240" w:lineRule="auto"/>
      <w:ind w:left="1134"/>
    </w:pPr>
    <w:rPr>
      <w:sz w:val="20"/>
    </w:rPr>
  </w:style>
  <w:style w:type="paragraph" w:styleId="Header">
    <w:name w:val="header"/>
    <w:basedOn w:val="OPCParaBase"/>
    <w:link w:val="HeaderChar"/>
    <w:unhideWhenUsed/>
    <w:rsid w:val="0011735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17354"/>
    <w:rPr>
      <w:rFonts w:eastAsia="Times New Roman" w:cs="Times New Roman"/>
      <w:sz w:val="16"/>
      <w:lang w:eastAsia="en-AU"/>
    </w:rPr>
  </w:style>
  <w:style w:type="paragraph" w:customStyle="1" w:styleId="House">
    <w:name w:val="House"/>
    <w:basedOn w:val="OPCParaBase"/>
    <w:rsid w:val="00117354"/>
    <w:pPr>
      <w:spacing w:line="240" w:lineRule="auto"/>
    </w:pPr>
    <w:rPr>
      <w:sz w:val="28"/>
    </w:rPr>
  </w:style>
  <w:style w:type="paragraph" w:customStyle="1" w:styleId="Item">
    <w:name w:val="Item"/>
    <w:aliases w:val="i"/>
    <w:basedOn w:val="OPCParaBase"/>
    <w:next w:val="ItemHead"/>
    <w:rsid w:val="00117354"/>
    <w:pPr>
      <w:keepLines/>
      <w:spacing w:before="80" w:line="240" w:lineRule="auto"/>
      <w:ind w:left="709"/>
    </w:pPr>
  </w:style>
  <w:style w:type="paragraph" w:customStyle="1" w:styleId="ItemHead">
    <w:name w:val="ItemHead"/>
    <w:aliases w:val="ih"/>
    <w:basedOn w:val="OPCParaBase"/>
    <w:next w:val="Item"/>
    <w:rsid w:val="00117354"/>
    <w:pPr>
      <w:keepLines/>
      <w:spacing w:before="220" w:line="240" w:lineRule="auto"/>
      <w:ind w:left="709" w:hanging="709"/>
    </w:pPr>
    <w:rPr>
      <w:rFonts w:ascii="Arial" w:hAnsi="Arial"/>
      <w:b/>
      <w:kern w:val="28"/>
      <w:sz w:val="24"/>
    </w:rPr>
  </w:style>
  <w:style w:type="paragraph" w:customStyle="1" w:styleId="LongT">
    <w:name w:val="LongT"/>
    <w:basedOn w:val="OPCParaBase"/>
    <w:rsid w:val="00117354"/>
    <w:pPr>
      <w:spacing w:line="240" w:lineRule="auto"/>
    </w:pPr>
    <w:rPr>
      <w:b/>
      <w:sz w:val="32"/>
    </w:rPr>
  </w:style>
  <w:style w:type="paragraph" w:customStyle="1" w:styleId="notedraft">
    <w:name w:val="note(draft)"/>
    <w:aliases w:val="nd"/>
    <w:basedOn w:val="OPCParaBase"/>
    <w:rsid w:val="00117354"/>
    <w:pPr>
      <w:spacing w:before="240" w:line="240" w:lineRule="auto"/>
      <w:ind w:left="284" w:hanging="284"/>
    </w:pPr>
    <w:rPr>
      <w:i/>
      <w:sz w:val="24"/>
    </w:rPr>
  </w:style>
  <w:style w:type="paragraph" w:customStyle="1" w:styleId="notemargin">
    <w:name w:val="note(margin)"/>
    <w:aliases w:val="nm"/>
    <w:basedOn w:val="OPCParaBase"/>
    <w:rsid w:val="00117354"/>
    <w:pPr>
      <w:tabs>
        <w:tab w:val="left" w:pos="709"/>
      </w:tabs>
      <w:spacing w:before="122" w:line="198" w:lineRule="exact"/>
      <w:ind w:left="709" w:hanging="709"/>
    </w:pPr>
    <w:rPr>
      <w:sz w:val="18"/>
    </w:rPr>
  </w:style>
  <w:style w:type="paragraph" w:customStyle="1" w:styleId="notepara">
    <w:name w:val="note(para)"/>
    <w:aliases w:val="na"/>
    <w:basedOn w:val="OPCParaBase"/>
    <w:rsid w:val="00117354"/>
    <w:pPr>
      <w:spacing w:before="40" w:line="198" w:lineRule="exact"/>
      <w:ind w:left="2354" w:hanging="369"/>
    </w:pPr>
    <w:rPr>
      <w:sz w:val="18"/>
    </w:rPr>
  </w:style>
  <w:style w:type="paragraph" w:customStyle="1" w:styleId="noteParlAmend">
    <w:name w:val="note(ParlAmend)"/>
    <w:aliases w:val="npp"/>
    <w:basedOn w:val="OPCParaBase"/>
    <w:next w:val="ParlAmend"/>
    <w:rsid w:val="00117354"/>
    <w:pPr>
      <w:spacing w:line="240" w:lineRule="auto"/>
      <w:jc w:val="right"/>
    </w:pPr>
    <w:rPr>
      <w:rFonts w:ascii="Arial" w:hAnsi="Arial"/>
      <w:b/>
      <w:i/>
    </w:rPr>
  </w:style>
  <w:style w:type="paragraph" w:customStyle="1" w:styleId="notetext">
    <w:name w:val="note(text)"/>
    <w:aliases w:val="n"/>
    <w:basedOn w:val="OPCParaBase"/>
    <w:rsid w:val="00117354"/>
    <w:pPr>
      <w:spacing w:before="122" w:line="198" w:lineRule="exact"/>
      <w:ind w:left="1985" w:hanging="851"/>
    </w:pPr>
    <w:rPr>
      <w:sz w:val="18"/>
    </w:rPr>
  </w:style>
  <w:style w:type="paragraph" w:customStyle="1" w:styleId="Page1">
    <w:name w:val="Page1"/>
    <w:basedOn w:val="OPCParaBase"/>
    <w:rsid w:val="00117354"/>
    <w:pPr>
      <w:spacing w:before="5600" w:line="240" w:lineRule="auto"/>
    </w:pPr>
    <w:rPr>
      <w:b/>
      <w:sz w:val="32"/>
    </w:rPr>
  </w:style>
  <w:style w:type="paragraph" w:customStyle="1" w:styleId="PageBreak">
    <w:name w:val="PageBreak"/>
    <w:aliases w:val="pb"/>
    <w:basedOn w:val="OPCParaBase"/>
    <w:rsid w:val="00117354"/>
    <w:pPr>
      <w:spacing w:line="240" w:lineRule="auto"/>
    </w:pPr>
    <w:rPr>
      <w:sz w:val="10"/>
    </w:rPr>
  </w:style>
  <w:style w:type="paragraph" w:customStyle="1" w:styleId="paragraphsub">
    <w:name w:val="paragraph(sub)"/>
    <w:aliases w:val="aa"/>
    <w:basedOn w:val="OPCParaBase"/>
    <w:rsid w:val="00117354"/>
    <w:pPr>
      <w:tabs>
        <w:tab w:val="right" w:pos="1985"/>
      </w:tabs>
      <w:spacing w:before="40" w:line="240" w:lineRule="auto"/>
      <w:ind w:left="2098" w:hanging="2098"/>
    </w:pPr>
  </w:style>
  <w:style w:type="paragraph" w:customStyle="1" w:styleId="paragraphsub-sub">
    <w:name w:val="paragraph(sub-sub)"/>
    <w:aliases w:val="aaa"/>
    <w:basedOn w:val="OPCParaBase"/>
    <w:rsid w:val="00117354"/>
    <w:pPr>
      <w:tabs>
        <w:tab w:val="right" w:pos="2722"/>
      </w:tabs>
      <w:spacing w:before="40" w:line="240" w:lineRule="auto"/>
      <w:ind w:left="2835" w:hanging="2835"/>
    </w:pPr>
  </w:style>
  <w:style w:type="paragraph" w:customStyle="1" w:styleId="paragraph">
    <w:name w:val="paragraph"/>
    <w:aliases w:val="a"/>
    <w:basedOn w:val="OPCParaBase"/>
    <w:rsid w:val="00117354"/>
    <w:pPr>
      <w:tabs>
        <w:tab w:val="right" w:pos="1531"/>
      </w:tabs>
      <w:spacing w:before="40" w:line="240" w:lineRule="auto"/>
      <w:ind w:left="1644" w:hanging="1644"/>
    </w:pPr>
  </w:style>
  <w:style w:type="paragraph" w:customStyle="1" w:styleId="ParlAmend">
    <w:name w:val="ParlAmend"/>
    <w:aliases w:val="pp"/>
    <w:basedOn w:val="OPCParaBase"/>
    <w:rsid w:val="00117354"/>
    <w:pPr>
      <w:spacing w:before="240" w:line="240" w:lineRule="atLeast"/>
      <w:ind w:hanging="567"/>
    </w:pPr>
    <w:rPr>
      <w:sz w:val="24"/>
    </w:rPr>
  </w:style>
  <w:style w:type="paragraph" w:customStyle="1" w:styleId="Penalty">
    <w:name w:val="Penalty"/>
    <w:basedOn w:val="OPCParaBase"/>
    <w:rsid w:val="00117354"/>
    <w:pPr>
      <w:tabs>
        <w:tab w:val="left" w:pos="2977"/>
      </w:tabs>
      <w:spacing w:before="180" w:line="240" w:lineRule="auto"/>
      <w:ind w:left="1985" w:hanging="851"/>
    </w:pPr>
  </w:style>
  <w:style w:type="paragraph" w:customStyle="1" w:styleId="Portfolio">
    <w:name w:val="Portfolio"/>
    <w:basedOn w:val="OPCParaBase"/>
    <w:rsid w:val="00117354"/>
    <w:pPr>
      <w:spacing w:line="240" w:lineRule="auto"/>
    </w:pPr>
    <w:rPr>
      <w:i/>
      <w:sz w:val="20"/>
    </w:rPr>
  </w:style>
  <w:style w:type="paragraph" w:customStyle="1" w:styleId="Preamble">
    <w:name w:val="Preamble"/>
    <w:basedOn w:val="OPCParaBase"/>
    <w:next w:val="Normal"/>
    <w:rsid w:val="0011735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17354"/>
    <w:pPr>
      <w:spacing w:line="240" w:lineRule="auto"/>
    </w:pPr>
    <w:rPr>
      <w:i/>
      <w:sz w:val="20"/>
    </w:rPr>
  </w:style>
  <w:style w:type="paragraph" w:customStyle="1" w:styleId="Session">
    <w:name w:val="Session"/>
    <w:basedOn w:val="OPCParaBase"/>
    <w:rsid w:val="00117354"/>
    <w:pPr>
      <w:spacing w:line="240" w:lineRule="auto"/>
    </w:pPr>
    <w:rPr>
      <w:sz w:val="28"/>
    </w:rPr>
  </w:style>
  <w:style w:type="paragraph" w:customStyle="1" w:styleId="Sponsor">
    <w:name w:val="Sponsor"/>
    <w:basedOn w:val="OPCParaBase"/>
    <w:rsid w:val="00117354"/>
    <w:pPr>
      <w:spacing w:line="240" w:lineRule="auto"/>
    </w:pPr>
    <w:rPr>
      <w:i/>
    </w:rPr>
  </w:style>
  <w:style w:type="paragraph" w:customStyle="1" w:styleId="Subitem">
    <w:name w:val="Subitem"/>
    <w:aliases w:val="iss"/>
    <w:basedOn w:val="OPCParaBase"/>
    <w:rsid w:val="00117354"/>
    <w:pPr>
      <w:spacing w:before="180" w:line="240" w:lineRule="auto"/>
      <w:ind w:left="709" w:hanging="709"/>
    </w:pPr>
  </w:style>
  <w:style w:type="paragraph" w:customStyle="1" w:styleId="SubitemHead">
    <w:name w:val="SubitemHead"/>
    <w:aliases w:val="issh"/>
    <w:basedOn w:val="OPCParaBase"/>
    <w:rsid w:val="0011735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17354"/>
    <w:pPr>
      <w:spacing w:before="40" w:line="240" w:lineRule="auto"/>
      <w:ind w:left="1134"/>
    </w:pPr>
  </w:style>
  <w:style w:type="paragraph" w:customStyle="1" w:styleId="SubsectionHead">
    <w:name w:val="SubsectionHead"/>
    <w:aliases w:val="ssh"/>
    <w:basedOn w:val="OPCParaBase"/>
    <w:next w:val="subsection"/>
    <w:rsid w:val="00117354"/>
    <w:pPr>
      <w:keepNext/>
      <w:keepLines/>
      <w:spacing w:before="240" w:line="240" w:lineRule="auto"/>
      <w:ind w:left="1134"/>
    </w:pPr>
    <w:rPr>
      <w:i/>
    </w:rPr>
  </w:style>
  <w:style w:type="paragraph" w:customStyle="1" w:styleId="Tablea">
    <w:name w:val="Table(a)"/>
    <w:aliases w:val="ta"/>
    <w:basedOn w:val="OPCParaBase"/>
    <w:rsid w:val="00117354"/>
    <w:pPr>
      <w:spacing w:before="60" w:line="240" w:lineRule="auto"/>
      <w:ind w:left="284" w:hanging="284"/>
    </w:pPr>
    <w:rPr>
      <w:sz w:val="20"/>
    </w:rPr>
  </w:style>
  <w:style w:type="paragraph" w:customStyle="1" w:styleId="TableAA">
    <w:name w:val="Table(AA)"/>
    <w:aliases w:val="taaa"/>
    <w:basedOn w:val="OPCParaBase"/>
    <w:rsid w:val="0011735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1735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17354"/>
    <w:pPr>
      <w:spacing w:before="60" w:line="240" w:lineRule="atLeast"/>
    </w:pPr>
    <w:rPr>
      <w:sz w:val="20"/>
    </w:rPr>
  </w:style>
  <w:style w:type="paragraph" w:customStyle="1" w:styleId="TLPBoxTextnote">
    <w:name w:val="TLPBoxText(note"/>
    <w:aliases w:val="right)"/>
    <w:basedOn w:val="OPCParaBase"/>
    <w:rsid w:val="0011735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17354"/>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117354"/>
    <w:pPr>
      <w:spacing w:before="122" w:line="198" w:lineRule="exact"/>
      <w:ind w:left="1985" w:hanging="851"/>
      <w:jc w:val="right"/>
    </w:pPr>
    <w:rPr>
      <w:sz w:val="18"/>
    </w:rPr>
  </w:style>
  <w:style w:type="paragraph" w:customStyle="1" w:styleId="TLPTableBullet">
    <w:name w:val="TLPTableBullet"/>
    <w:aliases w:val="ttb"/>
    <w:basedOn w:val="OPCParaBase"/>
    <w:rsid w:val="00117354"/>
    <w:pPr>
      <w:spacing w:line="240" w:lineRule="exact"/>
      <w:ind w:left="284" w:hanging="284"/>
    </w:pPr>
    <w:rPr>
      <w:sz w:val="20"/>
    </w:rPr>
  </w:style>
  <w:style w:type="paragraph" w:styleId="TOC1">
    <w:name w:val="toc 1"/>
    <w:basedOn w:val="OPCParaBase"/>
    <w:next w:val="Normal"/>
    <w:uiPriority w:val="39"/>
    <w:unhideWhenUsed/>
    <w:rsid w:val="00117354"/>
    <w:pPr>
      <w:spacing w:line="240" w:lineRule="auto"/>
    </w:pPr>
    <w:rPr>
      <w:sz w:val="24"/>
    </w:rPr>
  </w:style>
  <w:style w:type="paragraph" w:styleId="TOC2">
    <w:name w:val="toc 2"/>
    <w:basedOn w:val="OPCParaBase"/>
    <w:next w:val="Normal"/>
    <w:uiPriority w:val="39"/>
    <w:unhideWhenUsed/>
    <w:rsid w:val="00117354"/>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117354"/>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117354"/>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117354"/>
    <w:pPr>
      <w:spacing w:line="240" w:lineRule="auto"/>
      <w:ind w:left="958"/>
    </w:pPr>
    <w:rPr>
      <w:sz w:val="24"/>
    </w:rPr>
  </w:style>
  <w:style w:type="paragraph" w:styleId="TOC6">
    <w:name w:val="toc 6"/>
    <w:basedOn w:val="OPCParaBase"/>
    <w:next w:val="Normal"/>
    <w:uiPriority w:val="39"/>
    <w:semiHidden/>
    <w:unhideWhenUsed/>
    <w:rsid w:val="00117354"/>
    <w:pPr>
      <w:spacing w:line="240" w:lineRule="auto"/>
      <w:ind w:left="1202"/>
    </w:pPr>
    <w:rPr>
      <w:sz w:val="24"/>
    </w:rPr>
  </w:style>
  <w:style w:type="paragraph" w:styleId="TOC7">
    <w:name w:val="toc 7"/>
    <w:basedOn w:val="OPCParaBase"/>
    <w:next w:val="Normal"/>
    <w:uiPriority w:val="39"/>
    <w:semiHidden/>
    <w:unhideWhenUsed/>
    <w:rsid w:val="00117354"/>
    <w:pPr>
      <w:spacing w:line="240" w:lineRule="auto"/>
      <w:ind w:left="1440"/>
    </w:pPr>
    <w:rPr>
      <w:sz w:val="24"/>
    </w:rPr>
  </w:style>
  <w:style w:type="paragraph" w:styleId="TOC8">
    <w:name w:val="toc 8"/>
    <w:basedOn w:val="OPCParaBase"/>
    <w:next w:val="Normal"/>
    <w:uiPriority w:val="39"/>
    <w:semiHidden/>
    <w:unhideWhenUsed/>
    <w:rsid w:val="00117354"/>
    <w:pPr>
      <w:spacing w:line="240" w:lineRule="auto"/>
      <w:ind w:left="1678"/>
    </w:pPr>
    <w:rPr>
      <w:sz w:val="24"/>
    </w:rPr>
  </w:style>
  <w:style w:type="paragraph" w:styleId="TOC9">
    <w:name w:val="toc 9"/>
    <w:basedOn w:val="OPCParaBase"/>
    <w:next w:val="Normal"/>
    <w:uiPriority w:val="39"/>
    <w:unhideWhenUsed/>
    <w:rsid w:val="00117354"/>
    <w:pPr>
      <w:spacing w:line="240" w:lineRule="auto"/>
      <w:ind w:left="1922"/>
    </w:pPr>
    <w:rPr>
      <w:sz w:val="24"/>
    </w:rPr>
  </w:style>
  <w:style w:type="paragraph" w:customStyle="1" w:styleId="TofSectsGroupHeading">
    <w:name w:val="TofSects(GroupHeading)"/>
    <w:basedOn w:val="OPCParaBase"/>
    <w:next w:val="TofSectsSection"/>
    <w:rsid w:val="00117354"/>
    <w:pPr>
      <w:keepLines/>
      <w:spacing w:before="240" w:after="120" w:line="240" w:lineRule="auto"/>
      <w:ind w:left="794"/>
    </w:pPr>
    <w:rPr>
      <w:b/>
      <w:kern w:val="28"/>
      <w:sz w:val="20"/>
    </w:rPr>
  </w:style>
  <w:style w:type="paragraph" w:customStyle="1" w:styleId="TofSectsHeading">
    <w:name w:val="TofSects(Heading)"/>
    <w:basedOn w:val="OPCParaBase"/>
    <w:rsid w:val="00117354"/>
    <w:pPr>
      <w:spacing w:before="240" w:after="120" w:line="240" w:lineRule="auto"/>
    </w:pPr>
    <w:rPr>
      <w:b/>
      <w:sz w:val="24"/>
    </w:rPr>
  </w:style>
  <w:style w:type="paragraph" w:customStyle="1" w:styleId="TofSectsSection">
    <w:name w:val="TofSects(Section)"/>
    <w:basedOn w:val="OPCParaBase"/>
    <w:rsid w:val="00117354"/>
    <w:pPr>
      <w:keepLines/>
      <w:spacing w:before="40" w:line="240" w:lineRule="auto"/>
      <w:ind w:left="1588" w:hanging="794"/>
    </w:pPr>
    <w:rPr>
      <w:kern w:val="28"/>
      <w:sz w:val="18"/>
    </w:rPr>
  </w:style>
  <w:style w:type="paragraph" w:customStyle="1" w:styleId="TofSectsSubdiv">
    <w:name w:val="TofSects(Subdiv)"/>
    <w:basedOn w:val="OPCParaBase"/>
    <w:rsid w:val="00117354"/>
    <w:pPr>
      <w:keepLines/>
      <w:spacing w:before="80" w:line="240" w:lineRule="auto"/>
      <w:ind w:left="1588" w:hanging="794"/>
    </w:pPr>
    <w:rPr>
      <w:kern w:val="28"/>
    </w:rPr>
  </w:style>
  <w:style w:type="paragraph" w:customStyle="1" w:styleId="WRStyle">
    <w:name w:val="WR Style"/>
    <w:aliases w:val="WR"/>
    <w:basedOn w:val="OPCParaBase"/>
    <w:rsid w:val="00117354"/>
    <w:pPr>
      <w:spacing w:before="240" w:line="240" w:lineRule="auto"/>
      <w:ind w:left="284" w:hanging="284"/>
    </w:pPr>
    <w:rPr>
      <w:b/>
      <w:i/>
      <w:kern w:val="28"/>
      <w:sz w:val="24"/>
    </w:rPr>
  </w:style>
  <w:style w:type="paragraph" w:customStyle="1" w:styleId="Body">
    <w:name w:val="Body"/>
    <w:aliases w:val="b"/>
    <w:basedOn w:val="OPCParaBase"/>
    <w:rsid w:val="00117354"/>
    <w:pPr>
      <w:spacing w:before="240" w:line="240" w:lineRule="auto"/>
    </w:pPr>
    <w:rPr>
      <w:sz w:val="24"/>
    </w:rPr>
  </w:style>
  <w:style w:type="paragraph" w:customStyle="1" w:styleId="BodyNum">
    <w:name w:val="BodyNum"/>
    <w:aliases w:val="b1"/>
    <w:basedOn w:val="OPCParaBase"/>
    <w:link w:val="BodyNumChar"/>
    <w:rsid w:val="00117354"/>
    <w:pPr>
      <w:numPr>
        <w:numId w:val="13"/>
      </w:numPr>
      <w:spacing w:before="240" w:line="240" w:lineRule="auto"/>
    </w:pPr>
    <w:rPr>
      <w:sz w:val="24"/>
    </w:rPr>
  </w:style>
  <w:style w:type="paragraph" w:customStyle="1" w:styleId="BodyPara">
    <w:name w:val="BodyPara"/>
    <w:aliases w:val="ba"/>
    <w:basedOn w:val="OPCParaBase"/>
    <w:rsid w:val="00117354"/>
    <w:pPr>
      <w:numPr>
        <w:ilvl w:val="1"/>
        <w:numId w:val="13"/>
      </w:numPr>
      <w:spacing w:before="240" w:line="240" w:lineRule="auto"/>
    </w:pPr>
    <w:rPr>
      <w:sz w:val="24"/>
    </w:rPr>
  </w:style>
  <w:style w:type="paragraph" w:customStyle="1" w:styleId="BodyParaBullet">
    <w:name w:val="BodyParaBullet"/>
    <w:aliases w:val="bpb"/>
    <w:basedOn w:val="OPCParaBase"/>
    <w:rsid w:val="00117354"/>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117354"/>
    <w:pPr>
      <w:numPr>
        <w:ilvl w:val="3"/>
        <w:numId w:val="13"/>
      </w:numPr>
      <w:spacing w:before="240" w:line="240" w:lineRule="auto"/>
    </w:pPr>
    <w:rPr>
      <w:sz w:val="24"/>
    </w:rPr>
  </w:style>
  <w:style w:type="numbering" w:customStyle="1" w:styleId="OPCBodyList">
    <w:name w:val="OPCBodyList"/>
    <w:uiPriority w:val="99"/>
    <w:rsid w:val="00117354"/>
    <w:pPr>
      <w:numPr>
        <w:numId w:val="13"/>
      </w:numPr>
    </w:pPr>
  </w:style>
  <w:style w:type="paragraph" w:customStyle="1" w:styleId="Head1">
    <w:name w:val="Head 1"/>
    <w:aliases w:val="1"/>
    <w:basedOn w:val="OPCParaBase"/>
    <w:next w:val="BodyNum"/>
    <w:rsid w:val="00117354"/>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117354"/>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117354"/>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117354"/>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117354"/>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117354"/>
    <w:pPr>
      <w:spacing w:before="122" w:line="198" w:lineRule="exact"/>
      <w:ind w:left="2353" w:hanging="709"/>
    </w:pPr>
    <w:rPr>
      <w:sz w:val="18"/>
    </w:rPr>
  </w:style>
  <w:style w:type="paragraph" w:styleId="Footer">
    <w:name w:val="footer"/>
    <w:link w:val="FooterChar"/>
    <w:rsid w:val="0011735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17354"/>
    <w:rPr>
      <w:rFonts w:eastAsia="Times New Roman" w:cs="Times New Roman"/>
      <w:sz w:val="22"/>
      <w:szCs w:val="24"/>
      <w:lang w:eastAsia="en-AU"/>
    </w:rPr>
  </w:style>
  <w:style w:type="character" w:styleId="PageNumber">
    <w:name w:val="page number"/>
    <w:basedOn w:val="DefaultParagraphFont"/>
    <w:rsid w:val="00117354"/>
  </w:style>
  <w:style w:type="paragraph" w:styleId="BalloonText">
    <w:name w:val="Balloon Text"/>
    <w:basedOn w:val="Normal"/>
    <w:link w:val="BalloonTextChar"/>
    <w:uiPriority w:val="99"/>
    <w:semiHidden/>
    <w:unhideWhenUsed/>
    <w:rsid w:val="0011735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354"/>
    <w:rPr>
      <w:rFonts w:ascii="Tahoma" w:hAnsi="Tahoma" w:cs="Tahoma"/>
      <w:sz w:val="16"/>
      <w:szCs w:val="16"/>
    </w:rPr>
  </w:style>
  <w:style w:type="paragraph" w:customStyle="1" w:styleId="Issued">
    <w:name w:val="Issued"/>
    <w:basedOn w:val="Body"/>
    <w:rsid w:val="00117354"/>
    <w:pPr>
      <w:spacing w:before="120"/>
    </w:pPr>
    <w:rPr>
      <w:b/>
      <w:sz w:val="28"/>
    </w:rPr>
  </w:style>
  <w:style w:type="paragraph" w:customStyle="1" w:styleId="Release">
    <w:name w:val="Release"/>
    <w:basedOn w:val="Body"/>
    <w:rsid w:val="00117354"/>
    <w:rPr>
      <w:b/>
    </w:rPr>
  </w:style>
  <w:style w:type="paragraph" w:customStyle="1" w:styleId="FileName">
    <w:name w:val="FileName"/>
    <w:basedOn w:val="Normal"/>
    <w:link w:val="FileNameChar"/>
    <w:rsid w:val="00117354"/>
  </w:style>
  <w:style w:type="character" w:customStyle="1" w:styleId="FileNameChar">
    <w:name w:val="FileName Char"/>
    <w:basedOn w:val="DefaultParagraphFont"/>
    <w:link w:val="FileName"/>
    <w:rsid w:val="000E2E58"/>
    <w:rPr>
      <w:sz w:val="22"/>
    </w:rPr>
  </w:style>
  <w:style w:type="character" w:customStyle="1" w:styleId="BodyNumChar">
    <w:name w:val="BodyNum Char"/>
    <w:aliases w:val="b1 Char"/>
    <w:basedOn w:val="DefaultParagraphFont"/>
    <w:link w:val="BodyNum"/>
    <w:rsid w:val="00FF534B"/>
    <w:rPr>
      <w:rFonts w:eastAsia="Times New Roman" w:cs="Times New Roman"/>
      <w:sz w:val="24"/>
      <w:lang w:eastAsia="en-AU"/>
    </w:rPr>
  </w:style>
  <w:style w:type="paragraph" w:customStyle="1" w:styleId="NoteDraftingDirection">
    <w:name w:val="Note Drafting Direction"/>
    <w:basedOn w:val="OPCParaBase"/>
    <w:rsid w:val="00117354"/>
    <w:pPr>
      <w:spacing w:before="120"/>
      <w:ind w:left="1134" w:hanging="1134"/>
    </w:pPr>
    <w:rPr>
      <w:sz w:val="18"/>
    </w:rPr>
  </w:style>
  <w:style w:type="paragraph" w:customStyle="1" w:styleId="FreeForm">
    <w:name w:val="FreeForm"/>
    <w:rsid w:val="00117354"/>
    <w:rPr>
      <w:rFonts w:ascii="Arial" w:hAnsi="Arial"/>
      <w:sz w:val="22"/>
    </w:rPr>
  </w:style>
  <w:style w:type="paragraph" w:customStyle="1" w:styleId="SOText">
    <w:name w:val="SO Text"/>
    <w:aliases w:val="sot"/>
    <w:link w:val="SOTextChar"/>
    <w:rsid w:val="0011735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17354"/>
    <w:rPr>
      <w:sz w:val="22"/>
    </w:rPr>
  </w:style>
  <w:style w:type="paragraph" w:customStyle="1" w:styleId="SOTextNote">
    <w:name w:val="SO TextNote"/>
    <w:aliases w:val="sont"/>
    <w:basedOn w:val="SOText"/>
    <w:qFormat/>
    <w:rsid w:val="00117354"/>
    <w:pPr>
      <w:spacing w:before="122" w:line="198" w:lineRule="exact"/>
      <w:ind w:left="1843" w:hanging="709"/>
    </w:pPr>
    <w:rPr>
      <w:sz w:val="18"/>
    </w:rPr>
  </w:style>
  <w:style w:type="paragraph" w:customStyle="1" w:styleId="SOPara">
    <w:name w:val="SO Para"/>
    <w:aliases w:val="soa"/>
    <w:basedOn w:val="SOText"/>
    <w:link w:val="SOParaChar"/>
    <w:qFormat/>
    <w:rsid w:val="00117354"/>
    <w:pPr>
      <w:tabs>
        <w:tab w:val="right" w:pos="1786"/>
      </w:tabs>
      <w:spacing w:before="40"/>
      <w:ind w:left="2070" w:hanging="936"/>
    </w:pPr>
  </w:style>
  <w:style w:type="character" w:customStyle="1" w:styleId="SOParaChar">
    <w:name w:val="SO Para Char"/>
    <w:aliases w:val="soa Char"/>
    <w:basedOn w:val="DefaultParagraphFont"/>
    <w:link w:val="SOPara"/>
    <w:rsid w:val="00117354"/>
    <w:rPr>
      <w:sz w:val="22"/>
    </w:rPr>
  </w:style>
  <w:style w:type="paragraph" w:customStyle="1" w:styleId="TableHeading">
    <w:name w:val="TableHeading"/>
    <w:aliases w:val="th"/>
    <w:basedOn w:val="OPCParaBase"/>
    <w:next w:val="Tabletext"/>
    <w:rsid w:val="00117354"/>
    <w:pPr>
      <w:keepNext/>
      <w:spacing w:before="60" w:line="240" w:lineRule="atLeast"/>
    </w:pPr>
    <w:rPr>
      <w:b/>
      <w:sz w:val="20"/>
    </w:rPr>
  </w:style>
  <w:style w:type="paragraph" w:customStyle="1" w:styleId="SOHeadBold">
    <w:name w:val="SO HeadBold"/>
    <w:aliases w:val="sohb"/>
    <w:basedOn w:val="SOText"/>
    <w:next w:val="SOText"/>
    <w:link w:val="SOHeadBoldChar"/>
    <w:qFormat/>
    <w:rsid w:val="00117354"/>
    <w:rPr>
      <w:b/>
    </w:rPr>
  </w:style>
  <w:style w:type="character" w:customStyle="1" w:styleId="SOHeadBoldChar">
    <w:name w:val="SO HeadBold Char"/>
    <w:aliases w:val="sohb Char"/>
    <w:basedOn w:val="DefaultParagraphFont"/>
    <w:link w:val="SOHeadBold"/>
    <w:rsid w:val="00117354"/>
    <w:rPr>
      <w:b/>
      <w:sz w:val="22"/>
    </w:rPr>
  </w:style>
  <w:style w:type="paragraph" w:customStyle="1" w:styleId="SOHeadItalic">
    <w:name w:val="SO HeadItalic"/>
    <w:aliases w:val="sohi"/>
    <w:basedOn w:val="SOText"/>
    <w:next w:val="SOText"/>
    <w:link w:val="SOHeadItalicChar"/>
    <w:qFormat/>
    <w:rsid w:val="00117354"/>
    <w:rPr>
      <w:i/>
    </w:rPr>
  </w:style>
  <w:style w:type="character" w:customStyle="1" w:styleId="SOHeadItalicChar">
    <w:name w:val="SO HeadItalic Char"/>
    <w:aliases w:val="sohi Char"/>
    <w:basedOn w:val="DefaultParagraphFont"/>
    <w:link w:val="SOHeadItalic"/>
    <w:rsid w:val="00117354"/>
    <w:rPr>
      <w:i/>
      <w:sz w:val="22"/>
    </w:rPr>
  </w:style>
  <w:style w:type="paragraph" w:customStyle="1" w:styleId="SOBullet">
    <w:name w:val="SO Bullet"/>
    <w:aliases w:val="sotb"/>
    <w:basedOn w:val="SOText"/>
    <w:link w:val="SOBulletChar"/>
    <w:qFormat/>
    <w:rsid w:val="00117354"/>
    <w:pPr>
      <w:ind w:left="1559" w:hanging="425"/>
    </w:pPr>
  </w:style>
  <w:style w:type="character" w:customStyle="1" w:styleId="SOBulletChar">
    <w:name w:val="SO Bullet Char"/>
    <w:aliases w:val="sotb Char"/>
    <w:basedOn w:val="DefaultParagraphFont"/>
    <w:link w:val="SOBullet"/>
    <w:rsid w:val="00117354"/>
    <w:rPr>
      <w:sz w:val="22"/>
    </w:rPr>
  </w:style>
  <w:style w:type="paragraph" w:customStyle="1" w:styleId="SOBulletNote">
    <w:name w:val="SO BulletNote"/>
    <w:aliases w:val="sonb"/>
    <w:basedOn w:val="SOTextNote"/>
    <w:link w:val="SOBulletNoteChar"/>
    <w:qFormat/>
    <w:rsid w:val="00117354"/>
    <w:pPr>
      <w:tabs>
        <w:tab w:val="left" w:pos="1560"/>
      </w:tabs>
      <w:ind w:left="2268" w:hanging="1134"/>
    </w:pPr>
  </w:style>
  <w:style w:type="character" w:customStyle="1" w:styleId="SOBulletNoteChar">
    <w:name w:val="SO BulletNote Char"/>
    <w:aliases w:val="sonb Char"/>
    <w:basedOn w:val="DefaultParagraphFont"/>
    <w:link w:val="SOBulletNote"/>
    <w:rsid w:val="00117354"/>
    <w:rPr>
      <w:sz w:val="18"/>
    </w:rPr>
  </w:style>
  <w:style w:type="paragraph" w:customStyle="1" w:styleId="SubPartCASA">
    <w:name w:val="SubPart(CASA)"/>
    <w:aliases w:val="csp"/>
    <w:basedOn w:val="OPCParaBase"/>
    <w:next w:val="ActHead3"/>
    <w:rsid w:val="00117354"/>
    <w:pPr>
      <w:keepNext/>
      <w:keepLines/>
      <w:spacing w:before="280"/>
      <w:ind w:left="1134" w:hanging="1134"/>
      <w:outlineLvl w:val="1"/>
    </w:pPr>
    <w:rPr>
      <w:b/>
      <w:kern w:val="28"/>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17354"/>
    <w:pPr>
      <w:spacing w:line="260" w:lineRule="atLeast"/>
    </w:pPr>
    <w:rPr>
      <w:sz w:val="22"/>
    </w:rPr>
  </w:style>
  <w:style w:type="character" w:default="1" w:styleId="DefaultParagraphFont">
    <w:name w:val="Default Paragraph Font"/>
    <w:uiPriority w:val="1"/>
    <w:semiHidden/>
    <w:unhideWhenUsed/>
    <w:rsid w:val="0011735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17354"/>
  </w:style>
  <w:style w:type="character" w:customStyle="1" w:styleId="OPCCharBase">
    <w:name w:val="OPCCharBase"/>
    <w:uiPriority w:val="1"/>
    <w:qFormat/>
    <w:rsid w:val="00117354"/>
  </w:style>
  <w:style w:type="paragraph" w:customStyle="1" w:styleId="OPCParaBase">
    <w:name w:val="OPCParaBase"/>
    <w:qFormat/>
    <w:rsid w:val="00117354"/>
    <w:pPr>
      <w:spacing w:line="260" w:lineRule="atLeast"/>
    </w:pPr>
    <w:rPr>
      <w:rFonts w:eastAsia="Times New Roman" w:cs="Times New Roman"/>
      <w:sz w:val="22"/>
      <w:lang w:eastAsia="en-AU"/>
    </w:rPr>
  </w:style>
  <w:style w:type="paragraph" w:customStyle="1" w:styleId="ShortT">
    <w:name w:val="ShortT"/>
    <w:basedOn w:val="OPCParaBase"/>
    <w:next w:val="Normal"/>
    <w:qFormat/>
    <w:rsid w:val="00117354"/>
    <w:pPr>
      <w:spacing w:line="240" w:lineRule="auto"/>
    </w:pPr>
    <w:rPr>
      <w:b/>
      <w:sz w:val="40"/>
    </w:rPr>
  </w:style>
  <w:style w:type="paragraph" w:customStyle="1" w:styleId="ActHead1">
    <w:name w:val="ActHead 1"/>
    <w:aliases w:val="c"/>
    <w:basedOn w:val="OPCParaBase"/>
    <w:next w:val="Normal"/>
    <w:qFormat/>
    <w:rsid w:val="0011735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1735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1735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1735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1735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1735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1735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1735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1735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17354"/>
  </w:style>
  <w:style w:type="paragraph" w:customStyle="1" w:styleId="Blocks">
    <w:name w:val="Blocks"/>
    <w:aliases w:val="bb"/>
    <w:basedOn w:val="OPCParaBase"/>
    <w:qFormat/>
    <w:rsid w:val="00117354"/>
    <w:pPr>
      <w:spacing w:line="240" w:lineRule="auto"/>
    </w:pPr>
    <w:rPr>
      <w:sz w:val="24"/>
    </w:rPr>
  </w:style>
  <w:style w:type="paragraph" w:customStyle="1" w:styleId="BoxText">
    <w:name w:val="BoxText"/>
    <w:aliases w:val="bt"/>
    <w:basedOn w:val="OPCParaBase"/>
    <w:rsid w:val="0011735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17354"/>
    <w:rPr>
      <w:b/>
    </w:rPr>
  </w:style>
  <w:style w:type="paragraph" w:customStyle="1" w:styleId="BoxHeadItalic">
    <w:name w:val="BoxHeadItalic"/>
    <w:aliases w:val="bhi"/>
    <w:basedOn w:val="BoxText"/>
    <w:next w:val="Normal"/>
    <w:qFormat/>
    <w:rsid w:val="00117354"/>
    <w:rPr>
      <w:i/>
    </w:rPr>
  </w:style>
  <w:style w:type="paragraph" w:customStyle="1" w:styleId="BoxList">
    <w:name w:val="BoxList"/>
    <w:aliases w:val="bl"/>
    <w:basedOn w:val="BoxText"/>
    <w:qFormat/>
    <w:rsid w:val="00117354"/>
    <w:pPr>
      <w:ind w:left="1559" w:hanging="425"/>
    </w:pPr>
  </w:style>
  <w:style w:type="paragraph" w:customStyle="1" w:styleId="BoxNote">
    <w:name w:val="BoxNote"/>
    <w:aliases w:val="bn"/>
    <w:basedOn w:val="BoxText"/>
    <w:qFormat/>
    <w:rsid w:val="00117354"/>
    <w:pPr>
      <w:tabs>
        <w:tab w:val="left" w:pos="1985"/>
      </w:tabs>
      <w:spacing w:before="122" w:line="198" w:lineRule="exact"/>
      <w:ind w:left="2948" w:hanging="1814"/>
    </w:pPr>
    <w:rPr>
      <w:sz w:val="18"/>
    </w:rPr>
  </w:style>
  <w:style w:type="paragraph" w:customStyle="1" w:styleId="BoxPara">
    <w:name w:val="BoxPara"/>
    <w:aliases w:val="bp"/>
    <w:basedOn w:val="BoxText"/>
    <w:qFormat/>
    <w:rsid w:val="00117354"/>
    <w:pPr>
      <w:tabs>
        <w:tab w:val="right" w:pos="2268"/>
      </w:tabs>
      <w:ind w:left="2552" w:hanging="1418"/>
    </w:pPr>
  </w:style>
  <w:style w:type="paragraph" w:customStyle="1" w:styleId="BoxStep">
    <w:name w:val="BoxStep"/>
    <w:aliases w:val="bs"/>
    <w:basedOn w:val="BoxText"/>
    <w:qFormat/>
    <w:rsid w:val="00117354"/>
    <w:pPr>
      <w:ind w:left="1985" w:hanging="851"/>
    </w:pPr>
  </w:style>
  <w:style w:type="character" w:customStyle="1" w:styleId="CharAmPartNo">
    <w:name w:val="CharAmPartNo"/>
    <w:basedOn w:val="OPCCharBase"/>
    <w:uiPriority w:val="1"/>
    <w:qFormat/>
    <w:rsid w:val="00117354"/>
  </w:style>
  <w:style w:type="character" w:customStyle="1" w:styleId="CharAmPartText">
    <w:name w:val="CharAmPartText"/>
    <w:basedOn w:val="OPCCharBase"/>
    <w:uiPriority w:val="1"/>
    <w:qFormat/>
    <w:rsid w:val="00117354"/>
  </w:style>
  <w:style w:type="character" w:customStyle="1" w:styleId="CharAmSchNo">
    <w:name w:val="CharAmSchNo"/>
    <w:basedOn w:val="OPCCharBase"/>
    <w:uiPriority w:val="1"/>
    <w:qFormat/>
    <w:rsid w:val="00117354"/>
  </w:style>
  <w:style w:type="character" w:customStyle="1" w:styleId="CharAmSchText">
    <w:name w:val="CharAmSchText"/>
    <w:basedOn w:val="OPCCharBase"/>
    <w:uiPriority w:val="1"/>
    <w:qFormat/>
    <w:rsid w:val="00117354"/>
  </w:style>
  <w:style w:type="character" w:customStyle="1" w:styleId="CharBoldItalic">
    <w:name w:val="CharBoldItalic"/>
    <w:basedOn w:val="OPCCharBase"/>
    <w:uiPriority w:val="1"/>
    <w:qFormat/>
    <w:rsid w:val="00117354"/>
    <w:rPr>
      <w:b/>
      <w:i/>
    </w:rPr>
  </w:style>
  <w:style w:type="character" w:customStyle="1" w:styleId="CharChapNo">
    <w:name w:val="CharChapNo"/>
    <w:basedOn w:val="OPCCharBase"/>
    <w:uiPriority w:val="1"/>
    <w:qFormat/>
    <w:rsid w:val="00117354"/>
  </w:style>
  <w:style w:type="character" w:customStyle="1" w:styleId="CharChapText">
    <w:name w:val="CharChapText"/>
    <w:basedOn w:val="OPCCharBase"/>
    <w:uiPriority w:val="1"/>
    <w:qFormat/>
    <w:rsid w:val="00117354"/>
  </w:style>
  <w:style w:type="character" w:customStyle="1" w:styleId="CharDivNo">
    <w:name w:val="CharDivNo"/>
    <w:basedOn w:val="OPCCharBase"/>
    <w:uiPriority w:val="1"/>
    <w:qFormat/>
    <w:rsid w:val="00117354"/>
  </w:style>
  <w:style w:type="character" w:customStyle="1" w:styleId="CharDivText">
    <w:name w:val="CharDivText"/>
    <w:basedOn w:val="OPCCharBase"/>
    <w:uiPriority w:val="1"/>
    <w:qFormat/>
    <w:rsid w:val="00117354"/>
  </w:style>
  <w:style w:type="character" w:customStyle="1" w:styleId="CharItalic">
    <w:name w:val="CharItalic"/>
    <w:basedOn w:val="OPCCharBase"/>
    <w:uiPriority w:val="1"/>
    <w:qFormat/>
    <w:rsid w:val="00117354"/>
    <w:rPr>
      <w:i/>
    </w:rPr>
  </w:style>
  <w:style w:type="character" w:customStyle="1" w:styleId="CharPartNo">
    <w:name w:val="CharPartNo"/>
    <w:basedOn w:val="OPCCharBase"/>
    <w:uiPriority w:val="1"/>
    <w:qFormat/>
    <w:rsid w:val="00117354"/>
  </w:style>
  <w:style w:type="character" w:customStyle="1" w:styleId="CharPartText">
    <w:name w:val="CharPartText"/>
    <w:basedOn w:val="OPCCharBase"/>
    <w:uiPriority w:val="1"/>
    <w:qFormat/>
    <w:rsid w:val="00117354"/>
  </w:style>
  <w:style w:type="character" w:customStyle="1" w:styleId="CharSectno">
    <w:name w:val="CharSectno"/>
    <w:basedOn w:val="OPCCharBase"/>
    <w:uiPriority w:val="1"/>
    <w:qFormat/>
    <w:rsid w:val="00117354"/>
  </w:style>
  <w:style w:type="character" w:customStyle="1" w:styleId="CharSubdNo">
    <w:name w:val="CharSubdNo"/>
    <w:basedOn w:val="OPCCharBase"/>
    <w:uiPriority w:val="1"/>
    <w:qFormat/>
    <w:rsid w:val="00117354"/>
  </w:style>
  <w:style w:type="character" w:customStyle="1" w:styleId="CharSubdText">
    <w:name w:val="CharSubdText"/>
    <w:basedOn w:val="OPCCharBase"/>
    <w:uiPriority w:val="1"/>
    <w:qFormat/>
    <w:rsid w:val="00117354"/>
  </w:style>
  <w:style w:type="paragraph" w:customStyle="1" w:styleId="CTA--">
    <w:name w:val="CTA --"/>
    <w:basedOn w:val="OPCParaBase"/>
    <w:next w:val="Normal"/>
    <w:rsid w:val="00117354"/>
    <w:pPr>
      <w:spacing w:before="60" w:line="240" w:lineRule="atLeast"/>
      <w:ind w:left="142" w:hanging="142"/>
    </w:pPr>
    <w:rPr>
      <w:sz w:val="20"/>
    </w:rPr>
  </w:style>
  <w:style w:type="paragraph" w:customStyle="1" w:styleId="CTA-">
    <w:name w:val="CTA -"/>
    <w:basedOn w:val="OPCParaBase"/>
    <w:rsid w:val="00117354"/>
    <w:pPr>
      <w:spacing w:before="60" w:line="240" w:lineRule="atLeast"/>
      <w:ind w:left="85" w:hanging="85"/>
    </w:pPr>
    <w:rPr>
      <w:sz w:val="20"/>
    </w:rPr>
  </w:style>
  <w:style w:type="paragraph" w:customStyle="1" w:styleId="CTA---">
    <w:name w:val="CTA ---"/>
    <w:basedOn w:val="OPCParaBase"/>
    <w:next w:val="Normal"/>
    <w:rsid w:val="00117354"/>
    <w:pPr>
      <w:spacing w:before="60" w:line="240" w:lineRule="atLeast"/>
      <w:ind w:left="198" w:hanging="198"/>
    </w:pPr>
    <w:rPr>
      <w:sz w:val="20"/>
    </w:rPr>
  </w:style>
  <w:style w:type="paragraph" w:customStyle="1" w:styleId="CTA----">
    <w:name w:val="CTA ----"/>
    <w:basedOn w:val="OPCParaBase"/>
    <w:next w:val="Normal"/>
    <w:rsid w:val="00117354"/>
    <w:pPr>
      <w:spacing w:before="60" w:line="240" w:lineRule="atLeast"/>
      <w:ind w:left="255" w:hanging="255"/>
    </w:pPr>
    <w:rPr>
      <w:sz w:val="20"/>
    </w:rPr>
  </w:style>
  <w:style w:type="paragraph" w:customStyle="1" w:styleId="CTA1a">
    <w:name w:val="CTA 1(a)"/>
    <w:basedOn w:val="OPCParaBase"/>
    <w:rsid w:val="00117354"/>
    <w:pPr>
      <w:tabs>
        <w:tab w:val="right" w:pos="414"/>
      </w:tabs>
      <w:spacing w:before="40" w:line="240" w:lineRule="atLeast"/>
      <w:ind w:left="675" w:hanging="675"/>
    </w:pPr>
    <w:rPr>
      <w:sz w:val="20"/>
    </w:rPr>
  </w:style>
  <w:style w:type="paragraph" w:customStyle="1" w:styleId="CTA1ai">
    <w:name w:val="CTA 1(a)(i)"/>
    <w:basedOn w:val="OPCParaBase"/>
    <w:rsid w:val="00117354"/>
    <w:pPr>
      <w:tabs>
        <w:tab w:val="right" w:pos="1004"/>
      </w:tabs>
      <w:spacing w:before="40" w:line="240" w:lineRule="atLeast"/>
      <w:ind w:left="1253" w:hanging="1253"/>
    </w:pPr>
    <w:rPr>
      <w:sz w:val="20"/>
    </w:rPr>
  </w:style>
  <w:style w:type="paragraph" w:customStyle="1" w:styleId="CTA2a">
    <w:name w:val="CTA 2(a)"/>
    <w:basedOn w:val="OPCParaBase"/>
    <w:rsid w:val="00117354"/>
    <w:pPr>
      <w:tabs>
        <w:tab w:val="right" w:pos="482"/>
      </w:tabs>
      <w:spacing w:before="40" w:line="240" w:lineRule="atLeast"/>
      <w:ind w:left="748" w:hanging="748"/>
    </w:pPr>
    <w:rPr>
      <w:sz w:val="20"/>
    </w:rPr>
  </w:style>
  <w:style w:type="paragraph" w:customStyle="1" w:styleId="CTA2ai">
    <w:name w:val="CTA 2(a)(i)"/>
    <w:basedOn w:val="OPCParaBase"/>
    <w:rsid w:val="00117354"/>
    <w:pPr>
      <w:tabs>
        <w:tab w:val="right" w:pos="1089"/>
      </w:tabs>
      <w:spacing w:before="40" w:line="240" w:lineRule="atLeast"/>
      <w:ind w:left="1327" w:hanging="1327"/>
    </w:pPr>
    <w:rPr>
      <w:sz w:val="20"/>
    </w:rPr>
  </w:style>
  <w:style w:type="paragraph" w:customStyle="1" w:styleId="CTA3a">
    <w:name w:val="CTA 3(a)"/>
    <w:basedOn w:val="OPCParaBase"/>
    <w:rsid w:val="00117354"/>
    <w:pPr>
      <w:tabs>
        <w:tab w:val="right" w:pos="556"/>
      </w:tabs>
      <w:spacing w:before="40" w:line="240" w:lineRule="atLeast"/>
      <w:ind w:left="805" w:hanging="805"/>
    </w:pPr>
    <w:rPr>
      <w:sz w:val="20"/>
    </w:rPr>
  </w:style>
  <w:style w:type="paragraph" w:customStyle="1" w:styleId="CTA3ai">
    <w:name w:val="CTA 3(a)(i)"/>
    <w:basedOn w:val="OPCParaBase"/>
    <w:rsid w:val="00117354"/>
    <w:pPr>
      <w:tabs>
        <w:tab w:val="right" w:pos="1140"/>
      </w:tabs>
      <w:spacing w:before="40" w:line="240" w:lineRule="atLeast"/>
      <w:ind w:left="1361" w:hanging="1361"/>
    </w:pPr>
    <w:rPr>
      <w:sz w:val="20"/>
    </w:rPr>
  </w:style>
  <w:style w:type="paragraph" w:customStyle="1" w:styleId="CTA4a">
    <w:name w:val="CTA 4(a)"/>
    <w:basedOn w:val="OPCParaBase"/>
    <w:rsid w:val="00117354"/>
    <w:pPr>
      <w:tabs>
        <w:tab w:val="right" w:pos="624"/>
      </w:tabs>
      <w:spacing w:before="40" w:line="240" w:lineRule="atLeast"/>
      <w:ind w:left="873" w:hanging="873"/>
    </w:pPr>
    <w:rPr>
      <w:sz w:val="20"/>
    </w:rPr>
  </w:style>
  <w:style w:type="paragraph" w:customStyle="1" w:styleId="CTA4ai">
    <w:name w:val="CTA 4(a)(i)"/>
    <w:basedOn w:val="OPCParaBase"/>
    <w:rsid w:val="00117354"/>
    <w:pPr>
      <w:tabs>
        <w:tab w:val="right" w:pos="1213"/>
      </w:tabs>
      <w:spacing w:before="40" w:line="240" w:lineRule="atLeast"/>
      <w:ind w:left="1452" w:hanging="1452"/>
    </w:pPr>
    <w:rPr>
      <w:sz w:val="20"/>
    </w:rPr>
  </w:style>
  <w:style w:type="paragraph" w:customStyle="1" w:styleId="CTACAPS">
    <w:name w:val="CTA CAPS"/>
    <w:basedOn w:val="OPCParaBase"/>
    <w:rsid w:val="00117354"/>
    <w:pPr>
      <w:spacing w:before="60" w:line="240" w:lineRule="atLeast"/>
    </w:pPr>
    <w:rPr>
      <w:sz w:val="20"/>
    </w:rPr>
  </w:style>
  <w:style w:type="paragraph" w:customStyle="1" w:styleId="CTAright">
    <w:name w:val="CTA right"/>
    <w:basedOn w:val="OPCParaBase"/>
    <w:rsid w:val="00117354"/>
    <w:pPr>
      <w:spacing w:before="60" w:line="240" w:lineRule="auto"/>
      <w:jc w:val="right"/>
    </w:pPr>
    <w:rPr>
      <w:sz w:val="20"/>
    </w:rPr>
  </w:style>
  <w:style w:type="paragraph" w:customStyle="1" w:styleId="subsection">
    <w:name w:val="subsection"/>
    <w:aliases w:val="ss"/>
    <w:basedOn w:val="OPCParaBase"/>
    <w:rsid w:val="00117354"/>
    <w:pPr>
      <w:tabs>
        <w:tab w:val="right" w:pos="1021"/>
      </w:tabs>
      <w:spacing w:before="180" w:line="240" w:lineRule="auto"/>
      <w:ind w:left="1134" w:hanging="1134"/>
    </w:pPr>
  </w:style>
  <w:style w:type="paragraph" w:customStyle="1" w:styleId="Definition">
    <w:name w:val="Definition"/>
    <w:aliases w:val="dd"/>
    <w:basedOn w:val="OPCParaBase"/>
    <w:rsid w:val="00117354"/>
    <w:pPr>
      <w:spacing w:before="180" w:line="240" w:lineRule="auto"/>
      <w:ind w:left="1134"/>
    </w:pPr>
  </w:style>
  <w:style w:type="paragraph" w:customStyle="1" w:styleId="ETAsubitem">
    <w:name w:val="ETA(subitem)"/>
    <w:basedOn w:val="OPCParaBase"/>
    <w:rsid w:val="00117354"/>
    <w:pPr>
      <w:tabs>
        <w:tab w:val="right" w:pos="340"/>
      </w:tabs>
      <w:spacing w:before="60" w:line="240" w:lineRule="auto"/>
      <w:ind w:left="454" w:hanging="454"/>
    </w:pPr>
    <w:rPr>
      <w:sz w:val="20"/>
    </w:rPr>
  </w:style>
  <w:style w:type="paragraph" w:customStyle="1" w:styleId="ETApara">
    <w:name w:val="ETA(para)"/>
    <w:basedOn w:val="OPCParaBase"/>
    <w:rsid w:val="00117354"/>
    <w:pPr>
      <w:tabs>
        <w:tab w:val="right" w:pos="754"/>
      </w:tabs>
      <w:spacing w:before="60" w:line="240" w:lineRule="auto"/>
      <w:ind w:left="828" w:hanging="828"/>
    </w:pPr>
    <w:rPr>
      <w:sz w:val="20"/>
    </w:rPr>
  </w:style>
  <w:style w:type="paragraph" w:customStyle="1" w:styleId="ETAsubpara">
    <w:name w:val="ETA(subpara)"/>
    <w:basedOn w:val="OPCParaBase"/>
    <w:rsid w:val="00117354"/>
    <w:pPr>
      <w:tabs>
        <w:tab w:val="right" w:pos="1083"/>
      </w:tabs>
      <w:spacing w:before="60" w:line="240" w:lineRule="auto"/>
      <w:ind w:left="1191" w:hanging="1191"/>
    </w:pPr>
    <w:rPr>
      <w:sz w:val="20"/>
    </w:rPr>
  </w:style>
  <w:style w:type="paragraph" w:customStyle="1" w:styleId="ETAsub-subpara">
    <w:name w:val="ETA(sub-subpara)"/>
    <w:basedOn w:val="OPCParaBase"/>
    <w:rsid w:val="00117354"/>
    <w:pPr>
      <w:tabs>
        <w:tab w:val="right" w:pos="1412"/>
      </w:tabs>
      <w:spacing w:before="60" w:line="240" w:lineRule="auto"/>
      <w:ind w:left="1525" w:hanging="1525"/>
    </w:pPr>
    <w:rPr>
      <w:sz w:val="20"/>
    </w:rPr>
  </w:style>
  <w:style w:type="paragraph" w:customStyle="1" w:styleId="Formula">
    <w:name w:val="Formula"/>
    <w:basedOn w:val="OPCParaBase"/>
    <w:rsid w:val="00117354"/>
    <w:pPr>
      <w:spacing w:line="240" w:lineRule="auto"/>
      <w:ind w:left="1134"/>
    </w:pPr>
    <w:rPr>
      <w:sz w:val="20"/>
    </w:rPr>
  </w:style>
  <w:style w:type="paragraph" w:styleId="Header">
    <w:name w:val="header"/>
    <w:basedOn w:val="OPCParaBase"/>
    <w:link w:val="HeaderChar"/>
    <w:unhideWhenUsed/>
    <w:rsid w:val="0011735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17354"/>
    <w:rPr>
      <w:rFonts w:eastAsia="Times New Roman" w:cs="Times New Roman"/>
      <w:sz w:val="16"/>
      <w:lang w:eastAsia="en-AU"/>
    </w:rPr>
  </w:style>
  <w:style w:type="paragraph" w:customStyle="1" w:styleId="House">
    <w:name w:val="House"/>
    <w:basedOn w:val="OPCParaBase"/>
    <w:rsid w:val="00117354"/>
    <w:pPr>
      <w:spacing w:line="240" w:lineRule="auto"/>
    </w:pPr>
    <w:rPr>
      <w:sz w:val="28"/>
    </w:rPr>
  </w:style>
  <w:style w:type="paragraph" w:customStyle="1" w:styleId="Item">
    <w:name w:val="Item"/>
    <w:aliases w:val="i"/>
    <w:basedOn w:val="OPCParaBase"/>
    <w:next w:val="ItemHead"/>
    <w:rsid w:val="00117354"/>
    <w:pPr>
      <w:keepLines/>
      <w:spacing w:before="80" w:line="240" w:lineRule="auto"/>
      <w:ind w:left="709"/>
    </w:pPr>
  </w:style>
  <w:style w:type="paragraph" w:customStyle="1" w:styleId="ItemHead">
    <w:name w:val="ItemHead"/>
    <w:aliases w:val="ih"/>
    <w:basedOn w:val="OPCParaBase"/>
    <w:next w:val="Item"/>
    <w:rsid w:val="00117354"/>
    <w:pPr>
      <w:keepLines/>
      <w:spacing w:before="220" w:line="240" w:lineRule="auto"/>
      <w:ind w:left="709" w:hanging="709"/>
    </w:pPr>
    <w:rPr>
      <w:rFonts w:ascii="Arial" w:hAnsi="Arial"/>
      <w:b/>
      <w:kern w:val="28"/>
      <w:sz w:val="24"/>
    </w:rPr>
  </w:style>
  <w:style w:type="paragraph" w:customStyle="1" w:styleId="LongT">
    <w:name w:val="LongT"/>
    <w:basedOn w:val="OPCParaBase"/>
    <w:rsid w:val="00117354"/>
    <w:pPr>
      <w:spacing w:line="240" w:lineRule="auto"/>
    </w:pPr>
    <w:rPr>
      <w:b/>
      <w:sz w:val="32"/>
    </w:rPr>
  </w:style>
  <w:style w:type="paragraph" w:customStyle="1" w:styleId="notedraft">
    <w:name w:val="note(draft)"/>
    <w:aliases w:val="nd"/>
    <w:basedOn w:val="OPCParaBase"/>
    <w:rsid w:val="00117354"/>
    <w:pPr>
      <w:spacing w:before="240" w:line="240" w:lineRule="auto"/>
      <w:ind w:left="284" w:hanging="284"/>
    </w:pPr>
    <w:rPr>
      <w:i/>
      <w:sz w:val="24"/>
    </w:rPr>
  </w:style>
  <w:style w:type="paragraph" w:customStyle="1" w:styleId="notemargin">
    <w:name w:val="note(margin)"/>
    <w:aliases w:val="nm"/>
    <w:basedOn w:val="OPCParaBase"/>
    <w:rsid w:val="00117354"/>
    <w:pPr>
      <w:tabs>
        <w:tab w:val="left" w:pos="709"/>
      </w:tabs>
      <w:spacing w:before="122" w:line="198" w:lineRule="exact"/>
      <w:ind w:left="709" w:hanging="709"/>
    </w:pPr>
    <w:rPr>
      <w:sz w:val="18"/>
    </w:rPr>
  </w:style>
  <w:style w:type="paragraph" w:customStyle="1" w:styleId="notepara">
    <w:name w:val="note(para)"/>
    <w:aliases w:val="na"/>
    <w:basedOn w:val="OPCParaBase"/>
    <w:rsid w:val="00117354"/>
    <w:pPr>
      <w:spacing w:before="40" w:line="198" w:lineRule="exact"/>
      <w:ind w:left="2354" w:hanging="369"/>
    </w:pPr>
    <w:rPr>
      <w:sz w:val="18"/>
    </w:rPr>
  </w:style>
  <w:style w:type="paragraph" w:customStyle="1" w:styleId="noteParlAmend">
    <w:name w:val="note(ParlAmend)"/>
    <w:aliases w:val="npp"/>
    <w:basedOn w:val="OPCParaBase"/>
    <w:next w:val="ParlAmend"/>
    <w:rsid w:val="00117354"/>
    <w:pPr>
      <w:spacing w:line="240" w:lineRule="auto"/>
      <w:jc w:val="right"/>
    </w:pPr>
    <w:rPr>
      <w:rFonts w:ascii="Arial" w:hAnsi="Arial"/>
      <w:b/>
      <w:i/>
    </w:rPr>
  </w:style>
  <w:style w:type="paragraph" w:customStyle="1" w:styleId="notetext">
    <w:name w:val="note(text)"/>
    <w:aliases w:val="n"/>
    <w:basedOn w:val="OPCParaBase"/>
    <w:rsid w:val="00117354"/>
    <w:pPr>
      <w:spacing w:before="122" w:line="198" w:lineRule="exact"/>
      <w:ind w:left="1985" w:hanging="851"/>
    </w:pPr>
    <w:rPr>
      <w:sz w:val="18"/>
    </w:rPr>
  </w:style>
  <w:style w:type="paragraph" w:customStyle="1" w:styleId="Page1">
    <w:name w:val="Page1"/>
    <w:basedOn w:val="OPCParaBase"/>
    <w:rsid w:val="00117354"/>
    <w:pPr>
      <w:spacing w:before="5600" w:line="240" w:lineRule="auto"/>
    </w:pPr>
    <w:rPr>
      <w:b/>
      <w:sz w:val="32"/>
    </w:rPr>
  </w:style>
  <w:style w:type="paragraph" w:customStyle="1" w:styleId="PageBreak">
    <w:name w:val="PageBreak"/>
    <w:aliases w:val="pb"/>
    <w:basedOn w:val="OPCParaBase"/>
    <w:rsid w:val="00117354"/>
    <w:pPr>
      <w:spacing w:line="240" w:lineRule="auto"/>
    </w:pPr>
    <w:rPr>
      <w:sz w:val="10"/>
    </w:rPr>
  </w:style>
  <w:style w:type="paragraph" w:customStyle="1" w:styleId="paragraphsub">
    <w:name w:val="paragraph(sub)"/>
    <w:aliases w:val="aa"/>
    <w:basedOn w:val="OPCParaBase"/>
    <w:rsid w:val="00117354"/>
    <w:pPr>
      <w:tabs>
        <w:tab w:val="right" w:pos="1985"/>
      </w:tabs>
      <w:spacing w:before="40" w:line="240" w:lineRule="auto"/>
      <w:ind w:left="2098" w:hanging="2098"/>
    </w:pPr>
  </w:style>
  <w:style w:type="paragraph" w:customStyle="1" w:styleId="paragraphsub-sub">
    <w:name w:val="paragraph(sub-sub)"/>
    <w:aliases w:val="aaa"/>
    <w:basedOn w:val="OPCParaBase"/>
    <w:rsid w:val="00117354"/>
    <w:pPr>
      <w:tabs>
        <w:tab w:val="right" w:pos="2722"/>
      </w:tabs>
      <w:spacing w:before="40" w:line="240" w:lineRule="auto"/>
      <w:ind w:left="2835" w:hanging="2835"/>
    </w:pPr>
  </w:style>
  <w:style w:type="paragraph" w:customStyle="1" w:styleId="paragraph">
    <w:name w:val="paragraph"/>
    <w:aliases w:val="a"/>
    <w:basedOn w:val="OPCParaBase"/>
    <w:rsid w:val="00117354"/>
    <w:pPr>
      <w:tabs>
        <w:tab w:val="right" w:pos="1531"/>
      </w:tabs>
      <w:spacing w:before="40" w:line="240" w:lineRule="auto"/>
      <w:ind w:left="1644" w:hanging="1644"/>
    </w:pPr>
  </w:style>
  <w:style w:type="paragraph" w:customStyle="1" w:styleId="ParlAmend">
    <w:name w:val="ParlAmend"/>
    <w:aliases w:val="pp"/>
    <w:basedOn w:val="OPCParaBase"/>
    <w:rsid w:val="00117354"/>
    <w:pPr>
      <w:spacing w:before="240" w:line="240" w:lineRule="atLeast"/>
      <w:ind w:hanging="567"/>
    </w:pPr>
    <w:rPr>
      <w:sz w:val="24"/>
    </w:rPr>
  </w:style>
  <w:style w:type="paragraph" w:customStyle="1" w:styleId="Penalty">
    <w:name w:val="Penalty"/>
    <w:basedOn w:val="OPCParaBase"/>
    <w:rsid w:val="00117354"/>
    <w:pPr>
      <w:tabs>
        <w:tab w:val="left" w:pos="2977"/>
      </w:tabs>
      <w:spacing w:before="180" w:line="240" w:lineRule="auto"/>
      <w:ind w:left="1985" w:hanging="851"/>
    </w:pPr>
  </w:style>
  <w:style w:type="paragraph" w:customStyle="1" w:styleId="Portfolio">
    <w:name w:val="Portfolio"/>
    <w:basedOn w:val="OPCParaBase"/>
    <w:rsid w:val="00117354"/>
    <w:pPr>
      <w:spacing w:line="240" w:lineRule="auto"/>
    </w:pPr>
    <w:rPr>
      <w:i/>
      <w:sz w:val="20"/>
    </w:rPr>
  </w:style>
  <w:style w:type="paragraph" w:customStyle="1" w:styleId="Preamble">
    <w:name w:val="Preamble"/>
    <w:basedOn w:val="OPCParaBase"/>
    <w:next w:val="Normal"/>
    <w:rsid w:val="0011735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17354"/>
    <w:pPr>
      <w:spacing w:line="240" w:lineRule="auto"/>
    </w:pPr>
    <w:rPr>
      <w:i/>
      <w:sz w:val="20"/>
    </w:rPr>
  </w:style>
  <w:style w:type="paragraph" w:customStyle="1" w:styleId="Session">
    <w:name w:val="Session"/>
    <w:basedOn w:val="OPCParaBase"/>
    <w:rsid w:val="00117354"/>
    <w:pPr>
      <w:spacing w:line="240" w:lineRule="auto"/>
    </w:pPr>
    <w:rPr>
      <w:sz w:val="28"/>
    </w:rPr>
  </w:style>
  <w:style w:type="paragraph" w:customStyle="1" w:styleId="Sponsor">
    <w:name w:val="Sponsor"/>
    <w:basedOn w:val="OPCParaBase"/>
    <w:rsid w:val="00117354"/>
    <w:pPr>
      <w:spacing w:line="240" w:lineRule="auto"/>
    </w:pPr>
    <w:rPr>
      <w:i/>
    </w:rPr>
  </w:style>
  <w:style w:type="paragraph" w:customStyle="1" w:styleId="Subitem">
    <w:name w:val="Subitem"/>
    <w:aliases w:val="iss"/>
    <w:basedOn w:val="OPCParaBase"/>
    <w:rsid w:val="00117354"/>
    <w:pPr>
      <w:spacing w:before="180" w:line="240" w:lineRule="auto"/>
      <w:ind w:left="709" w:hanging="709"/>
    </w:pPr>
  </w:style>
  <w:style w:type="paragraph" w:customStyle="1" w:styleId="SubitemHead">
    <w:name w:val="SubitemHead"/>
    <w:aliases w:val="issh"/>
    <w:basedOn w:val="OPCParaBase"/>
    <w:rsid w:val="0011735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17354"/>
    <w:pPr>
      <w:spacing w:before="40" w:line="240" w:lineRule="auto"/>
      <w:ind w:left="1134"/>
    </w:pPr>
  </w:style>
  <w:style w:type="paragraph" w:customStyle="1" w:styleId="SubsectionHead">
    <w:name w:val="SubsectionHead"/>
    <w:aliases w:val="ssh"/>
    <w:basedOn w:val="OPCParaBase"/>
    <w:next w:val="subsection"/>
    <w:rsid w:val="00117354"/>
    <w:pPr>
      <w:keepNext/>
      <w:keepLines/>
      <w:spacing w:before="240" w:line="240" w:lineRule="auto"/>
      <w:ind w:left="1134"/>
    </w:pPr>
    <w:rPr>
      <w:i/>
    </w:rPr>
  </w:style>
  <w:style w:type="paragraph" w:customStyle="1" w:styleId="Tablea">
    <w:name w:val="Table(a)"/>
    <w:aliases w:val="ta"/>
    <w:basedOn w:val="OPCParaBase"/>
    <w:rsid w:val="00117354"/>
    <w:pPr>
      <w:spacing w:before="60" w:line="240" w:lineRule="auto"/>
      <w:ind w:left="284" w:hanging="284"/>
    </w:pPr>
    <w:rPr>
      <w:sz w:val="20"/>
    </w:rPr>
  </w:style>
  <w:style w:type="paragraph" w:customStyle="1" w:styleId="TableAA">
    <w:name w:val="Table(AA)"/>
    <w:aliases w:val="taaa"/>
    <w:basedOn w:val="OPCParaBase"/>
    <w:rsid w:val="0011735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1735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17354"/>
    <w:pPr>
      <w:spacing w:before="60" w:line="240" w:lineRule="atLeast"/>
    </w:pPr>
    <w:rPr>
      <w:sz w:val="20"/>
    </w:rPr>
  </w:style>
  <w:style w:type="paragraph" w:customStyle="1" w:styleId="TLPBoxTextnote">
    <w:name w:val="TLPBoxText(note"/>
    <w:aliases w:val="right)"/>
    <w:basedOn w:val="OPCParaBase"/>
    <w:rsid w:val="0011735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17354"/>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117354"/>
    <w:pPr>
      <w:spacing w:before="122" w:line="198" w:lineRule="exact"/>
      <w:ind w:left="1985" w:hanging="851"/>
      <w:jc w:val="right"/>
    </w:pPr>
    <w:rPr>
      <w:sz w:val="18"/>
    </w:rPr>
  </w:style>
  <w:style w:type="paragraph" w:customStyle="1" w:styleId="TLPTableBullet">
    <w:name w:val="TLPTableBullet"/>
    <w:aliases w:val="ttb"/>
    <w:basedOn w:val="OPCParaBase"/>
    <w:rsid w:val="00117354"/>
    <w:pPr>
      <w:spacing w:line="240" w:lineRule="exact"/>
      <w:ind w:left="284" w:hanging="284"/>
    </w:pPr>
    <w:rPr>
      <w:sz w:val="20"/>
    </w:rPr>
  </w:style>
  <w:style w:type="paragraph" w:styleId="TOC1">
    <w:name w:val="toc 1"/>
    <w:basedOn w:val="OPCParaBase"/>
    <w:next w:val="Normal"/>
    <w:uiPriority w:val="39"/>
    <w:unhideWhenUsed/>
    <w:rsid w:val="00117354"/>
    <w:pPr>
      <w:spacing w:line="240" w:lineRule="auto"/>
    </w:pPr>
    <w:rPr>
      <w:sz w:val="24"/>
    </w:rPr>
  </w:style>
  <w:style w:type="paragraph" w:styleId="TOC2">
    <w:name w:val="toc 2"/>
    <w:basedOn w:val="OPCParaBase"/>
    <w:next w:val="Normal"/>
    <w:uiPriority w:val="39"/>
    <w:unhideWhenUsed/>
    <w:rsid w:val="00117354"/>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117354"/>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117354"/>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117354"/>
    <w:pPr>
      <w:spacing w:line="240" w:lineRule="auto"/>
      <w:ind w:left="958"/>
    </w:pPr>
    <w:rPr>
      <w:sz w:val="24"/>
    </w:rPr>
  </w:style>
  <w:style w:type="paragraph" w:styleId="TOC6">
    <w:name w:val="toc 6"/>
    <w:basedOn w:val="OPCParaBase"/>
    <w:next w:val="Normal"/>
    <w:uiPriority w:val="39"/>
    <w:semiHidden/>
    <w:unhideWhenUsed/>
    <w:rsid w:val="00117354"/>
    <w:pPr>
      <w:spacing w:line="240" w:lineRule="auto"/>
      <w:ind w:left="1202"/>
    </w:pPr>
    <w:rPr>
      <w:sz w:val="24"/>
    </w:rPr>
  </w:style>
  <w:style w:type="paragraph" w:styleId="TOC7">
    <w:name w:val="toc 7"/>
    <w:basedOn w:val="OPCParaBase"/>
    <w:next w:val="Normal"/>
    <w:uiPriority w:val="39"/>
    <w:semiHidden/>
    <w:unhideWhenUsed/>
    <w:rsid w:val="00117354"/>
    <w:pPr>
      <w:spacing w:line="240" w:lineRule="auto"/>
      <w:ind w:left="1440"/>
    </w:pPr>
    <w:rPr>
      <w:sz w:val="24"/>
    </w:rPr>
  </w:style>
  <w:style w:type="paragraph" w:styleId="TOC8">
    <w:name w:val="toc 8"/>
    <w:basedOn w:val="OPCParaBase"/>
    <w:next w:val="Normal"/>
    <w:uiPriority w:val="39"/>
    <w:semiHidden/>
    <w:unhideWhenUsed/>
    <w:rsid w:val="00117354"/>
    <w:pPr>
      <w:spacing w:line="240" w:lineRule="auto"/>
      <w:ind w:left="1678"/>
    </w:pPr>
    <w:rPr>
      <w:sz w:val="24"/>
    </w:rPr>
  </w:style>
  <w:style w:type="paragraph" w:styleId="TOC9">
    <w:name w:val="toc 9"/>
    <w:basedOn w:val="OPCParaBase"/>
    <w:next w:val="Normal"/>
    <w:uiPriority w:val="39"/>
    <w:unhideWhenUsed/>
    <w:rsid w:val="00117354"/>
    <w:pPr>
      <w:spacing w:line="240" w:lineRule="auto"/>
      <w:ind w:left="1922"/>
    </w:pPr>
    <w:rPr>
      <w:sz w:val="24"/>
    </w:rPr>
  </w:style>
  <w:style w:type="paragraph" w:customStyle="1" w:styleId="TofSectsGroupHeading">
    <w:name w:val="TofSects(GroupHeading)"/>
    <w:basedOn w:val="OPCParaBase"/>
    <w:next w:val="TofSectsSection"/>
    <w:rsid w:val="00117354"/>
    <w:pPr>
      <w:keepLines/>
      <w:spacing w:before="240" w:after="120" w:line="240" w:lineRule="auto"/>
      <w:ind w:left="794"/>
    </w:pPr>
    <w:rPr>
      <w:b/>
      <w:kern w:val="28"/>
      <w:sz w:val="20"/>
    </w:rPr>
  </w:style>
  <w:style w:type="paragraph" w:customStyle="1" w:styleId="TofSectsHeading">
    <w:name w:val="TofSects(Heading)"/>
    <w:basedOn w:val="OPCParaBase"/>
    <w:rsid w:val="00117354"/>
    <w:pPr>
      <w:spacing w:before="240" w:after="120" w:line="240" w:lineRule="auto"/>
    </w:pPr>
    <w:rPr>
      <w:b/>
      <w:sz w:val="24"/>
    </w:rPr>
  </w:style>
  <w:style w:type="paragraph" w:customStyle="1" w:styleId="TofSectsSection">
    <w:name w:val="TofSects(Section)"/>
    <w:basedOn w:val="OPCParaBase"/>
    <w:rsid w:val="00117354"/>
    <w:pPr>
      <w:keepLines/>
      <w:spacing w:before="40" w:line="240" w:lineRule="auto"/>
      <w:ind w:left="1588" w:hanging="794"/>
    </w:pPr>
    <w:rPr>
      <w:kern w:val="28"/>
      <w:sz w:val="18"/>
    </w:rPr>
  </w:style>
  <w:style w:type="paragraph" w:customStyle="1" w:styleId="TofSectsSubdiv">
    <w:name w:val="TofSects(Subdiv)"/>
    <w:basedOn w:val="OPCParaBase"/>
    <w:rsid w:val="00117354"/>
    <w:pPr>
      <w:keepLines/>
      <w:spacing w:before="80" w:line="240" w:lineRule="auto"/>
      <w:ind w:left="1588" w:hanging="794"/>
    </w:pPr>
    <w:rPr>
      <w:kern w:val="28"/>
    </w:rPr>
  </w:style>
  <w:style w:type="paragraph" w:customStyle="1" w:styleId="WRStyle">
    <w:name w:val="WR Style"/>
    <w:aliases w:val="WR"/>
    <w:basedOn w:val="OPCParaBase"/>
    <w:rsid w:val="00117354"/>
    <w:pPr>
      <w:spacing w:before="240" w:line="240" w:lineRule="auto"/>
      <w:ind w:left="284" w:hanging="284"/>
    </w:pPr>
    <w:rPr>
      <w:b/>
      <w:i/>
      <w:kern w:val="28"/>
      <w:sz w:val="24"/>
    </w:rPr>
  </w:style>
  <w:style w:type="paragraph" w:customStyle="1" w:styleId="Body">
    <w:name w:val="Body"/>
    <w:aliases w:val="b"/>
    <w:basedOn w:val="OPCParaBase"/>
    <w:rsid w:val="00117354"/>
    <w:pPr>
      <w:spacing w:before="240" w:line="240" w:lineRule="auto"/>
    </w:pPr>
    <w:rPr>
      <w:sz w:val="24"/>
    </w:rPr>
  </w:style>
  <w:style w:type="paragraph" w:customStyle="1" w:styleId="BodyNum">
    <w:name w:val="BodyNum"/>
    <w:aliases w:val="b1"/>
    <w:basedOn w:val="OPCParaBase"/>
    <w:link w:val="BodyNumChar"/>
    <w:rsid w:val="00117354"/>
    <w:pPr>
      <w:numPr>
        <w:numId w:val="13"/>
      </w:numPr>
      <w:spacing w:before="240" w:line="240" w:lineRule="auto"/>
    </w:pPr>
    <w:rPr>
      <w:sz w:val="24"/>
    </w:rPr>
  </w:style>
  <w:style w:type="paragraph" w:customStyle="1" w:styleId="BodyPara">
    <w:name w:val="BodyPara"/>
    <w:aliases w:val="ba"/>
    <w:basedOn w:val="OPCParaBase"/>
    <w:rsid w:val="00117354"/>
    <w:pPr>
      <w:numPr>
        <w:ilvl w:val="1"/>
        <w:numId w:val="13"/>
      </w:numPr>
      <w:spacing w:before="240" w:line="240" w:lineRule="auto"/>
    </w:pPr>
    <w:rPr>
      <w:sz w:val="24"/>
    </w:rPr>
  </w:style>
  <w:style w:type="paragraph" w:customStyle="1" w:styleId="BodyParaBullet">
    <w:name w:val="BodyParaBullet"/>
    <w:aliases w:val="bpb"/>
    <w:basedOn w:val="OPCParaBase"/>
    <w:rsid w:val="00117354"/>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117354"/>
    <w:pPr>
      <w:numPr>
        <w:ilvl w:val="3"/>
        <w:numId w:val="13"/>
      </w:numPr>
      <w:spacing w:before="240" w:line="240" w:lineRule="auto"/>
    </w:pPr>
    <w:rPr>
      <w:sz w:val="24"/>
    </w:rPr>
  </w:style>
  <w:style w:type="numbering" w:customStyle="1" w:styleId="OPCBodyList">
    <w:name w:val="OPCBodyList"/>
    <w:uiPriority w:val="99"/>
    <w:rsid w:val="00117354"/>
    <w:pPr>
      <w:numPr>
        <w:numId w:val="13"/>
      </w:numPr>
    </w:pPr>
  </w:style>
  <w:style w:type="paragraph" w:customStyle="1" w:styleId="Head1">
    <w:name w:val="Head 1"/>
    <w:aliases w:val="1"/>
    <w:basedOn w:val="OPCParaBase"/>
    <w:next w:val="BodyNum"/>
    <w:rsid w:val="00117354"/>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117354"/>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117354"/>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117354"/>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117354"/>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117354"/>
    <w:pPr>
      <w:spacing w:before="122" w:line="198" w:lineRule="exact"/>
      <w:ind w:left="2353" w:hanging="709"/>
    </w:pPr>
    <w:rPr>
      <w:sz w:val="18"/>
    </w:rPr>
  </w:style>
  <w:style w:type="paragraph" w:styleId="Footer">
    <w:name w:val="footer"/>
    <w:link w:val="FooterChar"/>
    <w:rsid w:val="0011735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17354"/>
    <w:rPr>
      <w:rFonts w:eastAsia="Times New Roman" w:cs="Times New Roman"/>
      <w:sz w:val="22"/>
      <w:szCs w:val="24"/>
      <w:lang w:eastAsia="en-AU"/>
    </w:rPr>
  </w:style>
  <w:style w:type="character" w:styleId="PageNumber">
    <w:name w:val="page number"/>
    <w:basedOn w:val="DefaultParagraphFont"/>
    <w:rsid w:val="00117354"/>
  </w:style>
  <w:style w:type="paragraph" w:styleId="BalloonText">
    <w:name w:val="Balloon Text"/>
    <w:basedOn w:val="Normal"/>
    <w:link w:val="BalloonTextChar"/>
    <w:uiPriority w:val="99"/>
    <w:semiHidden/>
    <w:unhideWhenUsed/>
    <w:rsid w:val="0011735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354"/>
    <w:rPr>
      <w:rFonts w:ascii="Tahoma" w:hAnsi="Tahoma" w:cs="Tahoma"/>
      <w:sz w:val="16"/>
      <w:szCs w:val="16"/>
    </w:rPr>
  </w:style>
  <w:style w:type="paragraph" w:customStyle="1" w:styleId="Issued">
    <w:name w:val="Issued"/>
    <w:basedOn w:val="Body"/>
    <w:rsid w:val="00117354"/>
    <w:pPr>
      <w:spacing w:before="120"/>
    </w:pPr>
    <w:rPr>
      <w:b/>
      <w:sz w:val="28"/>
    </w:rPr>
  </w:style>
  <w:style w:type="paragraph" w:customStyle="1" w:styleId="Release">
    <w:name w:val="Release"/>
    <w:basedOn w:val="Body"/>
    <w:rsid w:val="00117354"/>
    <w:rPr>
      <w:b/>
    </w:rPr>
  </w:style>
  <w:style w:type="paragraph" w:customStyle="1" w:styleId="FileName">
    <w:name w:val="FileName"/>
    <w:basedOn w:val="Normal"/>
    <w:link w:val="FileNameChar"/>
    <w:rsid w:val="00117354"/>
  </w:style>
  <w:style w:type="character" w:customStyle="1" w:styleId="FileNameChar">
    <w:name w:val="FileName Char"/>
    <w:basedOn w:val="DefaultParagraphFont"/>
    <w:link w:val="FileName"/>
    <w:rsid w:val="000E2E58"/>
    <w:rPr>
      <w:sz w:val="22"/>
    </w:rPr>
  </w:style>
  <w:style w:type="character" w:customStyle="1" w:styleId="BodyNumChar">
    <w:name w:val="BodyNum Char"/>
    <w:aliases w:val="b1 Char"/>
    <w:basedOn w:val="DefaultParagraphFont"/>
    <w:link w:val="BodyNum"/>
    <w:rsid w:val="00FF534B"/>
    <w:rPr>
      <w:rFonts w:eastAsia="Times New Roman" w:cs="Times New Roman"/>
      <w:sz w:val="24"/>
      <w:lang w:eastAsia="en-AU"/>
    </w:rPr>
  </w:style>
  <w:style w:type="paragraph" w:customStyle="1" w:styleId="NoteDraftingDirection">
    <w:name w:val="Note Drafting Direction"/>
    <w:basedOn w:val="OPCParaBase"/>
    <w:rsid w:val="00117354"/>
    <w:pPr>
      <w:spacing w:before="120"/>
      <w:ind w:left="1134" w:hanging="1134"/>
    </w:pPr>
    <w:rPr>
      <w:sz w:val="18"/>
    </w:rPr>
  </w:style>
  <w:style w:type="paragraph" w:customStyle="1" w:styleId="FreeForm">
    <w:name w:val="FreeForm"/>
    <w:rsid w:val="00117354"/>
    <w:rPr>
      <w:rFonts w:ascii="Arial" w:hAnsi="Arial"/>
      <w:sz w:val="22"/>
    </w:rPr>
  </w:style>
  <w:style w:type="paragraph" w:customStyle="1" w:styleId="SOText">
    <w:name w:val="SO Text"/>
    <w:aliases w:val="sot"/>
    <w:link w:val="SOTextChar"/>
    <w:rsid w:val="0011735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17354"/>
    <w:rPr>
      <w:sz w:val="22"/>
    </w:rPr>
  </w:style>
  <w:style w:type="paragraph" w:customStyle="1" w:styleId="SOTextNote">
    <w:name w:val="SO TextNote"/>
    <w:aliases w:val="sont"/>
    <w:basedOn w:val="SOText"/>
    <w:qFormat/>
    <w:rsid w:val="00117354"/>
    <w:pPr>
      <w:spacing w:before="122" w:line="198" w:lineRule="exact"/>
      <w:ind w:left="1843" w:hanging="709"/>
    </w:pPr>
    <w:rPr>
      <w:sz w:val="18"/>
    </w:rPr>
  </w:style>
  <w:style w:type="paragraph" w:customStyle="1" w:styleId="SOPara">
    <w:name w:val="SO Para"/>
    <w:aliases w:val="soa"/>
    <w:basedOn w:val="SOText"/>
    <w:link w:val="SOParaChar"/>
    <w:qFormat/>
    <w:rsid w:val="00117354"/>
    <w:pPr>
      <w:tabs>
        <w:tab w:val="right" w:pos="1786"/>
      </w:tabs>
      <w:spacing w:before="40"/>
      <w:ind w:left="2070" w:hanging="936"/>
    </w:pPr>
  </w:style>
  <w:style w:type="character" w:customStyle="1" w:styleId="SOParaChar">
    <w:name w:val="SO Para Char"/>
    <w:aliases w:val="soa Char"/>
    <w:basedOn w:val="DefaultParagraphFont"/>
    <w:link w:val="SOPara"/>
    <w:rsid w:val="00117354"/>
    <w:rPr>
      <w:sz w:val="22"/>
    </w:rPr>
  </w:style>
  <w:style w:type="paragraph" w:customStyle="1" w:styleId="TableHeading">
    <w:name w:val="TableHeading"/>
    <w:aliases w:val="th"/>
    <w:basedOn w:val="OPCParaBase"/>
    <w:next w:val="Tabletext"/>
    <w:rsid w:val="00117354"/>
    <w:pPr>
      <w:keepNext/>
      <w:spacing w:before="60" w:line="240" w:lineRule="atLeast"/>
    </w:pPr>
    <w:rPr>
      <w:b/>
      <w:sz w:val="20"/>
    </w:rPr>
  </w:style>
  <w:style w:type="paragraph" w:customStyle="1" w:styleId="SOHeadBold">
    <w:name w:val="SO HeadBold"/>
    <w:aliases w:val="sohb"/>
    <w:basedOn w:val="SOText"/>
    <w:next w:val="SOText"/>
    <w:link w:val="SOHeadBoldChar"/>
    <w:qFormat/>
    <w:rsid w:val="00117354"/>
    <w:rPr>
      <w:b/>
    </w:rPr>
  </w:style>
  <w:style w:type="character" w:customStyle="1" w:styleId="SOHeadBoldChar">
    <w:name w:val="SO HeadBold Char"/>
    <w:aliases w:val="sohb Char"/>
    <w:basedOn w:val="DefaultParagraphFont"/>
    <w:link w:val="SOHeadBold"/>
    <w:rsid w:val="00117354"/>
    <w:rPr>
      <w:b/>
      <w:sz w:val="22"/>
    </w:rPr>
  </w:style>
  <w:style w:type="paragraph" w:customStyle="1" w:styleId="SOHeadItalic">
    <w:name w:val="SO HeadItalic"/>
    <w:aliases w:val="sohi"/>
    <w:basedOn w:val="SOText"/>
    <w:next w:val="SOText"/>
    <w:link w:val="SOHeadItalicChar"/>
    <w:qFormat/>
    <w:rsid w:val="00117354"/>
    <w:rPr>
      <w:i/>
    </w:rPr>
  </w:style>
  <w:style w:type="character" w:customStyle="1" w:styleId="SOHeadItalicChar">
    <w:name w:val="SO HeadItalic Char"/>
    <w:aliases w:val="sohi Char"/>
    <w:basedOn w:val="DefaultParagraphFont"/>
    <w:link w:val="SOHeadItalic"/>
    <w:rsid w:val="00117354"/>
    <w:rPr>
      <w:i/>
      <w:sz w:val="22"/>
    </w:rPr>
  </w:style>
  <w:style w:type="paragraph" w:customStyle="1" w:styleId="SOBullet">
    <w:name w:val="SO Bullet"/>
    <w:aliases w:val="sotb"/>
    <w:basedOn w:val="SOText"/>
    <w:link w:val="SOBulletChar"/>
    <w:qFormat/>
    <w:rsid w:val="00117354"/>
    <w:pPr>
      <w:ind w:left="1559" w:hanging="425"/>
    </w:pPr>
  </w:style>
  <w:style w:type="character" w:customStyle="1" w:styleId="SOBulletChar">
    <w:name w:val="SO Bullet Char"/>
    <w:aliases w:val="sotb Char"/>
    <w:basedOn w:val="DefaultParagraphFont"/>
    <w:link w:val="SOBullet"/>
    <w:rsid w:val="00117354"/>
    <w:rPr>
      <w:sz w:val="22"/>
    </w:rPr>
  </w:style>
  <w:style w:type="paragraph" w:customStyle="1" w:styleId="SOBulletNote">
    <w:name w:val="SO BulletNote"/>
    <w:aliases w:val="sonb"/>
    <w:basedOn w:val="SOTextNote"/>
    <w:link w:val="SOBulletNoteChar"/>
    <w:qFormat/>
    <w:rsid w:val="00117354"/>
    <w:pPr>
      <w:tabs>
        <w:tab w:val="left" w:pos="1560"/>
      </w:tabs>
      <w:ind w:left="2268" w:hanging="1134"/>
    </w:pPr>
  </w:style>
  <w:style w:type="character" w:customStyle="1" w:styleId="SOBulletNoteChar">
    <w:name w:val="SO BulletNote Char"/>
    <w:aliases w:val="sonb Char"/>
    <w:basedOn w:val="DefaultParagraphFont"/>
    <w:link w:val="SOBulletNote"/>
    <w:rsid w:val="00117354"/>
    <w:rPr>
      <w:sz w:val="18"/>
    </w:rPr>
  </w:style>
  <w:style w:type="paragraph" w:customStyle="1" w:styleId="SubPartCASA">
    <w:name w:val="SubPart(CASA)"/>
    <w:aliases w:val="csp"/>
    <w:basedOn w:val="OPCParaBase"/>
    <w:next w:val="ActHead3"/>
    <w:rsid w:val="00117354"/>
    <w:pPr>
      <w:keepNext/>
      <w:keepLines/>
      <w:spacing w:before="280"/>
      <w:ind w:left="1134" w:hanging="1134"/>
      <w:outlineLvl w:val="1"/>
    </w:pPr>
    <w:rPr>
      <w:b/>
      <w:kern w:val="28"/>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10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Office%20Documents\Drafting%20Dire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568A3-5945-48E5-A309-3DB462BFD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Drafting Directions.dotx</Template>
  <TotalTime>0</TotalTime>
  <Pages>1</Pages>
  <Words>2713</Words>
  <Characters>13891</Characters>
  <Application>Microsoft Office Word</Application>
  <DocSecurity>0</DocSecurity>
  <Lines>316</Lines>
  <Paragraphs>195</Paragraphs>
  <ScaleCrop>false</ScaleCrop>
  <HeadingPairs>
    <vt:vector size="2" baseType="variant">
      <vt:variant>
        <vt:lpstr>Title</vt:lpstr>
      </vt:variant>
      <vt:variant>
        <vt:i4>1</vt:i4>
      </vt:variant>
    </vt:vector>
  </HeadingPairs>
  <TitlesOfParts>
    <vt:vector size="1" baseType="lpstr">
      <vt:lpstr>Drafting Direction No. 2.1</vt:lpstr>
    </vt:vector>
  </TitlesOfParts>
  <Company>Office of Parliamentary Counsel</Company>
  <LinksUpToDate>false</LinksUpToDate>
  <CharactersWithSpaces>16413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Drafting Direction No. 2.1_x000d_
English usage, gender_x001e_specific and gender_x001e_neutral language, grammar, punctuation and spelling</dc:title>
  <dc:subject/>
  <dc:creator>Bevan Hewitt Murray</dc:creator>
  <cp:keywords/>
  <dc:description/>
  <cp:lastModifiedBy>Fletcherm</cp:lastModifiedBy>
  <cp:revision>2</cp:revision>
  <cp:lastPrinted>2013-11-06T04:39:00Z</cp:lastPrinted>
  <dcterms:created xsi:type="dcterms:W3CDTF">2016-03-01T05:42:00Z</dcterms:created>
  <dcterms:modified xsi:type="dcterms:W3CDTF">2016-03-01T05:42:00Z</dcterms:modified>
  <cp:category>Other - Reissue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oNotAsk">
    <vt:lpwstr>1</vt:lpwstr>
  </property>
  <property fmtid="{D5CDD505-2E9C-101B-9397-08002B2CF9AE}" pid="4" name="ChangedTitle">
    <vt:lpwstr>DRAFT Drafting Direction No. 2.1 English usage, gender_x001e_specific and gender_x001e_neutral language, grammar, punctuation and spelling</vt:lpwstr>
  </property>
  <property fmtid="{D5CDD505-2E9C-101B-9397-08002B2CF9AE}" pid="5" name="DLM">
    <vt:lpwstr>No DLM</vt:lpwstr>
  </property>
  <property fmtid="{D5CDD505-2E9C-101B-9397-08002B2CF9AE}" pid="8193" name="TrimID">
    <vt:lpwstr>PC:D16/2441</vt:lpwstr>
  </property>
</Properties>
</file>