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3BE" w:rsidRPr="009849F1" w:rsidRDefault="002853BE" w:rsidP="009849F1">
      <w:pPr>
        <w:pStyle w:val="Head1"/>
      </w:pPr>
      <w:bookmarkStart w:id="0" w:name="_GoBack"/>
      <w:bookmarkEnd w:id="0"/>
      <w:r w:rsidRPr="009849F1">
        <w:t>Drafting Direction No. 3.8</w:t>
      </w:r>
      <w:r w:rsidRPr="009849F1">
        <w:br/>
        <w:t>Subordinate legislation</w:t>
      </w:r>
    </w:p>
    <w:p w:rsidR="008A5F15" w:rsidRDefault="008A5F15" w:rsidP="008A5F15">
      <w:pPr>
        <w:pStyle w:val="notemargin"/>
      </w:pPr>
      <w:r w:rsidRPr="009849F1">
        <w:t>Note:</w:t>
      </w:r>
      <w:r w:rsidRPr="009849F1">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rsidR="002853BE" w:rsidRPr="009849F1" w:rsidRDefault="002853BE" w:rsidP="002853BE">
      <w:pPr>
        <w:pStyle w:val="Release"/>
      </w:pPr>
      <w:r w:rsidRPr="009849F1">
        <w:t xml:space="preserve">Document release </w:t>
      </w:r>
      <w:r w:rsidR="00526B5C" w:rsidRPr="009849F1">
        <w:t>5.</w:t>
      </w:r>
      <w:r w:rsidR="00CF0824">
        <w:t>6</w:t>
      </w:r>
    </w:p>
    <w:p w:rsidR="002853BE" w:rsidRPr="009849F1" w:rsidRDefault="002853BE" w:rsidP="002853BE">
      <w:pPr>
        <w:pStyle w:val="Issued"/>
      </w:pPr>
      <w:r w:rsidRPr="009849F1">
        <w:t xml:space="preserve">Reissued </w:t>
      </w:r>
      <w:r w:rsidR="00CF0824">
        <w:t>December</w:t>
      </w:r>
      <w:r w:rsidR="00DD0C5E">
        <w:t xml:space="preserve"> </w:t>
      </w:r>
      <w:r w:rsidR="00DE3AA8">
        <w:t>20</w:t>
      </w:r>
      <w:r w:rsidR="00CF0824">
        <w:t>21</w:t>
      </w:r>
    </w:p>
    <w:p w:rsidR="002853BE" w:rsidRPr="009849F1" w:rsidRDefault="002853BE" w:rsidP="002853BE"/>
    <w:p w:rsidR="002853BE" w:rsidRPr="009849F1" w:rsidRDefault="002853BE" w:rsidP="002853BE">
      <w:pPr>
        <w:rPr>
          <w:sz w:val="32"/>
        </w:rPr>
      </w:pPr>
      <w:r w:rsidRPr="009849F1">
        <w:rPr>
          <w:sz w:val="32"/>
        </w:rPr>
        <w:t>Contents</w:t>
      </w:r>
    </w:p>
    <w:p w:rsidR="004B09C3" w:rsidRDefault="00026DEE">
      <w:pPr>
        <w:pStyle w:val="TOC2"/>
        <w:rPr>
          <w:rFonts w:asciiTheme="minorHAnsi" w:eastAsiaTheme="minorEastAsia" w:hAnsiTheme="minorHAnsi" w:cstheme="minorBidi"/>
          <w:b w:val="0"/>
          <w:sz w:val="22"/>
          <w:szCs w:val="22"/>
        </w:rPr>
      </w:pPr>
      <w:r w:rsidRPr="004B09C3">
        <w:fldChar w:fldCharType="begin"/>
      </w:r>
      <w:r>
        <w:instrText xml:space="preserve"> TOC \o "2-9" </w:instrText>
      </w:r>
      <w:r w:rsidRPr="004B09C3">
        <w:fldChar w:fldCharType="separate"/>
      </w:r>
      <w:r w:rsidR="004B09C3">
        <w:t>Part 1—Introduction</w:t>
      </w:r>
      <w:r w:rsidR="004B09C3" w:rsidRPr="004B09C3">
        <w:rPr>
          <w:b w:val="0"/>
          <w:sz w:val="20"/>
        </w:rPr>
        <w:tab/>
      </w:r>
      <w:r w:rsidR="004B09C3" w:rsidRPr="004B09C3">
        <w:rPr>
          <w:b w:val="0"/>
          <w:sz w:val="20"/>
        </w:rPr>
        <w:fldChar w:fldCharType="begin"/>
      </w:r>
      <w:r w:rsidR="004B09C3" w:rsidRPr="004B09C3">
        <w:rPr>
          <w:b w:val="0"/>
          <w:sz w:val="20"/>
        </w:rPr>
        <w:instrText xml:space="preserve"> PAGEREF _Toc43196557 \h </w:instrText>
      </w:r>
      <w:r w:rsidR="004B09C3" w:rsidRPr="004B09C3">
        <w:rPr>
          <w:b w:val="0"/>
          <w:sz w:val="20"/>
        </w:rPr>
      </w:r>
      <w:r w:rsidR="004B09C3" w:rsidRPr="004B09C3">
        <w:rPr>
          <w:b w:val="0"/>
          <w:sz w:val="20"/>
        </w:rPr>
        <w:fldChar w:fldCharType="separate"/>
      </w:r>
      <w:r w:rsidR="00F90EAA">
        <w:rPr>
          <w:b w:val="0"/>
          <w:sz w:val="20"/>
        </w:rPr>
        <w:t>3</w:t>
      </w:r>
      <w:r w:rsidR="004B09C3" w:rsidRPr="004B09C3">
        <w:rPr>
          <w:b w:val="0"/>
          <w:sz w:val="20"/>
        </w:rPr>
        <w:fldChar w:fldCharType="end"/>
      </w:r>
    </w:p>
    <w:p w:rsidR="004B09C3" w:rsidRDefault="004B09C3">
      <w:pPr>
        <w:pStyle w:val="TOC2"/>
        <w:rPr>
          <w:rFonts w:asciiTheme="minorHAnsi" w:eastAsiaTheme="minorEastAsia" w:hAnsiTheme="minorHAnsi" w:cstheme="minorBidi"/>
          <w:b w:val="0"/>
          <w:sz w:val="22"/>
          <w:szCs w:val="22"/>
        </w:rPr>
      </w:pPr>
      <w:r>
        <w:t>Part 2—Power to make subordinate legislation</w:t>
      </w:r>
      <w:r w:rsidRPr="004B09C3">
        <w:rPr>
          <w:b w:val="0"/>
          <w:sz w:val="20"/>
        </w:rPr>
        <w:tab/>
      </w:r>
      <w:r w:rsidRPr="004B09C3">
        <w:rPr>
          <w:b w:val="0"/>
          <w:sz w:val="20"/>
        </w:rPr>
        <w:fldChar w:fldCharType="begin"/>
      </w:r>
      <w:r w:rsidRPr="004B09C3">
        <w:rPr>
          <w:b w:val="0"/>
          <w:sz w:val="20"/>
        </w:rPr>
        <w:instrText xml:space="preserve"> PAGEREF _Toc43196558 \h </w:instrText>
      </w:r>
      <w:r w:rsidRPr="004B09C3">
        <w:rPr>
          <w:b w:val="0"/>
          <w:sz w:val="20"/>
        </w:rPr>
      </w:r>
      <w:r w:rsidRPr="004B09C3">
        <w:rPr>
          <w:b w:val="0"/>
          <w:sz w:val="20"/>
        </w:rPr>
        <w:fldChar w:fldCharType="separate"/>
      </w:r>
      <w:r w:rsidR="00F90EAA">
        <w:rPr>
          <w:b w:val="0"/>
          <w:sz w:val="20"/>
        </w:rPr>
        <w:t>3</w:t>
      </w:r>
      <w:r w:rsidRPr="004B09C3">
        <w:rPr>
          <w:b w:val="0"/>
          <w:sz w:val="20"/>
        </w:rPr>
        <w:fldChar w:fldCharType="end"/>
      </w:r>
    </w:p>
    <w:p w:rsidR="004B09C3" w:rsidRDefault="004B09C3">
      <w:pPr>
        <w:pStyle w:val="TOC3"/>
        <w:rPr>
          <w:rFonts w:asciiTheme="minorHAnsi" w:eastAsiaTheme="minorEastAsia" w:hAnsiTheme="minorHAnsi" w:cstheme="minorBidi"/>
          <w:sz w:val="22"/>
          <w:szCs w:val="22"/>
        </w:rPr>
      </w:pPr>
      <w:r>
        <w:t>Choosing between regulations and other forms of subordinate legislation</w:t>
      </w:r>
      <w:r w:rsidRPr="004B09C3">
        <w:rPr>
          <w:sz w:val="20"/>
        </w:rPr>
        <w:tab/>
      </w:r>
      <w:r w:rsidRPr="004B09C3">
        <w:rPr>
          <w:sz w:val="20"/>
        </w:rPr>
        <w:fldChar w:fldCharType="begin"/>
      </w:r>
      <w:r w:rsidRPr="004B09C3">
        <w:rPr>
          <w:sz w:val="20"/>
        </w:rPr>
        <w:instrText xml:space="preserve"> PAGEREF _Toc43196559 \h </w:instrText>
      </w:r>
      <w:r w:rsidRPr="004B09C3">
        <w:rPr>
          <w:sz w:val="20"/>
        </w:rPr>
      </w:r>
      <w:r w:rsidRPr="004B09C3">
        <w:rPr>
          <w:sz w:val="20"/>
        </w:rPr>
        <w:fldChar w:fldCharType="separate"/>
      </w:r>
      <w:r w:rsidR="00F90EAA">
        <w:rPr>
          <w:sz w:val="20"/>
        </w:rPr>
        <w:t>3</w:t>
      </w:r>
      <w:r w:rsidRPr="004B09C3">
        <w:rPr>
          <w:sz w:val="20"/>
        </w:rPr>
        <w:fldChar w:fldCharType="end"/>
      </w:r>
    </w:p>
    <w:p w:rsidR="004B09C3" w:rsidRDefault="004B09C3" w:rsidP="004B09C3">
      <w:pPr>
        <w:pStyle w:val="TOC4"/>
        <w:rPr>
          <w:rFonts w:asciiTheme="minorHAnsi" w:eastAsiaTheme="minorEastAsia" w:hAnsiTheme="minorHAnsi" w:cstheme="minorBidi"/>
          <w:sz w:val="22"/>
          <w:szCs w:val="22"/>
        </w:rPr>
      </w:pPr>
      <w:r>
        <w:t>Starting point</w:t>
      </w:r>
      <w:r w:rsidRPr="004B09C3">
        <w:rPr>
          <w:sz w:val="20"/>
        </w:rPr>
        <w:tab/>
      </w:r>
      <w:r w:rsidRPr="004B09C3">
        <w:rPr>
          <w:sz w:val="20"/>
        </w:rPr>
        <w:fldChar w:fldCharType="begin"/>
      </w:r>
      <w:r w:rsidRPr="004B09C3">
        <w:rPr>
          <w:sz w:val="20"/>
        </w:rPr>
        <w:instrText xml:space="preserve"> PAGEREF _Toc43196560 \h </w:instrText>
      </w:r>
      <w:r w:rsidRPr="004B09C3">
        <w:rPr>
          <w:sz w:val="20"/>
        </w:rPr>
      </w:r>
      <w:r w:rsidRPr="004B09C3">
        <w:rPr>
          <w:sz w:val="20"/>
        </w:rPr>
        <w:fldChar w:fldCharType="separate"/>
      </w:r>
      <w:r w:rsidR="00F90EAA">
        <w:rPr>
          <w:sz w:val="20"/>
        </w:rPr>
        <w:t>3</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Material that should generally not be dealt with by subordinate legislation other than regulations</w:t>
      </w:r>
      <w:r w:rsidRPr="004B09C3">
        <w:rPr>
          <w:sz w:val="20"/>
        </w:rPr>
        <w:tab/>
      </w:r>
      <w:r w:rsidRPr="004B09C3">
        <w:rPr>
          <w:sz w:val="20"/>
        </w:rPr>
        <w:fldChar w:fldCharType="begin"/>
      </w:r>
      <w:r w:rsidRPr="004B09C3">
        <w:rPr>
          <w:sz w:val="20"/>
        </w:rPr>
        <w:instrText xml:space="preserve"> PAGEREF _Toc43196561 \h </w:instrText>
      </w:r>
      <w:r w:rsidRPr="004B09C3">
        <w:rPr>
          <w:sz w:val="20"/>
        </w:rPr>
      </w:r>
      <w:r w:rsidRPr="004B09C3">
        <w:rPr>
          <w:sz w:val="20"/>
        </w:rPr>
        <w:fldChar w:fldCharType="separate"/>
      </w:r>
      <w:r w:rsidR="00F90EAA">
        <w:rPr>
          <w:sz w:val="20"/>
        </w:rPr>
        <w:t>3</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Content of offences</w:t>
      </w:r>
      <w:r w:rsidRPr="004B09C3">
        <w:rPr>
          <w:sz w:val="20"/>
        </w:rPr>
        <w:tab/>
      </w:r>
      <w:r w:rsidRPr="004B09C3">
        <w:rPr>
          <w:sz w:val="20"/>
        </w:rPr>
        <w:fldChar w:fldCharType="begin"/>
      </w:r>
      <w:r w:rsidRPr="004B09C3">
        <w:rPr>
          <w:sz w:val="20"/>
        </w:rPr>
        <w:instrText xml:space="preserve"> PAGEREF _Toc43196562 \h </w:instrText>
      </w:r>
      <w:r w:rsidRPr="004B09C3">
        <w:rPr>
          <w:sz w:val="20"/>
        </w:rPr>
      </w:r>
      <w:r w:rsidRPr="004B09C3">
        <w:rPr>
          <w:sz w:val="20"/>
        </w:rPr>
        <w:fldChar w:fldCharType="separate"/>
      </w:r>
      <w:r w:rsidR="00F90EAA">
        <w:rPr>
          <w:sz w:val="20"/>
        </w:rPr>
        <w:t>4</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Discuss sensitive provisions with head drafter</w:t>
      </w:r>
      <w:r w:rsidRPr="004B09C3">
        <w:rPr>
          <w:sz w:val="20"/>
        </w:rPr>
        <w:tab/>
      </w:r>
      <w:r w:rsidRPr="004B09C3">
        <w:rPr>
          <w:sz w:val="20"/>
        </w:rPr>
        <w:fldChar w:fldCharType="begin"/>
      </w:r>
      <w:r w:rsidRPr="004B09C3">
        <w:rPr>
          <w:sz w:val="20"/>
        </w:rPr>
        <w:instrText xml:space="preserve"> PAGEREF _Toc43196563 \h </w:instrText>
      </w:r>
      <w:r w:rsidRPr="004B09C3">
        <w:rPr>
          <w:sz w:val="20"/>
        </w:rPr>
      </w:r>
      <w:r w:rsidRPr="004B09C3">
        <w:rPr>
          <w:sz w:val="20"/>
        </w:rPr>
        <w:fldChar w:fldCharType="separate"/>
      </w:r>
      <w:r w:rsidR="00F90EAA">
        <w:rPr>
          <w:sz w:val="20"/>
        </w:rPr>
        <w:t>4</w:t>
      </w:r>
      <w:r w:rsidRPr="004B09C3">
        <w:rPr>
          <w:sz w:val="20"/>
        </w:rPr>
        <w:fldChar w:fldCharType="end"/>
      </w:r>
    </w:p>
    <w:p w:rsidR="004B09C3" w:rsidRDefault="004B09C3">
      <w:pPr>
        <w:pStyle w:val="TOC3"/>
        <w:rPr>
          <w:rFonts w:asciiTheme="minorHAnsi" w:eastAsiaTheme="minorEastAsia" w:hAnsiTheme="minorHAnsi" w:cstheme="minorBidi"/>
          <w:sz w:val="22"/>
          <w:szCs w:val="22"/>
        </w:rPr>
      </w:pPr>
      <w:r>
        <w:t>General instrument-making powers</w:t>
      </w:r>
      <w:r w:rsidRPr="004B09C3">
        <w:rPr>
          <w:sz w:val="20"/>
        </w:rPr>
        <w:tab/>
      </w:r>
      <w:r w:rsidRPr="004B09C3">
        <w:rPr>
          <w:sz w:val="20"/>
        </w:rPr>
        <w:fldChar w:fldCharType="begin"/>
      </w:r>
      <w:r w:rsidRPr="004B09C3">
        <w:rPr>
          <w:sz w:val="20"/>
        </w:rPr>
        <w:instrText xml:space="preserve"> PAGEREF _Toc43196564 \h </w:instrText>
      </w:r>
      <w:r w:rsidRPr="004B09C3">
        <w:rPr>
          <w:sz w:val="20"/>
        </w:rPr>
      </w:r>
      <w:r w:rsidRPr="004B09C3">
        <w:rPr>
          <w:sz w:val="20"/>
        </w:rPr>
        <w:fldChar w:fldCharType="separate"/>
      </w:r>
      <w:r w:rsidR="00F90EAA">
        <w:rPr>
          <w:sz w:val="20"/>
        </w:rPr>
        <w:t>4</w:t>
      </w:r>
      <w:r w:rsidRPr="004B09C3">
        <w:rPr>
          <w:sz w:val="20"/>
        </w:rPr>
        <w:fldChar w:fldCharType="end"/>
      </w:r>
    </w:p>
    <w:p w:rsidR="004B09C3" w:rsidRDefault="004B09C3">
      <w:pPr>
        <w:pStyle w:val="TOC3"/>
        <w:rPr>
          <w:rFonts w:asciiTheme="minorHAnsi" w:eastAsiaTheme="minorEastAsia" w:hAnsiTheme="minorHAnsi" w:cstheme="minorBidi"/>
          <w:sz w:val="22"/>
          <w:szCs w:val="22"/>
        </w:rPr>
      </w:pPr>
      <w:r>
        <w:t>Standard forms of regulation-making powers and instrument-making powers</w:t>
      </w:r>
      <w:r w:rsidRPr="004B09C3">
        <w:rPr>
          <w:sz w:val="20"/>
        </w:rPr>
        <w:tab/>
      </w:r>
      <w:r w:rsidRPr="004B09C3">
        <w:rPr>
          <w:sz w:val="20"/>
        </w:rPr>
        <w:fldChar w:fldCharType="begin"/>
      </w:r>
      <w:r w:rsidRPr="004B09C3">
        <w:rPr>
          <w:sz w:val="20"/>
        </w:rPr>
        <w:instrText xml:space="preserve"> PAGEREF _Toc43196565 \h </w:instrText>
      </w:r>
      <w:r w:rsidRPr="004B09C3">
        <w:rPr>
          <w:sz w:val="20"/>
        </w:rPr>
      </w:r>
      <w:r w:rsidRPr="004B09C3">
        <w:rPr>
          <w:sz w:val="20"/>
        </w:rPr>
        <w:fldChar w:fldCharType="separate"/>
      </w:r>
      <w:r w:rsidR="00F90EAA">
        <w:rPr>
          <w:sz w:val="20"/>
        </w:rPr>
        <w:t>6</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Regulation-making powers</w:t>
      </w:r>
      <w:r w:rsidRPr="004B09C3">
        <w:rPr>
          <w:sz w:val="20"/>
        </w:rPr>
        <w:tab/>
      </w:r>
      <w:r w:rsidRPr="004B09C3">
        <w:rPr>
          <w:sz w:val="20"/>
        </w:rPr>
        <w:fldChar w:fldCharType="begin"/>
      </w:r>
      <w:r w:rsidRPr="004B09C3">
        <w:rPr>
          <w:sz w:val="20"/>
        </w:rPr>
        <w:instrText xml:space="preserve"> PAGEREF _Toc43196566 \h </w:instrText>
      </w:r>
      <w:r w:rsidRPr="004B09C3">
        <w:rPr>
          <w:sz w:val="20"/>
        </w:rPr>
      </w:r>
      <w:r w:rsidRPr="004B09C3">
        <w:rPr>
          <w:sz w:val="20"/>
        </w:rPr>
        <w:fldChar w:fldCharType="separate"/>
      </w:r>
      <w:r w:rsidR="00F90EAA">
        <w:rPr>
          <w:sz w:val="20"/>
        </w:rPr>
        <w:t>6</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Instrument-making powers—standard form</w:t>
      </w:r>
      <w:r w:rsidRPr="004B09C3">
        <w:rPr>
          <w:sz w:val="20"/>
        </w:rPr>
        <w:tab/>
      </w:r>
      <w:r w:rsidRPr="004B09C3">
        <w:rPr>
          <w:sz w:val="20"/>
        </w:rPr>
        <w:fldChar w:fldCharType="begin"/>
      </w:r>
      <w:r w:rsidRPr="004B09C3">
        <w:rPr>
          <w:sz w:val="20"/>
        </w:rPr>
        <w:instrText xml:space="preserve"> PAGEREF _Toc43196567 \h </w:instrText>
      </w:r>
      <w:r w:rsidRPr="004B09C3">
        <w:rPr>
          <w:sz w:val="20"/>
        </w:rPr>
      </w:r>
      <w:r w:rsidRPr="004B09C3">
        <w:rPr>
          <w:sz w:val="20"/>
        </w:rPr>
        <w:fldChar w:fldCharType="separate"/>
      </w:r>
      <w:r w:rsidR="00F90EAA">
        <w:rPr>
          <w:sz w:val="20"/>
        </w:rPr>
        <w:t>6</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Instrument-making powers—delegation</w:t>
      </w:r>
      <w:r w:rsidRPr="004B09C3">
        <w:rPr>
          <w:sz w:val="20"/>
        </w:rPr>
        <w:tab/>
      </w:r>
      <w:r w:rsidRPr="004B09C3">
        <w:rPr>
          <w:sz w:val="20"/>
        </w:rPr>
        <w:fldChar w:fldCharType="begin"/>
      </w:r>
      <w:r w:rsidRPr="004B09C3">
        <w:rPr>
          <w:sz w:val="20"/>
        </w:rPr>
        <w:instrText xml:space="preserve"> PAGEREF _Toc43196568 \h </w:instrText>
      </w:r>
      <w:r w:rsidRPr="004B09C3">
        <w:rPr>
          <w:sz w:val="20"/>
        </w:rPr>
      </w:r>
      <w:r w:rsidRPr="004B09C3">
        <w:rPr>
          <w:sz w:val="20"/>
        </w:rPr>
        <w:fldChar w:fldCharType="separate"/>
      </w:r>
      <w:r w:rsidR="00F90EAA">
        <w:rPr>
          <w:sz w:val="20"/>
        </w:rPr>
        <w:t>7</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Instrument-making powers—dealing with significant provisions</w:t>
      </w:r>
      <w:r w:rsidRPr="004B09C3">
        <w:rPr>
          <w:sz w:val="20"/>
        </w:rPr>
        <w:tab/>
      </w:r>
      <w:r w:rsidRPr="004B09C3">
        <w:rPr>
          <w:sz w:val="20"/>
        </w:rPr>
        <w:fldChar w:fldCharType="begin"/>
      </w:r>
      <w:r w:rsidRPr="004B09C3">
        <w:rPr>
          <w:sz w:val="20"/>
        </w:rPr>
        <w:instrText xml:space="preserve"> PAGEREF _Toc43196569 \h </w:instrText>
      </w:r>
      <w:r w:rsidRPr="004B09C3">
        <w:rPr>
          <w:sz w:val="20"/>
        </w:rPr>
      </w:r>
      <w:r w:rsidRPr="004B09C3">
        <w:rPr>
          <w:sz w:val="20"/>
        </w:rPr>
        <w:fldChar w:fldCharType="separate"/>
      </w:r>
      <w:r w:rsidR="00F90EAA">
        <w:rPr>
          <w:sz w:val="20"/>
        </w:rPr>
        <w:t>7</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Standard form of instrument-making power where there are 2 powers</w:t>
      </w:r>
      <w:r w:rsidRPr="004B09C3">
        <w:rPr>
          <w:sz w:val="20"/>
        </w:rPr>
        <w:tab/>
      </w:r>
      <w:r w:rsidRPr="004B09C3">
        <w:rPr>
          <w:sz w:val="20"/>
        </w:rPr>
        <w:fldChar w:fldCharType="begin"/>
      </w:r>
      <w:r w:rsidRPr="004B09C3">
        <w:rPr>
          <w:sz w:val="20"/>
        </w:rPr>
        <w:instrText xml:space="preserve"> PAGEREF _Toc43196570 \h </w:instrText>
      </w:r>
      <w:r w:rsidRPr="004B09C3">
        <w:rPr>
          <w:sz w:val="20"/>
        </w:rPr>
      </w:r>
      <w:r w:rsidRPr="004B09C3">
        <w:rPr>
          <w:sz w:val="20"/>
        </w:rPr>
        <w:fldChar w:fldCharType="separate"/>
      </w:r>
      <w:r w:rsidR="00F90EAA">
        <w:rPr>
          <w:sz w:val="20"/>
        </w:rPr>
        <w:t>8</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Provision dealing with inconsistency where there are 2 powers</w:t>
      </w:r>
      <w:r w:rsidRPr="004B09C3">
        <w:rPr>
          <w:sz w:val="20"/>
        </w:rPr>
        <w:tab/>
      </w:r>
      <w:r w:rsidRPr="004B09C3">
        <w:rPr>
          <w:sz w:val="20"/>
        </w:rPr>
        <w:fldChar w:fldCharType="begin"/>
      </w:r>
      <w:r w:rsidRPr="004B09C3">
        <w:rPr>
          <w:sz w:val="20"/>
        </w:rPr>
        <w:instrText xml:space="preserve"> PAGEREF _Toc43196571 \h </w:instrText>
      </w:r>
      <w:r w:rsidRPr="004B09C3">
        <w:rPr>
          <w:sz w:val="20"/>
        </w:rPr>
      </w:r>
      <w:r w:rsidRPr="004B09C3">
        <w:rPr>
          <w:sz w:val="20"/>
        </w:rPr>
        <w:fldChar w:fldCharType="separate"/>
      </w:r>
      <w:r w:rsidR="00F90EAA">
        <w:rPr>
          <w:sz w:val="20"/>
        </w:rPr>
        <w:t>9</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Standard form of regulation or instrument-making power where there are preconditions for making subordinate legislation</w:t>
      </w:r>
      <w:r w:rsidRPr="004B09C3">
        <w:rPr>
          <w:sz w:val="20"/>
        </w:rPr>
        <w:tab/>
      </w:r>
      <w:r w:rsidRPr="004B09C3">
        <w:rPr>
          <w:sz w:val="20"/>
        </w:rPr>
        <w:fldChar w:fldCharType="begin"/>
      </w:r>
      <w:r w:rsidRPr="004B09C3">
        <w:rPr>
          <w:sz w:val="20"/>
        </w:rPr>
        <w:instrText xml:space="preserve"> PAGEREF _Toc43196572 \h </w:instrText>
      </w:r>
      <w:r w:rsidRPr="004B09C3">
        <w:rPr>
          <w:sz w:val="20"/>
        </w:rPr>
      </w:r>
      <w:r w:rsidRPr="004B09C3">
        <w:rPr>
          <w:sz w:val="20"/>
        </w:rPr>
        <w:fldChar w:fldCharType="separate"/>
      </w:r>
      <w:r w:rsidR="00F90EAA">
        <w:rPr>
          <w:sz w:val="20"/>
        </w:rPr>
        <w:t>9</w:t>
      </w:r>
      <w:r w:rsidRPr="004B09C3">
        <w:rPr>
          <w:sz w:val="20"/>
        </w:rPr>
        <w:fldChar w:fldCharType="end"/>
      </w:r>
    </w:p>
    <w:p w:rsidR="004B09C3" w:rsidRDefault="004B09C3">
      <w:pPr>
        <w:pStyle w:val="TOC3"/>
        <w:rPr>
          <w:rFonts w:asciiTheme="minorHAnsi" w:eastAsiaTheme="minorEastAsia" w:hAnsiTheme="minorHAnsi" w:cstheme="minorBidi"/>
          <w:sz w:val="22"/>
          <w:szCs w:val="22"/>
        </w:rPr>
      </w:pPr>
      <w:r>
        <w:t>Provisions for subordinate legislation to be made to do certain things</w:t>
      </w:r>
      <w:r w:rsidRPr="004B09C3">
        <w:rPr>
          <w:sz w:val="20"/>
        </w:rPr>
        <w:tab/>
      </w:r>
      <w:r w:rsidRPr="004B09C3">
        <w:rPr>
          <w:sz w:val="20"/>
        </w:rPr>
        <w:fldChar w:fldCharType="begin"/>
      </w:r>
      <w:r w:rsidRPr="004B09C3">
        <w:rPr>
          <w:sz w:val="20"/>
        </w:rPr>
        <w:instrText xml:space="preserve"> PAGEREF _Toc43196573 \h </w:instrText>
      </w:r>
      <w:r w:rsidRPr="004B09C3">
        <w:rPr>
          <w:sz w:val="20"/>
        </w:rPr>
      </w:r>
      <w:r w:rsidRPr="004B09C3">
        <w:rPr>
          <w:sz w:val="20"/>
        </w:rPr>
        <w:fldChar w:fldCharType="separate"/>
      </w:r>
      <w:r w:rsidR="00F90EAA">
        <w:rPr>
          <w:sz w:val="20"/>
        </w:rPr>
        <w:t>9</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Provisions for subordinate legislation to modify or amend an Act</w:t>
      </w:r>
      <w:r w:rsidRPr="004B09C3">
        <w:rPr>
          <w:sz w:val="20"/>
        </w:rPr>
        <w:tab/>
      </w:r>
      <w:r w:rsidRPr="004B09C3">
        <w:rPr>
          <w:sz w:val="20"/>
        </w:rPr>
        <w:fldChar w:fldCharType="begin"/>
      </w:r>
      <w:r w:rsidRPr="004B09C3">
        <w:rPr>
          <w:sz w:val="20"/>
        </w:rPr>
        <w:instrText xml:space="preserve"> PAGEREF _Toc43196574 \h </w:instrText>
      </w:r>
      <w:r w:rsidRPr="004B09C3">
        <w:rPr>
          <w:sz w:val="20"/>
        </w:rPr>
      </w:r>
      <w:r w:rsidRPr="004B09C3">
        <w:rPr>
          <w:sz w:val="20"/>
        </w:rPr>
        <w:fldChar w:fldCharType="separate"/>
      </w:r>
      <w:r w:rsidR="00F90EAA">
        <w:rPr>
          <w:sz w:val="20"/>
        </w:rPr>
        <w:t>9</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rsidRPr="005C2638">
        <w:rPr>
          <w:rFonts w:eastAsia="Calibri"/>
        </w:rPr>
        <w:t>Provisions for subordinate legislation to provide for transitional matters</w:t>
      </w:r>
      <w:r w:rsidRPr="004B09C3">
        <w:rPr>
          <w:sz w:val="20"/>
        </w:rPr>
        <w:tab/>
      </w:r>
      <w:r w:rsidRPr="004B09C3">
        <w:rPr>
          <w:sz w:val="20"/>
        </w:rPr>
        <w:fldChar w:fldCharType="begin"/>
      </w:r>
      <w:r w:rsidRPr="004B09C3">
        <w:rPr>
          <w:sz w:val="20"/>
        </w:rPr>
        <w:instrText xml:space="preserve"> PAGEREF _Toc43196575 \h </w:instrText>
      </w:r>
      <w:r w:rsidRPr="004B09C3">
        <w:rPr>
          <w:sz w:val="20"/>
        </w:rPr>
      </w:r>
      <w:r w:rsidRPr="004B09C3">
        <w:rPr>
          <w:sz w:val="20"/>
        </w:rPr>
        <w:fldChar w:fldCharType="separate"/>
      </w:r>
      <w:r w:rsidR="00F90EAA">
        <w:rPr>
          <w:sz w:val="20"/>
        </w:rPr>
        <w:t>10</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Provisions allowing subordinate legislation to incorporate material by reference</w:t>
      </w:r>
      <w:r w:rsidRPr="004B09C3">
        <w:rPr>
          <w:sz w:val="20"/>
        </w:rPr>
        <w:tab/>
      </w:r>
      <w:r w:rsidRPr="004B09C3">
        <w:rPr>
          <w:sz w:val="20"/>
        </w:rPr>
        <w:fldChar w:fldCharType="begin"/>
      </w:r>
      <w:r w:rsidRPr="004B09C3">
        <w:rPr>
          <w:sz w:val="20"/>
        </w:rPr>
        <w:instrText xml:space="preserve"> PAGEREF _Toc43196576 \h </w:instrText>
      </w:r>
      <w:r w:rsidRPr="004B09C3">
        <w:rPr>
          <w:sz w:val="20"/>
        </w:rPr>
      </w:r>
      <w:r w:rsidRPr="004B09C3">
        <w:rPr>
          <w:sz w:val="20"/>
        </w:rPr>
        <w:fldChar w:fldCharType="separate"/>
      </w:r>
      <w:r w:rsidR="00F90EAA">
        <w:rPr>
          <w:sz w:val="20"/>
        </w:rPr>
        <w:t>10</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Provisions for subordinate legislation to specify things by reference to classes</w:t>
      </w:r>
      <w:r w:rsidRPr="004B09C3">
        <w:rPr>
          <w:sz w:val="20"/>
        </w:rPr>
        <w:tab/>
      </w:r>
      <w:r w:rsidRPr="004B09C3">
        <w:rPr>
          <w:sz w:val="20"/>
        </w:rPr>
        <w:fldChar w:fldCharType="begin"/>
      </w:r>
      <w:r w:rsidRPr="004B09C3">
        <w:rPr>
          <w:sz w:val="20"/>
        </w:rPr>
        <w:instrText xml:space="preserve"> PAGEREF _Toc43196577 \h </w:instrText>
      </w:r>
      <w:r w:rsidRPr="004B09C3">
        <w:rPr>
          <w:sz w:val="20"/>
        </w:rPr>
      </w:r>
      <w:r w:rsidRPr="004B09C3">
        <w:rPr>
          <w:sz w:val="20"/>
        </w:rPr>
        <w:fldChar w:fldCharType="separate"/>
      </w:r>
      <w:r w:rsidR="00F90EAA">
        <w:rPr>
          <w:sz w:val="20"/>
        </w:rPr>
        <w:t>10</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Drafting instruments for Bills</w:t>
      </w:r>
      <w:r w:rsidRPr="004B09C3">
        <w:rPr>
          <w:sz w:val="20"/>
        </w:rPr>
        <w:tab/>
      </w:r>
      <w:r w:rsidRPr="004B09C3">
        <w:rPr>
          <w:sz w:val="20"/>
        </w:rPr>
        <w:fldChar w:fldCharType="begin"/>
      </w:r>
      <w:r w:rsidRPr="004B09C3">
        <w:rPr>
          <w:sz w:val="20"/>
        </w:rPr>
        <w:instrText xml:space="preserve"> PAGEREF _Toc43196578 \h </w:instrText>
      </w:r>
      <w:r w:rsidRPr="004B09C3">
        <w:rPr>
          <w:sz w:val="20"/>
        </w:rPr>
      </w:r>
      <w:r w:rsidRPr="004B09C3">
        <w:rPr>
          <w:sz w:val="20"/>
        </w:rPr>
        <w:fldChar w:fldCharType="separate"/>
      </w:r>
      <w:r w:rsidR="00F90EAA">
        <w:rPr>
          <w:sz w:val="20"/>
        </w:rPr>
        <w:t>10</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Scope of provisions</w:t>
      </w:r>
      <w:r w:rsidRPr="004B09C3">
        <w:rPr>
          <w:sz w:val="20"/>
        </w:rPr>
        <w:tab/>
      </w:r>
      <w:r w:rsidRPr="004B09C3">
        <w:rPr>
          <w:sz w:val="20"/>
        </w:rPr>
        <w:fldChar w:fldCharType="begin"/>
      </w:r>
      <w:r w:rsidRPr="004B09C3">
        <w:rPr>
          <w:sz w:val="20"/>
        </w:rPr>
        <w:instrText xml:space="preserve"> PAGEREF _Toc43196579 \h </w:instrText>
      </w:r>
      <w:r w:rsidRPr="004B09C3">
        <w:rPr>
          <w:sz w:val="20"/>
        </w:rPr>
      </w:r>
      <w:r w:rsidRPr="004B09C3">
        <w:rPr>
          <w:sz w:val="20"/>
        </w:rPr>
        <w:fldChar w:fldCharType="separate"/>
      </w:r>
      <w:r w:rsidR="00F90EAA">
        <w:rPr>
          <w:sz w:val="20"/>
        </w:rPr>
        <w:t>11</w:t>
      </w:r>
      <w:r w:rsidRPr="004B09C3">
        <w:rPr>
          <w:sz w:val="20"/>
        </w:rPr>
        <w:fldChar w:fldCharType="end"/>
      </w:r>
    </w:p>
    <w:p w:rsidR="004B09C3" w:rsidRDefault="004B09C3">
      <w:pPr>
        <w:pStyle w:val="TOC3"/>
        <w:rPr>
          <w:rFonts w:asciiTheme="minorHAnsi" w:eastAsiaTheme="minorEastAsia" w:hAnsiTheme="minorHAnsi" w:cstheme="minorBidi"/>
          <w:sz w:val="22"/>
          <w:szCs w:val="22"/>
        </w:rPr>
      </w:pPr>
      <w:r>
        <w:t>Repeal of provision conferring power to make subordinate legislation</w:t>
      </w:r>
      <w:r w:rsidRPr="004B09C3">
        <w:rPr>
          <w:sz w:val="20"/>
        </w:rPr>
        <w:tab/>
      </w:r>
      <w:r w:rsidRPr="004B09C3">
        <w:rPr>
          <w:sz w:val="20"/>
        </w:rPr>
        <w:fldChar w:fldCharType="begin"/>
      </w:r>
      <w:r w:rsidRPr="004B09C3">
        <w:rPr>
          <w:sz w:val="20"/>
        </w:rPr>
        <w:instrText xml:space="preserve"> PAGEREF _Toc43196580 \h </w:instrText>
      </w:r>
      <w:r w:rsidRPr="004B09C3">
        <w:rPr>
          <w:sz w:val="20"/>
        </w:rPr>
      </w:r>
      <w:r w:rsidRPr="004B09C3">
        <w:rPr>
          <w:sz w:val="20"/>
        </w:rPr>
        <w:fldChar w:fldCharType="separate"/>
      </w:r>
      <w:r w:rsidR="00F90EAA">
        <w:rPr>
          <w:sz w:val="20"/>
        </w:rPr>
        <w:t>11</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Transitional provision to continue subordinate legislation in force</w:t>
      </w:r>
      <w:r w:rsidRPr="004B09C3">
        <w:rPr>
          <w:sz w:val="20"/>
        </w:rPr>
        <w:tab/>
      </w:r>
      <w:r w:rsidRPr="004B09C3">
        <w:rPr>
          <w:sz w:val="20"/>
        </w:rPr>
        <w:fldChar w:fldCharType="begin"/>
      </w:r>
      <w:r w:rsidRPr="004B09C3">
        <w:rPr>
          <w:sz w:val="20"/>
        </w:rPr>
        <w:instrText xml:space="preserve"> PAGEREF _Toc43196581 \h </w:instrText>
      </w:r>
      <w:r w:rsidRPr="004B09C3">
        <w:rPr>
          <w:sz w:val="20"/>
        </w:rPr>
      </w:r>
      <w:r w:rsidRPr="004B09C3">
        <w:rPr>
          <w:sz w:val="20"/>
        </w:rPr>
        <w:fldChar w:fldCharType="separate"/>
      </w:r>
      <w:r w:rsidR="00F90EAA">
        <w:rPr>
          <w:sz w:val="20"/>
        </w:rPr>
        <w:t>11</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Informing instructors of need to repeal subordinate legislation</w:t>
      </w:r>
      <w:r w:rsidRPr="004B09C3">
        <w:rPr>
          <w:sz w:val="20"/>
        </w:rPr>
        <w:tab/>
      </w:r>
      <w:r w:rsidRPr="004B09C3">
        <w:rPr>
          <w:sz w:val="20"/>
        </w:rPr>
        <w:fldChar w:fldCharType="begin"/>
      </w:r>
      <w:r w:rsidRPr="004B09C3">
        <w:rPr>
          <w:sz w:val="20"/>
        </w:rPr>
        <w:instrText xml:space="preserve"> PAGEREF _Toc43196582 \h </w:instrText>
      </w:r>
      <w:r w:rsidRPr="004B09C3">
        <w:rPr>
          <w:sz w:val="20"/>
        </w:rPr>
      </w:r>
      <w:r w:rsidRPr="004B09C3">
        <w:rPr>
          <w:sz w:val="20"/>
        </w:rPr>
        <w:fldChar w:fldCharType="separate"/>
      </w:r>
      <w:r w:rsidR="00F90EAA">
        <w:rPr>
          <w:sz w:val="20"/>
        </w:rPr>
        <w:t>11</w:t>
      </w:r>
      <w:r w:rsidRPr="004B09C3">
        <w:rPr>
          <w:sz w:val="20"/>
        </w:rPr>
        <w:fldChar w:fldCharType="end"/>
      </w:r>
    </w:p>
    <w:p w:rsidR="004B09C3" w:rsidRDefault="004B09C3">
      <w:pPr>
        <w:pStyle w:val="TOC2"/>
        <w:rPr>
          <w:rFonts w:asciiTheme="minorHAnsi" w:eastAsiaTheme="minorEastAsia" w:hAnsiTheme="minorHAnsi" w:cstheme="minorBidi"/>
          <w:b w:val="0"/>
          <w:sz w:val="22"/>
          <w:szCs w:val="22"/>
        </w:rPr>
      </w:pPr>
      <w:r>
        <w:t xml:space="preserve">Part 3—The </w:t>
      </w:r>
      <w:r w:rsidRPr="005C2638">
        <w:rPr>
          <w:i/>
        </w:rPr>
        <w:t>Legislation Act 2003</w:t>
      </w:r>
      <w:r w:rsidRPr="004B09C3">
        <w:rPr>
          <w:b w:val="0"/>
          <w:sz w:val="20"/>
        </w:rPr>
        <w:tab/>
      </w:r>
      <w:r w:rsidRPr="004B09C3">
        <w:rPr>
          <w:b w:val="0"/>
          <w:sz w:val="20"/>
        </w:rPr>
        <w:fldChar w:fldCharType="begin"/>
      </w:r>
      <w:r w:rsidRPr="004B09C3">
        <w:rPr>
          <w:b w:val="0"/>
          <w:sz w:val="20"/>
        </w:rPr>
        <w:instrText xml:space="preserve"> PAGEREF _Toc43196583 \h </w:instrText>
      </w:r>
      <w:r w:rsidRPr="004B09C3">
        <w:rPr>
          <w:b w:val="0"/>
          <w:sz w:val="20"/>
        </w:rPr>
      </w:r>
      <w:r w:rsidRPr="004B09C3">
        <w:rPr>
          <w:b w:val="0"/>
          <w:sz w:val="20"/>
        </w:rPr>
        <w:fldChar w:fldCharType="separate"/>
      </w:r>
      <w:r w:rsidR="00F90EAA">
        <w:rPr>
          <w:b w:val="0"/>
          <w:sz w:val="20"/>
        </w:rPr>
        <w:t>12</w:t>
      </w:r>
      <w:r w:rsidRPr="004B09C3">
        <w:rPr>
          <w:b w:val="0"/>
          <w:sz w:val="20"/>
        </w:rPr>
        <w:fldChar w:fldCharType="end"/>
      </w:r>
    </w:p>
    <w:p w:rsidR="004B09C3" w:rsidRDefault="004B09C3">
      <w:pPr>
        <w:pStyle w:val="TOC3"/>
        <w:rPr>
          <w:rFonts w:asciiTheme="minorHAnsi" w:eastAsiaTheme="minorEastAsia" w:hAnsiTheme="minorHAnsi" w:cstheme="minorBidi"/>
          <w:sz w:val="22"/>
          <w:szCs w:val="22"/>
        </w:rPr>
      </w:pPr>
      <w:r>
        <w:t>Determining whether an instrument is to be a legislative instrument</w:t>
      </w:r>
      <w:r w:rsidRPr="004B09C3">
        <w:rPr>
          <w:sz w:val="20"/>
        </w:rPr>
        <w:tab/>
      </w:r>
      <w:r w:rsidRPr="004B09C3">
        <w:rPr>
          <w:sz w:val="20"/>
        </w:rPr>
        <w:fldChar w:fldCharType="begin"/>
      </w:r>
      <w:r w:rsidRPr="004B09C3">
        <w:rPr>
          <w:sz w:val="20"/>
        </w:rPr>
        <w:instrText xml:space="preserve"> PAGEREF _Toc43196584 \h </w:instrText>
      </w:r>
      <w:r w:rsidRPr="004B09C3">
        <w:rPr>
          <w:sz w:val="20"/>
        </w:rPr>
      </w:r>
      <w:r w:rsidRPr="004B09C3">
        <w:rPr>
          <w:sz w:val="20"/>
        </w:rPr>
        <w:fldChar w:fldCharType="separate"/>
      </w:r>
      <w:r w:rsidR="00F90EAA">
        <w:rPr>
          <w:sz w:val="20"/>
        </w:rPr>
        <w:t>12</w:t>
      </w:r>
      <w:r w:rsidRPr="004B09C3">
        <w:rPr>
          <w:sz w:val="20"/>
        </w:rPr>
        <w:fldChar w:fldCharType="end"/>
      </w:r>
    </w:p>
    <w:p w:rsidR="004B09C3" w:rsidRDefault="004B09C3">
      <w:pPr>
        <w:pStyle w:val="TOC3"/>
        <w:rPr>
          <w:rFonts w:asciiTheme="minorHAnsi" w:eastAsiaTheme="minorEastAsia" w:hAnsiTheme="minorHAnsi" w:cstheme="minorBidi"/>
          <w:sz w:val="22"/>
          <w:szCs w:val="22"/>
        </w:rPr>
      </w:pPr>
      <w:r>
        <w:t>Application of this Part of the Drafting Direction to certain subordinate legislation</w:t>
      </w:r>
      <w:r w:rsidRPr="004B09C3">
        <w:rPr>
          <w:sz w:val="20"/>
        </w:rPr>
        <w:tab/>
      </w:r>
      <w:r w:rsidRPr="004B09C3">
        <w:rPr>
          <w:sz w:val="20"/>
        </w:rPr>
        <w:fldChar w:fldCharType="begin"/>
      </w:r>
      <w:r w:rsidRPr="004B09C3">
        <w:rPr>
          <w:sz w:val="20"/>
        </w:rPr>
        <w:instrText xml:space="preserve"> PAGEREF _Toc43196585 \h </w:instrText>
      </w:r>
      <w:r w:rsidRPr="004B09C3">
        <w:rPr>
          <w:sz w:val="20"/>
        </w:rPr>
      </w:r>
      <w:r w:rsidRPr="004B09C3">
        <w:rPr>
          <w:sz w:val="20"/>
        </w:rPr>
        <w:fldChar w:fldCharType="separate"/>
      </w:r>
      <w:r w:rsidR="00F90EAA">
        <w:rPr>
          <w:sz w:val="20"/>
        </w:rPr>
        <w:t>12</w:t>
      </w:r>
      <w:r w:rsidRPr="004B09C3">
        <w:rPr>
          <w:sz w:val="20"/>
        </w:rPr>
        <w:fldChar w:fldCharType="end"/>
      </w:r>
    </w:p>
    <w:p w:rsidR="004B09C3" w:rsidRDefault="004B09C3">
      <w:pPr>
        <w:pStyle w:val="TOC3"/>
        <w:rPr>
          <w:rFonts w:asciiTheme="minorHAnsi" w:eastAsiaTheme="minorEastAsia" w:hAnsiTheme="minorHAnsi" w:cstheme="minorBidi"/>
          <w:sz w:val="22"/>
          <w:szCs w:val="22"/>
        </w:rPr>
      </w:pPr>
      <w:r>
        <w:t>Generally the status of instruments to be expressly dealt with</w:t>
      </w:r>
      <w:r w:rsidRPr="004B09C3">
        <w:rPr>
          <w:sz w:val="20"/>
        </w:rPr>
        <w:tab/>
      </w:r>
      <w:r w:rsidRPr="004B09C3">
        <w:rPr>
          <w:sz w:val="20"/>
        </w:rPr>
        <w:fldChar w:fldCharType="begin"/>
      </w:r>
      <w:r w:rsidRPr="004B09C3">
        <w:rPr>
          <w:sz w:val="20"/>
        </w:rPr>
        <w:instrText xml:space="preserve"> PAGEREF _Toc43196586 \h </w:instrText>
      </w:r>
      <w:r w:rsidRPr="004B09C3">
        <w:rPr>
          <w:sz w:val="20"/>
        </w:rPr>
      </w:r>
      <w:r w:rsidRPr="004B09C3">
        <w:rPr>
          <w:sz w:val="20"/>
        </w:rPr>
        <w:fldChar w:fldCharType="separate"/>
      </w:r>
      <w:r w:rsidR="00F90EAA">
        <w:rPr>
          <w:sz w:val="20"/>
        </w:rPr>
        <w:t>13</w:t>
      </w:r>
      <w:r w:rsidRPr="004B09C3">
        <w:rPr>
          <w:sz w:val="20"/>
        </w:rPr>
        <w:fldChar w:fldCharType="end"/>
      </w:r>
    </w:p>
    <w:p w:rsidR="004B09C3" w:rsidRDefault="004B09C3">
      <w:pPr>
        <w:pStyle w:val="TOC3"/>
        <w:rPr>
          <w:rFonts w:asciiTheme="minorHAnsi" w:eastAsiaTheme="minorEastAsia" w:hAnsiTheme="minorHAnsi" w:cstheme="minorBidi"/>
          <w:sz w:val="22"/>
          <w:szCs w:val="22"/>
        </w:rPr>
      </w:pPr>
      <w:r>
        <w:t>Whether an instrument is to be a legislative instrument</w:t>
      </w:r>
      <w:r w:rsidRPr="004B09C3">
        <w:rPr>
          <w:sz w:val="20"/>
        </w:rPr>
        <w:tab/>
      </w:r>
      <w:r w:rsidRPr="004B09C3">
        <w:rPr>
          <w:sz w:val="20"/>
        </w:rPr>
        <w:fldChar w:fldCharType="begin"/>
      </w:r>
      <w:r w:rsidRPr="004B09C3">
        <w:rPr>
          <w:sz w:val="20"/>
        </w:rPr>
        <w:instrText xml:space="preserve"> PAGEREF _Toc43196587 \h </w:instrText>
      </w:r>
      <w:r w:rsidRPr="004B09C3">
        <w:rPr>
          <w:sz w:val="20"/>
        </w:rPr>
      </w:r>
      <w:r w:rsidRPr="004B09C3">
        <w:rPr>
          <w:sz w:val="20"/>
        </w:rPr>
        <w:fldChar w:fldCharType="separate"/>
      </w:r>
      <w:r w:rsidR="00F90EAA">
        <w:rPr>
          <w:sz w:val="20"/>
        </w:rPr>
        <w:t>13</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Discussions with AGD</w:t>
      </w:r>
      <w:r w:rsidRPr="004B09C3">
        <w:rPr>
          <w:sz w:val="20"/>
        </w:rPr>
        <w:tab/>
      </w:r>
      <w:r w:rsidRPr="004B09C3">
        <w:rPr>
          <w:sz w:val="20"/>
        </w:rPr>
        <w:fldChar w:fldCharType="begin"/>
      </w:r>
      <w:r w:rsidRPr="004B09C3">
        <w:rPr>
          <w:sz w:val="20"/>
        </w:rPr>
        <w:instrText xml:space="preserve"> PAGEREF _Toc43196588 \h </w:instrText>
      </w:r>
      <w:r w:rsidRPr="004B09C3">
        <w:rPr>
          <w:sz w:val="20"/>
        </w:rPr>
      </w:r>
      <w:r w:rsidRPr="004B09C3">
        <w:rPr>
          <w:sz w:val="20"/>
        </w:rPr>
        <w:fldChar w:fldCharType="separate"/>
      </w:r>
      <w:r w:rsidR="00F90EAA">
        <w:rPr>
          <w:sz w:val="20"/>
        </w:rPr>
        <w:t>13</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Instruments that are already dealt with by the LA or regulations</w:t>
      </w:r>
      <w:r w:rsidRPr="004B09C3">
        <w:rPr>
          <w:sz w:val="20"/>
        </w:rPr>
        <w:tab/>
      </w:r>
      <w:r w:rsidRPr="004B09C3">
        <w:rPr>
          <w:sz w:val="20"/>
        </w:rPr>
        <w:fldChar w:fldCharType="begin"/>
      </w:r>
      <w:r w:rsidRPr="004B09C3">
        <w:rPr>
          <w:sz w:val="20"/>
        </w:rPr>
        <w:instrText xml:space="preserve"> PAGEREF _Toc43196589 \h </w:instrText>
      </w:r>
      <w:r w:rsidRPr="004B09C3">
        <w:rPr>
          <w:sz w:val="20"/>
        </w:rPr>
      </w:r>
      <w:r w:rsidRPr="004B09C3">
        <w:rPr>
          <w:sz w:val="20"/>
        </w:rPr>
        <w:fldChar w:fldCharType="separate"/>
      </w:r>
      <w:r w:rsidR="00F90EAA">
        <w:rPr>
          <w:sz w:val="20"/>
        </w:rPr>
        <w:t>13</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lastRenderedPageBreak/>
        <w:t>Instruments that are to be legislative instruments</w:t>
      </w:r>
      <w:r w:rsidRPr="004B09C3">
        <w:rPr>
          <w:sz w:val="20"/>
        </w:rPr>
        <w:tab/>
      </w:r>
      <w:r w:rsidRPr="004B09C3">
        <w:rPr>
          <w:sz w:val="20"/>
        </w:rPr>
        <w:fldChar w:fldCharType="begin"/>
      </w:r>
      <w:r w:rsidRPr="004B09C3">
        <w:rPr>
          <w:sz w:val="20"/>
        </w:rPr>
        <w:instrText xml:space="preserve"> PAGEREF _Toc43196590 \h </w:instrText>
      </w:r>
      <w:r w:rsidRPr="004B09C3">
        <w:rPr>
          <w:sz w:val="20"/>
        </w:rPr>
      </w:r>
      <w:r w:rsidRPr="004B09C3">
        <w:rPr>
          <w:sz w:val="20"/>
        </w:rPr>
        <w:fldChar w:fldCharType="separate"/>
      </w:r>
      <w:r w:rsidR="00F90EAA">
        <w:rPr>
          <w:sz w:val="20"/>
        </w:rPr>
        <w:t>14</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Instruments that are not to be legislative instruments</w:t>
      </w:r>
      <w:r w:rsidRPr="004B09C3">
        <w:rPr>
          <w:sz w:val="20"/>
        </w:rPr>
        <w:tab/>
      </w:r>
      <w:r w:rsidRPr="004B09C3">
        <w:rPr>
          <w:sz w:val="20"/>
        </w:rPr>
        <w:fldChar w:fldCharType="begin"/>
      </w:r>
      <w:r w:rsidRPr="004B09C3">
        <w:rPr>
          <w:sz w:val="20"/>
        </w:rPr>
        <w:instrText xml:space="preserve"> PAGEREF _Toc43196591 \h </w:instrText>
      </w:r>
      <w:r w:rsidRPr="004B09C3">
        <w:rPr>
          <w:sz w:val="20"/>
        </w:rPr>
      </w:r>
      <w:r w:rsidRPr="004B09C3">
        <w:rPr>
          <w:sz w:val="20"/>
        </w:rPr>
        <w:fldChar w:fldCharType="separate"/>
      </w:r>
      <w:r w:rsidR="00F90EAA">
        <w:rPr>
          <w:sz w:val="20"/>
        </w:rPr>
        <w:t>15</w:t>
      </w:r>
      <w:r w:rsidRPr="004B09C3">
        <w:rPr>
          <w:sz w:val="20"/>
        </w:rPr>
        <w:fldChar w:fldCharType="end"/>
      </w:r>
    </w:p>
    <w:p w:rsidR="004B09C3" w:rsidRDefault="004B09C3">
      <w:pPr>
        <w:pStyle w:val="TOC5"/>
        <w:tabs>
          <w:tab w:val="right" w:leader="dot" w:pos="9017"/>
        </w:tabs>
        <w:rPr>
          <w:rFonts w:asciiTheme="minorHAnsi" w:eastAsiaTheme="minorEastAsia" w:hAnsiTheme="minorHAnsi" w:cstheme="minorBidi"/>
          <w:noProof/>
          <w:sz w:val="22"/>
          <w:szCs w:val="22"/>
        </w:rPr>
      </w:pPr>
      <w:r>
        <w:rPr>
          <w:noProof/>
        </w:rPr>
        <w:t>Express statement that instrument is not a legislative instrument</w:t>
      </w:r>
      <w:r w:rsidRPr="004B09C3">
        <w:rPr>
          <w:noProof/>
          <w:sz w:val="20"/>
        </w:rPr>
        <w:tab/>
      </w:r>
      <w:r w:rsidRPr="004B09C3">
        <w:rPr>
          <w:noProof/>
          <w:sz w:val="20"/>
        </w:rPr>
        <w:fldChar w:fldCharType="begin"/>
      </w:r>
      <w:r w:rsidRPr="004B09C3">
        <w:rPr>
          <w:noProof/>
          <w:sz w:val="20"/>
        </w:rPr>
        <w:instrText xml:space="preserve"> PAGEREF _Toc43196592 \h </w:instrText>
      </w:r>
      <w:r w:rsidRPr="004B09C3">
        <w:rPr>
          <w:noProof/>
          <w:sz w:val="20"/>
        </w:rPr>
      </w:r>
      <w:r w:rsidRPr="004B09C3">
        <w:rPr>
          <w:noProof/>
          <w:sz w:val="20"/>
        </w:rPr>
        <w:fldChar w:fldCharType="separate"/>
      </w:r>
      <w:r w:rsidR="00F90EAA">
        <w:rPr>
          <w:noProof/>
          <w:sz w:val="20"/>
        </w:rPr>
        <w:t>15</w:t>
      </w:r>
      <w:r w:rsidRPr="004B09C3">
        <w:rPr>
          <w:noProof/>
          <w:sz w:val="20"/>
        </w:rPr>
        <w:fldChar w:fldCharType="end"/>
      </w:r>
    </w:p>
    <w:p w:rsidR="004B09C3" w:rsidRDefault="004B09C3">
      <w:pPr>
        <w:pStyle w:val="TOC5"/>
        <w:tabs>
          <w:tab w:val="right" w:leader="dot" w:pos="9017"/>
        </w:tabs>
        <w:rPr>
          <w:rFonts w:asciiTheme="minorHAnsi" w:eastAsiaTheme="minorEastAsia" w:hAnsiTheme="minorHAnsi" w:cstheme="minorBidi"/>
          <w:noProof/>
          <w:sz w:val="22"/>
          <w:szCs w:val="22"/>
        </w:rPr>
      </w:pPr>
      <w:r>
        <w:rPr>
          <w:noProof/>
        </w:rPr>
        <w:t>Explanatory drafting notes</w:t>
      </w:r>
      <w:r w:rsidRPr="004B09C3">
        <w:rPr>
          <w:noProof/>
          <w:sz w:val="20"/>
        </w:rPr>
        <w:tab/>
      </w:r>
      <w:r w:rsidRPr="004B09C3">
        <w:rPr>
          <w:noProof/>
          <w:sz w:val="20"/>
        </w:rPr>
        <w:fldChar w:fldCharType="begin"/>
      </w:r>
      <w:r w:rsidRPr="004B09C3">
        <w:rPr>
          <w:noProof/>
          <w:sz w:val="20"/>
        </w:rPr>
        <w:instrText xml:space="preserve"> PAGEREF _Toc43196593 \h </w:instrText>
      </w:r>
      <w:r w:rsidRPr="004B09C3">
        <w:rPr>
          <w:noProof/>
          <w:sz w:val="20"/>
        </w:rPr>
      </w:r>
      <w:r w:rsidRPr="004B09C3">
        <w:rPr>
          <w:noProof/>
          <w:sz w:val="20"/>
        </w:rPr>
        <w:fldChar w:fldCharType="separate"/>
      </w:r>
      <w:r w:rsidR="00F90EAA">
        <w:rPr>
          <w:noProof/>
          <w:sz w:val="20"/>
        </w:rPr>
        <w:t>15</w:t>
      </w:r>
      <w:r w:rsidRPr="004B09C3">
        <w:rPr>
          <w:noProof/>
          <w:sz w:val="20"/>
        </w:rPr>
        <w:fldChar w:fldCharType="end"/>
      </w:r>
    </w:p>
    <w:p w:rsidR="004B09C3" w:rsidRDefault="004B09C3">
      <w:pPr>
        <w:pStyle w:val="TOC4"/>
        <w:rPr>
          <w:rFonts w:asciiTheme="minorHAnsi" w:eastAsiaTheme="minorEastAsia" w:hAnsiTheme="minorHAnsi" w:cstheme="minorBidi"/>
          <w:sz w:val="22"/>
          <w:szCs w:val="22"/>
        </w:rPr>
      </w:pPr>
      <w:r>
        <w:t>Powers to create some legislative instruments and some instruments that are not legislative instruments</w:t>
      </w:r>
      <w:r w:rsidRPr="004B09C3">
        <w:rPr>
          <w:sz w:val="20"/>
        </w:rPr>
        <w:tab/>
      </w:r>
      <w:r w:rsidRPr="004B09C3">
        <w:rPr>
          <w:sz w:val="20"/>
        </w:rPr>
        <w:fldChar w:fldCharType="begin"/>
      </w:r>
      <w:r w:rsidRPr="004B09C3">
        <w:rPr>
          <w:sz w:val="20"/>
        </w:rPr>
        <w:instrText xml:space="preserve"> PAGEREF _Toc43196594 \h </w:instrText>
      </w:r>
      <w:r w:rsidRPr="004B09C3">
        <w:rPr>
          <w:sz w:val="20"/>
        </w:rPr>
      </w:r>
      <w:r w:rsidRPr="004B09C3">
        <w:rPr>
          <w:sz w:val="20"/>
        </w:rPr>
        <w:fldChar w:fldCharType="separate"/>
      </w:r>
      <w:r w:rsidR="00F90EAA">
        <w:rPr>
          <w:sz w:val="20"/>
        </w:rPr>
        <w:t>16</w:t>
      </w:r>
      <w:r w:rsidRPr="004B09C3">
        <w:rPr>
          <w:sz w:val="20"/>
        </w:rPr>
        <w:fldChar w:fldCharType="end"/>
      </w:r>
    </w:p>
    <w:p w:rsidR="004B09C3" w:rsidRDefault="004B09C3">
      <w:pPr>
        <w:pStyle w:val="TOC3"/>
        <w:rPr>
          <w:rFonts w:asciiTheme="minorHAnsi" w:eastAsiaTheme="minorEastAsia" w:hAnsiTheme="minorHAnsi" w:cstheme="minorBidi"/>
          <w:sz w:val="22"/>
          <w:szCs w:val="22"/>
        </w:rPr>
      </w:pPr>
      <w:r>
        <w:t>Partial exemptions from the LA</w:t>
      </w:r>
      <w:r w:rsidRPr="004B09C3">
        <w:rPr>
          <w:sz w:val="20"/>
        </w:rPr>
        <w:tab/>
      </w:r>
      <w:r w:rsidRPr="004B09C3">
        <w:rPr>
          <w:sz w:val="20"/>
        </w:rPr>
        <w:fldChar w:fldCharType="begin"/>
      </w:r>
      <w:r w:rsidRPr="004B09C3">
        <w:rPr>
          <w:sz w:val="20"/>
        </w:rPr>
        <w:instrText xml:space="preserve"> PAGEREF _Toc43196595 \h </w:instrText>
      </w:r>
      <w:r w:rsidRPr="004B09C3">
        <w:rPr>
          <w:sz w:val="20"/>
        </w:rPr>
      </w:r>
      <w:r w:rsidRPr="004B09C3">
        <w:rPr>
          <w:sz w:val="20"/>
        </w:rPr>
        <w:fldChar w:fldCharType="separate"/>
      </w:r>
      <w:r w:rsidR="00F90EAA">
        <w:rPr>
          <w:sz w:val="20"/>
        </w:rPr>
        <w:t>17</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Exemptions from the disallowance regime</w:t>
      </w:r>
      <w:r w:rsidRPr="004B09C3">
        <w:rPr>
          <w:sz w:val="20"/>
        </w:rPr>
        <w:tab/>
      </w:r>
      <w:r w:rsidRPr="004B09C3">
        <w:rPr>
          <w:sz w:val="20"/>
        </w:rPr>
        <w:fldChar w:fldCharType="begin"/>
      </w:r>
      <w:r w:rsidRPr="004B09C3">
        <w:rPr>
          <w:sz w:val="20"/>
        </w:rPr>
        <w:instrText xml:space="preserve"> PAGEREF _Toc43196596 \h </w:instrText>
      </w:r>
      <w:r w:rsidRPr="004B09C3">
        <w:rPr>
          <w:sz w:val="20"/>
        </w:rPr>
      </w:r>
      <w:r w:rsidRPr="004B09C3">
        <w:rPr>
          <w:sz w:val="20"/>
        </w:rPr>
        <w:fldChar w:fldCharType="separate"/>
      </w:r>
      <w:r w:rsidR="00F90EAA">
        <w:rPr>
          <w:sz w:val="20"/>
        </w:rPr>
        <w:t>17</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Explanatory drafting notes</w:t>
      </w:r>
      <w:r w:rsidRPr="004B09C3">
        <w:rPr>
          <w:sz w:val="20"/>
        </w:rPr>
        <w:tab/>
      </w:r>
      <w:r w:rsidRPr="004B09C3">
        <w:rPr>
          <w:sz w:val="20"/>
        </w:rPr>
        <w:fldChar w:fldCharType="begin"/>
      </w:r>
      <w:r w:rsidRPr="004B09C3">
        <w:rPr>
          <w:sz w:val="20"/>
        </w:rPr>
        <w:instrText xml:space="preserve"> PAGEREF _Toc43196597 \h </w:instrText>
      </w:r>
      <w:r w:rsidRPr="004B09C3">
        <w:rPr>
          <w:sz w:val="20"/>
        </w:rPr>
      </w:r>
      <w:r w:rsidRPr="004B09C3">
        <w:rPr>
          <w:sz w:val="20"/>
        </w:rPr>
        <w:fldChar w:fldCharType="separate"/>
      </w:r>
      <w:r w:rsidR="00F90EAA">
        <w:rPr>
          <w:sz w:val="20"/>
        </w:rPr>
        <w:t>18</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Exemptions from the sunsetting regime</w:t>
      </w:r>
      <w:r w:rsidRPr="004B09C3">
        <w:rPr>
          <w:sz w:val="20"/>
        </w:rPr>
        <w:tab/>
      </w:r>
      <w:r w:rsidRPr="004B09C3">
        <w:rPr>
          <w:sz w:val="20"/>
        </w:rPr>
        <w:fldChar w:fldCharType="begin"/>
      </w:r>
      <w:r w:rsidRPr="004B09C3">
        <w:rPr>
          <w:sz w:val="20"/>
        </w:rPr>
        <w:instrText xml:space="preserve"> PAGEREF _Toc43196598 \h </w:instrText>
      </w:r>
      <w:r w:rsidRPr="004B09C3">
        <w:rPr>
          <w:sz w:val="20"/>
        </w:rPr>
      </w:r>
      <w:r w:rsidRPr="004B09C3">
        <w:rPr>
          <w:sz w:val="20"/>
        </w:rPr>
        <w:fldChar w:fldCharType="separate"/>
      </w:r>
      <w:r w:rsidR="00F90EAA">
        <w:rPr>
          <w:sz w:val="20"/>
        </w:rPr>
        <w:t>18</w:t>
      </w:r>
      <w:r w:rsidRPr="004B09C3">
        <w:rPr>
          <w:sz w:val="20"/>
        </w:rPr>
        <w:fldChar w:fldCharType="end"/>
      </w:r>
    </w:p>
    <w:p w:rsidR="004B09C3" w:rsidRDefault="004B09C3">
      <w:pPr>
        <w:pStyle w:val="TOC3"/>
        <w:rPr>
          <w:rFonts w:asciiTheme="minorHAnsi" w:eastAsiaTheme="minorEastAsia" w:hAnsiTheme="minorHAnsi" w:cstheme="minorBidi"/>
          <w:sz w:val="22"/>
          <w:szCs w:val="22"/>
        </w:rPr>
      </w:pPr>
      <w:r>
        <w:t>Providing for other requirements for legislative instruments</w:t>
      </w:r>
      <w:r w:rsidRPr="004B09C3">
        <w:rPr>
          <w:sz w:val="20"/>
        </w:rPr>
        <w:tab/>
      </w:r>
      <w:r w:rsidRPr="004B09C3">
        <w:rPr>
          <w:sz w:val="20"/>
        </w:rPr>
        <w:fldChar w:fldCharType="begin"/>
      </w:r>
      <w:r w:rsidRPr="004B09C3">
        <w:rPr>
          <w:sz w:val="20"/>
        </w:rPr>
        <w:instrText xml:space="preserve"> PAGEREF _Toc43196599 \h </w:instrText>
      </w:r>
      <w:r w:rsidRPr="004B09C3">
        <w:rPr>
          <w:sz w:val="20"/>
        </w:rPr>
      </w:r>
      <w:r w:rsidRPr="004B09C3">
        <w:rPr>
          <w:sz w:val="20"/>
        </w:rPr>
        <w:fldChar w:fldCharType="separate"/>
      </w:r>
      <w:r w:rsidR="00F90EAA">
        <w:rPr>
          <w:sz w:val="20"/>
        </w:rPr>
        <w:t>18</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Publication requirements</w:t>
      </w:r>
      <w:r w:rsidRPr="004B09C3">
        <w:rPr>
          <w:sz w:val="20"/>
        </w:rPr>
        <w:tab/>
      </w:r>
      <w:r w:rsidRPr="004B09C3">
        <w:rPr>
          <w:sz w:val="20"/>
        </w:rPr>
        <w:fldChar w:fldCharType="begin"/>
      </w:r>
      <w:r w:rsidRPr="004B09C3">
        <w:rPr>
          <w:sz w:val="20"/>
        </w:rPr>
        <w:instrText xml:space="preserve"> PAGEREF _Toc43196600 \h </w:instrText>
      </w:r>
      <w:r w:rsidRPr="004B09C3">
        <w:rPr>
          <w:sz w:val="20"/>
        </w:rPr>
      </w:r>
      <w:r w:rsidRPr="004B09C3">
        <w:rPr>
          <w:sz w:val="20"/>
        </w:rPr>
        <w:fldChar w:fldCharType="separate"/>
      </w:r>
      <w:r w:rsidR="00F90EAA">
        <w:rPr>
          <w:sz w:val="20"/>
        </w:rPr>
        <w:t>18</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Tabling requirements</w:t>
      </w:r>
      <w:r w:rsidRPr="004B09C3">
        <w:rPr>
          <w:sz w:val="20"/>
        </w:rPr>
        <w:tab/>
      </w:r>
      <w:r w:rsidRPr="004B09C3">
        <w:rPr>
          <w:sz w:val="20"/>
        </w:rPr>
        <w:fldChar w:fldCharType="begin"/>
      </w:r>
      <w:r w:rsidRPr="004B09C3">
        <w:rPr>
          <w:sz w:val="20"/>
        </w:rPr>
        <w:instrText xml:space="preserve"> PAGEREF _Toc43196601 \h </w:instrText>
      </w:r>
      <w:r w:rsidRPr="004B09C3">
        <w:rPr>
          <w:sz w:val="20"/>
        </w:rPr>
      </w:r>
      <w:r w:rsidRPr="004B09C3">
        <w:rPr>
          <w:sz w:val="20"/>
        </w:rPr>
        <w:fldChar w:fldCharType="separate"/>
      </w:r>
      <w:r w:rsidR="00F90EAA">
        <w:rPr>
          <w:sz w:val="20"/>
        </w:rPr>
        <w:t>19</w:t>
      </w:r>
      <w:r w:rsidRPr="004B09C3">
        <w:rPr>
          <w:sz w:val="20"/>
        </w:rPr>
        <w:fldChar w:fldCharType="end"/>
      </w:r>
    </w:p>
    <w:p w:rsidR="004B09C3" w:rsidRDefault="004B09C3">
      <w:pPr>
        <w:pStyle w:val="TOC3"/>
        <w:rPr>
          <w:rFonts w:asciiTheme="minorHAnsi" w:eastAsiaTheme="minorEastAsia" w:hAnsiTheme="minorHAnsi" w:cstheme="minorBidi"/>
          <w:sz w:val="22"/>
          <w:szCs w:val="22"/>
        </w:rPr>
      </w:pPr>
      <w:r>
        <w:t>Notifiable instruments</w:t>
      </w:r>
      <w:r w:rsidRPr="004B09C3">
        <w:rPr>
          <w:sz w:val="20"/>
        </w:rPr>
        <w:tab/>
      </w:r>
      <w:r w:rsidRPr="004B09C3">
        <w:rPr>
          <w:sz w:val="20"/>
        </w:rPr>
        <w:fldChar w:fldCharType="begin"/>
      </w:r>
      <w:r w:rsidRPr="004B09C3">
        <w:rPr>
          <w:sz w:val="20"/>
        </w:rPr>
        <w:instrText xml:space="preserve"> PAGEREF _Toc43196602 \h </w:instrText>
      </w:r>
      <w:r w:rsidRPr="004B09C3">
        <w:rPr>
          <w:sz w:val="20"/>
        </w:rPr>
      </w:r>
      <w:r w:rsidRPr="004B09C3">
        <w:rPr>
          <w:sz w:val="20"/>
        </w:rPr>
        <w:fldChar w:fldCharType="separate"/>
      </w:r>
      <w:r w:rsidR="00F90EAA">
        <w:rPr>
          <w:sz w:val="20"/>
        </w:rPr>
        <w:t>19</w:t>
      </w:r>
      <w:r w:rsidRPr="004B09C3">
        <w:rPr>
          <w:sz w:val="20"/>
        </w:rPr>
        <w:fldChar w:fldCharType="end"/>
      </w:r>
    </w:p>
    <w:p w:rsidR="004B09C3" w:rsidRDefault="004B09C3">
      <w:pPr>
        <w:pStyle w:val="TOC3"/>
        <w:rPr>
          <w:rFonts w:asciiTheme="minorHAnsi" w:eastAsiaTheme="minorEastAsia" w:hAnsiTheme="minorHAnsi" w:cstheme="minorBidi"/>
          <w:sz w:val="22"/>
          <w:szCs w:val="22"/>
        </w:rPr>
      </w:pPr>
      <w:r>
        <w:t>References to subsection 12(2) of the Legislation Act 2003</w:t>
      </w:r>
      <w:r w:rsidRPr="004B09C3">
        <w:rPr>
          <w:sz w:val="20"/>
        </w:rPr>
        <w:tab/>
      </w:r>
      <w:r w:rsidRPr="004B09C3">
        <w:rPr>
          <w:sz w:val="20"/>
        </w:rPr>
        <w:fldChar w:fldCharType="begin"/>
      </w:r>
      <w:r w:rsidRPr="004B09C3">
        <w:rPr>
          <w:sz w:val="20"/>
        </w:rPr>
        <w:instrText xml:space="preserve"> PAGEREF _Toc43196603 \h </w:instrText>
      </w:r>
      <w:r w:rsidRPr="004B09C3">
        <w:rPr>
          <w:sz w:val="20"/>
        </w:rPr>
      </w:r>
      <w:r w:rsidRPr="004B09C3">
        <w:rPr>
          <w:sz w:val="20"/>
        </w:rPr>
        <w:fldChar w:fldCharType="separate"/>
      </w:r>
      <w:r w:rsidR="00F90EAA">
        <w:rPr>
          <w:sz w:val="20"/>
        </w:rPr>
        <w:t>21</w:t>
      </w:r>
      <w:r w:rsidRPr="004B09C3">
        <w:rPr>
          <w:sz w:val="20"/>
        </w:rPr>
        <w:fldChar w:fldCharType="end"/>
      </w:r>
    </w:p>
    <w:p w:rsidR="004B09C3" w:rsidRDefault="004B09C3">
      <w:pPr>
        <w:pStyle w:val="TOC2"/>
        <w:rPr>
          <w:rFonts w:asciiTheme="minorHAnsi" w:eastAsiaTheme="minorEastAsia" w:hAnsiTheme="minorHAnsi" w:cstheme="minorBidi"/>
          <w:b w:val="0"/>
          <w:sz w:val="22"/>
          <w:szCs w:val="22"/>
        </w:rPr>
      </w:pPr>
      <w:r>
        <w:t xml:space="preserve">Part 4—Instruments that are not legislative instruments and the </w:t>
      </w:r>
      <w:r w:rsidRPr="005C2638">
        <w:rPr>
          <w:i/>
        </w:rPr>
        <w:t>Acts Interpretation Act 1901</w:t>
      </w:r>
      <w:r w:rsidRPr="004B09C3">
        <w:rPr>
          <w:b w:val="0"/>
          <w:sz w:val="20"/>
        </w:rPr>
        <w:tab/>
      </w:r>
      <w:r w:rsidRPr="004B09C3">
        <w:rPr>
          <w:b w:val="0"/>
          <w:sz w:val="20"/>
        </w:rPr>
        <w:fldChar w:fldCharType="begin"/>
      </w:r>
      <w:r w:rsidRPr="004B09C3">
        <w:rPr>
          <w:b w:val="0"/>
          <w:sz w:val="20"/>
        </w:rPr>
        <w:instrText xml:space="preserve"> PAGEREF _Toc43196604 \h </w:instrText>
      </w:r>
      <w:r w:rsidRPr="004B09C3">
        <w:rPr>
          <w:b w:val="0"/>
          <w:sz w:val="20"/>
        </w:rPr>
      </w:r>
      <w:r w:rsidRPr="004B09C3">
        <w:rPr>
          <w:b w:val="0"/>
          <w:sz w:val="20"/>
        </w:rPr>
        <w:fldChar w:fldCharType="separate"/>
      </w:r>
      <w:r w:rsidR="00F90EAA">
        <w:rPr>
          <w:b w:val="0"/>
          <w:sz w:val="20"/>
        </w:rPr>
        <w:t>21</w:t>
      </w:r>
      <w:r w:rsidRPr="004B09C3">
        <w:rPr>
          <w:b w:val="0"/>
          <w:sz w:val="20"/>
        </w:rPr>
        <w:fldChar w:fldCharType="end"/>
      </w:r>
    </w:p>
    <w:p w:rsidR="004B09C3" w:rsidRDefault="004B09C3">
      <w:pPr>
        <w:pStyle w:val="TOC2"/>
        <w:rPr>
          <w:rFonts w:asciiTheme="minorHAnsi" w:eastAsiaTheme="minorEastAsia" w:hAnsiTheme="minorHAnsi" w:cstheme="minorBidi"/>
          <w:b w:val="0"/>
          <w:sz w:val="22"/>
          <w:szCs w:val="22"/>
        </w:rPr>
      </w:pPr>
      <w:r>
        <w:t>Part 5—Other matters dealing with or affecting instruments</w:t>
      </w:r>
      <w:r w:rsidRPr="004B09C3">
        <w:rPr>
          <w:b w:val="0"/>
          <w:sz w:val="20"/>
        </w:rPr>
        <w:tab/>
      </w:r>
      <w:r w:rsidRPr="004B09C3">
        <w:rPr>
          <w:b w:val="0"/>
          <w:sz w:val="20"/>
        </w:rPr>
        <w:fldChar w:fldCharType="begin"/>
      </w:r>
      <w:r w:rsidRPr="004B09C3">
        <w:rPr>
          <w:b w:val="0"/>
          <w:sz w:val="20"/>
        </w:rPr>
        <w:instrText xml:space="preserve"> PAGEREF _Toc43196605 \h </w:instrText>
      </w:r>
      <w:r w:rsidRPr="004B09C3">
        <w:rPr>
          <w:b w:val="0"/>
          <w:sz w:val="20"/>
        </w:rPr>
      </w:r>
      <w:r w:rsidRPr="004B09C3">
        <w:rPr>
          <w:b w:val="0"/>
          <w:sz w:val="20"/>
        </w:rPr>
        <w:fldChar w:fldCharType="separate"/>
      </w:r>
      <w:r w:rsidR="00F90EAA">
        <w:rPr>
          <w:b w:val="0"/>
          <w:sz w:val="20"/>
        </w:rPr>
        <w:t>21</w:t>
      </w:r>
      <w:r w:rsidRPr="004B09C3">
        <w:rPr>
          <w:b w:val="0"/>
          <w:sz w:val="20"/>
        </w:rPr>
        <w:fldChar w:fldCharType="end"/>
      </w:r>
    </w:p>
    <w:p w:rsidR="004B09C3" w:rsidRDefault="004B09C3">
      <w:pPr>
        <w:pStyle w:val="TOC3"/>
        <w:rPr>
          <w:rFonts w:asciiTheme="minorHAnsi" w:eastAsiaTheme="minorEastAsia" w:hAnsiTheme="minorHAnsi" w:cstheme="minorBidi"/>
          <w:sz w:val="22"/>
          <w:szCs w:val="22"/>
        </w:rPr>
      </w:pPr>
      <w:r>
        <w:t>Naming of instruments</w:t>
      </w:r>
      <w:r w:rsidRPr="004B09C3">
        <w:rPr>
          <w:sz w:val="20"/>
        </w:rPr>
        <w:tab/>
      </w:r>
      <w:r w:rsidRPr="004B09C3">
        <w:rPr>
          <w:sz w:val="20"/>
        </w:rPr>
        <w:fldChar w:fldCharType="begin"/>
      </w:r>
      <w:r w:rsidRPr="004B09C3">
        <w:rPr>
          <w:sz w:val="20"/>
        </w:rPr>
        <w:instrText xml:space="preserve"> PAGEREF _Toc43196606 \h </w:instrText>
      </w:r>
      <w:r w:rsidRPr="004B09C3">
        <w:rPr>
          <w:sz w:val="20"/>
        </w:rPr>
      </w:r>
      <w:r w:rsidRPr="004B09C3">
        <w:rPr>
          <w:sz w:val="20"/>
        </w:rPr>
        <w:fldChar w:fldCharType="separate"/>
      </w:r>
      <w:r w:rsidR="00F90EAA">
        <w:rPr>
          <w:sz w:val="20"/>
        </w:rPr>
        <w:t>21</w:t>
      </w:r>
      <w:r w:rsidRPr="004B09C3">
        <w:rPr>
          <w:sz w:val="20"/>
        </w:rPr>
        <w:fldChar w:fldCharType="end"/>
      </w:r>
    </w:p>
    <w:p w:rsidR="004B09C3" w:rsidRDefault="004B09C3">
      <w:pPr>
        <w:pStyle w:val="TOC3"/>
        <w:rPr>
          <w:rFonts w:asciiTheme="minorHAnsi" w:eastAsiaTheme="minorEastAsia" w:hAnsiTheme="minorHAnsi" w:cstheme="minorBidi"/>
          <w:sz w:val="22"/>
          <w:szCs w:val="22"/>
        </w:rPr>
      </w:pPr>
      <w:r>
        <w:t>Authority for instruments</w:t>
      </w:r>
      <w:r w:rsidRPr="004B09C3">
        <w:rPr>
          <w:sz w:val="20"/>
        </w:rPr>
        <w:tab/>
      </w:r>
      <w:r w:rsidRPr="004B09C3">
        <w:rPr>
          <w:sz w:val="20"/>
        </w:rPr>
        <w:fldChar w:fldCharType="begin"/>
      </w:r>
      <w:r w:rsidRPr="004B09C3">
        <w:rPr>
          <w:sz w:val="20"/>
        </w:rPr>
        <w:instrText xml:space="preserve"> PAGEREF _Toc43196607 \h </w:instrText>
      </w:r>
      <w:r w:rsidRPr="004B09C3">
        <w:rPr>
          <w:sz w:val="20"/>
        </w:rPr>
      </w:r>
      <w:r w:rsidRPr="004B09C3">
        <w:rPr>
          <w:sz w:val="20"/>
        </w:rPr>
        <w:fldChar w:fldCharType="separate"/>
      </w:r>
      <w:r w:rsidR="00F90EAA">
        <w:rPr>
          <w:sz w:val="20"/>
        </w:rPr>
        <w:t>22</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Principal instrument generally should be made under only one Act</w:t>
      </w:r>
      <w:r w:rsidRPr="004B09C3">
        <w:rPr>
          <w:sz w:val="20"/>
        </w:rPr>
        <w:tab/>
      </w:r>
      <w:r w:rsidRPr="004B09C3">
        <w:rPr>
          <w:sz w:val="20"/>
        </w:rPr>
        <w:fldChar w:fldCharType="begin"/>
      </w:r>
      <w:r w:rsidRPr="004B09C3">
        <w:rPr>
          <w:sz w:val="20"/>
        </w:rPr>
        <w:instrText xml:space="preserve"> PAGEREF _Toc43196608 \h </w:instrText>
      </w:r>
      <w:r w:rsidRPr="004B09C3">
        <w:rPr>
          <w:sz w:val="20"/>
        </w:rPr>
      </w:r>
      <w:r w:rsidRPr="004B09C3">
        <w:rPr>
          <w:sz w:val="20"/>
        </w:rPr>
        <w:fldChar w:fldCharType="separate"/>
      </w:r>
      <w:r w:rsidR="00F90EAA">
        <w:rPr>
          <w:sz w:val="20"/>
        </w:rPr>
        <w:t>22</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Statement of authority for instruments</w:t>
      </w:r>
      <w:r w:rsidRPr="004B09C3">
        <w:rPr>
          <w:sz w:val="20"/>
        </w:rPr>
        <w:tab/>
      </w:r>
      <w:r w:rsidRPr="004B09C3">
        <w:rPr>
          <w:sz w:val="20"/>
        </w:rPr>
        <w:fldChar w:fldCharType="begin"/>
      </w:r>
      <w:r w:rsidRPr="004B09C3">
        <w:rPr>
          <w:sz w:val="20"/>
        </w:rPr>
        <w:instrText xml:space="preserve"> PAGEREF _Toc43196609 \h </w:instrText>
      </w:r>
      <w:r w:rsidRPr="004B09C3">
        <w:rPr>
          <w:sz w:val="20"/>
        </w:rPr>
      </w:r>
      <w:r w:rsidRPr="004B09C3">
        <w:rPr>
          <w:sz w:val="20"/>
        </w:rPr>
        <w:fldChar w:fldCharType="separate"/>
      </w:r>
      <w:r w:rsidR="00F90EAA">
        <w:rPr>
          <w:sz w:val="20"/>
        </w:rPr>
        <w:t>22</w:t>
      </w:r>
      <w:r w:rsidRPr="004B09C3">
        <w:rPr>
          <w:sz w:val="20"/>
        </w:rPr>
        <w:fldChar w:fldCharType="end"/>
      </w:r>
    </w:p>
    <w:p w:rsidR="004B09C3" w:rsidRDefault="004B09C3" w:rsidP="004B09C3">
      <w:pPr>
        <w:pStyle w:val="TOC5"/>
        <w:tabs>
          <w:tab w:val="right" w:leader="dot" w:pos="9017"/>
        </w:tabs>
        <w:rPr>
          <w:rFonts w:asciiTheme="minorHAnsi" w:eastAsiaTheme="minorEastAsia" w:hAnsiTheme="minorHAnsi" w:cstheme="minorBidi"/>
          <w:noProof/>
          <w:sz w:val="22"/>
          <w:szCs w:val="22"/>
        </w:rPr>
      </w:pPr>
      <w:r>
        <w:rPr>
          <w:noProof/>
        </w:rPr>
        <w:t>General</w:t>
      </w:r>
      <w:r w:rsidRPr="004B09C3">
        <w:rPr>
          <w:noProof/>
          <w:sz w:val="20"/>
        </w:rPr>
        <w:tab/>
      </w:r>
      <w:r w:rsidRPr="004B09C3">
        <w:rPr>
          <w:noProof/>
          <w:sz w:val="20"/>
        </w:rPr>
        <w:fldChar w:fldCharType="begin"/>
      </w:r>
      <w:r w:rsidRPr="004B09C3">
        <w:rPr>
          <w:noProof/>
          <w:sz w:val="20"/>
        </w:rPr>
        <w:instrText xml:space="preserve"> PAGEREF _Toc43196610 \h </w:instrText>
      </w:r>
      <w:r w:rsidRPr="004B09C3">
        <w:rPr>
          <w:noProof/>
          <w:sz w:val="20"/>
        </w:rPr>
      </w:r>
      <w:r w:rsidRPr="004B09C3">
        <w:rPr>
          <w:noProof/>
          <w:sz w:val="20"/>
        </w:rPr>
        <w:fldChar w:fldCharType="separate"/>
      </w:r>
      <w:r w:rsidR="00F90EAA">
        <w:rPr>
          <w:noProof/>
          <w:sz w:val="20"/>
        </w:rPr>
        <w:t>22</w:t>
      </w:r>
      <w:r w:rsidRPr="004B09C3">
        <w:rPr>
          <w:noProof/>
          <w:sz w:val="20"/>
        </w:rPr>
        <w:fldChar w:fldCharType="end"/>
      </w:r>
    </w:p>
    <w:p w:rsidR="004B09C3" w:rsidRDefault="004B09C3">
      <w:pPr>
        <w:pStyle w:val="TOC5"/>
        <w:tabs>
          <w:tab w:val="right" w:leader="dot" w:pos="9017"/>
        </w:tabs>
        <w:rPr>
          <w:rFonts w:asciiTheme="minorHAnsi" w:eastAsiaTheme="minorEastAsia" w:hAnsiTheme="minorHAnsi" w:cstheme="minorBidi"/>
          <w:noProof/>
          <w:sz w:val="22"/>
          <w:szCs w:val="22"/>
        </w:rPr>
      </w:pPr>
      <w:r>
        <w:rPr>
          <w:noProof/>
        </w:rPr>
        <w:t>How to describe the authority</w:t>
      </w:r>
      <w:r w:rsidRPr="004B09C3">
        <w:rPr>
          <w:noProof/>
          <w:sz w:val="20"/>
        </w:rPr>
        <w:tab/>
      </w:r>
      <w:r w:rsidRPr="004B09C3">
        <w:rPr>
          <w:noProof/>
          <w:sz w:val="20"/>
        </w:rPr>
        <w:fldChar w:fldCharType="begin"/>
      </w:r>
      <w:r w:rsidRPr="004B09C3">
        <w:rPr>
          <w:noProof/>
          <w:sz w:val="20"/>
        </w:rPr>
        <w:instrText xml:space="preserve"> PAGEREF _Toc43196611 \h </w:instrText>
      </w:r>
      <w:r w:rsidRPr="004B09C3">
        <w:rPr>
          <w:noProof/>
          <w:sz w:val="20"/>
        </w:rPr>
      </w:r>
      <w:r w:rsidRPr="004B09C3">
        <w:rPr>
          <w:noProof/>
          <w:sz w:val="20"/>
        </w:rPr>
        <w:fldChar w:fldCharType="separate"/>
      </w:r>
      <w:r w:rsidR="00F90EAA">
        <w:rPr>
          <w:noProof/>
          <w:sz w:val="20"/>
        </w:rPr>
        <w:t>22</w:t>
      </w:r>
      <w:r w:rsidRPr="004B09C3">
        <w:rPr>
          <w:noProof/>
          <w:sz w:val="20"/>
        </w:rPr>
        <w:fldChar w:fldCharType="end"/>
      </w:r>
    </w:p>
    <w:p w:rsidR="004B09C3" w:rsidRDefault="004B09C3" w:rsidP="004B09C3">
      <w:pPr>
        <w:pStyle w:val="TOC5"/>
        <w:tabs>
          <w:tab w:val="right" w:leader="dot" w:pos="9017"/>
        </w:tabs>
        <w:rPr>
          <w:rFonts w:asciiTheme="minorHAnsi" w:eastAsiaTheme="minorEastAsia" w:hAnsiTheme="minorHAnsi" w:cstheme="minorBidi"/>
          <w:noProof/>
          <w:sz w:val="22"/>
          <w:szCs w:val="22"/>
        </w:rPr>
      </w:pPr>
      <w:r>
        <w:rPr>
          <w:noProof/>
        </w:rPr>
        <w:t>Precedents</w:t>
      </w:r>
      <w:r w:rsidRPr="004B09C3">
        <w:rPr>
          <w:noProof/>
          <w:sz w:val="20"/>
        </w:rPr>
        <w:tab/>
      </w:r>
      <w:r w:rsidRPr="004B09C3">
        <w:rPr>
          <w:noProof/>
          <w:sz w:val="20"/>
        </w:rPr>
        <w:fldChar w:fldCharType="begin"/>
      </w:r>
      <w:r w:rsidRPr="004B09C3">
        <w:rPr>
          <w:noProof/>
          <w:sz w:val="20"/>
        </w:rPr>
        <w:instrText xml:space="preserve"> PAGEREF _Toc43196612 \h </w:instrText>
      </w:r>
      <w:r w:rsidRPr="004B09C3">
        <w:rPr>
          <w:noProof/>
          <w:sz w:val="20"/>
        </w:rPr>
      </w:r>
      <w:r w:rsidRPr="004B09C3">
        <w:rPr>
          <w:noProof/>
          <w:sz w:val="20"/>
        </w:rPr>
        <w:fldChar w:fldCharType="separate"/>
      </w:r>
      <w:r w:rsidR="00F90EAA">
        <w:rPr>
          <w:noProof/>
          <w:sz w:val="20"/>
        </w:rPr>
        <w:t>23</w:t>
      </w:r>
      <w:r w:rsidRPr="004B09C3">
        <w:rPr>
          <w:noProof/>
          <w:sz w:val="20"/>
        </w:rPr>
        <w:fldChar w:fldCharType="end"/>
      </w:r>
    </w:p>
    <w:p w:rsidR="004B09C3" w:rsidRDefault="004B09C3">
      <w:pPr>
        <w:pStyle w:val="TOC3"/>
        <w:rPr>
          <w:rFonts w:asciiTheme="minorHAnsi" w:eastAsiaTheme="minorEastAsia" w:hAnsiTheme="minorHAnsi" w:cstheme="minorBidi"/>
          <w:sz w:val="22"/>
          <w:szCs w:val="22"/>
        </w:rPr>
      </w:pPr>
      <w:r>
        <w:t>Acts referring to regulations or other instruments</w:t>
      </w:r>
      <w:r w:rsidRPr="004B09C3">
        <w:rPr>
          <w:sz w:val="20"/>
        </w:rPr>
        <w:tab/>
      </w:r>
      <w:r w:rsidRPr="004B09C3">
        <w:rPr>
          <w:sz w:val="20"/>
        </w:rPr>
        <w:fldChar w:fldCharType="begin"/>
      </w:r>
      <w:r w:rsidRPr="004B09C3">
        <w:rPr>
          <w:sz w:val="20"/>
        </w:rPr>
        <w:instrText xml:space="preserve"> PAGEREF _Toc43196613 \h </w:instrText>
      </w:r>
      <w:r w:rsidRPr="004B09C3">
        <w:rPr>
          <w:sz w:val="20"/>
        </w:rPr>
      </w:r>
      <w:r w:rsidRPr="004B09C3">
        <w:rPr>
          <w:sz w:val="20"/>
        </w:rPr>
        <w:fldChar w:fldCharType="separate"/>
      </w:r>
      <w:r w:rsidR="00F90EAA">
        <w:rPr>
          <w:sz w:val="20"/>
        </w:rPr>
        <w:t>24</w:t>
      </w:r>
      <w:r w:rsidRPr="004B09C3">
        <w:rPr>
          <w:sz w:val="20"/>
        </w:rPr>
        <w:fldChar w:fldCharType="end"/>
      </w:r>
    </w:p>
    <w:p w:rsidR="004B09C3" w:rsidRDefault="004B09C3">
      <w:pPr>
        <w:pStyle w:val="TOC3"/>
        <w:rPr>
          <w:rFonts w:asciiTheme="minorHAnsi" w:eastAsiaTheme="minorEastAsia" w:hAnsiTheme="minorHAnsi" w:cstheme="minorBidi"/>
          <w:sz w:val="22"/>
          <w:szCs w:val="22"/>
        </w:rPr>
      </w:pPr>
      <w:r>
        <w:t>Acts amending legislative instruments</w:t>
      </w:r>
      <w:r w:rsidRPr="004B09C3">
        <w:rPr>
          <w:sz w:val="20"/>
        </w:rPr>
        <w:tab/>
      </w:r>
      <w:r w:rsidRPr="004B09C3">
        <w:rPr>
          <w:sz w:val="20"/>
        </w:rPr>
        <w:fldChar w:fldCharType="begin"/>
      </w:r>
      <w:r w:rsidRPr="004B09C3">
        <w:rPr>
          <w:sz w:val="20"/>
        </w:rPr>
        <w:instrText xml:space="preserve"> PAGEREF _Toc43196614 \h </w:instrText>
      </w:r>
      <w:r w:rsidRPr="004B09C3">
        <w:rPr>
          <w:sz w:val="20"/>
        </w:rPr>
      </w:r>
      <w:r w:rsidRPr="004B09C3">
        <w:rPr>
          <w:sz w:val="20"/>
        </w:rPr>
        <w:fldChar w:fldCharType="separate"/>
      </w:r>
      <w:r w:rsidR="00F90EAA">
        <w:rPr>
          <w:sz w:val="20"/>
        </w:rPr>
        <w:t>24</w:t>
      </w:r>
      <w:r w:rsidRPr="004B09C3">
        <w:rPr>
          <w:sz w:val="20"/>
        </w:rPr>
        <w:fldChar w:fldCharType="end"/>
      </w:r>
    </w:p>
    <w:p w:rsidR="004B09C3" w:rsidRDefault="004B09C3">
      <w:pPr>
        <w:pStyle w:val="TOC3"/>
        <w:rPr>
          <w:rFonts w:asciiTheme="minorHAnsi" w:eastAsiaTheme="minorEastAsia" w:hAnsiTheme="minorHAnsi" w:cstheme="minorBidi"/>
          <w:sz w:val="22"/>
          <w:szCs w:val="22"/>
        </w:rPr>
      </w:pPr>
      <w:r>
        <w:t>Amendments of definitions in enabling Act relied on in instruments</w:t>
      </w:r>
      <w:r w:rsidRPr="004B09C3">
        <w:rPr>
          <w:sz w:val="20"/>
        </w:rPr>
        <w:tab/>
      </w:r>
      <w:r w:rsidRPr="004B09C3">
        <w:rPr>
          <w:sz w:val="20"/>
        </w:rPr>
        <w:fldChar w:fldCharType="begin"/>
      </w:r>
      <w:r w:rsidRPr="004B09C3">
        <w:rPr>
          <w:sz w:val="20"/>
        </w:rPr>
        <w:instrText xml:space="preserve"> PAGEREF _Toc43196615 \h </w:instrText>
      </w:r>
      <w:r w:rsidRPr="004B09C3">
        <w:rPr>
          <w:sz w:val="20"/>
        </w:rPr>
      </w:r>
      <w:r w:rsidRPr="004B09C3">
        <w:rPr>
          <w:sz w:val="20"/>
        </w:rPr>
        <w:fldChar w:fldCharType="separate"/>
      </w:r>
      <w:r w:rsidR="00F90EAA">
        <w:rPr>
          <w:sz w:val="20"/>
        </w:rPr>
        <w:t>25</w:t>
      </w:r>
      <w:r w:rsidRPr="004B09C3">
        <w:rPr>
          <w:sz w:val="20"/>
        </w:rPr>
        <w:fldChar w:fldCharType="end"/>
      </w:r>
    </w:p>
    <w:p w:rsidR="004B09C3" w:rsidRDefault="004B09C3">
      <w:pPr>
        <w:pStyle w:val="TOC3"/>
        <w:rPr>
          <w:rFonts w:asciiTheme="minorHAnsi" w:eastAsiaTheme="minorEastAsia" w:hAnsiTheme="minorHAnsi" w:cstheme="minorBidi"/>
          <w:sz w:val="22"/>
          <w:szCs w:val="22"/>
        </w:rPr>
      </w:pPr>
      <w:r>
        <w:t>Instruments prescribing penalties</w:t>
      </w:r>
      <w:r w:rsidRPr="004B09C3">
        <w:rPr>
          <w:sz w:val="20"/>
        </w:rPr>
        <w:tab/>
      </w:r>
      <w:r w:rsidRPr="004B09C3">
        <w:rPr>
          <w:sz w:val="20"/>
        </w:rPr>
        <w:fldChar w:fldCharType="begin"/>
      </w:r>
      <w:r w:rsidRPr="004B09C3">
        <w:rPr>
          <w:sz w:val="20"/>
        </w:rPr>
        <w:instrText xml:space="preserve"> PAGEREF _Toc43196616 \h </w:instrText>
      </w:r>
      <w:r w:rsidRPr="004B09C3">
        <w:rPr>
          <w:sz w:val="20"/>
        </w:rPr>
      </w:r>
      <w:r w:rsidRPr="004B09C3">
        <w:rPr>
          <w:sz w:val="20"/>
        </w:rPr>
        <w:fldChar w:fldCharType="separate"/>
      </w:r>
      <w:r w:rsidR="00F90EAA">
        <w:rPr>
          <w:sz w:val="20"/>
        </w:rPr>
        <w:t>25</w:t>
      </w:r>
      <w:r w:rsidRPr="004B09C3">
        <w:rPr>
          <w:sz w:val="20"/>
        </w:rPr>
        <w:fldChar w:fldCharType="end"/>
      </w:r>
    </w:p>
    <w:p w:rsidR="004B09C3" w:rsidRDefault="004B09C3">
      <w:pPr>
        <w:pStyle w:val="TOC3"/>
        <w:rPr>
          <w:rFonts w:asciiTheme="minorHAnsi" w:eastAsiaTheme="minorEastAsia" w:hAnsiTheme="minorHAnsi" w:cstheme="minorBidi"/>
          <w:sz w:val="22"/>
          <w:szCs w:val="22"/>
        </w:rPr>
      </w:pPr>
      <w:r>
        <w:t>Prescribed or approved forms</w:t>
      </w:r>
      <w:r w:rsidRPr="004B09C3">
        <w:rPr>
          <w:sz w:val="20"/>
        </w:rPr>
        <w:tab/>
      </w:r>
      <w:r w:rsidRPr="004B09C3">
        <w:rPr>
          <w:sz w:val="20"/>
        </w:rPr>
        <w:fldChar w:fldCharType="begin"/>
      </w:r>
      <w:r w:rsidRPr="004B09C3">
        <w:rPr>
          <w:sz w:val="20"/>
        </w:rPr>
        <w:instrText xml:space="preserve"> PAGEREF _Toc43196617 \h </w:instrText>
      </w:r>
      <w:r w:rsidRPr="004B09C3">
        <w:rPr>
          <w:sz w:val="20"/>
        </w:rPr>
      </w:r>
      <w:r w:rsidRPr="004B09C3">
        <w:rPr>
          <w:sz w:val="20"/>
        </w:rPr>
        <w:fldChar w:fldCharType="separate"/>
      </w:r>
      <w:r w:rsidR="00F90EAA">
        <w:rPr>
          <w:sz w:val="20"/>
        </w:rPr>
        <w:t>25</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Prescribed or approved forms are often unnecessary</w:t>
      </w:r>
      <w:r w:rsidRPr="004B09C3">
        <w:rPr>
          <w:sz w:val="20"/>
        </w:rPr>
        <w:tab/>
      </w:r>
      <w:r w:rsidRPr="004B09C3">
        <w:rPr>
          <w:sz w:val="20"/>
        </w:rPr>
        <w:fldChar w:fldCharType="begin"/>
      </w:r>
      <w:r w:rsidRPr="004B09C3">
        <w:rPr>
          <w:sz w:val="20"/>
        </w:rPr>
        <w:instrText xml:space="preserve"> PAGEREF _Toc43196618 \h </w:instrText>
      </w:r>
      <w:r w:rsidRPr="004B09C3">
        <w:rPr>
          <w:sz w:val="20"/>
        </w:rPr>
      </w:r>
      <w:r w:rsidRPr="004B09C3">
        <w:rPr>
          <w:sz w:val="20"/>
        </w:rPr>
        <w:fldChar w:fldCharType="separate"/>
      </w:r>
      <w:r w:rsidR="00F90EAA">
        <w:rPr>
          <w:sz w:val="20"/>
        </w:rPr>
        <w:t>25</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What sort of instrument to use for prescribing or approving forms</w:t>
      </w:r>
      <w:r w:rsidRPr="004B09C3">
        <w:rPr>
          <w:sz w:val="20"/>
        </w:rPr>
        <w:tab/>
      </w:r>
      <w:r w:rsidRPr="004B09C3">
        <w:rPr>
          <w:sz w:val="20"/>
        </w:rPr>
        <w:fldChar w:fldCharType="begin"/>
      </w:r>
      <w:r w:rsidRPr="004B09C3">
        <w:rPr>
          <w:sz w:val="20"/>
        </w:rPr>
        <w:instrText xml:space="preserve"> PAGEREF _Toc43196619 \h </w:instrText>
      </w:r>
      <w:r w:rsidRPr="004B09C3">
        <w:rPr>
          <w:sz w:val="20"/>
        </w:rPr>
      </w:r>
      <w:r w:rsidRPr="004B09C3">
        <w:rPr>
          <w:sz w:val="20"/>
        </w:rPr>
        <w:fldChar w:fldCharType="separate"/>
      </w:r>
      <w:r w:rsidR="00F90EAA">
        <w:rPr>
          <w:sz w:val="20"/>
        </w:rPr>
        <w:t>26</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Substantial compliance with forms</w:t>
      </w:r>
      <w:r w:rsidRPr="004B09C3">
        <w:rPr>
          <w:sz w:val="20"/>
        </w:rPr>
        <w:tab/>
      </w:r>
      <w:r w:rsidRPr="004B09C3">
        <w:rPr>
          <w:sz w:val="20"/>
        </w:rPr>
        <w:fldChar w:fldCharType="begin"/>
      </w:r>
      <w:r w:rsidRPr="004B09C3">
        <w:rPr>
          <w:sz w:val="20"/>
        </w:rPr>
        <w:instrText xml:space="preserve"> PAGEREF _Toc43196620 \h </w:instrText>
      </w:r>
      <w:r w:rsidRPr="004B09C3">
        <w:rPr>
          <w:sz w:val="20"/>
        </w:rPr>
      </w:r>
      <w:r w:rsidRPr="004B09C3">
        <w:rPr>
          <w:sz w:val="20"/>
        </w:rPr>
        <w:fldChar w:fldCharType="separate"/>
      </w:r>
      <w:r w:rsidR="00F90EAA">
        <w:rPr>
          <w:sz w:val="20"/>
        </w:rPr>
        <w:t>26</w:t>
      </w:r>
      <w:r w:rsidRPr="004B09C3">
        <w:rPr>
          <w:sz w:val="20"/>
        </w:rPr>
        <w:fldChar w:fldCharType="end"/>
      </w:r>
    </w:p>
    <w:p w:rsidR="004B09C3" w:rsidRDefault="004B09C3">
      <w:pPr>
        <w:pStyle w:val="TOC3"/>
        <w:rPr>
          <w:rFonts w:asciiTheme="minorHAnsi" w:eastAsiaTheme="minorEastAsia" w:hAnsiTheme="minorHAnsi" w:cstheme="minorBidi"/>
          <w:sz w:val="22"/>
          <w:szCs w:val="22"/>
        </w:rPr>
      </w:pPr>
      <w:r>
        <w:t>Explanation when relying on the necessary or convenient power</w:t>
      </w:r>
      <w:r w:rsidRPr="004B09C3">
        <w:rPr>
          <w:sz w:val="20"/>
        </w:rPr>
        <w:tab/>
      </w:r>
      <w:r w:rsidRPr="004B09C3">
        <w:rPr>
          <w:sz w:val="20"/>
        </w:rPr>
        <w:fldChar w:fldCharType="begin"/>
      </w:r>
      <w:r w:rsidRPr="004B09C3">
        <w:rPr>
          <w:sz w:val="20"/>
        </w:rPr>
        <w:instrText xml:space="preserve"> PAGEREF _Toc43196621 \h </w:instrText>
      </w:r>
      <w:r w:rsidRPr="004B09C3">
        <w:rPr>
          <w:sz w:val="20"/>
        </w:rPr>
      </w:r>
      <w:r w:rsidRPr="004B09C3">
        <w:rPr>
          <w:sz w:val="20"/>
        </w:rPr>
        <w:fldChar w:fldCharType="separate"/>
      </w:r>
      <w:r w:rsidR="00F90EAA">
        <w:rPr>
          <w:sz w:val="20"/>
        </w:rPr>
        <w:t>27</w:t>
      </w:r>
      <w:r w:rsidRPr="004B09C3">
        <w:rPr>
          <w:sz w:val="20"/>
        </w:rPr>
        <w:fldChar w:fldCharType="end"/>
      </w:r>
    </w:p>
    <w:p w:rsidR="004B09C3" w:rsidRDefault="004B09C3">
      <w:pPr>
        <w:pStyle w:val="TOC3"/>
        <w:rPr>
          <w:rFonts w:asciiTheme="minorHAnsi" w:eastAsiaTheme="minorEastAsia" w:hAnsiTheme="minorHAnsi" w:cstheme="minorBidi"/>
          <w:sz w:val="22"/>
          <w:szCs w:val="22"/>
        </w:rPr>
      </w:pPr>
      <w:r>
        <w:t>Incorporation of material by reference</w:t>
      </w:r>
      <w:r w:rsidRPr="004B09C3">
        <w:rPr>
          <w:sz w:val="20"/>
        </w:rPr>
        <w:tab/>
      </w:r>
      <w:r w:rsidRPr="004B09C3">
        <w:rPr>
          <w:sz w:val="20"/>
        </w:rPr>
        <w:fldChar w:fldCharType="begin"/>
      </w:r>
      <w:r w:rsidRPr="004B09C3">
        <w:rPr>
          <w:sz w:val="20"/>
        </w:rPr>
        <w:instrText xml:space="preserve"> PAGEREF _Toc43196622 \h </w:instrText>
      </w:r>
      <w:r w:rsidRPr="004B09C3">
        <w:rPr>
          <w:sz w:val="20"/>
        </w:rPr>
      </w:r>
      <w:r w:rsidRPr="004B09C3">
        <w:rPr>
          <w:sz w:val="20"/>
        </w:rPr>
        <w:fldChar w:fldCharType="separate"/>
      </w:r>
      <w:r w:rsidR="00F90EAA">
        <w:rPr>
          <w:sz w:val="20"/>
        </w:rPr>
        <w:t>27</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Incorporating provisions of an allowed varying source as in force from time to time</w:t>
      </w:r>
      <w:r w:rsidRPr="004B09C3">
        <w:rPr>
          <w:sz w:val="20"/>
        </w:rPr>
        <w:tab/>
      </w:r>
      <w:r w:rsidRPr="004B09C3">
        <w:rPr>
          <w:sz w:val="20"/>
        </w:rPr>
        <w:fldChar w:fldCharType="begin"/>
      </w:r>
      <w:r w:rsidRPr="004B09C3">
        <w:rPr>
          <w:sz w:val="20"/>
        </w:rPr>
        <w:instrText xml:space="preserve"> PAGEREF _Toc43196623 \h </w:instrText>
      </w:r>
      <w:r w:rsidRPr="004B09C3">
        <w:rPr>
          <w:sz w:val="20"/>
        </w:rPr>
      </w:r>
      <w:r w:rsidRPr="004B09C3">
        <w:rPr>
          <w:sz w:val="20"/>
        </w:rPr>
        <w:fldChar w:fldCharType="separate"/>
      </w:r>
      <w:r w:rsidR="00F90EAA">
        <w:rPr>
          <w:sz w:val="20"/>
        </w:rPr>
        <w:t>28</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Incorporating provisions of an allowed varying source as in force at a particular time</w:t>
      </w:r>
      <w:r w:rsidRPr="004B09C3">
        <w:rPr>
          <w:sz w:val="20"/>
        </w:rPr>
        <w:tab/>
      </w:r>
      <w:r w:rsidRPr="004B09C3">
        <w:rPr>
          <w:sz w:val="20"/>
        </w:rPr>
        <w:fldChar w:fldCharType="begin"/>
      </w:r>
      <w:r w:rsidRPr="004B09C3">
        <w:rPr>
          <w:sz w:val="20"/>
        </w:rPr>
        <w:instrText xml:space="preserve"> PAGEREF _Toc43196624 \h </w:instrText>
      </w:r>
      <w:r w:rsidRPr="004B09C3">
        <w:rPr>
          <w:sz w:val="20"/>
        </w:rPr>
      </w:r>
      <w:r w:rsidRPr="004B09C3">
        <w:rPr>
          <w:sz w:val="20"/>
        </w:rPr>
        <w:fldChar w:fldCharType="separate"/>
      </w:r>
      <w:r w:rsidR="00F90EAA">
        <w:rPr>
          <w:sz w:val="20"/>
        </w:rPr>
        <w:t>28</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Incorporating matter from a fixed source—general</w:t>
      </w:r>
      <w:r w:rsidRPr="004B09C3">
        <w:rPr>
          <w:sz w:val="20"/>
        </w:rPr>
        <w:tab/>
      </w:r>
      <w:r w:rsidRPr="004B09C3">
        <w:rPr>
          <w:sz w:val="20"/>
        </w:rPr>
        <w:fldChar w:fldCharType="begin"/>
      </w:r>
      <w:r w:rsidRPr="004B09C3">
        <w:rPr>
          <w:sz w:val="20"/>
        </w:rPr>
        <w:instrText xml:space="preserve"> PAGEREF _Toc43196625 \h </w:instrText>
      </w:r>
      <w:r w:rsidRPr="004B09C3">
        <w:rPr>
          <w:sz w:val="20"/>
        </w:rPr>
      </w:r>
      <w:r w:rsidRPr="004B09C3">
        <w:rPr>
          <w:sz w:val="20"/>
        </w:rPr>
        <w:fldChar w:fldCharType="separate"/>
      </w:r>
      <w:r w:rsidR="00F90EAA">
        <w:rPr>
          <w:sz w:val="20"/>
        </w:rPr>
        <w:t>28</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Incorporating matter from fixed sources—State and Territory laws</w:t>
      </w:r>
      <w:r w:rsidRPr="004B09C3">
        <w:rPr>
          <w:sz w:val="20"/>
        </w:rPr>
        <w:tab/>
      </w:r>
      <w:r w:rsidRPr="004B09C3">
        <w:rPr>
          <w:sz w:val="20"/>
        </w:rPr>
        <w:fldChar w:fldCharType="begin"/>
      </w:r>
      <w:r w:rsidRPr="004B09C3">
        <w:rPr>
          <w:sz w:val="20"/>
        </w:rPr>
        <w:instrText xml:space="preserve"> PAGEREF _Toc43196626 \h </w:instrText>
      </w:r>
      <w:r w:rsidRPr="004B09C3">
        <w:rPr>
          <w:sz w:val="20"/>
        </w:rPr>
      </w:r>
      <w:r w:rsidRPr="004B09C3">
        <w:rPr>
          <w:sz w:val="20"/>
        </w:rPr>
        <w:fldChar w:fldCharType="separate"/>
      </w:r>
      <w:r w:rsidR="00F90EAA">
        <w:rPr>
          <w:sz w:val="20"/>
        </w:rPr>
        <w:t>28</w:t>
      </w:r>
      <w:r w:rsidRPr="004B09C3">
        <w:rPr>
          <w:sz w:val="20"/>
        </w:rPr>
        <w:fldChar w:fldCharType="end"/>
      </w:r>
    </w:p>
    <w:p w:rsidR="004B09C3" w:rsidRDefault="004B09C3">
      <w:pPr>
        <w:pStyle w:val="TOC4"/>
        <w:rPr>
          <w:rFonts w:asciiTheme="minorHAnsi" w:eastAsiaTheme="minorEastAsia" w:hAnsiTheme="minorHAnsi" w:cstheme="minorBidi"/>
          <w:sz w:val="22"/>
          <w:szCs w:val="22"/>
        </w:rPr>
      </w:pPr>
      <w:r>
        <w:t>Incorporating matter from fixed sources—forms</w:t>
      </w:r>
      <w:r w:rsidRPr="004B09C3">
        <w:rPr>
          <w:sz w:val="20"/>
        </w:rPr>
        <w:tab/>
      </w:r>
      <w:r w:rsidRPr="004B09C3">
        <w:rPr>
          <w:sz w:val="20"/>
        </w:rPr>
        <w:fldChar w:fldCharType="begin"/>
      </w:r>
      <w:r w:rsidRPr="004B09C3">
        <w:rPr>
          <w:sz w:val="20"/>
        </w:rPr>
        <w:instrText xml:space="preserve"> PAGEREF _Toc43196627 \h </w:instrText>
      </w:r>
      <w:r w:rsidRPr="004B09C3">
        <w:rPr>
          <w:sz w:val="20"/>
        </w:rPr>
      </w:r>
      <w:r w:rsidRPr="004B09C3">
        <w:rPr>
          <w:sz w:val="20"/>
        </w:rPr>
        <w:fldChar w:fldCharType="separate"/>
      </w:r>
      <w:r w:rsidR="00F90EAA">
        <w:rPr>
          <w:sz w:val="20"/>
        </w:rPr>
        <w:t>29</w:t>
      </w:r>
      <w:r w:rsidRPr="004B09C3">
        <w:rPr>
          <w:sz w:val="20"/>
        </w:rPr>
        <w:fldChar w:fldCharType="end"/>
      </w:r>
    </w:p>
    <w:p w:rsidR="004B09C3" w:rsidRPr="004B09C3" w:rsidRDefault="004B09C3">
      <w:pPr>
        <w:pStyle w:val="TOC3"/>
        <w:rPr>
          <w:rFonts w:eastAsiaTheme="minorEastAsia"/>
          <w:sz w:val="20"/>
          <w:szCs w:val="22"/>
        </w:rPr>
      </w:pPr>
      <w:r>
        <w:t>Notifying Publications Group if an instrument ceases to be in force</w:t>
      </w:r>
      <w:r w:rsidRPr="004B09C3">
        <w:rPr>
          <w:sz w:val="20"/>
        </w:rPr>
        <w:tab/>
      </w:r>
      <w:r w:rsidRPr="004B09C3">
        <w:rPr>
          <w:sz w:val="20"/>
        </w:rPr>
        <w:fldChar w:fldCharType="begin"/>
      </w:r>
      <w:r w:rsidRPr="004B09C3">
        <w:rPr>
          <w:sz w:val="20"/>
        </w:rPr>
        <w:instrText xml:space="preserve"> PAGEREF _Toc43196628 \h </w:instrText>
      </w:r>
      <w:r w:rsidRPr="004B09C3">
        <w:rPr>
          <w:sz w:val="20"/>
        </w:rPr>
      </w:r>
      <w:r w:rsidRPr="004B09C3">
        <w:rPr>
          <w:sz w:val="20"/>
        </w:rPr>
        <w:fldChar w:fldCharType="separate"/>
      </w:r>
      <w:r w:rsidR="00F90EAA">
        <w:rPr>
          <w:sz w:val="20"/>
        </w:rPr>
        <w:t>29</w:t>
      </w:r>
      <w:r w:rsidRPr="004B09C3">
        <w:rPr>
          <w:sz w:val="20"/>
        </w:rPr>
        <w:fldChar w:fldCharType="end"/>
      </w:r>
    </w:p>
    <w:p w:rsidR="00DD0C5E" w:rsidRPr="009849F1" w:rsidRDefault="00026DEE" w:rsidP="004B09C3">
      <w:r w:rsidRPr="004B09C3">
        <w:rPr>
          <w:rFonts w:cs="Times New Roman"/>
          <w:sz w:val="20"/>
        </w:rPr>
        <w:fldChar w:fldCharType="end"/>
      </w:r>
    </w:p>
    <w:p w:rsidR="0043701C" w:rsidRPr="009849F1" w:rsidRDefault="0043701C" w:rsidP="00241852">
      <w:pPr>
        <w:pStyle w:val="Head2"/>
        <w:pageBreakBefore/>
        <w:rPr>
          <w:sz w:val="32"/>
        </w:rPr>
      </w:pPr>
      <w:bookmarkStart w:id="1" w:name="_Toc43196557"/>
      <w:r w:rsidRPr="009849F1">
        <w:lastRenderedPageBreak/>
        <w:t>Part 1—Introduction</w:t>
      </w:r>
      <w:bookmarkEnd w:id="1"/>
    </w:p>
    <w:p w:rsidR="0043701C" w:rsidRDefault="0043701C" w:rsidP="0043701C">
      <w:pPr>
        <w:pStyle w:val="BodyNum"/>
      </w:pPr>
      <w:r w:rsidRPr="009849F1">
        <w:t>This Drafting Direction notes some considerations, and sets out some standard forms, for drafting provisions of legislation dealing with subordinate legislation.</w:t>
      </w:r>
    </w:p>
    <w:p w:rsidR="00767A75" w:rsidRDefault="00767A75" w:rsidP="0043701C">
      <w:pPr>
        <w:pStyle w:val="BodyNum"/>
      </w:pPr>
      <w:r>
        <w:t>In this Drafting Direction:</w:t>
      </w:r>
    </w:p>
    <w:p w:rsidR="00767A75" w:rsidRPr="00767A75" w:rsidRDefault="00767A75" w:rsidP="00767A75">
      <w:pPr>
        <w:pStyle w:val="Definition"/>
      </w:pPr>
      <w:r w:rsidRPr="00767A75">
        <w:rPr>
          <w:b/>
          <w:i/>
        </w:rPr>
        <w:t>AGD</w:t>
      </w:r>
      <w:r w:rsidRPr="00767A75">
        <w:t xml:space="preserve"> is short for the Attorney-General’</w:t>
      </w:r>
      <w:r>
        <w:t>s Department.</w:t>
      </w:r>
    </w:p>
    <w:p w:rsidR="00767A75" w:rsidRDefault="00767A75" w:rsidP="00767A75">
      <w:pPr>
        <w:pStyle w:val="Definition"/>
      </w:pPr>
      <w:r w:rsidRPr="00767A75">
        <w:rPr>
          <w:b/>
          <w:i/>
        </w:rPr>
        <w:t>LA</w:t>
      </w:r>
      <w:r>
        <w:t xml:space="preserve"> is short fo</w:t>
      </w:r>
      <w:r w:rsidRPr="00767A75">
        <w:t xml:space="preserve">r the </w:t>
      </w:r>
      <w:r w:rsidRPr="00767A75">
        <w:rPr>
          <w:i/>
        </w:rPr>
        <w:t>Legislation Act 2003</w:t>
      </w:r>
      <w:r>
        <w:t>.</w:t>
      </w:r>
    </w:p>
    <w:p w:rsidR="002D6E36" w:rsidRPr="00767A75" w:rsidRDefault="002D6E36" w:rsidP="00767A75">
      <w:pPr>
        <w:pStyle w:val="Definition"/>
      </w:pPr>
      <w:r w:rsidRPr="002D6E36">
        <w:rPr>
          <w:b/>
          <w:i/>
        </w:rPr>
        <w:t>LR</w:t>
      </w:r>
      <w:r>
        <w:t xml:space="preserve"> is short for the </w:t>
      </w:r>
      <w:r w:rsidRPr="009849F1">
        <w:rPr>
          <w:i/>
        </w:rPr>
        <w:t>Legislation (Exemptions and Other Matters) Regulation 2015</w:t>
      </w:r>
      <w:r w:rsidRPr="009849F1">
        <w:t>.</w:t>
      </w:r>
    </w:p>
    <w:p w:rsidR="0043701C" w:rsidRPr="009849F1" w:rsidRDefault="0043701C" w:rsidP="009849F1">
      <w:pPr>
        <w:pStyle w:val="Head2"/>
      </w:pPr>
      <w:bookmarkStart w:id="2" w:name="_Toc43196558"/>
      <w:r w:rsidRPr="009849F1">
        <w:t>Part 2—Power to make subordinate legislation</w:t>
      </w:r>
      <w:bookmarkEnd w:id="2"/>
    </w:p>
    <w:p w:rsidR="000C4F87" w:rsidRDefault="000C4F87" w:rsidP="009849F1">
      <w:pPr>
        <w:pStyle w:val="Head3"/>
      </w:pPr>
      <w:bookmarkStart w:id="3" w:name="_Toc43196559"/>
      <w:r>
        <w:t xml:space="preserve">Choosing </w:t>
      </w:r>
      <w:r w:rsidR="001D7184">
        <w:t xml:space="preserve">between regulations and other </w:t>
      </w:r>
      <w:r>
        <w:t>forms of subordinate legislation</w:t>
      </w:r>
      <w:bookmarkEnd w:id="3"/>
    </w:p>
    <w:p w:rsidR="00AB4DAD" w:rsidRPr="00AB4DAD" w:rsidRDefault="00AB4DAD" w:rsidP="00AB4DAD">
      <w:pPr>
        <w:pStyle w:val="Head4"/>
      </w:pPr>
      <w:bookmarkStart w:id="4" w:name="_Toc43196560"/>
      <w:r>
        <w:t>Starting point</w:t>
      </w:r>
      <w:bookmarkEnd w:id="4"/>
    </w:p>
    <w:p w:rsidR="00AE2D4B" w:rsidRDefault="0005666E" w:rsidP="006A7CDD">
      <w:pPr>
        <w:pStyle w:val="BodyNum"/>
      </w:pPr>
      <w:r>
        <w:t xml:space="preserve">If legislation is to provide for the making of </w:t>
      </w:r>
      <w:r w:rsidR="00D85AFE">
        <w:t xml:space="preserve">legislative </w:t>
      </w:r>
      <w:r>
        <w:t>instruments</w:t>
      </w:r>
      <w:r w:rsidR="00870AE2">
        <w:t>,</w:t>
      </w:r>
      <w:r w:rsidR="00366F4E">
        <w:t xml:space="preserve"> </w:t>
      </w:r>
      <w:r w:rsidR="00680FA7" w:rsidRPr="009849F1">
        <w:t>OPC’s starting point is that</w:t>
      </w:r>
      <w:r w:rsidR="00680FA7">
        <w:t xml:space="preserve"> the </w:t>
      </w:r>
      <w:r w:rsidR="00972159">
        <w:t>i</w:t>
      </w:r>
      <w:r w:rsidR="00680FA7">
        <w:t xml:space="preserve">nstruments should </w:t>
      </w:r>
      <w:r w:rsidR="00972159">
        <w:t>not be</w:t>
      </w:r>
      <w:r w:rsidR="00680FA7">
        <w:t xml:space="preserve"> regulations unless there is a good reason</w:t>
      </w:r>
      <w:r w:rsidR="00366F4E">
        <w:t xml:space="preserve"> for regulations to be used.</w:t>
      </w:r>
      <w:r w:rsidR="006A7CDD">
        <w:t xml:space="preserve"> T</w:t>
      </w:r>
      <w:r w:rsidR="009456C7">
        <w:t xml:space="preserve">he </w:t>
      </w:r>
      <w:r>
        <w:t>d</w:t>
      </w:r>
      <w:r w:rsidRPr="009849F1">
        <w:t xml:space="preserve">rafter should </w:t>
      </w:r>
      <w:r w:rsidR="00D53A43">
        <w:t xml:space="preserve">consider </w:t>
      </w:r>
      <w:r w:rsidR="00710FAA">
        <w:t xml:space="preserve">reminding </w:t>
      </w:r>
      <w:r w:rsidR="009456C7">
        <w:t xml:space="preserve">the </w:t>
      </w:r>
      <w:r w:rsidRPr="009849F1">
        <w:t xml:space="preserve">instructors </w:t>
      </w:r>
      <w:r w:rsidR="00870AE2">
        <w:t xml:space="preserve">of the enabling legislation </w:t>
      </w:r>
      <w:r w:rsidRPr="009849F1">
        <w:t xml:space="preserve">that it is the responsibility of the instructing </w:t>
      </w:r>
      <w:r w:rsidR="00C751FD">
        <w:t xml:space="preserve">or administering </w:t>
      </w:r>
      <w:r w:rsidRPr="009849F1">
        <w:t xml:space="preserve">agency to arrange for the drafting of </w:t>
      </w:r>
      <w:r w:rsidR="009456C7">
        <w:t xml:space="preserve">the </w:t>
      </w:r>
      <w:r w:rsidRPr="009849F1">
        <w:t>instruments</w:t>
      </w:r>
      <w:r w:rsidR="00AE2D4B">
        <w:t xml:space="preserve"> by:</w:t>
      </w:r>
    </w:p>
    <w:p w:rsidR="00AE2D4B" w:rsidRDefault="00AE2D4B" w:rsidP="00AE2D4B">
      <w:pPr>
        <w:pStyle w:val="BodyPara"/>
      </w:pPr>
      <w:r>
        <w:t xml:space="preserve">in the case of </w:t>
      </w:r>
      <w:r w:rsidR="006B64F0">
        <w:t>regulations</w:t>
      </w:r>
      <w:r>
        <w:t>—</w:t>
      </w:r>
      <w:r w:rsidR="00710FAA">
        <w:t>instructing OPC</w:t>
      </w:r>
      <w:r w:rsidR="006B64F0">
        <w:t xml:space="preserve"> to draft the instruments</w:t>
      </w:r>
      <w:r>
        <w:t>; or</w:t>
      </w:r>
    </w:p>
    <w:p w:rsidR="00680FA7" w:rsidRDefault="00AE2D4B" w:rsidP="00AE2D4B">
      <w:pPr>
        <w:pStyle w:val="BodyPara"/>
      </w:pPr>
      <w:r>
        <w:t>in the case of instruments other than regulations—</w:t>
      </w:r>
      <w:r w:rsidR="00D53A43">
        <w:t xml:space="preserve">instructing </w:t>
      </w:r>
      <w:r w:rsidR="006B64F0">
        <w:t xml:space="preserve">OPC or </w:t>
      </w:r>
      <w:r w:rsidR="00D53A43">
        <w:t>another provider of legislative drafting services</w:t>
      </w:r>
      <w:r w:rsidR="006B64F0">
        <w:t xml:space="preserve"> to draft the instruments</w:t>
      </w:r>
      <w:r w:rsidR="00D53A43">
        <w:t xml:space="preserve"> or having the instruments drafted within the instructing or administering agency</w:t>
      </w:r>
      <w:r w:rsidR="00680FA7">
        <w:t>.</w:t>
      </w:r>
    </w:p>
    <w:p w:rsidR="00761A9C" w:rsidRPr="00761A9C" w:rsidRDefault="00761A9C" w:rsidP="00761A9C">
      <w:pPr>
        <w:pStyle w:val="Head4"/>
      </w:pPr>
      <w:bookmarkStart w:id="5" w:name="_Toc43196561"/>
      <w:r>
        <w:t>Material that should generally not be dealt with by subordinate legislation other than regulations</w:t>
      </w:r>
      <w:bookmarkEnd w:id="5"/>
    </w:p>
    <w:p w:rsidR="0043701C" w:rsidRPr="009849F1" w:rsidRDefault="0043701C" w:rsidP="0043701C">
      <w:pPr>
        <w:pStyle w:val="BodyNum"/>
      </w:pPr>
      <w:bookmarkStart w:id="6" w:name="_Ref391964606"/>
      <w:r w:rsidRPr="009849F1">
        <w:t>However, material covering the following should be included in regulations unless there is a strong justification for prescribing those provisions in another type of legislative instrument:</w:t>
      </w:r>
      <w:bookmarkEnd w:id="6"/>
    </w:p>
    <w:p w:rsidR="0043701C" w:rsidRPr="009849F1" w:rsidRDefault="0043701C" w:rsidP="0043701C">
      <w:pPr>
        <w:pStyle w:val="BodyPara"/>
      </w:pPr>
      <w:r w:rsidRPr="009849F1">
        <w:t>offence provisions;</w:t>
      </w:r>
    </w:p>
    <w:p w:rsidR="0043701C" w:rsidRPr="009849F1" w:rsidRDefault="0043701C" w:rsidP="0043701C">
      <w:pPr>
        <w:pStyle w:val="BodyPara"/>
      </w:pPr>
      <w:r w:rsidRPr="009849F1">
        <w:t>powers of arrest or detention;</w:t>
      </w:r>
    </w:p>
    <w:p w:rsidR="0043701C" w:rsidRPr="009849F1" w:rsidRDefault="0043701C" w:rsidP="0043701C">
      <w:pPr>
        <w:pStyle w:val="BodyPara"/>
      </w:pPr>
      <w:r w:rsidRPr="009849F1">
        <w:t>entry provisions;</w:t>
      </w:r>
    </w:p>
    <w:p w:rsidR="0043701C" w:rsidRPr="009849F1" w:rsidRDefault="0043701C" w:rsidP="0043701C">
      <w:pPr>
        <w:pStyle w:val="BodyPara"/>
      </w:pPr>
      <w:r w:rsidRPr="009849F1">
        <w:t>search provisions;</w:t>
      </w:r>
    </w:p>
    <w:p w:rsidR="0043701C" w:rsidRPr="009849F1" w:rsidRDefault="0043701C" w:rsidP="0043701C">
      <w:pPr>
        <w:pStyle w:val="BodyPara"/>
      </w:pPr>
      <w:r w:rsidRPr="009849F1">
        <w:t>seizure provisions;</w:t>
      </w:r>
    </w:p>
    <w:p w:rsidR="0043701C" w:rsidRPr="009849F1" w:rsidRDefault="0043701C" w:rsidP="0043701C">
      <w:pPr>
        <w:pStyle w:val="BodyPara"/>
      </w:pPr>
      <w:r w:rsidRPr="009849F1">
        <w:t>civil penalties;</w:t>
      </w:r>
    </w:p>
    <w:p w:rsidR="0043701C" w:rsidRPr="009849F1" w:rsidRDefault="0043701C" w:rsidP="0043701C">
      <w:pPr>
        <w:pStyle w:val="BodyPara"/>
      </w:pPr>
      <w:r w:rsidRPr="009849F1">
        <w:t>impositions of taxes;</w:t>
      </w:r>
    </w:p>
    <w:p w:rsidR="0043701C" w:rsidRPr="009849F1" w:rsidRDefault="0043701C" w:rsidP="0043701C">
      <w:pPr>
        <w:pStyle w:val="BodyPara"/>
      </w:pPr>
      <w:r w:rsidRPr="009849F1">
        <w:lastRenderedPageBreak/>
        <w:t>setting the amount to be appropriated where the Act provides the appropriation and authority to set the amount;</w:t>
      </w:r>
    </w:p>
    <w:p w:rsidR="0043701C" w:rsidRPr="009849F1" w:rsidRDefault="0043701C" w:rsidP="0043701C">
      <w:pPr>
        <w:pStyle w:val="BodyPara"/>
      </w:pPr>
      <w:r w:rsidRPr="009849F1">
        <w:t>amendments of the text of an Act.</w:t>
      </w:r>
    </w:p>
    <w:p w:rsidR="0043701C" w:rsidRDefault="0043701C" w:rsidP="0043701C">
      <w:pPr>
        <w:pStyle w:val="BodyNum"/>
      </w:pPr>
      <w:r w:rsidRPr="009849F1">
        <w:t xml:space="preserve">Provisions of this kind are dealt with further in paragraphs </w:t>
      </w:r>
      <w:r w:rsidR="00223A1F">
        <w:t>26</w:t>
      </w:r>
      <w:r w:rsidRPr="009849F1">
        <w:t xml:space="preserve"> to </w:t>
      </w:r>
      <w:r w:rsidR="00223A1F">
        <w:t>32</w:t>
      </w:r>
      <w:r w:rsidRPr="009849F1">
        <w:t>.</w:t>
      </w:r>
    </w:p>
    <w:p w:rsidR="0043701C" w:rsidRPr="009849F1" w:rsidRDefault="0043701C" w:rsidP="0043701C">
      <w:pPr>
        <w:pStyle w:val="BodyNum"/>
      </w:pPr>
      <w:r w:rsidRPr="009849F1">
        <w:t xml:space="preserve">If the operation of an Act is to be modified (as distinct from actually amended), by subordinate instrument, this may be done by regulations or any other type of legislative instrument (although </w:t>
      </w:r>
      <w:r w:rsidR="00996600">
        <w:t xml:space="preserve">a power to </w:t>
      </w:r>
      <w:r w:rsidRPr="009849F1">
        <w:t>modify the operation of an Act by subordinate instrument should be used sparingly). However, any textual changes of general application should be done by amendments of the text of an Act and not by modification. Consequently, these should be done by regulation.</w:t>
      </w:r>
    </w:p>
    <w:p w:rsidR="0043701C" w:rsidRDefault="0043701C" w:rsidP="0043701C">
      <w:pPr>
        <w:pStyle w:val="BodyNum"/>
      </w:pPr>
      <w:r w:rsidRPr="009849F1">
        <w:t>It will also be appropriate to use regulations where a scheme that already makes provisions for regulations is being amended and the amendments (to the extent to which they relate to instruments) are relatively minor.</w:t>
      </w:r>
    </w:p>
    <w:p w:rsidR="00761A9C" w:rsidRPr="00761A9C" w:rsidRDefault="00761A9C" w:rsidP="00761A9C">
      <w:pPr>
        <w:pStyle w:val="Head4"/>
      </w:pPr>
      <w:bookmarkStart w:id="7" w:name="_Toc43196562"/>
      <w:r>
        <w:t>Content of offences</w:t>
      </w:r>
      <w:bookmarkEnd w:id="7"/>
    </w:p>
    <w:p w:rsidR="00761A9C" w:rsidRDefault="007657A4" w:rsidP="00761A9C">
      <w:pPr>
        <w:pStyle w:val="BodyNum"/>
      </w:pPr>
      <w:r>
        <w:t>AGD’s</w:t>
      </w:r>
      <w:r w:rsidR="00565FF8">
        <w:t xml:space="preserve"> </w:t>
      </w:r>
      <w:r w:rsidR="00761A9C" w:rsidRPr="004205B8">
        <w:rPr>
          <w:i/>
        </w:rPr>
        <w:t>Guide to Framing Commonwealth Offences, Infringement Notices and Enforcement Powers</w:t>
      </w:r>
      <w:r w:rsidR="00761A9C" w:rsidRPr="004205B8">
        <w:t xml:space="preserve"> (the </w:t>
      </w:r>
      <w:r w:rsidR="00761A9C" w:rsidRPr="004205B8">
        <w:rPr>
          <w:b/>
          <w:i/>
        </w:rPr>
        <w:t>Criminal Law Guide</w:t>
      </w:r>
      <w:r w:rsidR="00761A9C" w:rsidRPr="004205B8">
        <w:t>)</w:t>
      </w:r>
      <w:r w:rsidR="00761A9C">
        <w:t xml:space="preserve"> states that “</w:t>
      </w:r>
      <w:r w:rsidR="00761A9C" w:rsidRPr="004205B8">
        <w:t>The content of an offence set out in an Act or regulation should be clear from the offence provision itself, although the offence may rely on the Act or regulation, or another instrument, to define terms used or give context to the offence. The content of the offence should not be provided in another instrument unless there is a demonstrated need to do so. Where it is necessary for offence content to be delegated, it is preferable for that content to be placed in Regulations</w:t>
      </w:r>
      <w:r w:rsidR="00761A9C">
        <w:t xml:space="preserve">”. For further information about applying the </w:t>
      </w:r>
      <w:r w:rsidR="00761A9C" w:rsidRPr="004205B8">
        <w:t>Criminal Law Guide</w:t>
      </w:r>
      <w:r w:rsidR="00761A9C">
        <w:t>, see Drafting Direction No. 3.5.</w:t>
      </w:r>
    </w:p>
    <w:p w:rsidR="00761A9C" w:rsidRPr="00761A9C" w:rsidRDefault="00761A9C" w:rsidP="00761A9C">
      <w:pPr>
        <w:pStyle w:val="Head4"/>
      </w:pPr>
      <w:bookmarkStart w:id="8" w:name="_Toc43196563"/>
      <w:r>
        <w:t>Discuss sensitive provisions with head drafter</w:t>
      </w:r>
      <w:bookmarkEnd w:id="8"/>
    </w:p>
    <w:p w:rsidR="004205B8" w:rsidRDefault="004205B8" w:rsidP="004205B8">
      <w:pPr>
        <w:pStyle w:val="BodyNum"/>
      </w:pPr>
      <w:r w:rsidRPr="009849F1">
        <w:t xml:space="preserve">Drafters should see </w:t>
      </w:r>
      <w:r>
        <w:t>the head drafter</w:t>
      </w:r>
      <w:r w:rsidRPr="009849F1">
        <w:t xml:space="preserve"> to discuss whether sensitive provisions should be dealt with by regulation or by another type of legislative instrument.</w:t>
      </w:r>
    </w:p>
    <w:p w:rsidR="0043701C" w:rsidRPr="009849F1" w:rsidRDefault="0043701C" w:rsidP="0043701C">
      <w:pPr>
        <w:pStyle w:val="BodyNum"/>
      </w:pPr>
      <w:r w:rsidRPr="009849F1">
        <w:t xml:space="preserve">Before agreeing to the use of regulations, drafters should see </w:t>
      </w:r>
      <w:r w:rsidR="0059155C">
        <w:t>the head drafter</w:t>
      </w:r>
      <w:r w:rsidRPr="009849F1">
        <w:t xml:space="preserve"> if:</w:t>
      </w:r>
    </w:p>
    <w:p w:rsidR="0043701C" w:rsidRPr="009849F1" w:rsidRDefault="0043701C" w:rsidP="0043701C">
      <w:pPr>
        <w:pStyle w:val="BodyPara"/>
      </w:pPr>
      <w:r w:rsidRPr="009849F1">
        <w:t>they are unsure of the approach to adopt; or</w:t>
      </w:r>
    </w:p>
    <w:p w:rsidR="0043701C" w:rsidRPr="009849F1" w:rsidRDefault="0043701C" w:rsidP="0043701C">
      <w:pPr>
        <w:pStyle w:val="BodyPara"/>
      </w:pPr>
      <w:r w:rsidRPr="009849F1">
        <w:t>it is proposed that substantial regulations would be required.</w:t>
      </w:r>
    </w:p>
    <w:p w:rsidR="0043701C" w:rsidRPr="009849F1" w:rsidRDefault="0043701C" w:rsidP="009849F1">
      <w:pPr>
        <w:pStyle w:val="Head3"/>
      </w:pPr>
      <w:bookmarkStart w:id="9" w:name="_Toc43196564"/>
      <w:r w:rsidRPr="009849F1">
        <w:t>General instrument</w:t>
      </w:r>
      <w:r w:rsidR="00FD1CAC">
        <w:t>-</w:t>
      </w:r>
      <w:r w:rsidRPr="009849F1">
        <w:t>making powers</w:t>
      </w:r>
      <w:bookmarkEnd w:id="9"/>
    </w:p>
    <w:p w:rsidR="0043701C" w:rsidRPr="009849F1" w:rsidRDefault="0043701C" w:rsidP="0043701C">
      <w:pPr>
        <w:pStyle w:val="BodyNum"/>
      </w:pPr>
      <w:r w:rsidRPr="009849F1">
        <w:t>It has long been the practice to include general regulation</w:t>
      </w:r>
      <w:r w:rsidR="00FD1CAC">
        <w:t>-</w:t>
      </w:r>
      <w:r w:rsidRPr="009849F1">
        <w:t>making powers in Acts.</w:t>
      </w:r>
    </w:p>
    <w:p w:rsidR="0043701C" w:rsidRPr="009849F1" w:rsidRDefault="0043701C" w:rsidP="0043701C">
      <w:pPr>
        <w:pStyle w:val="BodyNum"/>
      </w:pPr>
      <w:r w:rsidRPr="009849F1">
        <w:t xml:space="preserve">More recently, an approach has been taken to adapt that practice for other legislative instruments. (For examples of this approach, see the “rules” in the </w:t>
      </w:r>
      <w:r w:rsidRPr="009849F1">
        <w:rPr>
          <w:i/>
        </w:rPr>
        <w:t>Public Governance, Performance and Accountability Act 2013</w:t>
      </w:r>
      <w:r w:rsidRPr="009849F1">
        <w:t xml:space="preserve"> and the “PPL rules” in the </w:t>
      </w:r>
      <w:r w:rsidRPr="009849F1">
        <w:rPr>
          <w:i/>
        </w:rPr>
        <w:t>Paid Parental Leave Act 2010</w:t>
      </w:r>
      <w:r w:rsidRPr="009849F1">
        <w:t>.)</w:t>
      </w:r>
    </w:p>
    <w:p w:rsidR="0043701C" w:rsidRPr="009849F1" w:rsidRDefault="0043701C" w:rsidP="0043701C">
      <w:pPr>
        <w:pStyle w:val="BodyNum"/>
      </w:pPr>
      <w:r w:rsidRPr="009849F1">
        <w:t>As with the current practice for regulations (which involves including a general regulation</w:t>
      </w:r>
      <w:r w:rsidR="00FD1CAC">
        <w:t>-</w:t>
      </w:r>
      <w:r w:rsidRPr="009849F1">
        <w:t>making power in the Act), this approach involves including a general legislative instrument</w:t>
      </w:r>
      <w:r w:rsidR="00FD1CAC">
        <w:t>-</w:t>
      </w:r>
      <w:r w:rsidRPr="009849F1">
        <w:t>making power in the Act. However, instead of authorising the Governor</w:t>
      </w:r>
      <w:r w:rsidR="00FD1CAC">
        <w:t>-</w:t>
      </w:r>
      <w:r w:rsidRPr="009849F1">
        <w:t xml:space="preserve">General </w:t>
      </w:r>
      <w:r w:rsidRPr="009849F1">
        <w:lastRenderedPageBreak/>
        <w:t xml:space="preserve">to make regulations when “required or permitted” or “necessary or convenient”, it authorises another person (e.g. a Minister) to make another type of legislative instrument (e.g. rules) in those circumstances. For example, see subsection 101(1) of </w:t>
      </w:r>
      <w:r w:rsidRPr="009849F1">
        <w:rPr>
          <w:i/>
        </w:rPr>
        <w:t>Public Governance, Performance and Accountability Act 2013</w:t>
      </w:r>
      <w:r w:rsidRPr="009849F1">
        <w:t>:</w:t>
      </w:r>
    </w:p>
    <w:p w:rsidR="0043701C" w:rsidRPr="009849F1" w:rsidRDefault="0043701C" w:rsidP="0043701C">
      <w:pPr>
        <w:pStyle w:val="subsection"/>
      </w:pPr>
      <w:r w:rsidRPr="009849F1">
        <w:tab/>
        <w:t>(1)</w:t>
      </w:r>
      <w:r w:rsidRPr="009849F1">
        <w:tab/>
        <w:t>The Finance Minister may, by legislative instrument, make rules prescribing matters:</w:t>
      </w:r>
    </w:p>
    <w:p w:rsidR="0043701C" w:rsidRPr="009849F1" w:rsidRDefault="0043701C" w:rsidP="0043701C">
      <w:pPr>
        <w:pStyle w:val="paragraph"/>
      </w:pPr>
      <w:r w:rsidRPr="009849F1">
        <w:tab/>
        <w:t>(a)</w:t>
      </w:r>
      <w:r w:rsidRPr="009849F1">
        <w:tab/>
        <w:t>required or permitted by this Act to be prescribed by the rules; or</w:t>
      </w:r>
    </w:p>
    <w:p w:rsidR="0043701C" w:rsidRPr="009849F1" w:rsidRDefault="0043701C" w:rsidP="0043701C">
      <w:pPr>
        <w:pStyle w:val="paragraph"/>
      </w:pPr>
      <w:r w:rsidRPr="009849F1">
        <w:tab/>
        <w:t>(b)</w:t>
      </w:r>
      <w:r w:rsidRPr="009849F1">
        <w:tab/>
        <w:t>necessary or convenient to be prescribed for carrying out or giving effect to this Act.</w:t>
      </w:r>
    </w:p>
    <w:p w:rsidR="0043701C" w:rsidRPr="009849F1" w:rsidRDefault="0043701C" w:rsidP="0043701C">
      <w:pPr>
        <w:pStyle w:val="Body"/>
      </w:pPr>
      <w:r w:rsidRPr="009849F1">
        <w:t>All instruments that are made in accordance with this general instrument</w:t>
      </w:r>
      <w:r w:rsidR="00FD1CAC">
        <w:t>-</w:t>
      </w:r>
      <w:r w:rsidRPr="009849F1">
        <w:t>making power will be legislative instruments.</w:t>
      </w:r>
    </w:p>
    <w:p w:rsidR="0043701C" w:rsidRPr="009849F1" w:rsidRDefault="0043701C" w:rsidP="0043701C">
      <w:pPr>
        <w:pStyle w:val="BodyNum"/>
      </w:pPr>
      <w:r w:rsidRPr="009849F1">
        <w:t>Once a general legislative instrument</w:t>
      </w:r>
      <w:r w:rsidR="00FD1CAC">
        <w:t>-</w:t>
      </w:r>
      <w:r w:rsidRPr="009849F1">
        <w:t>making power is included in an Act, the same practice that applies for regulations applies for instruments covered by the general power. For example, just as it is not necessary to include specific provisions conferring the power to make particular regulations, it is not necessary to include specific provisions conferring the power to make particular instruments covered by the general power (e.g. instead of saying “The Minister may by, legislative instrument, ...” , the Act can say “The [</w:t>
      </w:r>
      <w:r w:rsidRPr="009849F1">
        <w:rPr>
          <w:i/>
        </w:rPr>
        <w:t>rules</w:t>
      </w:r>
      <w:r w:rsidRPr="009849F1">
        <w:t xml:space="preserve">] may”). </w:t>
      </w:r>
    </w:p>
    <w:p w:rsidR="0043701C" w:rsidRPr="009849F1" w:rsidRDefault="0043701C" w:rsidP="0043701C">
      <w:pPr>
        <w:pStyle w:val="BodyNum"/>
      </w:pPr>
      <w:bookmarkStart w:id="10" w:name="_Ref372810941"/>
      <w:r w:rsidRPr="009849F1">
        <w:t xml:space="preserve">However, it is necessary to include in the definition section a definition of the legislative instrument covered by the general power (because we cannot rely on the definition of </w:t>
      </w:r>
      <w:r w:rsidRPr="009849F1">
        <w:rPr>
          <w:b/>
          <w:i/>
        </w:rPr>
        <w:t>regulations</w:t>
      </w:r>
      <w:r w:rsidRPr="009849F1">
        <w:t xml:space="preserve"> in section 2B of the </w:t>
      </w:r>
      <w:r w:rsidRPr="009849F1">
        <w:rPr>
          <w:i/>
        </w:rPr>
        <w:t>Acts Interpretation Act 1901</w:t>
      </w:r>
      <w:r w:rsidRPr="009849F1">
        <w:t xml:space="preserve">). For example, see section 8 of the </w:t>
      </w:r>
      <w:r w:rsidRPr="009849F1">
        <w:rPr>
          <w:i/>
        </w:rPr>
        <w:t>Public Governance, Performance and Accountability Act 2013</w:t>
      </w:r>
      <w:r w:rsidRPr="009849F1">
        <w:t>:</w:t>
      </w:r>
      <w:bookmarkEnd w:id="10"/>
    </w:p>
    <w:p w:rsidR="0043701C" w:rsidRPr="009849F1" w:rsidRDefault="0043701C" w:rsidP="0043701C">
      <w:pPr>
        <w:pStyle w:val="Definition"/>
      </w:pPr>
      <w:r w:rsidRPr="009849F1">
        <w:rPr>
          <w:b/>
          <w:i/>
        </w:rPr>
        <w:t>rules</w:t>
      </w:r>
      <w:r w:rsidRPr="009849F1">
        <w:t xml:space="preserve"> means the rules made under section</w:t>
      </w:r>
      <w:r w:rsidR="00FD1CAC">
        <w:t xml:space="preserve"> </w:t>
      </w:r>
      <w:r w:rsidRPr="009849F1">
        <w:t>101.</w:t>
      </w:r>
    </w:p>
    <w:p w:rsidR="0043701C" w:rsidRPr="009849F1" w:rsidRDefault="0043701C" w:rsidP="0043701C">
      <w:pPr>
        <w:pStyle w:val="BodyNum"/>
      </w:pPr>
      <w:r w:rsidRPr="009849F1">
        <w:t xml:space="preserve">There have been examples where a more descriptive label has been used in the defined term for the instrument covered by the general power. For example, see section 6 of the </w:t>
      </w:r>
      <w:r w:rsidRPr="009849F1">
        <w:rPr>
          <w:i/>
        </w:rPr>
        <w:t>Paid Parental Leave Act 2010</w:t>
      </w:r>
      <w:r w:rsidRPr="009849F1">
        <w:t>:</w:t>
      </w:r>
    </w:p>
    <w:p w:rsidR="0043701C" w:rsidRPr="009849F1" w:rsidRDefault="0043701C" w:rsidP="0043701C">
      <w:pPr>
        <w:pStyle w:val="Definition"/>
      </w:pPr>
      <w:r w:rsidRPr="009849F1">
        <w:rPr>
          <w:b/>
          <w:i/>
        </w:rPr>
        <w:t>PPL rules</w:t>
      </w:r>
      <w:r w:rsidRPr="009849F1">
        <w:t xml:space="preserve"> (short for Paid Parental Leave Rules) means the rules made by the Minister under section</w:t>
      </w:r>
      <w:r w:rsidR="00FD1CAC">
        <w:t xml:space="preserve"> </w:t>
      </w:r>
      <w:r w:rsidRPr="009849F1">
        <w:t>298.</w:t>
      </w:r>
    </w:p>
    <w:p w:rsidR="0043701C" w:rsidRPr="009849F1" w:rsidRDefault="0043701C" w:rsidP="0043701C">
      <w:pPr>
        <w:pStyle w:val="BodyNum"/>
      </w:pPr>
      <w:bookmarkStart w:id="11" w:name="_Ref372810949"/>
      <w:r w:rsidRPr="009849F1">
        <w:t xml:space="preserve">While this defined term does not fix the actual title of the instrument that can be made, to avoid confusion in the future, drafters should avoid including additional descriptive material in the defined term (except as provided by paragraph </w:t>
      </w:r>
      <w:r w:rsidR="00223A1F">
        <w:t>33</w:t>
      </w:r>
      <w:r w:rsidRPr="009849F1">
        <w:t xml:space="preserve">) and instead replicate the name of the instrument covered by the general power (e.g. </w:t>
      </w:r>
      <w:r w:rsidRPr="009849F1">
        <w:rPr>
          <w:b/>
          <w:i/>
        </w:rPr>
        <w:t>rules</w:t>
      </w:r>
      <w:r w:rsidRPr="009849F1">
        <w:t>).</w:t>
      </w:r>
      <w:bookmarkEnd w:id="11"/>
    </w:p>
    <w:p w:rsidR="0043701C" w:rsidRPr="009849F1" w:rsidRDefault="0043701C" w:rsidP="0043701C">
      <w:pPr>
        <w:pStyle w:val="BodyNum"/>
      </w:pPr>
      <w:r w:rsidRPr="009849F1">
        <w:t>The approach of providing for legislative instruments (rather than regulations) has a number of advantages including:</w:t>
      </w:r>
    </w:p>
    <w:p w:rsidR="0043701C" w:rsidRPr="009849F1" w:rsidRDefault="0043701C" w:rsidP="0043701C">
      <w:pPr>
        <w:pStyle w:val="BodyPara"/>
      </w:pPr>
      <w:r w:rsidRPr="009849F1">
        <w:t xml:space="preserve">it facilitates the use of a single type of legislative instrument (or a reduced number of types of instruments) </w:t>
      </w:r>
      <w:r w:rsidR="00996600">
        <w:t>under</w:t>
      </w:r>
      <w:r w:rsidRPr="009849F1">
        <w:t xml:space="preserve"> an Act; and</w:t>
      </w:r>
    </w:p>
    <w:p w:rsidR="0043701C" w:rsidRPr="009849F1" w:rsidRDefault="0043701C" w:rsidP="0043701C">
      <w:pPr>
        <w:pStyle w:val="BodyPara"/>
      </w:pPr>
      <w:r w:rsidRPr="009849F1">
        <w:t>it enables the number and content of the legislative instruments under the Act to be rationalised; and</w:t>
      </w:r>
    </w:p>
    <w:p w:rsidR="0043701C" w:rsidRPr="009849F1" w:rsidRDefault="0043701C" w:rsidP="0043701C">
      <w:pPr>
        <w:pStyle w:val="BodyPara"/>
      </w:pPr>
      <w:r w:rsidRPr="009849F1">
        <w:t>it simplifies the language and structure of the provisions in the Act that provide the authority for the legislative instruments; and</w:t>
      </w:r>
    </w:p>
    <w:p w:rsidR="0043701C" w:rsidRPr="009849F1" w:rsidRDefault="0043701C" w:rsidP="0043701C">
      <w:pPr>
        <w:pStyle w:val="BodyPara"/>
      </w:pPr>
      <w:r w:rsidRPr="009849F1">
        <w:t>it shortens the Act.</w:t>
      </w:r>
    </w:p>
    <w:p w:rsidR="0043701C" w:rsidRPr="009849F1" w:rsidRDefault="0043701C" w:rsidP="0043701C">
      <w:pPr>
        <w:pStyle w:val="BodyNum"/>
        <w:rPr>
          <w:szCs w:val="24"/>
        </w:rPr>
      </w:pPr>
      <w:r w:rsidRPr="009849F1">
        <w:rPr>
          <w:szCs w:val="24"/>
        </w:rPr>
        <w:lastRenderedPageBreak/>
        <w:t>Because of these advantages, drafters should adopt this approach where appropriate with new Acts. However, drafters should include a general instrument</w:t>
      </w:r>
      <w:r w:rsidR="00FD1CAC">
        <w:rPr>
          <w:szCs w:val="24"/>
        </w:rPr>
        <w:t>-</w:t>
      </w:r>
      <w:r w:rsidRPr="009849F1">
        <w:rPr>
          <w:szCs w:val="24"/>
        </w:rPr>
        <w:t>making power in an Act that already has a regulation</w:t>
      </w:r>
      <w:r w:rsidR="00FD1CAC">
        <w:rPr>
          <w:szCs w:val="24"/>
        </w:rPr>
        <w:t>-</w:t>
      </w:r>
      <w:r w:rsidRPr="009849F1">
        <w:rPr>
          <w:szCs w:val="24"/>
        </w:rPr>
        <w:t xml:space="preserve">making power only after discussing the issue first with </w:t>
      </w:r>
      <w:r w:rsidR="0059155C">
        <w:rPr>
          <w:szCs w:val="24"/>
        </w:rPr>
        <w:t>the head drafter</w:t>
      </w:r>
      <w:r w:rsidRPr="009849F1">
        <w:rPr>
          <w:szCs w:val="24"/>
        </w:rPr>
        <w:t xml:space="preserve">. Where possible, </w:t>
      </w:r>
      <w:r w:rsidRPr="009849F1">
        <w:rPr>
          <w:rFonts w:eastAsia="Calibri"/>
          <w:szCs w:val="24"/>
          <w:lang w:eastAsia="en-US"/>
        </w:rPr>
        <w:t xml:space="preserve">and to reduce complexity, </w:t>
      </w:r>
      <w:r w:rsidRPr="009849F1">
        <w:rPr>
          <w:szCs w:val="24"/>
        </w:rPr>
        <w:t>drafters should also try to avoid having different kinds of (non</w:t>
      </w:r>
      <w:r w:rsidR="00FD1CAC">
        <w:rPr>
          <w:szCs w:val="24"/>
        </w:rPr>
        <w:t>-</w:t>
      </w:r>
      <w:r w:rsidRPr="009849F1">
        <w:rPr>
          <w:szCs w:val="24"/>
        </w:rPr>
        <w:t>regulation) legislative instruments under an Act.</w:t>
      </w:r>
    </w:p>
    <w:p w:rsidR="0043701C" w:rsidRPr="009849F1" w:rsidRDefault="0043701C" w:rsidP="0043701C">
      <w:pPr>
        <w:pStyle w:val="BodyNum"/>
      </w:pPr>
      <w:r w:rsidRPr="009849F1">
        <w:t>This approach may also be suitable in instruments which provide for other instruments.</w:t>
      </w:r>
    </w:p>
    <w:p w:rsidR="0043701C" w:rsidRPr="009849F1" w:rsidRDefault="0043701C" w:rsidP="009849F1">
      <w:pPr>
        <w:pStyle w:val="Head3"/>
      </w:pPr>
      <w:bookmarkStart w:id="12" w:name="_Toc43196565"/>
      <w:r w:rsidRPr="009849F1">
        <w:t>Standard forms of regulation</w:t>
      </w:r>
      <w:r w:rsidR="00FD1CAC">
        <w:t>-</w:t>
      </w:r>
      <w:r w:rsidRPr="009849F1">
        <w:t>making powers and instrument</w:t>
      </w:r>
      <w:r w:rsidR="00FD1CAC">
        <w:t>-</w:t>
      </w:r>
      <w:r w:rsidRPr="009849F1">
        <w:t>making powers</w:t>
      </w:r>
      <w:bookmarkEnd w:id="12"/>
    </w:p>
    <w:p w:rsidR="0043701C" w:rsidRPr="009849F1" w:rsidRDefault="0043701C" w:rsidP="009849F1">
      <w:pPr>
        <w:pStyle w:val="Head4"/>
      </w:pPr>
      <w:bookmarkStart w:id="13" w:name="_Toc43196566"/>
      <w:r w:rsidRPr="009849F1">
        <w:t>Regulation</w:t>
      </w:r>
      <w:r w:rsidR="00FD1CAC">
        <w:t>-</w:t>
      </w:r>
      <w:r w:rsidRPr="009849F1">
        <w:t>making powers</w:t>
      </w:r>
      <w:bookmarkEnd w:id="13"/>
    </w:p>
    <w:p w:rsidR="0043701C" w:rsidRPr="009849F1" w:rsidRDefault="0043701C" w:rsidP="0043701C">
      <w:pPr>
        <w:pStyle w:val="BodyNum"/>
      </w:pPr>
      <w:r w:rsidRPr="009849F1">
        <w:t>The standard provision authorising the making of regulations under primary legislation should be as follows:</w:t>
      </w:r>
    </w:p>
    <w:p w:rsidR="0043701C" w:rsidRPr="009849F1" w:rsidRDefault="0043701C" w:rsidP="0043701C">
      <w:pPr>
        <w:pStyle w:val="subsection"/>
      </w:pPr>
      <w:r w:rsidRPr="009849F1">
        <w:tab/>
      </w:r>
      <w:r w:rsidRPr="009849F1">
        <w:tab/>
        <w:t>The Governor</w:t>
      </w:r>
      <w:r w:rsidR="00FD1CAC">
        <w:t>-</w:t>
      </w:r>
      <w:r w:rsidRPr="009849F1">
        <w:t>General may make regulations prescribing matters:</w:t>
      </w:r>
    </w:p>
    <w:p w:rsidR="0043701C" w:rsidRPr="009849F1" w:rsidRDefault="0043701C" w:rsidP="0043701C">
      <w:pPr>
        <w:pStyle w:val="paragraph"/>
      </w:pPr>
      <w:r w:rsidRPr="009849F1">
        <w:tab/>
        <w:t>(a)</w:t>
      </w:r>
      <w:r w:rsidRPr="009849F1">
        <w:tab/>
        <w:t>required or permitted by this [</w:t>
      </w:r>
      <w:r w:rsidRPr="009849F1">
        <w:rPr>
          <w:i/>
        </w:rPr>
        <w:t>Act/Ordinance</w:t>
      </w:r>
      <w:r w:rsidRPr="009849F1">
        <w:t>] to be prescribed by the regulations; or</w:t>
      </w:r>
    </w:p>
    <w:p w:rsidR="0043701C" w:rsidRPr="009849F1" w:rsidRDefault="0043701C" w:rsidP="0043701C">
      <w:pPr>
        <w:pStyle w:val="paragraph"/>
      </w:pPr>
      <w:r w:rsidRPr="009849F1">
        <w:tab/>
        <w:t>(b)</w:t>
      </w:r>
      <w:r w:rsidRPr="009849F1">
        <w:tab/>
        <w:t>necessary or convenient to be prescribed for carrying out or giving effect to this [</w:t>
      </w:r>
      <w:r w:rsidRPr="009849F1">
        <w:rPr>
          <w:i/>
        </w:rPr>
        <w:t>Act/Ordinance</w:t>
      </w:r>
      <w:r w:rsidRPr="009849F1">
        <w:t>].</w:t>
      </w:r>
    </w:p>
    <w:p w:rsidR="0043701C" w:rsidRPr="009849F1" w:rsidRDefault="0043701C" w:rsidP="0043701C">
      <w:pPr>
        <w:pStyle w:val="BodyNum"/>
      </w:pPr>
      <w:r w:rsidRPr="009849F1">
        <w:t>The paragraphing of the standard provisions is to make it clear that the words “for carrying out or giving effect to this Act/Ordinance” do not qualify the words “required or permitted by this Act/Ordinance to be prescribed”.</w:t>
      </w:r>
    </w:p>
    <w:p w:rsidR="0043701C" w:rsidRPr="009849F1" w:rsidRDefault="0043701C" w:rsidP="0043701C">
      <w:pPr>
        <w:pStyle w:val="BodyNum"/>
      </w:pPr>
      <w:r w:rsidRPr="009849F1">
        <w:t xml:space="preserve">There is no need to specify that the regulations (or instruments) are not to be inconsistent with the primary legislation concerned (or any other primary legislation), as courts will find that any subordinate legislation that is inconsistent with the primary legislation under which it is made (or any other primary legislation, or </w:t>
      </w:r>
      <w:r w:rsidRPr="009849F1">
        <w:rPr>
          <w:iCs/>
        </w:rPr>
        <w:t>a right vested in a person by</w:t>
      </w:r>
      <w:r w:rsidRPr="009849F1">
        <w:t xml:space="preserve"> the common law) is invalid. See also section 13 of the</w:t>
      </w:r>
      <w:r w:rsidR="007657A4">
        <w:t xml:space="preserve"> LA</w:t>
      </w:r>
      <w:r w:rsidRPr="009849F1">
        <w:t>.</w:t>
      </w:r>
    </w:p>
    <w:p w:rsidR="0043701C" w:rsidRPr="009849F1" w:rsidRDefault="0043701C" w:rsidP="009849F1">
      <w:pPr>
        <w:pStyle w:val="Head4"/>
      </w:pPr>
      <w:bookmarkStart w:id="14" w:name="_Toc43196567"/>
      <w:r w:rsidRPr="009849F1">
        <w:t>Instrument</w:t>
      </w:r>
      <w:r w:rsidR="00FD1CAC">
        <w:t>-</w:t>
      </w:r>
      <w:r w:rsidRPr="009849F1">
        <w:t>making powers—standard form</w:t>
      </w:r>
      <w:bookmarkEnd w:id="14"/>
    </w:p>
    <w:p w:rsidR="0043701C" w:rsidRPr="009849F1" w:rsidRDefault="0043701C" w:rsidP="0043701C">
      <w:pPr>
        <w:pStyle w:val="BodyNum"/>
      </w:pPr>
      <w:r w:rsidRPr="009849F1">
        <w:t>The standard provision authorising the making of legislative instruments under primary legislation should be as follows:</w:t>
      </w:r>
    </w:p>
    <w:p w:rsidR="0043701C" w:rsidRPr="009849F1" w:rsidRDefault="0043701C" w:rsidP="0043701C">
      <w:pPr>
        <w:pStyle w:val="subsection"/>
      </w:pPr>
      <w:r w:rsidRPr="009849F1">
        <w:tab/>
        <w:t>(1)</w:t>
      </w:r>
      <w:r w:rsidRPr="009849F1">
        <w:tab/>
        <w:t xml:space="preserve">The </w:t>
      </w:r>
      <w:r w:rsidRPr="009849F1">
        <w:rPr>
          <w:i/>
        </w:rPr>
        <w:t>[maker, e.g. Minister]</w:t>
      </w:r>
      <w:r w:rsidRPr="009849F1">
        <w:t xml:space="preserve"> may, by legislative instrument, make [</w:t>
      </w:r>
      <w:r w:rsidRPr="009849F1">
        <w:rPr>
          <w:i/>
        </w:rPr>
        <w:t>name of legislative instrument (e.g. rules)</w:t>
      </w:r>
      <w:r w:rsidRPr="009849F1">
        <w:t>] prescribing matters:</w:t>
      </w:r>
    </w:p>
    <w:p w:rsidR="0043701C" w:rsidRPr="009849F1" w:rsidRDefault="0043701C" w:rsidP="0043701C">
      <w:pPr>
        <w:pStyle w:val="paragraph"/>
      </w:pPr>
      <w:r w:rsidRPr="009849F1">
        <w:tab/>
        <w:t>(a)</w:t>
      </w:r>
      <w:r w:rsidRPr="009849F1">
        <w:tab/>
        <w:t>required or permitted by this [</w:t>
      </w:r>
      <w:r w:rsidRPr="009849F1">
        <w:rPr>
          <w:i/>
        </w:rPr>
        <w:t>Act/Ordinance</w:t>
      </w:r>
      <w:r w:rsidRPr="009849F1">
        <w:t xml:space="preserve">] to be </w:t>
      </w:r>
      <w:r w:rsidRPr="009849F1">
        <w:rPr>
          <w:bCs/>
        </w:rPr>
        <w:t xml:space="preserve">prescribed by the </w:t>
      </w:r>
      <w:r w:rsidRPr="009849F1">
        <w:t>[</w:t>
      </w:r>
      <w:r w:rsidRPr="009849F1">
        <w:rPr>
          <w:i/>
        </w:rPr>
        <w:t>name of legislative instrument (e.g. rules)</w:t>
      </w:r>
      <w:r w:rsidRPr="009849F1">
        <w:t xml:space="preserve">]; or </w:t>
      </w:r>
    </w:p>
    <w:p w:rsidR="0043701C" w:rsidRPr="009849F1" w:rsidRDefault="0043701C" w:rsidP="0043701C">
      <w:pPr>
        <w:pStyle w:val="paragraph"/>
      </w:pPr>
      <w:r w:rsidRPr="009849F1">
        <w:tab/>
        <w:t>(b)</w:t>
      </w:r>
      <w:r w:rsidRPr="009849F1">
        <w:tab/>
        <w:t xml:space="preserve">necessary or convenient to be </w:t>
      </w:r>
      <w:r w:rsidRPr="009849F1">
        <w:rPr>
          <w:bCs/>
        </w:rPr>
        <w:t>prescribed</w:t>
      </w:r>
      <w:r w:rsidRPr="009849F1">
        <w:t xml:space="preserve"> for carrying out or giving effect to this [</w:t>
      </w:r>
      <w:r w:rsidRPr="009849F1">
        <w:rPr>
          <w:i/>
        </w:rPr>
        <w:t>Act/Ordinance</w:t>
      </w:r>
      <w:r w:rsidRPr="009849F1">
        <w:t>].</w:t>
      </w:r>
    </w:p>
    <w:p w:rsidR="0043701C" w:rsidRPr="009849F1" w:rsidRDefault="0043701C" w:rsidP="0043701C">
      <w:pPr>
        <w:pStyle w:val="Body"/>
      </w:pPr>
      <w:r w:rsidRPr="009849F1">
        <w:t>All instruments that are made in accordance with this general instrument making power will be legislative instruments.</w:t>
      </w:r>
    </w:p>
    <w:p w:rsidR="0043701C" w:rsidRPr="009849F1" w:rsidRDefault="0043701C" w:rsidP="0043701C">
      <w:pPr>
        <w:pStyle w:val="BodyNum"/>
      </w:pPr>
      <w:r w:rsidRPr="009849F1">
        <w:t xml:space="preserve">A definition of the legislative instrument should be included in the definitions section (e.g. </w:t>
      </w:r>
      <w:r w:rsidRPr="009849F1">
        <w:rPr>
          <w:b/>
          <w:i/>
        </w:rPr>
        <w:t>rules</w:t>
      </w:r>
      <w:r w:rsidRPr="009849F1">
        <w:t xml:space="preserve"> means rules made [</w:t>
      </w:r>
      <w:r w:rsidRPr="009849F1">
        <w:rPr>
          <w:i/>
        </w:rPr>
        <w:t>under section xx</w:t>
      </w:r>
      <w:r w:rsidRPr="009849F1">
        <w:t xml:space="preserve">]—see paragraphs </w:t>
      </w:r>
      <w:r w:rsidR="00223A1F">
        <w:t>13</w:t>
      </w:r>
      <w:r w:rsidRPr="009849F1">
        <w:t xml:space="preserve"> to </w:t>
      </w:r>
      <w:r w:rsidR="00223A1F">
        <w:t>15</w:t>
      </w:r>
      <w:r w:rsidRPr="009849F1">
        <w:t xml:space="preserve"> above).</w:t>
      </w:r>
    </w:p>
    <w:p w:rsidR="0043701C" w:rsidRPr="009849F1" w:rsidRDefault="0043701C" w:rsidP="009849F1">
      <w:pPr>
        <w:pStyle w:val="Head4"/>
      </w:pPr>
      <w:bookmarkStart w:id="15" w:name="_Toc43196568"/>
      <w:r w:rsidRPr="009849F1">
        <w:lastRenderedPageBreak/>
        <w:t>Instrument</w:t>
      </w:r>
      <w:r w:rsidR="00FD1CAC">
        <w:t>-</w:t>
      </w:r>
      <w:r w:rsidRPr="009849F1">
        <w:t>making powers—delegation</w:t>
      </w:r>
      <w:bookmarkEnd w:id="15"/>
    </w:p>
    <w:p w:rsidR="0043701C" w:rsidRPr="009849F1" w:rsidRDefault="0043701C" w:rsidP="0043701C">
      <w:pPr>
        <w:pStyle w:val="BodyNum"/>
      </w:pPr>
      <w:r w:rsidRPr="009849F1">
        <w:t>As a general rule, a general instrument</w:t>
      </w:r>
      <w:r w:rsidR="00FD1CAC">
        <w:t>-</w:t>
      </w:r>
      <w:r w:rsidRPr="009849F1">
        <w:t>making power of a person should not be able to be delegated (just as the general regulation</w:t>
      </w:r>
      <w:r w:rsidR="00FD1CAC">
        <w:t>-</w:t>
      </w:r>
      <w:r w:rsidRPr="009849F1">
        <w:t>making power of the Governor</w:t>
      </w:r>
      <w:r w:rsidR="00FD1CAC">
        <w:t>-</w:t>
      </w:r>
      <w:r w:rsidRPr="009849F1">
        <w:t>General is not able to be delegated). You should ensure that the general rule</w:t>
      </w:r>
      <w:r w:rsidR="00FD1CAC">
        <w:t>-</w:t>
      </w:r>
      <w:r w:rsidRPr="009849F1">
        <w:t>making power is excluded from any delegation power of the instrument</w:t>
      </w:r>
      <w:r w:rsidR="00FD1CAC">
        <w:t>-</w:t>
      </w:r>
      <w:r w:rsidRPr="009849F1">
        <w:t>maker.</w:t>
      </w:r>
    </w:p>
    <w:p w:rsidR="0043701C" w:rsidRPr="009849F1" w:rsidRDefault="0043701C" w:rsidP="0043701C">
      <w:pPr>
        <w:pStyle w:val="BodyNum"/>
      </w:pPr>
      <w:r w:rsidRPr="009849F1">
        <w:t>If, in a particular case, an instrument will need to be made frequently and the instructors wish the power to be able to be delegated, generally, you should confer a separate instrument</w:t>
      </w:r>
      <w:r w:rsidR="00FD1CAC">
        <w:t>-</w:t>
      </w:r>
      <w:r w:rsidRPr="009849F1">
        <w:t>making power on the instrument</w:t>
      </w:r>
      <w:r w:rsidR="00FD1CAC">
        <w:t>-</w:t>
      </w:r>
      <w:r w:rsidRPr="009849F1">
        <w:t>maker (rather than relying on the non</w:t>
      </w:r>
      <w:r w:rsidR="00FD1CAC">
        <w:t>-</w:t>
      </w:r>
      <w:r w:rsidRPr="009849F1">
        <w:t>delegable general instrument</w:t>
      </w:r>
      <w:r w:rsidR="00FD1CAC">
        <w:t>-</w:t>
      </w:r>
      <w:r w:rsidRPr="009849F1">
        <w:t>making power) and ensure that the particular instrument</w:t>
      </w:r>
      <w:r w:rsidR="00FD1CAC">
        <w:t>-</w:t>
      </w:r>
      <w:r w:rsidRPr="009849F1">
        <w:t>making power is able to be delegated. Instructors should also explain the need for this in the explanatory memorandum.</w:t>
      </w:r>
    </w:p>
    <w:p w:rsidR="0043701C" w:rsidRPr="009849F1" w:rsidRDefault="0043701C" w:rsidP="009849F1">
      <w:pPr>
        <w:pStyle w:val="Head4"/>
      </w:pPr>
      <w:bookmarkStart w:id="16" w:name="_Toc43196569"/>
      <w:r w:rsidRPr="009849F1">
        <w:t>Instrument</w:t>
      </w:r>
      <w:r w:rsidR="00FD1CAC">
        <w:t>-</w:t>
      </w:r>
      <w:r w:rsidRPr="009849F1">
        <w:t>making powers—dealing with significant provisions</w:t>
      </w:r>
      <w:bookmarkEnd w:id="16"/>
    </w:p>
    <w:p w:rsidR="0043701C" w:rsidRPr="009849F1" w:rsidRDefault="0043701C" w:rsidP="0043701C">
      <w:pPr>
        <w:pStyle w:val="BodyNum"/>
      </w:pPr>
      <w:bookmarkStart w:id="17" w:name="_Ref391964550"/>
      <w:r w:rsidRPr="009849F1">
        <w:t>For all instrument</w:t>
      </w:r>
      <w:r w:rsidR="00FD1CAC">
        <w:t>-</w:t>
      </w:r>
      <w:r w:rsidRPr="009849F1">
        <w:t xml:space="preserve">making powers, it is important to clarify with your instructors whether provisions of the kind described in paragraph </w:t>
      </w:r>
      <w:r w:rsidR="00223A1F">
        <w:t>3</w:t>
      </w:r>
      <w:r w:rsidRPr="009849F1">
        <w:t xml:space="preserve"> are required and if so, how they may be dealt with.</w:t>
      </w:r>
      <w:bookmarkEnd w:id="17"/>
      <w:r w:rsidRPr="009849F1">
        <w:t xml:space="preserve"> It would generally be considered that provisions of that kind would not be able to be included in subordinate legislation without express authorisation from an Act.</w:t>
      </w:r>
    </w:p>
    <w:p w:rsidR="0043701C" w:rsidRPr="009849F1" w:rsidRDefault="0043701C" w:rsidP="0043701C">
      <w:pPr>
        <w:pStyle w:val="BodyNum"/>
      </w:pPr>
      <w:r w:rsidRPr="009849F1">
        <w:t>If your Bill will contain a power to make instruments other than regulations, and the instructor’s policy is that a provision of a kind described above is not required to be included in the instrument, you should include the following provision:</w:t>
      </w:r>
    </w:p>
    <w:p w:rsidR="0043701C" w:rsidRPr="009849F1" w:rsidRDefault="0043701C" w:rsidP="0043701C">
      <w:pPr>
        <w:pStyle w:val="subsection"/>
      </w:pPr>
      <w:r w:rsidRPr="009849F1">
        <w:tab/>
        <w:t>(2)</w:t>
      </w:r>
      <w:r w:rsidRPr="009849F1">
        <w:tab/>
        <w:t>To avoid doubt, the [</w:t>
      </w:r>
      <w:r w:rsidRPr="009849F1">
        <w:rPr>
          <w:i/>
        </w:rPr>
        <w:t>name of legislative instrument e.g. rules</w:t>
      </w:r>
      <w:r w:rsidRPr="009849F1">
        <w:t>] may not do the following:</w:t>
      </w:r>
    </w:p>
    <w:p w:rsidR="0043701C" w:rsidRPr="009849F1" w:rsidRDefault="0043701C" w:rsidP="0043701C">
      <w:pPr>
        <w:pStyle w:val="paragraph"/>
      </w:pPr>
      <w:r w:rsidRPr="009849F1">
        <w:tab/>
        <w:t>(a)</w:t>
      </w:r>
      <w:r w:rsidRPr="009849F1">
        <w:tab/>
        <w:t>create an offence or civil penalty;</w:t>
      </w:r>
    </w:p>
    <w:p w:rsidR="0043701C" w:rsidRPr="009849F1" w:rsidRDefault="0043701C" w:rsidP="0043701C">
      <w:pPr>
        <w:pStyle w:val="paragraph"/>
      </w:pPr>
      <w:r w:rsidRPr="009849F1">
        <w:tab/>
        <w:t>(b)</w:t>
      </w:r>
      <w:r w:rsidRPr="009849F1">
        <w:tab/>
        <w:t>provide powers of:</w:t>
      </w:r>
    </w:p>
    <w:p w:rsidR="0043701C" w:rsidRPr="009849F1" w:rsidRDefault="0043701C" w:rsidP="0043701C">
      <w:pPr>
        <w:pStyle w:val="paragraphsub"/>
      </w:pPr>
      <w:r w:rsidRPr="009849F1">
        <w:tab/>
        <w:t>(i)</w:t>
      </w:r>
      <w:r w:rsidRPr="009849F1">
        <w:tab/>
        <w:t>arrest or detention; or</w:t>
      </w:r>
    </w:p>
    <w:p w:rsidR="0043701C" w:rsidRPr="009849F1" w:rsidRDefault="0043701C" w:rsidP="0043701C">
      <w:pPr>
        <w:pStyle w:val="paragraphsub"/>
      </w:pPr>
      <w:r w:rsidRPr="009849F1">
        <w:tab/>
        <w:t>(ii)</w:t>
      </w:r>
      <w:r w:rsidRPr="009849F1">
        <w:tab/>
        <w:t>entry, search or seizure;</w:t>
      </w:r>
    </w:p>
    <w:p w:rsidR="0043701C" w:rsidRPr="009849F1" w:rsidRDefault="0043701C" w:rsidP="0043701C">
      <w:pPr>
        <w:pStyle w:val="paragraph"/>
      </w:pPr>
      <w:r w:rsidRPr="009849F1">
        <w:tab/>
        <w:t>(c)</w:t>
      </w:r>
      <w:r w:rsidRPr="009849F1">
        <w:tab/>
        <w:t>impose a tax;</w:t>
      </w:r>
    </w:p>
    <w:p w:rsidR="0043701C" w:rsidRPr="009849F1" w:rsidRDefault="0043701C" w:rsidP="0043701C">
      <w:pPr>
        <w:pStyle w:val="paragraph"/>
      </w:pPr>
      <w:r w:rsidRPr="009849F1">
        <w:tab/>
        <w:t>(d)</w:t>
      </w:r>
      <w:r w:rsidRPr="009849F1">
        <w:tab/>
        <w:t>[</w:t>
      </w:r>
      <w:r w:rsidRPr="009849F1">
        <w:rPr>
          <w:i/>
        </w:rPr>
        <w:t>for Acts, but not Ordinances</w:t>
      </w:r>
      <w:r w:rsidRPr="009849F1">
        <w:t>] set an amount to be appropriated from the Consolidated Revenue Fund under an appropriation in this Act;</w:t>
      </w:r>
    </w:p>
    <w:p w:rsidR="0043701C" w:rsidRPr="009849F1" w:rsidRDefault="0043701C" w:rsidP="0043701C">
      <w:pPr>
        <w:pStyle w:val="paragraph"/>
      </w:pPr>
      <w:r w:rsidRPr="009849F1">
        <w:tab/>
        <w:t>(e)</w:t>
      </w:r>
      <w:r w:rsidRPr="009849F1">
        <w:tab/>
        <w:t>directly amend the text of this [</w:t>
      </w:r>
      <w:r w:rsidRPr="009849F1">
        <w:rPr>
          <w:i/>
        </w:rPr>
        <w:t>Act/Ordinance</w:t>
      </w:r>
      <w:r w:rsidRPr="009849F1">
        <w:t>].</w:t>
      </w:r>
    </w:p>
    <w:p w:rsidR="0043701C" w:rsidRPr="009849F1" w:rsidRDefault="0043701C" w:rsidP="0043701C">
      <w:pPr>
        <w:pStyle w:val="BodyNum"/>
      </w:pPr>
      <w:r w:rsidRPr="009849F1">
        <w:t>You should include this provision in this form even if not all paragraphs are relevant to your Bill (such as because your Bill does not contain an appropriation).</w:t>
      </w:r>
    </w:p>
    <w:p w:rsidR="0043701C" w:rsidRPr="009849F1" w:rsidRDefault="0043701C" w:rsidP="0043701C">
      <w:pPr>
        <w:pStyle w:val="BodyNum"/>
      </w:pPr>
      <w:r w:rsidRPr="009849F1">
        <w:t>Alternatively, if the instructor’s policy is that a provision of a kind described above should be able to be dealt with by subordinate instrument, then you should include a regulation</w:t>
      </w:r>
      <w:r w:rsidR="00FD1CAC">
        <w:t>-</w:t>
      </w:r>
      <w:r w:rsidRPr="009849F1">
        <w:t>making power in addition to the instrument</w:t>
      </w:r>
      <w:r w:rsidR="00FD1CAC">
        <w:t>-</w:t>
      </w:r>
      <w:r w:rsidRPr="009849F1">
        <w:t>making power, and specifically allow the regulations to provide for that kind of provision.</w:t>
      </w:r>
    </w:p>
    <w:p w:rsidR="0043701C" w:rsidRPr="009849F1" w:rsidRDefault="0043701C" w:rsidP="0043701C">
      <w:pPr>
        <w:pStyle w:val="BodyNum"/>
        <w:rPr>
          <w:lang w:eastAsia="en-US"/>
        </w:rPr>
      </w:pPr>
      <w:r w:rsidRPr="009849F1">
        <w:t xml:space="preserve">In rare cases, instructors may desire provisions of this kind to be dealt with in legislative instruments other than regulations. You should discuss any such policy with </w:t>
      </w:r>
      <w:r w:rsidR="0059155C">
        <w:t>the head drafter</w:t>
      </w:r>
      <w:r w:rsidRPr="009849F1">
        <w:t xml:space="preserve"> before providing for this. You should also ensure that the instructors are aware that the Senate Standing Committee for the Scrutiny of Bills (and possibly when the instrument is made, the Senate Standing Committee </w:t>
      </w:r>
      <w:r w:rsidR="00126CEE">
        <w:t>for the Scrutiny of Delegated Legislation</w:t>
      </w:r>
      <w:r w:rsidRPr="009849F1">
        <w:t xml:space="preserve">) is likely to comment adversely on such an approach. Instructors should ensure that the explanatory memorandum </w:t>
      </w:r>
      <w:r w:rsidRPr="009849F1">
        <w:rPr>
          <w:lang w:eastAsia="en-US"/>
        </w:rPr>
        <w:t xml:space="preserve">and the explanatory statement provide strong justification </w:t>
      </w:r>
      <w:r w:rsidRPr="009849F1">
        <w:rPr>
          <w:lang w:eastAsia="en-US"/>
        </w:rPr>
        <w:lastRenderedPageBreak/>
        <w:t>for the need to include such a provision in a legislative instrument other than regulations, and set out the factors that are relevant to that justification.</w:t>
      </w:r>
    </w:p>
    <w:p w:rsidR="0043701C" w:rsidRPr="009849F1" w:rsidRDefault="0043701C" w:rsidP="0043701C">
      <w:pPr>
        <w:pStyle w:val="BodyNum"/>
      </w:pPr>
      <w:r w:rsidRPr="009849F1">
        <w:t>In this case, the instrument</w:t>
      </w:r>
      <w:r w:rsidR="00FD1CAC">
        <w:t>-</w:t>
      </w:r>
      <w:r w:rsidRPr="009849F1">
        <w:t>making power may include something along the following lines:</w:t>
      </w:r>
    </w:p>
    <w:p w:rsidR="0043701C" w:rsidRPr="009849F1" w:rsidRDefault="0043701C" w:rsidP="0043701C">
      <w:pPr>
        <w:pStyle w:val="subsection"/>
      </w:pPr>
      <w:r w:rsidRPr="009849F1">
        <w:tab/>
        <w:t>(2)</w:t>
      </w:r>
      <w:r w:rsidRPr="009849F1">
        <w:tab/>
        <w:t>The [</w:t>
      </w:r>
      <w:r w:rsidRPr="009849F1">
        <w:rPr>
          <w:i/>
        </w:rPr>
        <w:t>name of instrument e.g. rules</w:t>
      </w:r>
      <w:r w:rsidRPr="009849F1">
        <w:t>] may [</w:t>
      </w:r>
      <w:r w:rsidRPr="009849F1">
        <w:rPr>
          <w:i/>
        </w:rPr>
        <w:t>include description of exception e.g. impose a tax</w:t>
      </w:r>
      <w:r w:rsidRPr="009849F1">
        <w:t>].</w:t>
      </w:r>
    </w:p>
    <w:p w:rsidR="0043701C" w:rsidRPr="009849F1" w:rsidRDefault="0043701C" w:rsidP="0043701C">
      <w:pPr>
        <w:pStyle w:val="subsection"/>
      </w:pPr>
      <w:r w:rsidRPr="009849F1">
        <w:tab/>
        <w:t>(3)</w:t>
      </w:r>
      <w:r w:rsidRPr="009849F1">
        <w:tab/>
        <w:t>However, to avoid doubt, the [</w:t>
      </w:r>
      <w:r w:rsidRPr="009849F1">
        <w:rPr>
          <w:i/>
        </w:rPr>
        <w:t>name of legislative instrument (e.g. rules)</w:t>
      </w:r>
      <w:r w:rsidRPr="009849F1">
        <w:t>] may not do the following:</w:t>
      </w:r>
    </w:p>
    <w:p w:rsidR="0043701C" w:rsidRPr="009849F1" w:rsidRDefault="0043701C" w:rsidP="0043701C">
      <w:pPr>
        <w:pStyle w:val="paragraph"/>
      </w:pPr>
      <w:bookmarkStart w:id="18" w:name="_Ref391964565"/>
      <w:bookmarkStart w:id="19" w:name="_Ref396367678"/>
      <w:r w:rsidRPr="009849F1">
        <w:tab/>
        <w:t>(a)</w:t>
      </w:r>
      <w:r w:rsidRPr="009849F1">
        <w:tab/>
        <w:t>create an offence or civil penalty;</w:t>
      </w:r>
    </w:p>
    <w:p w:rsidR="0043701C" w:rsidRPr="009849F1" w:rsidRDefault="0043701C" w:rsidP="0043701C">
      <w:pPr>
        <w:pStyle w:val="paragraph"/>
      </w:pPr>
      <w:r w:rsidRPr="009849F1">
        <w:tab/>
        <w:t>(b)</w:t>
      </w:r>
      <w:r w:rsidRPr="009849F1">
        <w:tab/>
        <w:t>provide powers of:</w:t>
      </w:r>
    </w:p>
    <w:p w:rsidR="0043701C" w:rsidRPr="009849F1" w:rsidRDefault="0043701C" w:rsidP="0043701C">
      <w:pPr>
        <w:pStyle w:val="paragraphsub"/>
      </w:pPr>
      <w:r w:rsidRPr="009849F1">
        <w:tab/>
        <w:t>(i)</w:t>
      </w:r>
      <w:r w:rsidRPr="009849F1">
        <w:tab/>
        <w:t>arrest or detention; or</w:t>
      </w:r>
    </w:p>
    <w:p w:rsidR="0043701C" w:rsidRPr="009849F1" w:rsidRDefault="0043701C" w:rsidP="0043701C">
      <w:pPr>
        <w:pStyle w:val="paragraphsub"/>
      </w:pPr>
      <w:r w:rsidRPr="009849F1">
        <w:tab/>
        <w:t>(ii)</w:t>
      </w:r>
      <w:r w:rsidRPr="009849F1">
        <w:tab/>
        <w:t>entry, search or seizure;</w:t>
      </w:r>
    </w:p>
    <w:p w:rsidR="0043701C" w:rsidRPr="009849F1" w:rsidRDefault="0043701C" w:rsidP="0043701C">
      <w:pPr>
        <w:pStyle w:val="paragraph"/>
      </w:pPr>
      <w:r w:rsidRPr="009849F1">
        <w:tab/>
        <w:t>(c)</w:t>
      </w:r>
      <w:r w:rsidRPr="009849F1">
        <w:tab/>
        <w:t>[</w:t>
      </w:r>
      <w:r w:rsidRPr="009849F1">
        <w:rPr>
          <w:i/>
        </w:rPr>
        <w:t>for Acts, but not Ordinances</w:t>
      </w:r>
      <w:r w:rsidRPr="009849F1">
        <w:t>] set an amount to be appropriated from the Consolidated Revenue Fund under an appropriation in this Act;</w:t>
      </w:r>
    </w:p>
    <w:p w:rsidR="0043701C" w:rsidRPr="009849F1" w:rsidRDefault="0043701C" w:rsidP="0043701C">
      <w:pPr>
        <w:pStyle w:val="paragraph"/>
      </w:pPr>
      <w:r w:rsidRPr="009849F1">
        <w:tab/>
        <w:t>(d)</w:t>
      </w:r>
      <w:r w:rsidRPr="009849F1">
        <w:tab/>
        <w:t>directly amend the text of this [</w:t>
      </w:r>
      <w:r w:rsidRPr="009849F1">
        <w:rPr>
          <w:i/>
        </w:rPr>
        <w:t>Act/Ordinance</w:t>
      </w:r>
      <w:r w:rsidRPr="009849F1">
        <w:t>].</w:t>
      </w:r>
    </w:p>
    <w:p w:rsidR="0043701C" w:rsidRPr="009849F1" w:rsidRDefault="0043701C" w:rsidP="0043701C">
      <w:pPr>
        <w:pStyle w:val="BodyNum"/>
      </w:pPr>
      <w:bookmarkStart w:id="20" w:name="_Ref405478421"/>
      <w:r w:rsidRPr="009849F1">
        <w:t>In this case, subsection (3) has been modified to remove the reference to imposing a tax. You will need to modify your provisions according to your requirements.</w:t>
      </w:r>
      <w:bookmarkEnd w:id="18"/>
      <w:bookmarkEnd w:id="19"/>
      <w:bookmarkEnd w:id="20"/>
    </w:p>
    <w:p w:rsidR="0043701C" w:rsidRPr="009849F1" w:rsidRDefault="0043701C" w:rsidP="009849F1">
      <w:pPr>
        <w:pStyle w:val="Head4"/>
      </w:pPr>
      <w:bookmarkStart w:id="21" w:name="_Toc43196570"/>
      <w:r w:rsidRPr="009849F1">
        <w:t>Standard form of instrument</w:t>
      </w:r>
      <w:r w:rsidR="00FD1CAC">
        <w:t>-</w:t>
      </w:r>
      <w:r w:rsidRPr="009849F1">
        <w:t>making power where there are 2 powers</w:t>
      </w:r>
      <w:bookmarkEnd w:id="21"/>
    </w:p>
    <w:p w:rsidR="0043701C" w:rsidRPr="009849F1" w:rsidRDefault="0043701C" w:rsidP="0043701C">
      <w:pPr>
        <w:pStyle w:val="BodyNum"/>
      </w:pPr>
      <w:bookmarkStart w:id="22" w:name="_Ref395187362"/>
      <w:r w:rsidRPr="009849F1">
        <w:t>It is possible that there may be 2 (or possibly more) general instrument</w:t>
      </w:r>
      <w:r w:rsidR="00FD1CAC">
        <w:t>-</w:t>
      </w:r>
      <w:r w:rsidRPr="009849F1">
        <w:t>making powers, (e.g. because different people are to have power to make instruments about different matters), although 2 instrument</w:t>
      </w:r>
      <w:r w:rsidR="00FD1CAC">
        <w:t>-</w:t>
      </w:r>
      <w:r w:rsidRPr="009849F1">
        <w:t xml:space="preserve">making powers should be included in an Act only after discussing the issue with </w:t>
      </w:r>
      <w:r w:rsidR="0059155C">
        <w:t>the head drafter</w:t>
      </w:r>
      <w:r w:rsidRPr="009849F1">
        <w:t>. In this case, each instrument</w:t>
      </w:r>
      <w:r w:rsidR="00FD1CAC">
        <w:t>-</w:t>
      </w:r>
      <w:r w:rsidRPr="009849F1">
        <w:t>making power will need its own special label for instruments made under the power.</w:t>
      </w:r>
      <w:bookmarkEnd w:id="22"/>
      <w:r w:rsidRPr="009849F1">
        <w:t xml:space="preserve"> (See for example subsection 5(1) of the </w:t>
      </w:r>
      <w:r w:rsidRPr="009849F1">
        <w:rPr>
          <w:i/>
        </w:rPr>
        <w:t>Farm Household Support Act 2014</w:t>
      </w:r>
      <w:r w:rsidRPr="009849F1">
        <w:t>.)</w:t>
      </w:r>
    </w:p>
    <w:p w:rsidR="0043701C" w:rsidRPr="009849F1" w:rsidRDefault="0043701C" w:rsidP="0043701C">
      <w:pPr>
        <w:pStyle w:val="BodyNum"/>
      </w:pPr>
      <w:bookmarkStart w:id="23" w:name="_Ref395187302"/>
      <w:r w:rsidRPr="009849F1">
        <w:t>As a general rule, where there are 2 instrument</w:t>
      </w:r>
      <w:r w:rsidR="00FD1CAC">
        <w:t>-</w:t>
      </w:r>
      <w:r w:rsidRPr="009849F1">
        <w:t>making powers, each power should be in the standard form and contain a power to prescribe necessary or convenient matters. Consequently, 2 rule</w:t>
      </w:r>
      <w:r w:rsidR="00FD1CAC">
        <w:t>-</w:t>
      </w:r>
      <w:r w:rsidRPr="009849F1">
        <w:t>making powers would take the following form:</w:t>
      </w:r>
      <w:bookmarkEnd w:id="23"/>
    </w:p>
    <w:p w:rsidR="0043701C" w:rsidRPr="009849F1" w:rsidRDefault="0043701C" w:rsidP="0043701C">
      <w:pPr>
        <w:pStyle w:val="subsection"/>
      </w:pPr>
      <w:r w:rsidRPr="009849F1">
        <w:tab/>
        <w:t>( )</w:t>
      </w:r>
      <w:r w:rsidRPr="009849F1">
        <w:tab/>
        <w:t>The [</w:t>
      </w:r>
      <w:r w:rsidRPr="009849F1">
        <w:rPr>
          <w:i/>
        </w:rPr>
        <w:t>maker e.g. Minister</w:t>
      </w:r>
      <w:r w:rsidRPr="009849F1">
        <w:t>] may, by legislative instrument, make [</w:t>
      </w:r>
      <w:r w:rsidRPr="009849F1">
        <w:rPr>
          <w:i/>
        </w:rPr>
        <w:t>name of legislative instrument (e.g. rules)</w:t>
      </w:r>
      <w:r w:rsidRPr="009849F1">
        <w:t>] prescribing matters:</w:t>
      </w:r>
    </w:p>
    <w:p w:rsidR="0043701C" w:rsidRPr="009849F1" w:rsidRDefault="0043701C" w:rsidP="0043701C">
      <w:pPr>
        <w:pStyle w:val="paragraph"/>
      </w:pPr>
      <w:r w:rsidRPr="009849F1">
        <w:tab/>
        <w:t>(a)</w:t>
      </w:r>
      <w:r w:rsidRPr="009849F1">
        <w:tab/>
        <w:t>required or permitted by this [</w:t>
      </w:r>
      <w:r w:rsidRPr="009849F1">
        <w:rPr>
          <w:i/>
        </w:rPr>
        <w:t>Act/Ordinance</w:t>
      </w:r>
      <w:r w:rsidRPr="009849F1">
        <w:t>] to be prescribed by the [</w:t>
      </w:r>
      <w:r w:rsidRPr="009849F1">
        <w:rPr>
          <w:i/>
        </w:rPr>
        <w:t>name of legislative instrument (e.g. rules)</w:t>
      </w:r>
      <w:r w:rsidRPr="009849F1">
        <w:t>]; or</w:t>
      </w:r>
    </w:p>
    <w:p w:rsidR="0043701C" w:rsidRPr="009849F1" w:rsidRDefault="0043701C" w:rsidP="0043701C">
      <w:pPr>
        <w:pStyle w:val="paragraph"/>
      </w:pPr>
      <w:r w:rsidRPr="009849F1">
        <w:tab/>
        <w:t>(b)</w:t>
      </w:r>
      <w:r w:rsidRPr="009849F1">
        <w:tab/>
        <w:t>necessary or convenient to be prescribed for carrying out or giving effect to this [</w:t>
      </w:r>
      <w:r w:rsidRPr="009849F1">
        <w:rPr>
          <w:i/>
        </w:rPr>
        <w:t>Act/Ordinance</w:t>
      </w:r>
      <w:r w:rsidRPr="009849F1">
        <w:t>].</w:t>
      </w:r>
    </w:p>
    <w:p w:rsidR="0043701C" w:rsidRPr="009849F1" w:rsidRDefault="0043701C" w:rsidP="0043701C">
      <w:pPr>
        <w:pStyle w:val="subsection"/>
      </w:pPr>
      <w:r w:rsidRPr="009849F1">
        <w:tab/>
        <w:t>( )</w:t>
      </w:r>
      <w:r w:rsidRPr="009849F1">
        <w:tab/>
        <w:t>The [</w:t>
      </w:r>
      <w:r w:rsidRPr="009849F1">
        <w:rPr>
          <w:i/>
        </w:rPr>
        <w:t>maker e.g. Secretary</w:t>
      </w:r>
      <w:r w:rsidRPr="009849F1">
        <w:t>] may, by legislative instrument, make [</w:t>
      </w:r>
      <w:r w:rsidRPr="009849F1">
        <w:rPr>
          <w:i/>
        </w:rPr>
        <w:t>name of legislative instrument</w:t>
      </w:r>
      <w:r w:rsidRPr="009849F1">
        <w:t>] prescribing matters:</w:t>
      </w:r>
    </w:p>
    <w:p w:rsidR="0043701C" w:rsidRPr="009849F1" w:rsidRDefault="0043701C" w:rsidP="0043701C">
      <w:pPr>
        <w:pStyle w:val="paragraph"/>
      </w:pPr>
      <w:r w:rsidRPr="009849F1">
        <w:tab/>
        <w:t>(a)</w:t>
      </w:r>
      <w:r w:rsidRPr="009849F1">
        <w:tab/>
        <w:t>required or permitted by this [</w:t>
      </w:r>
      <w:r w:rsidRPr="009849F1">
        <w:rPr>
          <w:i/>
        </w:rPr>
        <w:t>Act/Ordinance</w:t>
      </w:r>
      <w:r w:rsidRPr="009849F1">
        <w:t>] to be prescribed by the [</w:t>
      </w:r>
      <w:r w:rsidRPr="009849F1">
        <w:rPr>
          <w:i/>
        </w:rPr>
        <w:t>name of legislative instrument (e.g. rules)</w:t>
      </w:r>
      <w:r w:rsidRPr="009849F1">
        <w:t>]; or</w:t>
      </w:r>
    </w:p>
    <w:p w:rsidR="0043701C" w:rsidRPr="009849F1" w:rsidRDefault="0043701C" w:rsidP="0043701C">
      <w:pPr>
        <w:pStyle w:val="paragraph"/>
      </w:pPr>
      <w:r w:rsidRPr="009849F1">
        <w:tab/>
        <w:t>(b)</w:t>
      </w:r>
      <w:r w:rsidRPr="009849F1">
        <w:tab/>
        <w:t>necessary or convenient to be prescribed for carrying out or giving effect to this [</w:t>
      </w:r>
      <w:r w:rsidRPr="009849F1">
        <w:rPr>
          <w:i/>
        </w:rPr>
        <w:t>Act/Ordinance</w:t>
      </w:r>
      <w:r w:rsidRPr="009849F1">
        <w:t>].</w:t>
      </w:r>
    </w:p>
    <w:p w:rsidR="0043701C" w:rsidRPr="009849F1" w:rsidRDefault="0043701C" w:rsidP="0043701C">
      <w:pPr>
        <w:pStyle w:val="BodyNum"/>
      </w:pPr>
      <w:r w:rsidRPr="009849F1">
        <w:t xml:space="preserve">You will also need to include a provision of a kind described in paragraphs </w:t>
      </w:r>
      <w:r w:rsidR="00223A1F">
        <w:t>26</w:t>
      </w:r>
      <w:r w:rsidRPr="009849F1">
        <w:t xml:space="preserve"> to </w:t>
      </w:r>
      <w:r w:rsidR="00223A1F">
        <w:t>32</w:t>
      </w:r>
      <w:r w:rsidRPr="009849F1">
        <w:t xml:space="preserve">, and </w:t>
      </w:r>
      <w:r w:rsidR="00223A1F">
        <w:t>37</w:t>
      </w:r>
      <w:r w:rsidRPr="009849F1">
        <w:t xml:space="preserve"> and </w:t>
      </w:r>
      <w:r w:rsidR="00223A1F">
        <w:t>38</w:t>
      </w:r>
      <w:r w:rsidRPr="009849F1">
        <w:t>. The provision will need to refer to both sets of rules.</w:t>
      </w:r>
    </w:p>
    <w:p w:rsidR="0043701C" w:rsidRPr="009849F1" w:rsidRDefault="0043701C" w:rsidP="0043701C">
      <w:pPr>
        <w:pStyle w:val="BodyNum"/>
      </w:pPr>
      <w:r w:rsidRPr="009849F1">
        <w:lastRenderedPageBreak/>
        <w:t>It is possible that there may be both a general instrument</w:t>
      </w:r>
      <w:r w:rsidR="00FD1CAC">
        <w:t>-</w:t>
      </w:r>
      <w:r w:rsidRPr="009849F1">
        <w:t>making power, and one or more other specific instrument</w:t>
      </w:r>
      <w:r w:rsidR="00FD1CAC">
        <w:t>-</w:t>
      </w:r>
      <w:r w:rsidRPr="009849F1">
        <w:t>making powers (e.g. because there are special regimes for the making of the specific instruments, or because instructors want the special regime to result in a stand</w:t>
      </w:r>
      <w:r w:rsidR="00FD1CAC">
        <w:t>-</w:t>
      </w:r>
      <w:r w:rsidRPr="009849F1">
        <w:t>alone instrument for some reason). Of course, just as with a general regulation</w:t>
      </w:r>
      <w:r w:rsidR="00FD1CAC">
        <w:t>-</w:t>
      </w:r>
      <w:r w:rsidRPr="009849F1">
        <w:t>making power, the fact that there is a single general instrument</w:t>
      </w:r>
      <w:r w:rsidR="00FD1CAC">
        <w:t>-</w:t>
      </w:r>
      <w:r w:rsidRPr="009849F1">
        <w:t>making power does not mean that everything that can be prescribed under the power has to be included in the same instrument made under that power.</w:t>
      </w:r>
    </w:p>
    <w:p w:rsidR="0043701C" w:rsidRPr="009849F1" w:rsidRDefault="0043701C" w:rsidP="009849F1">
      <w:pPr>
        <w:pStyle w:val="Head4"/>
      </w:pPr>
      <w:bookmarkStart w:id="24" w:name="_Toc43196571"/>
      <w:r w:rsidRPr="009849F1">
        <w:t>Provision dealing with inconsistency where there are 2 powers</w:t>
      </w:r>
      <w:bookmarkEnd w:id="24"/>
    </w:p>
    <w:p w:rsidR="0043701C" w:rsidRPr="009849F1" w:rsidRDefault="0043701C" w:rsidP="0043701C">
      <w:pPr>
        <w:pStyle w:val="BodyNum"/>
      </w:pPr>
      <w:bookmarkStart w:id="25" w:name="_Ref395187453"/>
      <w:r w:rsidRPr="009849F1">
        <w:t>As mentioned, it is possible that an Act may contain:</w:t>
      </w:r>
      <w:bookmarkEnd w:id="25"/>
    </w:p>
    <w:p w:rsidR="0043701C" w:rsidRPr="009849F1" w:rsidRDefault="0043701C" w:rsidP="0043701C">
      <w:pPr>
        <w:pStyle w:val="BodyPara"/>
      </w:pPr>
      <w:r w:rsidRPr="009849F1">
        <w:t>a regulation</w:t>
      </w:r>
      <w:r w:rsidR="00FD1CAC">
        <w:t>-</w:t>
      </w:r>
      <w:r w:rsidRPr="009849F1">
        <w:t>making power and an instrument</w:t>
      </w:r>
      <w:r w:rsidR="00FD1CAC">
        <w:t>-</w:t>
      </w:r>
      <w:r w:rsidRPr="009849F1">
        <w:t>making power; or</w:t>
      </w:r>
    </w:p>
    <w:p w:rsidR="0043701C" w:rsidRPr="009849F1" w:rsidRDefault="0043701C" w:rsidP="0043701C">
      <w:pPr>
        <w:pStyle w:val="BodyPara"/>
      </w:pPr>
      <w:r w:rsidRPr="009849F1">
        <w:t>2 instrument</w:t>
      </w:r>
      <w:r w:rsidR="00FD1CAC">
        <w:t>-</w:t>
      </w:r>
      <w:r w:rsidRPr="009849F1">
        <w:t>making powers.</w:t>
      </w:r>
    </w:p>
    <w:p w:rsidR="0043701C" w:rsidRPr="009849F1" w:rsidRDefault="0043701C" w:rsidP="0043701C">
      <w:pPr>
        <w:pStyle w:val="BodyNum"/>
      </w:pPr>
      <w:bookmarkStart w:id="26" w:name="_Ref395187471"/>
      <w:r w:rsidRPr="009849F1">
        <w:t>In such a case, you should include a provision that clarifies which instrument is to prevail in the event of an inconsistency. If one of the instruments is regulations, then, as a general rule, the regulations should prevail. If one of the instruments is Ministerial rules, and the other is another person’s rules, the Ministerial rules should prevail. A provision along the following lines should be included:</w:t>
      </w:r>
      <w:bookmarkEnd w:id="26"/>
    </w:p>
    <w:p w:rsidR="0043701C" w:rsidRPr="009849F1" w:rsidRDefault="0043701C" w:rsidP="0043701C">
      <w:pPr>
        <w:pStyle w:val="subsection"/>
        <w:rPr>
          <w:color w:val="000000"/>
        </w:rPr>
      </w:pPr>
      <w:r w:rsidRPr="009849F1">
        <w:rPr>
          <w:color w:val="000000"/>
        </w:rPr>
        <w:tab/>
        <w:t>( )</w:t>
      </w:r>
      <w:r w:rsidRPr="009849F1">
        <w:rPr>
          <w:color w:val="000000"/>
        </w:rPr>
        <w:tab/>
      </w:r>
      <w:r w:rsidRPr="009849F1">
        <w:rPr>
          <w:i/>
          <w:color w:val="000000"/>
        </w:rPr>
        <w:t>[Rules]</w:t>
      </w:r>
      <w:r w:rsidRPr="009849F1">
        <w:rPr>
          <w:color w:val="000000"/>
        </w:rPr>
        <w:t xml:space="preserve"> that are inconsistent with the </w:t>
      </w:r>
      <w:r w:rsidRPr="009849F1">
        <w:rPr>
          <w:i/>
          <w:color w:val="000000"/>
        </w:rPr>
        <w:t xml:space="preserve">[regulations] </w:t>
      </w:r>
      <w:r w:rsidRPr="009849F1">
        <w:rPr>
          <w:color w:val="000000"/>
        </w:rPr>
        <w:t xml:space="preserve">have no effect to the extent of the inconsistency, but </w:t>
      </w:r>
      <w:r w:rsidRPr="009849F1">
        <w:rPr>
          <w:i/>
          <w:color w:val="000000"/>
        </w:rPr>
        <w:t xml:space="preserve">[rules] </w:t>
      </w:r>
      <w:r w:rsidRPr="009849F1">
        <w:rPr>
          <w:color w:val="000000"/>
        </w:rPr>
        <w:t xml:space="preserve">are taken to be consistent with the </w:t>
      </w:r>
      <w:r w:rsidRPr="009849F1">
        <w:rPr>
          <w:i/>
          <w:color w:val="000000"/>
        </w:rPr>
        <w:t xml:space="preserve">[regulations] </w:t>
      </w:r>
      <w:r w:rsidRPr="009849F1">
        <w:rPr>
          <w:color w:val="000000"/>
        </w:rPr>
        <w:t xml:space="preserve">to the extent that </w:t>
      </w:r>
      <w:r w:rsidRPr="009849F1">
        <w:rPr>
          <w:i/>
          <w:color w:val="000000"/>
        </w:rPr>
        <w:t xml:space="preserve">[the rules] </w:t>
      </w:r>
      <w:r w:rsidRPr="009849F1">
        <w:rPr>
          <w:color w:val="000000"/>
        </w:rPr>
        <w:t xml:space="preserve">are capable of operating concurrently with the </w:t>
      </w:r>
      <w:r w:rsidRPr="009849F1">
        <w:rPr>
          <w:i/>
          <w:color w:val="000000"/>
        </w:rPr>
        <w:t>[regulations]</w:t>
      </w:r>
      <w:r w:rsidRPr="009849F1">
        <w:rPr>
          <w:color w:val="000000"/>
        </w:rPr>
        <w:t>.</w:t>
      </w:r>
    </w:p>
    <w:p w:rsidR="0043701C" w:rsidRPr="009849F1" w:rsidRDefault="0043701C" w:rsidP="0043701C">
      <w:pPr>
        <w:pStyle w:val="BodyNum"/>
      </w:pPr>
      <w:r w:rsidRPr="009849F1">
        <w:t xml:space="preserve">If, in a particular case, </w:t>
      </w:r>
      <w:r w:rsidR="00EE54CF">
        <w:t xml:space="preserve">you </w:t>
      </w:r>
      <w:r w:rsidRPr="009849F1">
        <w:t xml:space="preserve">decide not to include such a provision, or to provide a different order of precedence, </w:t>
      </w:r>
      <w:r w:rsidR="00EE54CF">
        <w:t>you</w:t>
      </w:r>
      <w:r w:rsidRPr="009849F1">
        <w:t xml:space="preserve"> should advise instructors that the reason for this will need to be explained in the explanatory memorandum.</w:t>
      </w:r>
    </w:p>
    <w:p w:rsidR="0043701C" w:rsidRPr="009849F1" w:rsidRDefault="0043701C" w:rsidP="009849F1">
      <w:pPr>
        <w:pStyle w:val="Head4"/>
      </w:pPr>
      <w:bookmarkStart w:id="27" w:name="_Toc43196572"/>
      <w:r w:rsidRPr="009849F1">
        <w:t>Standard form of regulation or instrument</w:t>
      </w:r>
      <w:r w:rsidR="00FD1CAC">
        <w:t>-</w:t>
      </w:r>
      <w:r w:rsidRPr="009849F1">
        <w:t>making power where there are preconditions for making subordinate legislation</w:t>
      </w:r>
      <w:bookmarkEnd w:id="27"/>
    </w:p>
    <w:p w:rsidR="0043701C" w:rsidRPr="009849F1" w:rsidRDefault="0043701C" w:rsidP="0043701C">
      <w:pPr>
        <w:pStyle w:val="BodyNum"/>
      </w:pPr>
      <w:r w:rsidRPr="009849F1">
        <w:t xml:space="preserve">If a provision sets out a precondition for the exercise of a power to make subordinate legislation, the provision should be drafted to make clear who has the responsibility for forming the opinion, or doing the thing, that is the precondition (see Drafting Direction </w:t>
      </w:r>
      <w:r w:rsidR="0092708A">
        <w:t xml:space="preserve">No. </w:t>
      </w:r>
      <w:r w:rsidRPr="009849F1">
        <w:t>3.4 for further details).</w:t>
      </w:r>
    </w:p>
    <w:p w:rsidR="0043701C" w:rsidRPr="009849F1" w:rsidRDefault="0043701C" w:rsidP="009849F1">
      <w:pPr>
        <w:pStyle w:val="Head3"/>
      </w:pPr>
      <w:bookmarkStart w:id="28" w:name="_Toc43196573"/>
      <w:r w:rsidRPr="009849F1">
        <w:t>Provisions for subordinate legislation to be made to do certain things</w:t>
      </w:r>
      <w:bookmarkEnd w:id="28"/>
    </w:p>
    <w:p w:rsidR="0043701C" w:rsidRPr="009849F1" w:rsidRDefault="0043701C" w:rsidP="009849F1">
      <w:pPr>
        <w:pStyle w:val="Head4"/>
      </w:pPr>
      <w:bookmarkStart w:id="29" w:name="_Toc43196574"/>
      <w:r w:rsidRPr="009849F1">
        <w:t>Provisions for subordinate legislation to modify or amend an Act</w:t>
      </w:r>
      <w:bookmarkEnd w:id="29"/>
    </w:p>
    <w:p w:rsidR="00DA1B43" w:rsidRDefault="0043701C" w:rsidP="00DA1B43">
      <w:pPr>
        <w:pStyle w:val="BodyNum"/>
      </w:pPr>
      <w:r w:rsidRPr="009849F1">
        <w:t>If you are considering drafting a provision allowing subordinate legislation (generally regulations) to make amendments or modifications of primary legislation, you must</w:t>
      </w:r>
      <w:r w:rsidR="0040591A">
        <w:t xml:space="preserve"> </w:t>
      </w:r>
      <w:r w:rsidR="00E309A7">
        <w:t>d</w:t>
      </w:r>
      <w:r w:rsidR="0059155C">
        <w:t>iscuss the matter first with the head drafte</w:t>
      </w:r>
      <w:r w:rsidR="0040591A">
        <w:t>r.</w:t>
      </w:r>
    </w:p>
    <w:p w:rsidR="0043701C" w:rsidRPr="009849F1" w:rsidRDefault="0043701C" w:rsidP="00DA1B43">
      <w:pPr>
        <w:pStyle w:val="BodyNum"/>
      </w:pPr>
      <w:r w:rsidRPr="009849F1">
        <w:t xml:space="preserve">You should make it clear whether the provision is authorising actual amendment, or is authorising modification, of the primary legislation. (See also the discussion in paragraphs </w:t>
      </w:r>
      <w:r w:rsidR="00223A1F">
        <w:t>3</w:t>
      </w:r>
      <w:r w:rsidRPr="009849F1">
        <w:t xml:space="preserve"> and </w:t>
      </w:r>
      <w:r w:rsidR="00223A1F">
        <w:t>26</w:t>
      </w:r>
      <w:r w:rsidRPr="009849F1">
        <w:t xml:space="preserve"> to </w:t>
      </w:r>
      <w:r w:rsidR="00223A1F">
        <w:t>32</w:t>
      </w:r>
      <w:r w:rsidRPr="009849F1">
        <w:t xml:space="preserve"> when choosing the type of legislative instrument to be used.)</w:t>
      </w:r>
    </w:p>
    <w:p w:rsidR="0043701C" w:rsidRPr="009849F1" w:rsidRDefault="0043701C" w:rsidP="0043701C">
      <w:pPr>
        <w:pStyle w:val="BodyNum"/>
      </w:pPr>
      <w:r w:rsidRPr="009849F1">
        <w:t xml:space="preserve">If you draft a provision allowing subordinate legislation to make modifications of primary legislation, you should be aware of the following definition in section 2B of the </w:t>
      </w:r>
      <w:r w:rsidRPr="009849F1">
        <w:rPr>
          <w:i/>
        </w:rPr>
        <w:t>Acts Interpretation Act 1901</w:t>
      </w:r>
      <w:r w:rsidRPr="009849F1">
        <w:t>:</w:t>
      </w:r>
    </w:p>
    <w:p w:rsidR="0043701C" w:rsidRPr="009849F1" w:rsidRDefault="0043701C" w:rsidP="0043701C">
      <w:pPr>
        <w:pStyle w:val="Definition"/>
      </w:pPr>
      <w:r w:rsidRPr="009849F1">
        <w:rPr>
          <w:b/>
          <w:i/>
        </w:rPr>
        <w:lastRenderedPageBreak/>
        <w:t>modifications</w:t>
      </w:r>
      <w:r w:rsidRPr="009849F1">
        <w:t>, in relation to a law, includes additions, omissions and substitutions.</w:t>
      </w:r>
    </w:p>
    <w:p w:rsidR="0043701C" w:rsidRPr="002D6E36" w:rsidRDefault="0043701C" w:rsidP="002D6E36">
      <w:pPr>
        <w:pStyle w:val="BodyNum"/>
      </w:pPr>
      <w:r w:rsidRPr="009849F1">
        <w:t>Although a pr</w:t>
      </w:r>
      <w:r w:rsidRPr="002D6E36">
        <w:t>ovision in primary legislation authorising the modification of the legislation by subordinate legislation would not ordinarily be construed as authorising an increase in a penalty, it should be made clear in such a provision that it does not extend to a modification by way of increasing a penalty provided for in the primary legislation. Any such prov</w:t>
      </w:r>
      <w:r w:rsidR="00767A75" w:rsidRPr="002D6E36">
        <w:t xml:space="preserve">ision should be </w:t>
      </w:r>
      <w:r w:rsidR="002D6E36">
        <w:t xml:space="preserve">discussed with the </w:t>
      </w:r>
      <w:r w:rsidR="00FD5DC1">
        <w:t xml:space="preserve">appropriate area of </w:t>
      </w:r>
      <w:r w:rsidR="002D6E36">
        <w:t>AGD.</w:t>
      </w:r>
    </w:p>
    <w:p w:rsidR="0043701C" w:rsidRPr="009849F1" w:rsidRDefault="0043701C" w:rsidP="009849F1">
      <w:pPr>
        <w:pStyle w:val="Head4"/>
        <w:rPr>
          <w:rFonts w:eastAsia="Calibri"/>
        </w:rPr>
      </w:pPr>
      <w:bookmarkStart w:id="30" w:name="_Toc43196575"/>
      <w:r w:rsidRPr="009849F1">
        <w:rPr>
          <w:rFonts w:eastAsia="Calibri"/>
        </w:rPr>
        <w:t>Provisions for subordinate legislation to provide for transitional matters</w:t>
      </w:r>
      <w:bookmarkEnd w:id="30"/>
    </w:p>
    <w:p w:rsidR="0043701C" w:rsidRPr="009849F1" w:rsidRDefault="0043701C" w:rsidP="0043701C">
      <w:pPr>
        <w:pStyle w:val="BodyNum"/>
        <w:rPr>
          <w:rFonts w:eastAsia="Calibri"/>
        </w:rPr>
      </w:pPr>
      <w:r w:rsidRPr="009849F1">
        <w:rPr>
          <w:rFonts w:eastAsia="Calibri"/>
        </w:rPr>
        <w:t>It is common with new schemes, or significant amendments to existing schemes, to provide an instrument</w:t>
      </w:r>
      <w:r w:rsidR="00FD1CAC">
        <w:rPr>
          <w:rFonts w:eastAsia="Calibri"/>
        </w:rPr>
        <w:t>-</w:t>
      </w:r>
      <w:r w:rsidRPr="009849F1">
        <w:rPr>
          <w:rFonts w:eastAsia="Calibri"/>
        </w:rPr>
        <w:t>making power that allows for transitional matters to be dealt with. The standard provision for this where there are significant amendments to an existing scheme is:</w:t>
      </w:r>
    </w:p>
    <w:p w:rsidR="0043701C" w:rsidRPr="009849F1" w:rsidRDefault="0043701C" w:rsidP="0043701C">
      <w:pPr>
        <w:pStyle w:val="subsection"/>
        <w:rPr>
          <w:rFonts w:eastAsia="Calibri"/>
        </w:rPr>
      </w:pPr>
      <w:r w:rsidRPr="009849F1">
        <w:rPr>
          <w:rFonts w:eastAsia="Calibri"/>
        </w:rPr>
        <w:tab/>
        <w:t>(1)</w:t>
      </w:r>
      <w:r w:rsidRPr="009849F1">
        <w:rPr>
          <w:rFonts w:eastAsia="Calibri"/>
        </w:rPr>
        <w:tab/>
        <w:t xml:space="preserve">The </w:t>
      </w:r>
      <w:r w:rsidRPr="009849F1">
        <w:rPr>
          <w:rFonts w:eastAsia="Calibri"/>
          <w:i/>
          <w:iCs/>
        </w:rPr>
        <w:t xml:space="preserve">[maker e.g. Minister] </w:t>
      </w:r>
      <w:r w:rsidRPr="009849F1">
        <w:rPr>
          <w:rFonts w:eastAsia="Calibri"/>
        </w:rPr>
        <w:t xml:space="preserve">may, by legislative instrument, make rules prescribing matters of a transitional nature (including prescribing any saving or application provisions) relating to the amendments or repeals made by this </w:t>
      </w:r>
      <w:r w:rsidRPr="009849F1">
        <w:rPr>
          <w:rFonts w:eastAsia="Calibri"/>
          <w:i/>
          <w:iCs/>
        </w:rPr>
        <w:t>[Act/Ordinance]</w:t>
      </w:r>
      <w:r w:rsidRPr="009849F1">
        <w:rPr>
          <w:rFonts w:eastAsia="Calibri"/>
        </w:rPr>
        <w:t>.</w:t>
      </w:r>
    </w:p>
    <w:p w:rsidR="0043701C" w:rsidRPr="009849F1" w:rsidRDefault="0043701C" w:rsidP="0043701C">
      <w:pPr>
        <w:pStyle w:val="BodyNum"/>
        <w:rPr>
          <w:rFonts w:eastAsia="Calibri"/>
        </w:rPr>
      </w:pPr>
      <w:r w:rsidRPr="009849F1">
        <w:rPr>
          <w:rFonts w:eastAsia="Calibri"/>
        </w:rPr>
        <w:t>If a new principal Act or Ordinance is being enacted, the provision should take the following form:</w:t>
      </w:r>
    </w:p>
    <w:p w:rsidR="0043701C" w:rsidRPr="009849F1" w:rsidRDefault="0043701C" w:rsidP="0043701C">
      <w:pPr>
        <w:pStyle w:val="subsection"/>
        <w:rPr>
          <w:rFonts w:eastAsia="Calibri"/>
        </w:rPr>
      </w:pPr>
      <w:r w:rsidRPr="009849F1">
        <w:rPr>
          <w:rFonts w:eastAsia="Calibri"/>
        </w:rPr>
        <w:tab/>
        <w:t>(1)</w:t>
      </w:r>
      <w:r w:rsidRPr="009849F1">
        <w:rPr>
          <w:rFonts w:eastAsia="Calibri"/>
        </w:rPr>
        <w:tab/>
        <w:t xml:space="preserve">The </w:t>
      </w:r>
      <w:r w:rsidRPr="009849F1">
        <w:rPr>
          <w:rFonts w:eastAsia="Calibri"/>
          <w:i/>
          <w:iCs/>
        </w:rPr>
        <w:t xml:space="preserve">[maker e.g. Minister] </w:t>
      </w:r>
      <w:r w:rsidRPr="009849F1">
        <w:rPr>
          <w:rFonts w:eastAsia="Calibri"/>
        </w:rPr>
        <w:t>may, by legislative instrument, make rules prescribing matters of a transitional nature (including prescribing any saving or application provisions) relating to:</w:t>
      </w:r>
    </w:p>
    <w:p w:rsidR="0043701C" w:rsidRPr="009849F1" w:rsidRDefault="0043701C" w:rsidP="0043701C">
      <w:pPr>
        <w:pStyle w:val="paragraph"/>
        <w:rPr>
          <w:rFonts w:eastAsia="Calibri"/>
        </w:rPr>
      </w:pPr>
      <w:r w:rsidRPr="009849F1">
        <w:rPr>
          <w:rFonts w:eastAsia="Calibri"/>
        </w:rPr>
        <w:tab/>
        <w:t>(a)</w:t>
      </w:r>
      <w:r w:rsidRPr="009849F1">
        <w:rPr>
          <w:rFonts w:eastAsia="Calibri"/>
        </w:rPr>
        <w:tab/>
        <w:t xml:space="preserve">the amendments or repeals made by this </w:t>
      </w:r>
      <w:r w:rsidRPr="009849F1">
        <w:rPr>
          <w:rFonts w:eastAsia="Calibri"/>
          <w:i/>
          <w:iCs/>
        </w:rPr>
        <w:t>[Act/Ordinance]</w:t>
      </w:r>
      <w:r w:rsidRPr="009849F1">
        <w:rPr>
          <w:rFonts w:eastAsia="Calibri"/>
        </w:rPr>
        <w:t>; or</w:t>
      </w:r>
    </w:p>
    <w:p w:rsidR="0043701C" w:rsidRPr="009849F1" w:rsidRDefault="0043701C" w:rsidP="0043701C">
      <w:pPr>
        <w:pStyle w:val="paragraph"/>
        <w:rPr>
          <w:rFonts w:eastAsia="Calibri"/>
        </w:rPr>
      </w:pPr>
      <w:r w:rsidRPr="009849F1">
        <w:rPr>
          <w:rFonts w:eastAsia="Calibri"/>
        </w:rPr>
        <w:tab/>
        <w:t>(b)</w:t>
      </w:r>
      <w:r w:rsidRPr="009849F1">
        <w:rPr>
          <w:rFonts w:eastAsia="Calibri"/>
        </w:rPr>
        <w:tab/>
        <w:t xml:space="preserve">the enactment of this Act or the </w:t>
      </w:r>
      <w:r w:rsidRPr="009849F1">
        <w:rPr>
          <w:rFonts w:eastAsia="Calibri"/>
          <w:i/>
          <w:iCs/>
        </w:rPr>
        <w:t>[new principal Act/Ordinance]</w:t>
      </w:r>
      <w:r w:rsidRPr="009849F1">
        <w:rPr>
          <w:rFonts w:eastAsia="Calibri"/>
        </w:rPr>
        <w:t>.</w:t>
      </w:r>
    </w:p>
    <w:p w:rsidR="0043701C" w:rsidRPr="009849F1" w:rsidRDefault="0043701C" w:rsidP="0043701C">
      <w:pPr>
        <w:pStyle w:val="BodyNum"/>
        <w:rPr>
          <w:rFonts w:eastAsia="Calibri"/>
        </w:rPr>
      </w:pPr>
      <w:r w:rsidRPr="009849F1">
        <w:rPr>
          <w:rFonts w:eastAsia="Calibri"/>
        </w:rPr>
        <w:t>You could also consider including the following provision:</w:t>
      </w:r>
    </w:p>
    <w:p w:rsidR="0043701C" w:rsidRPr="009849F1" w:rsidRDefault="0043701C" w:rsidP="0043701C">
      <w:pPr>
        <w:pStyle w:val="subsection"/>
        <w:rPr>
          <w:rFonts w:eastAsia="Calibri"/>
        </w:rPr>
      </w:pPr>
      <w:r w:rsidRPr="009849F1">
        <w:rPr>
          <w:rFonts w:eastAsia="Calibri"/>
        </w:rPr>
        <w:tab/>
        <w:t>(3)</w:t>
      </w:r>
      <w:r w:rsidRPr="009849F1">
        <w:rPr>
          <w:rFonts w:eastAsia="Calibri"/>
        </w:rPr>
        <w:tab/>
        <w:t xml:space="preserve">This </w:t>
      </w:r>
      <w:r w:rsidRPr="009849F1">
        <w:rPr>
          <w:rFonts w:eastAsia="Calibri"/>
          <w:i/>
          <w:iCs/>
        </w:rPr>
        <w:t>[Act/Part etc. (other than subsection (2))]</w:t>
      </w:r>
      <w:r w:rsidRPr="009849F1">
        <w:rPr>
          <w:rFonts w:eastAsia="Calibri"/>
        </w:rPr>
        <w:t xml:space="preserve"> does not limit the rules that may be made for the purposes of </w:t>
      </w:r>
      <w:r w:rsidRPr="009849F1">
        <w:rPr>
          <w:rFonts w:eastAsia="Calibri"/>
          <w:i/>
          <w:iCs/>
        </w:rPr>
        <w:t>[subsection (1)]</w:t>
      </w:r>
      <w:r w:rsidRPr="009849F1">
        <w:rPr>
          <w:rFonts w:eastAsia="Calibri"/>
        </w:rPr>
        <w:t>.</w:t>
      </w:r>
    </w:p>
    <w:p w:rsidR="0043701C" w:rsidRPr="009849F1" w:rsidRDefault="0043701C" w:rsidP="0043701C">
      <w:pPr>
        <w:pStyle w:val="BodyNum"/>
        <w:rPr>
          <w:rFonts w:eastAsia="Calibri"/>
        </w:rPr>
      </w:pPr>
      <w:r w:rsidRPr="009849F1">
        <w:rPr>
          <w:rFonts w:eastAsia="Calibri"/>
        </w:rPr>
        <w:t xml:space="preserve">A provision of a kind referred to in paragraphs </w:t>
      </w:r>
      <w:r w:rsidR="00223A1F">
        <w:rPr>
          <w:rFonts w:eastAsia="Calibri"/>
        </w:rPr>
        <w:t>26</w:t>
      </w:r>
      <w:r w:rsidRPr="009849F1">
        <w:rPr>
          <w:rFonts w:eastAsia="Calibri"/>
        </w:rPr>
        <w:t xml:space="preserve"> to </w:t>
      </w:r>
      <w:r w:rsidR="00223A1F">
        <w:rPr>
          <w:rFonts w:eastAsia="Calibri"/>
        </w:rPr>
        <w:t>32</w:t>
      </w:r>
      <w:r w:rsidRPr="009849F1">
        <w:rPr>
          <w:rFonts w:eastAsia="Calibri"/>
        </w:rPr>
        <w:t xml:space="preserve"> should also be included.</w:t>
      </w:r>
    </w:p>
    <w:p w:rsidR="0043701C" w:rsidRPr="009849F1" w:rsidRDefault="0043701C" w:rsidP="009849F1">
      <w:pPr>
        <w:pStyle w:val="Head4"/>
      </w:pPr>
      <w:bookmarkStart w:id="31" w:name="_Toc43196576"/>
      <w:r w:rsidRPr="009849F1">
        <w:t>Provisions allowing subordinate legislation to incorporate material by reference</w:t>
      </w:r>
      <w:bookmarkEnd w:id="31"/>
    </w:p>
    <w:p w:rsidR="0043701C" w:rsidRPr="009849F1" w:rsidRDefault="0043701C" w:rsidP="0043701C">
      <w:pPr>
        <w:pStyle w:val="BodyNum"/>
      </w:pPr>
      <w:r w:rsidRPr="009849F1">
        <w:t xml:space="preserve">Section 14 of the LA deals with the extent to which a legislative instrument may apply, adopt or incorporate another document, without reproducing the text of </w:t>
      </w:r>
      <w:r w:rsidR="0040591A">
        <w:t>the document in the instrument.</w:t>
      </w:r>
    </w:p>
    <w:p w:rsidR="0043701C" w:rsidRPr="009849F1" w:rsidRDefault="0043701C" w:rsidP="009849F1">
      <w:pPr>
        <w:pStyle w:val="Head4"/>
      </w:pPr>
      <w:bookmarkStart w:id="32" w:name="_Toc43196577"/>
      <w:r w:rsidRPr="009849F1">
        <w:t>Provisions for subordinate legislation to specify things by reference to classes</w:t>
      </w:r>
      <w:bookmarkEnd w:id="32"/>
    </w:p>
    <w:p w:rsidR="0043701C" w:rsidRPr="009849F1" w:rsidRDefault="0043701C" w:rsidP="0043701C">
      <w:pPr>
        <w:pStyle w:val="BodyNum"/>
      </w:pPr>
      <w:bookmarkStart w:id="33" w:name="_Ref90172917"/>
      <w:r w:rsidRPr="009849F1">
        <w:t xml:space="preserve">There is no need to state expressly in primary legislation that subordinate legislation may specify things by reference to a class of things (see subsection 33(3AB) of the </w:t>
      </w:r>
      <w:r w:rsidRPr="009849F1">
        <w:rPr>
          <w:i/>
        </w:rPr>
        <w:t>Acts Interpretation Act 1901</w:t>
      </w:r>
      <w:r w:rsidRPr="009849F1">
        <w:t xml:space="preserve"> for non</w:t>
      </w:r>
      <w:r w:rsidR="00FD1CAC">
        <w:t>-</w:t>
      </w:r>
      <w:r w:rsidRPr="009849F1">
        <w:t>legislative instruments and section 13 of the LA for legislative instruments).</w:t>
      </w:r>
      <w:bookmarkEnd w:id="33"/>
    </w:p>
    <w:p w:rsidR="0043701C" w:rsidRPr="009849F1" w:rsidRDefault="0043701C" w:rsidP="009849F1">
      <w:pPr>
        <w:pStyle w:val="Head4"/>
      </w:pPr>
      <w:bookmarkStart w:id="34" w:name="_Toc43196578"/>
      <w:r w:rsidRPr="009849F1">
        <w:t>Drafting instruments for Bills</w:t>
      </w:r>
      <w:bookmarkEnd w:id="34"/>
    </w:p>
    <w:p w:rsidR="0043701C" w:rsidRPr="009849F1" w:rsidRDefault="0043701C" w:rsidP="0043701C">
      <w:pPr>
        <w:pStyle w:val="BodyNum"/>
      </w:pPr>
      <w:r w:rsidRPr="009849F1">
        <w:t xml:space="preserve">In some cases, it will be most appropriate and efficient for a Bill drafting team to draft both a Bill and instruments to be made under that Bill when enacted. This is particularly the case when the instructions for the Bill and instruments are combined, or when the policy for the content of the instruments is well developed at the time of issuing drafting instructions on the Bill. In other cases, it might be more appropriate for an instrument drafter to draft relevant </w:t>
      </w:r>
      <w:r w:rsidRPr="009849F1">
        <w:lastRenderedPageBreak/>
        <w:t xml:space="preserve">instruments for a Bill (although it might still be appropriate for the instrument drafter to be involved in the drafting of the Bill, such as by attending meetings on the Bill). </w:t>
      </w:r>
      <w:r w:rsidR="00F364F4">
        <w:t>The head drafter</w:t>
      </w:r>
      <w:r w:rsidRPr="009849F1">
        <w:t xml:space="preserve"> would discuss with drafters which approach to take when allocating instructions on the Bill.</w:t>
      </w:r>
    </w:p>
    <w:p w:rsidR="0043701C" w:rsidRPr="009849F1" w:rsidRDefault="0043701C" w:rsidP="009849F1">
      <w:pPr>
        <w:pStyle w:val="Head4"/>
      </w:pPr>
      <w:bookmarkStart w:id="35" w:name="_Toc43196579"/>
      <w:r w:rsidRPr="009849F1">
        <w:t>Scope of provisions</w:t>
      </w:r>
      <w:bookmarkEnd w:id="35"/>
    </w:p>
    <w:p w:rsidR="0043701C" w:rsidRPr="009849F1" w:rsidRDefault="0043701C" w:rsidP="0043701C">
      <w:pPr>
        <w:pStyle w:val="BodyNum"/>
      </w:pPr>
      <w:r w:rsidRPr="009849F1">
        <w:t xml:space="preserve">If you are not sure whether provisions of a draft Bill that provide for subordinate legislation are appropriate to allow subordinate legislation to be made to achieve the result that you understand your instructors want, you should discuss the matter with the head drafter or one of the instrument drafting team heads. This does not limit any requirement (under Drafting Direction </w:t>
      </w:r>
      <w:r w:rsidR="001C111A">
        <w:t xml:space="preserve">No. </w:t>
      </w:r>
      <w:r w:rsidRPr="009849F1">
        <w:t>4.2) to refer to AGD particular provisions conferring or affecting a power to make subordinate legislation.</w:t>
      </w:r>
    </w:p>
    <w:p w:rsidR="0043701C" w:rsidRPr="009849F1" w:rsidRDefault="0043701C" w:rsidP="009849F1">
      <w:pPr>
        <w:pStyle w:val="Head3"/>
      </w:pPr>
      <w:bookmarkStart w:id="36" w:name="_Toc43196580"/>
      <w:r w:rsidRPr="009849F1">
        <w:t>Repeal of provision conferring power to make subordinate legislation</w:t>
      </w:r>
      <w:bookmarkEnd w:id="36"/>
    </w:p>
    <w:p w:rsidR="00BE73AB" w:rsidRPr="00BE73AB" w:rsidRDefault="00BE73AB" w:rsidP="00BE73AB">
      <w:pPr>
        <w:pStyle w:val="Head4"/>
      </w:pPr>
      <w:bookmarkStart w:id="37" w:name="_Toc43196581"/>
      <w:r>
        <w:t>Transitional provision to continue subordinate legislation in force</w:t>
      </w:r>
      <w:bookmarkEnd w:id="37"/>
    </w:p>
    <w:p w:rsidR="0043701C" w:rsidRPr="009849F1" w:rsidRDefault="00D77842" w:rsidP="0043701C">
      <w:pPr>
        <w:pStyle w:val="BodyNum"/>
      </w:pPr>
      <w:r w:rsidRPr="009849F1">
        <w:t>If a provision giving a power to make subordinate legislation is repealed and replaced, it is wise to assume that the repeal will cause the instrument to lapse.</w:t>
      </w:r>
      <w:r>
        <w:t xml:space="preserve"> </w:t>
      </w:r>
      <w:r w:rsidR="0043701C" w:rsidRPr="009849F1">
        <w:t>If the policy is to continue the subordinate instrument in force, you will generally need to include a transitional provision. This may also be the case for some amendments of such powers.</w:t>
      </w:r>
    </w:p>
    <w:p w:rsidR="0043701C" w:rsidRPr="009849F1" w:rsidRDefault="0043701C" w:rsidP="0043701C">
      <w:pPr>
        <w:pStyle w:val="BodyNum"/>
      </w:pPr>
      <w:r w:rsidRPr="009849F1">
        <w:t>The following is an example of a transitional provision to continue an instrument in force in a case where the enabling provision has been repealed and replaced:</w:t>
      </w:r>
    </w:p>
    <w:p w:rsidR="00A9271A" w:rsidRPr="0071525C" w:rsidRDefault="00A9271A" w:rsidP="00A9271A">
      <w:pPr>
        <w:pStyle w:val="Transitional"/>
      </w:pPr>
      <w:r w:rsidRPr="0071525C">
        <w:t xml:space="preserve">19  Transitional—section 34 of the </w:t>
      </w:r>
      <w:r w:rsidRPr="00996600">
        <w:rPr>
          <w:i/>
        </w:rPr>
        <w:t>XYZ Act 1968</w:t>
      </w:r>
    </w:p>
    <w:p w:rsidR="0043701C" w:rsidRDefault="0043701C" w:rsidP="0043701C">
      <w:pPr>
        <w:pStyle w:val="Item"/>
      </w:pPr>
      <w:r w:rsidRPr="009849F1">
        <w:t xml:space="preserve">An instrument made under section 34 of the </w:t>
      </w:r>
      <w:r w:rsidRPr="009849F1">
        <w:rPr>
          <w:i/>
        </w:rPr>
        <w:t>XYZ Act 1968</w:t>
      </w:r>
      <w:r w:rsidRPr="009849F1">
        <w:t xml:space="preserve"> that was in force immediately before the commencement of this Act continues in force (and may be dealt with) as if it had been made under section 34 of that Act as amended by this Act.</w:t>
      </w:r>
    </w:p>
    <w:p w:rsidR="00BE73AB" w:rsidRPr="00BE73AB" w:rsidRDefault="00BE73AB" w:rsidP="00BE73AB">
      <w:pPr>
        <w:pStyle w:val="Head4"/>
      </w:pPr>
      <w:bookmarkStart w:id="38" w:name="_Toc43196582"/>
      <w:r>
        <w:t>Informing instructors of need to repeal subordinate legislation</w:t>
      </w:r>
      <w:bookmarkEnd w:id="38"/>
    </w:p>
    <w:p w:rsidR="00BE73AB" w:rsidRDefault="00BE73AB" w:rsidP="00BE73AB">
      <w:pPr>
        <w:pStyle w:val="BodyNum"/>
      </w:pPr>
      <w:r>
        <w:t xml:space="preserve">If </w:t>
      </w:r>
      <w:r w:rsidR="00EE54CF">
        <w:t xml:space="preserve">you are drafting legislation that repeals </w:t>
      </w:r>
      <w:r>
        <w:t>the enabling provision for an instrument (but not the who</w:t>
      </w:r>
      <w:r w:rsidR="000C23CC">
        <w:t>le of the enabling legislation)</w:t>
      </w:r>
      <w:r>
        <w:t xml:space="preserve">, </w:t>
      </w:r>
      <w:r w:rsidR="00EE54CF">
        <w:t>you</w:t>
      </w:r>
      <w:r>
        <w:t xml:space="preserve"> may</w:t>
      </w:r>
      <w:r w:rsidR="00EE54CF">
        <w:t xml:space="preserve"> </w:t>
      </w:r>
      <w:r>
        <w:t>need to arrange for the making of an instrument to repeal or amend the instrument</w:t>
      </w:r>
      <w:r w:rsidR="00EE54CF">
        <w:t xml:space="preserve"> to address the repeal of the enabling provision</w:t>
      </w:r>
      <w:r>
        <w:t>.</w:t>
      </w:r>
      <w:r w:rsidR="0097516A">
        <w:t xml:space="preserve"> </w:t>
      </w:r>
      <w:r>
        <w:t xml:space="preserve">If </w:t>
      </w:r>
      <w:r w:rsidR="00EE54CF">
        <w:t>y</w:t>
      </w:r>
      <w:r w:rsidR="007C7AB0">
        <w:t xml:space="preserve">ou </w:t>
      </w:r>
      <w:r w:rsidR="000C23CC">
        <w:t xml:space="preserve">do </w:t>
      </w:r>
      <w:r>
        <w:t>need to arrange for the ma</w:t>
      </w:r>
      <w:r w:rsidR="00EE54CF">
        <w:t>king of such an instrument, you</w:t>
      </w:r>
      <w:r>
        <w:t xml:space="preserve"> may wish to </w:t>
      </w:r>
      <w:r w:rsidR="007C7AB0">
        <w:t>inform your instructors of this in the following terms</w:t>
      </w:r>
      <w:r>
        <w:t>:</w:t>
      </w:r>
    </w:p>
    <w:p w:rsidR="00BE73AB" w:rsidRDefault="00BE73AB" w:rsidP="00BE73AB">
      <w:pPr>
        <w:pStyle w:val="Item"/>
      </w:pPr>
      <w:r>
        <w:t>The Bill will repeal enabling provisions in the [name of Act] that provide a legal basis for certain provisions in the [name of instrument]. Once these enabling provisions are repealed, these provisions in the [instrument] cease to have a legal effect unless supported by another provision. Whether or not this is the case may be difficult to ascertain and so they will remain on the Federal Register of Legislation together with provisions of the [instrument] that continue to have a legal effect. This could be quite confusing for users of the [instrument].</w:t>
      </w:r>
    </w:p>
    <w:p w:rsidR="00BE73AB" w:rsidRDefault="00BE73AB" w:rsidP="00BE73AB">
      <w:pPr>
        <w:pStyle w:val="BodyNum"/>
      </w:pPr>
      <w:r>
        <w:t>If the instrument is a regulation, the paragraph should then continue as follows:</w:t>
      </w:r>
    </w:p>
    <w:p w:rsidR="00BE73AB" w:rsidRDefault="00BE73AB" w:rsidP="00BE73AB">
      <w:pPr>
        <w:pStyle w:val="Item"/>
      </w:pPr>
      <w:r>
        <w:t>You should therefore provide instructions as soon as practicable on how to amend the [name of instrument] to deal with the provisions tha</w:t>
      </w:r>
      <w:r w:rsidR="00247990">
        <w:t xml:space="preserve">t are (or may be) ineffective. </w:t>
      </w:r>
      <w:r>
        <w:t>You will also need to consider whether transitional and application provisions are needed to deal with any repeals.</w:t>
      </w:r>
    </w:p>
    <w:p w:rsidR="00BE73AB" w:rsidRDefault="00BE73AB" w:rsidP="00BE73AB">
      <w:pPr>
        <w:pStyle w:val="BodyNum"/>
      </w:pPr>
      <w:r>
        <w:t>If the instrument is not a regulation, the paragraph should instead continue as follows:</w:t>
      </w:r>
    </w:p>
    <w:p w:rsidR="00BE73AB" w:rsidRDefault="00BE73AB" w:rsidP="00BE73AB">
      <w:pPr>
        <w:pStyle w:val="Item"/>
      </w:pPr>
      <w:r>
        <w:lastRenderedPageBreak/>
        <w:t>You should therefore work out as soon as practicable how to amend the [name of instrument] to deal with the provisions that are (or may be) ineffective. You will also need to consider whether transitional and application provisions are needed to deal with any repeals. OPC would be glad to draft the relevant amendments if you instruct us to do so.</w:t>
      </w:r>
    </w:p>
    <w:p w:rsidR="00BE73AB" w:rsidRPr="00BE73AB" w:rsidRDefault="00BE73AB" w:rsidP="00BE73AB">
      <w:pPr>
        <w:pStyle w:val="BodyNum"/>
      </w:pPr>
      <w:r>
        <w:t xml:space="preserve">Given the complexity and variation of instruments, there may be cases where these words are not appropriate. If you are not sure of how to deal with a particular </w:t>
      </w:r>
      <w:r w:rsidR="0059155C">
        <w:t>case, please discuss it with the head drafter</w:t>
      </w:r>
      <w:r>
        <w:t>.</w:t>
      </w:r>
    </w:p>
    <w:p w:rsidR="0043701C" w:rsidRPr="009849F1" w:rsidRDefault="0043701C" w:rsidP="009849F1">
      <w:pPr>
        <w:pStyle w:val="Head2"/>
      </w:pPr>
      <w:bookmarkStart w:id="39" w:name="_Toc43196583"/>
      <w:r w:rsidRPr="009849F1">
        <w:t xml:space="preserve">Part 3—The </w:t>
      </w:r>
      <w:r w:rsidRPr="009849F1">
        <w:rPr>
          <w:i/>
        </w:rPr>
        <w:t>Legislation Act 2003</w:t>
      </w:r>
      <w:bookmarkEnd w:id="39"/>
    </w:p>
    <w:p w:rsidR="0043701C" w:rsidRPr="009849F1" w:rsidRDefault="0043701C" w:rsidP="009849F1">
      <w:pPr>
        <w:pStyle w:val="Head3"/>
      </w:pPr>
      <w:bookmarkStart w:id="40" w:name="_Toc43196584"/>
      <w:r w:rsidRPr="009849F1">
        <w:t>Determining whether an instrument is to be a legislative instrument</w:t>
      </w:r>
      <w:bookmarkEnd w:id="40"/>
    </w:p>
    <w:p w:rsidR="0043701C" w:rsidRPr="009849F1" w:rsidRDefault="0043701C" w:rsidP="0043701C">
      <w:pPr>
        <w:pStyle w:val="BodyNum"/>
      </w:pPr>
      <w:r w:rsidRPr="009849F1">
        <w:t xml:space="preserve">The LA contains rules dealing with various matters (including disallowance and sunsetting) relating to all instruments that fall within the definition of </w:t>
      </w:r>
      <w:r w:rsidRPr="009849F1">
        <w:rPr>
          <w:b/>
          <w:i/>
        </w:rPr>
        <w:t>legislative instrument</w:t>
      </w:r>
      <w:r w:rsidRPr="009849F1">
        <w:t xml:space="preserve"> in the LA (see section 8 of the LA).</w:t>
      </w:r>
    </w:p>
    <w:p w:rsidR="0043701C" w:rsidRPr="009849F1" w:rsidRDefault="0043701C" w:rsidP="0043701C">
      <w:pPr>
        <w:pStyle w:val="BodyNum"/>
      </w:pPr>
      <w:r w:rsidRPr="009849F1">
        <w:rPr>
          <w:rFonts w:eastAsia="Calibri"/>
        </w:rPr>
        <w:t>Section 8 sets out a general definition of a legislative instrument. If you draft a provision that states that an instrument is not a legislative instrument and you are not sure whether the characterisation is correct you could talk to the head drafter or one of the instrument drafting team heads. If there is still doubt (or if you consider that the instrument would otherwise be a legislative instrument), the issue of whether the instrument should be exempted from the LA is ultimately a decision for the Attorney</w:t>
      </w:r>
      <w:r w:rsidR="00FD1CAC">
        <w:rPr>
          <w:rFonts w:eastAsia="Calibri"/>
        </w:rPr>
        <w:t>-</w:t>
      </w:r>
      <w:r w:rsidRPr="009849F1">
        <w:rPr>
          <w:rFonts w:eastAsia="Calibri"/>
        </w:rPr>
        <w:t>General and you should advise your instruc</w:t>
      </w:r>
      <w:r w:rsidR="00767A75">
        <w:rPr>
          <w:rFonts w:eastAsia="Calibri"/>
        </w:rPr>
        <w:t xml:space="preserve">tors to discuss this issue with </w:t>
      </w:r>
      <w:r w:rsidR="008A45FF" w:rsidRPr="009849F1">
        <w:rPr>
          <w:lang w:eastAsia="en-US"/>
        </w:rPr>
        <w:t>AGD</w:t>
      </w:r>
      <w:r w:rsidRPr="009849F1">
        <w:rPr>
          <w:rFonts w:eastAsia="Calibri"/>
        </w:rPr>
        <w:t>.</w:t>
      </w:r>
    </w:p>
    <w:p w:rsidR="0043701C" w:rsidRPr="009849F1" w:rsidRDefault="0043701C" w:rsidP="0043701C">
      <w:pPr>
        <w:pStyle w:val="BodyNum"/>
      </w:pPr>
      <w:r w:rsidRPr="009849F1">
        <w:t>The LA exempts some instruments from the Act in its totality and from the disallowance and sunsetting regimes in particular. (Some of these exemptions depend on the</w:t>
      </w:r>
      <w:r w:rsidR="002D6E36">
        <w:t xml:space="preserve"> LR.</w:t>
      </w:r>
      <w:r w:rsidRPr="009849F1">
        <w:t>) However, there is still an expectation that all instruments that fall within the definition of a legislative instrument under section 8 of the LA will be subject to the full requirements of the Act unless there is a special reason that justifies a full or partial exemption.</w:t>
      </w:r>
    </w:p>
    <w:p w:rsidR="0043701C" w:rsidRPr="009849F1" w:rsidRDefault="0043701C" w:rsidP="0043701C">
      <w:pPr>
        <w:pStyle w:val="BodyNum"/>
      </w:pPr>
      <w:r w:rsidRPr="009849F1">
        <w:t>An instrument that is administrative in character may be treated as a legislative instrument if the instructing department wants to apply the requirements of the LA applying to legislative instruments to the instrument in full or part. If the LA is to be applied in part, the issue of whether an exemption is required does not arise because the instrument is not legislative in character.</w:t>
      </w:r>
    </w:p>
    <w:p w:rsidR="0043701C" w:rsidRPr="009849F1" w:rsidRDefault="0043701C" w:rsidP="009849F1">
      <w:pPr>
        <w:pStyle w:val="Head3"/>
      </w:pPr>
      <w:bookmarkStart w:id="41" w:name="_Toc43196585"/>
      <w:r w:rsidRPr="009849F1">
        <w:t>Application of this Part of the Drafting Direction to certain subordinate legislation</w:t>
      </w:r>
      <w:bookmarkEnd w:id="41"/>
    </w:p>
    <w:p w:rsidR="0043701C" w:rsidRPr="009849F1" w:rsidRDefault="0043701C" w:rsidP="0043701C">
      <w:pPr>
        <w:pStyle w:val="BodyNum"/>
      </w:pPr>
      <w:r w:rsidRPr="009849F1">
        <w:t xml:space="preserve">This Part of the Drafting Direction applies to subordinate legislation that can only be made by a person in an official Commonwealth capacity. </w:t>
      </w:r>
      <w:r w:rsidRPr="009849F1">
        <w:rPr>
          <w:rStyle w:val="Strong"/>
          <w:color w:val="000000"/>
        </w:rPr>
        <w:t xml:space="preserve">(A person may make an instrument in an official Commonwealth capacity even if the person is, or is acting on behalf of, a regulatory or other body that is legally separate from the Commonwealth.) </w:t>
      </w:r>
      <w:r w:rsidRPr="009849F1">
        <w:t xml:space="preserve">For example, an application made by a private individual, or an election made by a taxpayer, would not be subordinate legislation for the purposes of this Part of the Drafting Direction. </w:t>
      </w:r>
    </w:p>
    <w:p w:rsidR="0043701C" w:rsidRPr="009849F1" w:rsidRDefault="0043701C" w:rsidP="0043701C">
      <w:pPr>
        <w:pStyle w:val="BodyNum"/>
      </w:pPr>
      <w:r w:rsidRPr="009849F1">
        <w:t>However, if you are in doubt as to whether this Part of the Drafting Direction should apply to a particular kind of instrument, then you should treat the kind of instrument as subordinate legislation for the purposes of this Part of the Drafting Direction.</w:t>
      </w:r>
    </w:p>
    <w:p w:rsidR="0043701C" w:rsidRPr="009849F1" w:rsidRDefault="0043701C" w:rsidP="009849F1">
      <w:pPr>
        <w:pStyle w:val="Head3"/>
      </w:pPr>
      <w:bookmarkStart w:id="42" w:name="_Toc43196586"/>
      <w:r w:rsidRPr="009849F1">
        <w:lastRenderedPageBreak/>
        <w:t>Generally the status of instruments to be expressly dealt with</w:t>
      </w:r>
      <w:bookmarkEnd w:id="42"/>
    </w:p>
    <w:p w:rsidR="0043701C" w:rsidRPr="009849F1" w:rsidRDefault="0043701C" w:rsidP="0043701C">
      <w:pPr>
        <w:pStyle w:val="BodyNum"/>
      </w:pPr>
      <w:bookmarkStart w:id="43" w:name="_Ref83460151"/>
      <w:bookmarkStart w:id="44" w:name="_Ref83453322"/>
      <w:r w:rsidRPr="009849F1">
        <w:t xml:space="preserve">When you provide a power in a Bill to make subordinate legislation, the status of an instrument made under that power as a legislative instrument, or not a legislative instrument, must be expressly dealt with. </w:t>
      </w:r>
      <w:bookmarkEnd w:id="43"/>
      <w:r w:rsidRPr="009849F1">
        <w:t>There are 4 main ways in which this might happen:</w:t>
      </w:r>
      <w:bookmarkEnd w:id="44"/>
    </w:p>
    <w:p w:rsidR="0043701C" w:rsidRPr="009849F1" w:rsidRDefault="0043701C" w:rsidP="0043701C">
      <w:pPr>
        <w:pStyle w:val="BodyPara"/>
      </w:pPr>
      <w:r w:rsidRPr="009849F1">
        <w:t>an instrument might be stated to be a legislative instrument under section 10 of the LA;</w:t>
      </w:r>
    </w:p>
    <w:p w:rsidR="0043701C" w:rsidRPr="009849F1" w:rsidRDefault="0043701C" w:rsidP="0043701C">
      <w:pPr>
        <w:pStyle w:val="BodyPara"/>
      </w:pPr>
      <w:bookmarkStart w:id="45" w:name="_Ref438714051"/>
      <w:r w:rsidRPr="009849F1">
        <w:t xml:space="preserve">an instrument might be stated not to be a legislative instrument under subsection 8(8) </w:t>
      </w:r>
      <w:r w:rsidR="001E3185" w:rsidRPr="009849F1">
        <w:t xml:space="preserve">of the LA </w:t>
      </w:r>
      <w:r w:rsidRPr="009849F1">
        <w:t>or regulations made for the purposes of paragraph 8(6)(b) of the LA (see Part 2 of the LR);</w:t>
      </w:r>
      <w:bookmarkEnd w:id="45"/>
    </w:p>
    <w:p w:rsidR="0043701C" w:rsidRPr="009849F1" w:rsidRDefault="0043701C" w:rsidP="0043701C">
      <w:pPr>
        <w:pStyle w:val="BodyPara"/>
      </w:pPr>
      <w:r w:rsidRPr="009849F1">
        <w:t>an instrument might be stated to be a legislative instrument in a provision of the Bill you are drafting;</w:t>
      </w:r>
    </w:p>
    <w:p w:rsidR="0043701C" w:rsidRPr="009849F1" w:rsidRDefault="0043701C" w:rsidP="0043701C">
      <w:pPr>
        <w:pStyle w:val="BodyPara"/>
      </w:pPr>
      <w:r w:rsidRPr="009849F1">
        <w:t xml:space="preserve">an instrument might be stated not to be a legislative instrument in a provision in the Bill you are drafting (either because it is not a legislative instrument under </w:t>
      </w:r>
      <w:r w:rsidR="001E3185" w:rsidRPr="009849F1">
        <w:t>sub</w:t>
      </w:r>
      <w:r w:rsidRPr="009849F1">
        <w:t>section 8</w:t>
      </w:r>
      <w:r w:rsidR="001E3185" w:rsidRPr="009849F1">
        <w:t>(1)</w:t>
      </w:r>
      <w:r w:rsidRPr="009849F1">
        <w:t xml:space="preserve"> of the LA, or because the instrument, despite being a legislative instrument under that </w:t>
      </w:r>
      <w:r w:rsidR="001E3185" w:rsidRPr="009849F1">
        <w:t>sub</w:t>
      </w:r>
      <w:r w:rsidRPr="009849F1">
        <w:t>section, is to be totally exempted from the LA).</w:t>
      </w:r>
    </w:p>
    <w:p w:rsidR="0043701C" w:rsidRPr="009849F1" w:rsidRDefault="0043701C" w:rsidP="0043701C">
      <w:pPr>
        <w:pStyle w:val="BodyNum"/>
      </w:pPr>
      <w:r w:rsidRPr="009849F1">
        <w:t>Rules of court are stated under paragraph 8(8)(d) of the LA not to be legislative instruments. However, under the enabling legislation providing the power to make the rules, they are treated as if they were legislative instruments.</w:t>
      </w:r>
    </w:p>
    <w:p w:rsidR="0043701C" w:rsidRPr="009849F1" w:rsidRDefault="0043701C" w:rsidP="0043701C">
      <w:pPr>
        <w:pStyle w:val="BodyNum"/>
      </w:pPr>
      <w:bookmarkStart w:id="46" w:name="_Ref90172904"/>
      <w:r w:rsidRPr="009849F1">
        <w:t>Generally, if you are amending an Act that already contains powers to make subordinate legislation, you are not required to clarify by express provision whether those instruments are legislative instruments. However, you may do so if it would be appropriate to do so taking into account the amendments you are making, or if you are given instructions to do so.</w:t>
      </w:r>
      <w:bookmarkEnd w:id="46"/>
      <w:r w:rsidRPr="009849F1">
        <w:t xml:space="preserve"> Also, as doing this will bring greater consistency and certainty to the statute book, you should consider doing this if there is sufficient time.</w:t>
      </w:r>
    </w:p>
    <w:p w:rsidR="0043701C" w:rsidRPr="009849F1" w:rsidRDefault="0043701C" w:rsidP="009849F1">
      <w:pPr>
        <w:pStyle w:val="Head3"/>
      </w:pPr>
      <w:bookmarkStart w:id="47" w:name="_Toc43196587"/>
      <w:r w:rsidRPr="009849F1">
        <w:t>Whether an instrument is to be a legislative instrument</w:t>
      </w:r>
      <w:bookmarkEnd w:id="47"/>
    </w:p>
    <w:p w:rsidR="0043701C" w:rsidRPr="009849F1" w:rsidRDefault="0043701C" w:rsidP="009849F1">
      <w:pPr>
        <w:pStyle w:val="Head4"/>
      </w:pPr>
      <w:bookmarkStart w:id="48" w:name="_Toc43196588"/>
      <w:r w:rsidRPr="009849F1">
        <w:t>Discussions with AGD</w:t>
      </w:r>
      <w:bookmarkEnd w:id="48"/>
    </w:p>
    <w:p w:rsidR="0043701C" w:rsidRPr="009849F1" w:rsidRDefault="0043701C" w:rsidP="0043701C">
      <w:pPr>
        <w:pStyle w:val="BodyNum"/>
      </w:pPr>
      <w:r w:rsidRPr="009849F1">
        <w:t>The issue of whether a legislative instrument is to be exempted from all or part of the LA should be discussed with</w:t>
      </w:r>
      <w:r w:rsidR="00767A75">
        <w:t xml:space="preserve"> </w:t>
      </w:r>
      <w:r w:rsidR="008A45FF" w:rsidRPr="009849F1">
        <w:rPr>
          <w:lang w:eastAsia="en-US"/>
        </w:rPr>
        <w:t>AGD</w:t>
      </w:r>
      <w:r w:rsidRPr="009849F1">
        <w:t xml:space="preserve"> following referral in accordance with Drafting Direction</w:t>
      </w:r>
      <w:r w:rsidR="001C111A">
        <w:t xml:space="preserve"> No. </w:t>
      </w:r>
      <w:r w:rsidRPr="009849F1">
        <w:t>4.2. OPC has an interest in ensuring that the LA is not unnecessarily displaced and that there is proper accountability and approval for any displacement.</w:t>
      </w:r>
    </w:p>
    <w:p w:rsidR="0043701C" w:rsidRPr="009849F1" w:rsidRDefault="0043701C" w:rsidP="009849F1">
      <w:pPr>
        <w:pStyle w:val="Head4"/>
      </w:pPr>
      <w:bookmarkStart w:id="49" w:name="_Toc43196589"/>
      <w:r w:rsidRPr="009849F1">
        <w:t>Instruments that are already dealt with by the LA or regulations</w:t>
      </w:r>
      <w:bookmarkEnd w:id="49"/>
    </w:p>
    <w:p w:rsidR="0043701C" w:rsidRPr="009849F1" w:rsidRDefault="0043701C" w:rsidP="0043701C">
      <w:pPr>
        <w:pStyle w:val="BodyNum"/>
      </w:pPr>
      <w:bookmarkStart w:id="50" w:name="_Ref396367978"/>
      <w:bookmarkStart w:id="51" w:name="_Ref83452379"/>
      <w:bookmarkStart w:id="52" w:name="_Ref84900725"/>
      <w:r w:rsidRPr="009849F1">
        <w:t>No further statement about the status of an instrument needs to be included in the Bill if the instrument is covered by either or both of the following paragraphs (and the effect of the relevant provision in the particular case is clear):</w:t>
      </w:r>
      <w:bookmarkEnd w:id="50"/>
    </w:p>
    <w:p w:rsidR="0043701C" w:rsidRPr="009849F1" w:rsidRDefault="0043701C" w:rsidP="0043701C">
      <w:pPr>
        <w:pStyle w:val="BodyPara"/>
      </w:pPr>
      <w:r w:rsidRPr="009849F1">
        <w:t>the instrument is expressly stated to be a legislative instrument under section 10 or 57A of the LA;</w:t>
      </w:r>
    </w:p>
    <w:p w:rsidR="0043701C" w:rsidRPr="009849F1" w:rsidRDefault="0043701C" w:rsidP="0043701C">
      <w:pPr>
        <w:pStyle w:val="BodyPara"/>
      </w:pPr>
      <w:r w:rsidRPr="009849F1">
        <w:lastRenderedPageBreak/>
        <w:t>the instrument is expressly stated not to be a legislative instrument under subsection 8(8) of the LA or under Part 2 of the LR or any other regulations made for the purposes of paragraph 8(6)(b).</w:t>
      </w:r>
      <w:bookmarkStart w:id="53" w:name="_Ref90357804"/>
      <w:bookmarkStart w:id="54" w:name="_Ref396367984"/>
      <w:bookmarkEnd w:id="51"/>
      <w:bookmarkEnd w:id="52"/>
    </w:p>
    <w:p w:rsidR="0043701C" w:rsidRPr="009849F1" w:rsidRDefault="0043701C" w:rsidP="0043701C">
      <w:pPr>
        <w:pStyle w:val="BodyNum"/>
      </w:pPr>
      <w:r w:rsidRPr="009849F1">
        <w:t>If you are wanting to rely on an exemption in Part 2 of the LR for an instrument</w:t>
      </w:r>
      <w:r w:rsidR="00FD1CAC">
        <w:t>-</w:t>
      </w:r>
      <w:r w:rsidRPr="009849F1">
        <w:t>making power, but it is not completely clear that any or all instruments intended to be made under that power would be covered by the exemption, you should discuss the matter with</w:t>
      </w:r>
      <w:r w:rsidR="002D6E36">
        <w:t xml:space="preserve"> </w:t>
      </w:r>
      <w:r w:rsidR="008A45FF" w:rsidRPr="009849F1">
        <w:rPr>
          <w:lang w:eastAsia="en-US"/>
        </w:rPr>
        <w:t>AGD</w:t>
      </w:r>
      <w:r w:rsidRPr="009849F1">
        <w:t>.</w:t>
      </w:r>
    </w:p>
    <w:p w:rsidR="0043701C" w:rsidRPr="009849F1" w:rsidRDefault="0043701C" w:rsidP="0043701C">
      <w:pPr>
        <w:pStyle w:val="BodyNum"/>
      </w:pPr>
      <w:r w:rsidRPr="009849F1">
        <w:t>You should not rely on the exemption in item 19 of the table in section 6 of the LR (the ADJR exemption) if there is any doubt as to whether all instruments made under the power would fall within the exemption.</w:t>
      </w:r>
    </w:p>
    <w:bookmarkEnd w:id="53"/>
    <w:bookmarkEnd w:id="54"/>
    <w:p w:rsidR="0043701C" w:rsidRPr="009849F1" w:rsidRDefault="0043701C" w:rsidP="0043701C">
      <w:pPr>
        <w:pStyle w:val="BodyNum"/>
      </w:pPr>
      <w:r w:rsidRPr="009849F1">
        <w:t xml:space="preserve">Some kinds of instruments specified in section 6 of the LR must relate to particular individuals in order to be covered by the LR. Unless your instructors envisage that instruments of those kinds could be made in relation to classes of persons, you do not need to comply with paragraphs </w:t>
      </w:r>
      <w:r w:rsidR="00223A1F">
        <w:t>77</w:t>
      </w:r>
      <w:r w:rsidRPr="009849F1">
        <w:t xml:space="preserve"> to </w:t>
      </w:r>
      <w:r w:rsidR="00223A1F">
        <w:t>81</w:t>
      </w:r>
      <w:r w:rsidRPr="009849F1">
        <w:t xml:space="preserve"> in relation to those kinds of instruments.</w:t>
      </w:r>
    </w:p>
    <w:p w:rsidR="0043701C" w:rsidRPr="009849F1" w:rsidRDefault="0043701C" w:rsidP="009849F1">
      <w:pPr>
        <w:pStyle w:val="Head4"/>
      </w:pPr>
      <w:bookmarkStart w:id="55" w:name="_Toc43196590"/>
      <w:r w:rsidRPr="009849F1">
        <w:t>Instruments that are to be legislative instruments</w:t>
      </w:r>
      <w:bookmarkEnd w:id="55"/>
    </w:p>
    <w:p w:rsidR="0043701C" w:rsidRPr="009849F1" w:rsidRDefault="0043701C" w:rsidP="0043701C">
      <w:pPr>
        <w:pStyle w:val="BodyNum"/>
      </w:pPr>
      <w:r w:rsidRPr="009849F1">
        <w:t xml:space="preserve">If an instrument (other than one covered by paragraph </w:t>
      </w:r>
      <w:r w:rsidR="00223A1F">
        <w:t>68</w:t>
      </w:r>
      <w:r w:rsidRPr="009849F1">
        <w:t>) is to be a legislative instrument, and the entire LA is to apply to the instrument, then you will need to state expressly in the Bill that the instrument is a legislative instrument. This can be done by using the expression “by legislative instrument” in the provision that gives the power to make the instrument. For example:</w:t>
      </w:r>
    </w:p>
    <w:p w:rsidR="0043701C" w:rsidRPr="009849F1" w:rsidRDefault="0043701C" w:rsidP="0043701C">
      <w:pPr>
        <w:pStyle w:val="subsection"/>
      </w:pPr>
      <w:r w:rsidRPr="009849F1">
        <w:tab/>
      </w:r>
      <w:r w:rsidRPr="009849F1">
        <w:tab/>
        <w:t>The Minister may, by legislative instrument, make rules relating to ...</w:t>
      </w:r>
    </w:p>
    <w:p w:rsidR="0043701C" w:rsidRPr="009849F1" w:rsidRDefault="0043701C" w:rsidP="0043701C">
      <w:pPr>
        <w:pStyle w:val="Body"/>
      </w:pPr>
      <w:r w:rsidRPr="009849F1">
        <w:t xml:space="preserve">The use of this expression will ensure, because of subsection 8(2) of the LA and section 2B of the </w:t>
      </w:r>
      <w:r w:rsidRPr="009849F1">
        <w:rPr>
          <w:i/>
        </w:rPr>
        <w:t>Acts Interpretation Act 1901</w:t>
      </w:r>
      <w:r w:rsidRPr="009849F1">
        <w:t>, that the instrument is a legislative instrument for the purposes of the LA.</w:t>
      </w:r>
    </w:p>
    <w:p w:rsidR="0043701C" w:rsidRPr="009849F1" w:rsidRDefault="0043701C" w:rsidP="0043701C">
      <w:pPr>
        <w:pStyle w:val="BodyNum"/>
      </w:pPr>
      <w:bookmarkStart w:id="56" w:name="_Ref84900811"/>
      <w:r w:rsidRPr="009849F1">
        <w:t>If it is not possible to use the expression “by legislative instrument”, then the following form should be used:</w:t>
      </w:r>
      <w:bookmarkEnd w:id="56"/>
    </w:p>
    <w:p w:rsidR="0043701C" w:rsidRPr="009849F1" w:rsidRDefault="0043701C" w:rsidP="0043701C">
      <w:pPr>
        <w:pStyle w:val="subsection"/>
      </w:pPr>
      <w:r w:rsidRPr="009849F1">
        <w:tab/>
      </w:r>
      <w:r w:rsidRPr="009849F1">
        <w:tab/>
        <w:t xml:space="preserve">A </w:t>
      </w:r>
      <w:r w:rsidRPr="009849F1">
        <w:rPr>
          <w:i/>
        </w:rPr>
        <w:t>[insert description of instrument]</w:t>
      </w:r>
      <w:r w:rsidRPr="009849F1">
        <w:t xml:space="preserve"> made under </w:t>
      </w:r>
      <w:r w:rsidRPr="009849F1">
        <w:rPr>
          <w:i/>
        </w:rPr>
        <w:t>[insert enabling provision]</w:t>
      </w:r>
      <w:r w:rsidRPr="009849F1">
        <w:t xml:space="preserve"> is a legislative instrument.</w:t>
      </w:r>
    </w:p>
    <w:p w:rsidR="0043701C" w:rsidRPr="009849F1" w:rsidRDefault="0043701C" w:rsidP="0043701C">
      <w:pPr>
        <w:pStyle w:val="BodyNum"/>
      </w:pPr>
      <w:r w:rsidRPr="009849F1">
        <w:rPr>
          <w:color w:val="000000"/>
        </w:rPr>
        <w:t>Sometimes a draft of an instrument is prepared by a body or person, but the instrument does not become a legislative instrument until another person or body approves or accepts the instrument. In this case, it is important to make clear, for the purposes of the LA, who makes the instrument, and when the instrument is made. To do so, the following form should be used:</w:t>
      </w:r>
    </w:p>
    <w:p w:rsidR="0043701C" w:rsidRPr="009849F1" w:rsidRDefault="0043701C" w:rsidP="0043701C">
      <w:pPr>
        <w:pStyle w:val="subsection"/>
        <w:rPr>
          <w:color w:val="000000"/>
          <w:szCs w:val="22"/>
        </w:rPr>
      </w:pPr>
      <w:r w:rsidRPr="009849F1">
        <w:tab/>
      </w:r>
      <w:r w:rsidRPr="009849F1">
        <w:tab/>
      </w:r>
      <w:r w:rsidRPr="009849F1">
        <w:rPr>
          <w:color w:val="000000"/>
          <w:szCs w:val="22"/>
        </w:rPr>
        <w:t xml:space="preserve">A </w:t>
      </w:r>
      <w:r w:rsidRPr="009849F1">
        <w:rPr>
          <w:rStyle w:val="Emphasis"/>
          <w:color w:val="000000"/>
          <w:szCs w:val="22"/>
        </w:rPr>
        <w:t>[insert description of instrument]</w:t>
      </w:r>
      <w:r w:rsidRPr="009849F1">
        <w:rPr>
          <w:color w:val="000000"/>
          <w:szCs w:val="22"/>
        </w:rPr>
        <w:t xml:space="preserve"> prepared by the </w:t>
      </w:r>
      <w:r w:rsidRPr="009849F1">
        <w:rPr>
          <w:rStyle w:val="Emphasis"/>
          <w:color w:val="000000"/>
          <w:szCs w:val="22"/>
        </w:rPr>
        <w:t xml:space="preserve">[insert preparer] </w:t>
      </w:r>
      <w:r w:rsidRPr="009849F1">
        <w:rPr>
          <w:color w:val="000000"/>
          <w:szCs w:val="22"/>
        </w:rPr>
        <w:t xml:space="preserve">and approved by the </w:t>
      </w:r>
      <w:r w:rsidRPr="009849F1">
        <w:rPr>
          <w:rStyle w:val="Emphasis"/>
          <w:color w:val="000000"/>
          <w:szCs w:val="22"/>
        </w:rPr>
        <w:t xml:space="preserve">[insert approver or accepter] </w:t>
      </w:r>
      <w:r w:rsidRPr="009849F1">
        <w:rPr>
          <w:color w:val="000000"/>
          <w:szCs w:val="22"/>
        </w:rPr>
        <w:t xml:space="preserve">is a legislative instrument made by the </w:t>
      </w:r>
      <w:r w:rsidRPr="009849F1">
        <w:rPr>
          <w:rStyle w:val="Emphasis"/>
          <w:color w:val="000000"/>
          <w:szCs w:val="22"/>
        </w:rPr>
        <w:t>[insert approver or accepter]</w:t>
      </w:r>
      <w:r w:rsidRPr="009849F1">
        <w:rPr>
          <w:color w:val="000000"/>
          <w:szCs w:val="22"/>
        </w:rPr>
        <w:t xml:space="preserve"> on the day on which the </w:t>
      </w:r>
      <w:r w:rsidRPr="009849F1">
        <w:rPr>
          <w:rStyle w:val="Emphasis"/>
          <w:color w:val="000000"/>
          <w:szCs w:val="22"/>
        </w:rPr>
        <w:t>[insert description of instrument]</w:t>
      </w:r>
      <w:r w:rsidRPr="009849F1">
        <w:rPr>
          <w:color w:val="000000"/>
          <w:szCs w:val="22"/>
        </w:rPr>
        <w:t xml:space="preserve"> is </w:t>
      </w:r>
      <w:r w:rsidRPr="009849F1">
        <w:rPr>
          <w:rStyle w:val="Emphasis"/>
          <w:color w:val="000000"/>
          <w:szCs w:val="22"/>
        </w:rPr>
        <w:t>[approved or accepted]</w:t>
      </w:r>
      <w:r w:rsidRPr="009849F1">
        <w:rPr>
          <w:color w:val="000000"/>
          <w:szCs w:val="22"/>
        </w:rPr>
        <w:t>.</w:t>
      </w:r>
    </w:p>
    <w:p w:rsidR="0043701C" w:rsidRPr="009849F1" w:rsidRDefault="0043701C" w:rsidP="0043701C">
      <w:pPr>
        <w:pStyle w:val="BodyNum"/>
      </w:pPr>
      <w:r w:rsidRPr="009849F1">
        <w:t>The statement that an instrument is a legislative instrument should be in a substantive provision in the Bill and not in a note.</w:t>
      </w:r>
    </w:p>
    <w:p w:rsidR="0043701C" w:rsidRPr="009849F1" w:rsidRDefault="0043701C" w:rsidP="0043701C">
      <w:pPr>
        <w:pStyle w:val="BodyNum"/>
      </w:pPr>
      <w:r w:rsidRPr="009849F1">
        <w:lastRenderedPageBreak/>
        <w:t>Paragraph 8(2)(a) of the LA provides that if a primary law gives power to do something by legislative instrument then, if the thing is done, it must be done by instrument.</w:t>
      </w:r>
    </w:p>
    <w:p w:rsidR="0043701C" w:rsidRPr="009849F1" w:rsidRDefault="0043701C" w:rsidP="009849F1">
      <w:pPr>
        <w:pStyle w:val="Head4"/>
      </w:pPr>
      <w:bookmarkStart w:id="57" w:name="_Toc43196591"/>
      <w:r w:rsidRPr="009849F1">
        <w:t>Instruments that are not to be legislative instruments</w:t>
      </w:r>
      <w:bookmarkEnd w:id="57"/>
    </w:p>
    <w:p w:rsidR="0043701C" w:rsidRPr="009849F1" w:rsidRDefault="0043701C" w:rsidP="009849F1">
      <w:pPr>
        <w:pStyle w:val="Head5"/>
      </w:pPr>
      <w:bookmarkStart w:id="58" w:name="_Toc43196592"/>
      <w:r w:rsidRPr="009849F1">
        <w:t>Express statement that instrument is not a legislative instrument</w:t>
      </w:r>
      <w:bookmarkEnd w:id="58"/>
    </w:p>
    <w:p w:rsidR="0043701C" w:rsidRPr="009849F1" w:rsidRDefault="0043701C" w:rsidP="0043701C">
      <w:pPr>
        <w:pStyle w:val="BodyNum"/>
      </w:pPr>
      <w:bookmarkStart w:id="59" w:name="_Ref396369008"/>
      <w:r w:rsidRPr="009849F1">
        <w:t xml:space="preserve">If an instrument (other than one covered by paragraph </w:t>
      </w:r>
      <w:r w:rsidR="00223A1F">
        <w:t>64(b)</w:t>
      </w:r>
      <w:r w:rsidRPr="009849F1">
        <w:t xml:space="preserve">) is not to be a legislative instrument, then (subject to paragraph </w:t>
      </w:r>
      <w:r w:rsidR="00223A1F">
        <w:t>82</w:t>
      </w:r>
      <w:r w:rsidRPr="009849F1">
        <w:t>), you will need to state expressly that the instrument is not a legislative instrument.</w:t>
      </w:r>
      <w:bookmarkEnd w:id="59"/>
    </w:p>
    <w:p w:rsidR="0043701C" w:rsidRPr="009849F1" w:rsidRDefault="0043701C" w:rsidP="0043701C">
      <w:pPr>
        <w:pStyle w:val="BodyNum"/>
      </w:pPr>
      <w:r w:rsidRPr="009849F1">
        <w:t xml:space="preserve">An instrument might not be a legislative instrument for 2 reasons. First, the instrument might clearly not fall within the definition of </w:t>
      </w:r>
      <w:r w:rsidRPr="009849F1">
        <w:rPr>
          <w:b/>
          <w:i/>
        </w:rPr>
        <w:t xml:space="preserve">legislative instrument </w:t>
      </w:r>
      <w:r w:rsidRPr="009849F1">
        <w:t xml:space="preserve">in </w:t>
      </w:r>
      <w:r w:rsidR="001E3185" w:rsidRPr="009849F1">
        <w:t>sub</w:t>
      </w:r>
      <w:r w:rsidRPr="009849F1">
        <w:t>section 8</w:t>
      </w:r>
      <w:r w:rsidR="001E3185" w:rsidRPr="009849F1">
        <w:t>(1)</w:t>
      </w:r>
      <w:r w:rsidRPr="009849F1">
        <w:t xml:space="preserve"> of the LA. Secondly, although the instrument falls within this definition, the policy might be for the instrument to be wholly exempted from the LA.</w:t>
      </w:r>
    </w:p>
    <w:p w:rsidR="0043701C" w:rsidRPr="009849F1" w:rsidRDefault="0043701C" w:rsidP="0043701C">
      <w:pPr>
        <w:pStyle w:val="BodyNum"/>
      </w:pPr>
      <w:bookmarkStart w:id="60" w:name="_Ref87345378"/>
      <w:r w:rsidRPr="009849F1">
        <w:t>In either case, the standard form for dealing with such an instrument is as follows:</w:t>
      </w:r>
      <w:bookmarkEnd w:id="60"/>
    </w:p>
    <w:p w:rsidR="0043701C" w:rsidRPr="009849F1" w:rsidRDefault="0043701C" w:rsidP="0043701C">
      <w:pPr>
        <w:pStyle w:val="subsection"/>
      </w:pPr>
      <w:r w:rsidRPr="009849F1">
        <w:tab/>
      </w:r>
      <w:r w:rsidRPr="009849F1">
        <w:tab/>
        <w:t xml:space="preserve">A </w:t>
      </w:r>
      <w:r w:rsidRPr="009849F1">
        <w:rPr>
          <w:i/>
        </w:rPr>
        <w:t>[insert description of instrument]</w:t>
      </w:r>
      <w:r w:rsidRPr="009849F1">
        <w:t xml:space="preserve"> made under </w:t>
      </w:r>
      <w:r w:rsidRPr="009849F1">
        <w:rPr>
          <w:i/>
        </w:rPr>
        <w:t>[insert enabling provision]</w:t>
      </w:r>
      <w:r w:rsidRPr="009849F1">
        <w:t xml:space="preserve"> is not a legislative instrument.</w:t>
      </w:r>
    </w:p>
    <w:p w:rsidR="0043701C" w:rsidRPr="009849F1" w:rsidRDefault="0043701C" w:rsidP="0043701C">
      <w:pPr>
        <w:pStyle w:val="BodyNum"/>
      </w:pPr>
      <w:r w:rsidRPr="009849F1">
        <w:t>If you are providing a power to do something that, if done in writing, would not be a legislative instrument, and your instructors do not want to require the action to be done in writing, then you should include a provision like:</w:t>
      </w:r>
    </w:p>
    <w:p w:rsidR="0043701C" w:rsidRPr="009849F1" w:rsidRDefault="0043701C" w:rsidP="0043701C">
      <w:pPr>
        <w:pStyle w:val="subsection"/>
      </w:pPr>
      <w:r w:rsidRPr="009849F1">
        <w:tab/>
      </w:r>
      <w:r w:rsidRPr="009849F1">
        <w:tab/>
        <w:t xml:space="preserve">If the </w:t>
      </w:r>
      <w:r w:rsidRPr="009849F1">
        <w:rPr>
          <w:i/>
        </w:rPr>
        <w:t xml:space="preserve">[insert description of instrument] </w:t>
      </w:r>
      <w:r w:rsidRPr="009849F1">
        <w:t xml:space="preserve">is made in writing, the </w:t>
      </w:r>
      <w:r w:rsidRPr="009849F1">
        <w:rPr>
          <w:i/>
        </w:rPr>
        <w:t xml:space="preserve">[insert description of instrument] </w:t>
      </w:r>
      <w:r w:rsidRPr="009849F1">
        <w:t>is not a legislative instrument.</w:t>
      </w:r>
    </w:p>
    <w:p w:rsidR="0043701C" w:rsidRPr="009849F1" w:rsidRDefault="0043701C" w:rsidP="0043701C">
      <w:pPr>
        <w:pStyle w:val="BodyNum"/>
      </w:pPr>
      <w:bookmarkStart w:id="61" w:name="_Ref396369014"/>
      <w:r w:rsidRPr="009849F1">
        <w:t>The statement that an instrument is not a legislative instrument should be in a substantive provision in the Bill and not in a note.</w:t>
      </w:r>
      <w:bookmarkEnd w:id="61"/>
    </w:p>
    <w:p w:rsidR="0043701C" w:rsidRPr="009849F1" w:rsidRDefault="0043701C" w:rsidP="0043701C">
      <w:pPr>
        <w:pStyle w:val="BodyNum"/>
      </w:pPr>
      <w:bookmarkStart w:id="62" w:name="_Ref437844901"/>
      <w:r w:rsidRPr="009849F1">
        <w:t xml:space="preserve">As a result of paragraph 8(6)(a) of the LA, only an Act can declare an instrument not to be a legislative instrument (whether because it does not fall within the definition of </w:t>
      </w:r>
      <w:r w:rsidRPr="009849F1">
        <w:rPr>
          <w:b/>
          <w:i/>
        </w:rPr>
        <w:t>legislative instrument</w:t>
      </w:r>
      <w:r w:rsidRPr="009849F1">
        <w:t xml:space="preserve"> or because the instrument is to be wholly exempted from the LA). If</w:t>
      </w:r>
      <w:r w:rsidR="004812A4" w:rsidRPr="009849F1">
        <w:t>, in a subordinate instrument,</w:t>
      </w:r>
      <w:r w:rsidRPr="009849F1">
        <w:t xml:space="preserve"> you are inclu</w:t>
      </w:r>
      <w:r w:rsidR="004812A4" w:rsidRPr="009849F1">
        <w:t>ding an instrument</w:t>
      </w:r>
      <w:r w:rsidR="00FD1CAC">
        <w:t>-</w:t>
      </w:r>
      <w:r w:rsidR="004812A4" w:rsidRPr="009849F1">
        <w:t xml:space="preserve">making power, and the instrument (the </w:t>
      </w:r>
      <w:r w:rsidR="004812A4" w:rsidRPr="009849F1">
        <w:rPr>
          <w:b/>
          <w:i/>
        </w:rPr>
        <w:t>relevant instrument</w:t>
      </w:r>
      <w:r w:rsidR="004812A4" w:rsidRPr="009849F1">
        <w:t>) being made under that power</w:t>
      </w:r>
      <w:r w:rsidRPr="009849F1">
        <w:t xml:space="preserve"> is not of legislative character, you will need to remain silent on the </w:t>
      </w:r>
      <w:r w:rsidR="004812A4" w:rsidRPr="009849F1">
        <w:t xml:space="preserve">relevant </w:t>
      </w:r>
      <w:r w:rsidRPr="009849F1">
        <w:t xml:space="preserve">instrument’s status as not being a legislative instrument or consider whether it is appropriate to make the </w:t>
      </w:r>
      <w:r w:rsidR="004812A4" w:rsidRPr="009849F1">
        <w:t xml:space="preserve">relevant </w:t>
      </w:r>
      <w:r w:rsidRPr="009849F1">
        <w:t xml:space="preserve">instrument a notifiable instrument (see paragraphs </w:t>
      </w:r>
      <w:r w:rsidR="00223A1F">
        <w:t>11</w:t>
      </w:r>
      <w:r w:rsidR="00F57415">
        <w:t xml:space="preserve">7 </w:t>
      </w:r>
      <w:r w:rsidRPr="009849F1">
        <w:t xml:space="preserve">to </w:t>
      </w:r>
      <w:r w:rsidR="00223A1F">
        <w:t>1</w:t>
      </w:r>
      <w:r w:rsidR="00F57415">
        <w:t>23</w:t>
      </w:r>
      <w:r w:rsidRPr="009849F1">
        <w:t>).</w:t>
      </w:r>
      <w:bookmarkEnd w:id="62"/>
    </w:p>
    <w:p w:rsidR="0043701C" w:rsidRPr="009849F1" w:rsidRDefault="0043701C" w:rsidP="009849F1">
      <w:pPr>
        <w:pStyle w:val="Head5"/>
      </w:pPr>
      <w:bookmarkStart w:id="63" w:name="_Toc43196593"/>
      <w:r w:rsidRPr="009849F1">
        <w:t>Explanatory drafting notes</w:t>
      </w:r>
      <w:bookmarkEnd w:id="63"/>
    </w:p>
    <w:p w:rsidR="0043701C" w:rsidRPr="009849F1" w:rsidRDefault="0043701C" w:rsidP="0043701C">
      <w:pPr>
        <w:pStyle w:val="BodyNum"/>
      </w:pPr>
      <w:r w:rsidRPr="009849F1">
        <w:t>To assist the Senate Scrutiny of Bills Committee to understand the reasons for an instrument not being a legislative instrument, drafters of Bills should provide some guidance to instructors about including an appropriate explanation in the explanatory memorandum.</w:t>
      </w:r>
    </w:p>
    <w:p w:rsidR="0043701C" w:rsidRPr="009849F1" w:rsidRDefault="0043701C" w:rsidP="0043701C">
      <w:pPr>
        <w:pStyle w:val="BodyNum"/>
      </w:pPr>
      <w:r w:rsidRPr="009849F1">
        <w:t xml:space="preserve">For instruments that are not legislative instruments within the meaning of </w:t>
      </w:r>
      <w:r w:rsidRPr="009849F1">
        <w:rPr>
          <w:b/>
          <w:i/>
        </w:rPr>
        <w:t xml:space="preserve">legislative instrument </w:t>
      </w:r>
      <w:r w:rsidRPr="009849F1">
        <w:t xml:space="preserve">in </w:t>
      </w:r>
      <w:r w:rsidR="001E3185" w:rsidRPr="009849F1">
        <w:t>sub</w:t>
      </w:r>
      <w:r w:rsidRPr="009849F1">
        <w:t>section 8</w:t>
      </w:r>
      <w:r w:rsidR="001E3185" w:rsidRPr="009849F1">
        <w:t>(1)</w:t>
      </w:r>
      <w:r w:rsidRPr="009849F1">
        <w:t xml:space="preserve"> of the LA, drafters of Bills should include a drafting note under the relevant provision in the Bill along the following lines (which can be inserted using Alt + I):</w:t>
      </w:r>
    </w:p>
    <w:p w:rsidR="0043701C" w:rsidRPr="009849F1" w:rsidRDefault="0043701C" w:rsidP="0043701C">
      <w:pPr>
        <w:pStyle w:val="notedraft"/>
      </w:pPr>
      <w:r w:rsidRPr="009849F1">
        <w:t xml:space="preserve">[: You should explain in the explanatory memorandum that this provision is included to assist readers, as the instrument is not a legislative instrument within the meaning of </w:t>
      </w:r>
      <w:r w:rsidR="001E3185" w:rsidRPr="009849F1">
        <w:t>sub</w:t>
      </w:r>
      <w:r w:rsidRPr="009849F1">
        <w:t xml:space="preserve">section </w:t>
      </w:r>
      <w:r w:rsidRPr="009849F1">
        <w:lastRenderedPageBreak/>
        <w:t>8</w:t>
      </w:r>
      <w:r w:rsidR="001E3185" w:rsidRPr="009849F1">
        <w:t>(1)</w:t>
      </w:r>
      <w:r w:rsidRPr="009849F1">
        <w:t xml:space="preserve"> of the Legislation Act 2003. If you do not do so, the Senate Scrutiny of Bills Committee is likely to query whether this provision is merely declaratory of the law or an actual exemption from the Legislation Act 2003.]</w:t>
      </w:r>
    </w:p>
    <w:p w:rsidR="0043701C" w:rsidRPr="009849F1" w:rsidRDefault="0043701C" w:rsidP="0043701C">
      <w:pPr>
        <w:pStyle w:val="BodyNum"/>
      </w:pPr>
      <w:r w:rsidRPr="009849F1">
        <w:t>For instruments that are being exempted from the LA, drafters of Bills should include a drafting note under the relevant provision in the Bill along the following lines (which can be inserted using Alt + I):</w:t>
      </w:r>
    </w:p>
    <w:p w:rsidR="0043701C" w:rsidRPr="009849F1" w:rsidRDefault="0043701C" w:rsidP="0043701C">
      <w:pPr>
        <w:pStyle w:val="notedraft"/>
      </w:pPr>
      <w:r w:rsidRPr="009849F1">
        <w:t>[: You should explain in the explanatory memorandum that this provision is exempting the instrument from being a legislative instrument and give a detailed explanation of the justification for that exemption. If you do not do so, the Senate Scrutiny of Bills Committee is likely to query whether this provision is merely declaratory of the law or an actual exemption from the Legislation Act 2003. In addition, the Attorney</w:t>
      </w:r>
      <w:r w:rsidR="00FD1CAC">
        <w:t>-</w:t>
      </w:r>
      <w:r w:rsidRPr="009849F1">
        <w:t>General’s Department must be consulted on the exemption.]</w:t>
      </w:r>
    </w:p>
    <w:p w:rsidR="0043701C" w:rsidRPr="009849F1" w:rsidRDefault="008A45FF" w:rsidP="0043701C">
      <w:pPr>
        <w:pStyle w:val="BodyNum"/>
      </w:pPr>
      <w:r w:rsidRPr="009849F1">
        <w:rPr>
          <w:lang w:eastAsia="en-US"/>
        </w:rPr>
        <w:t>AGD</w:t>
      </w:r>
      <w:r w:rsidR="0043701C" w:rsidRPr="009849F1">
        <w:t xml:space="preserve"> is happy to assist instructors to draft their Explanatory Memorandum in relation to issues raised by the LA.</w:t>
      </w:r>
    </w:p>
    <w:p w:rsidR="0043701C" w:rsidRPr="009849F1" w:rsidRDefault="0043701C" w:rsidP="009849F1">
      <w:pPr>
        <w:pStyle w:val="Head4"/>
      </w:pPr>
      <w:bookmarkStart w:id="64" w:name="_Toc43196594"/>
      <w:r w:rsidRPr="009849F1">
        <w:t>Powers to create some legislative instruments and some instruments that are not legislative instruments</w:t>
      </w:r>
      <w:bookmarkEnd w:id="64"/>
    </w:p>
    <w:p w:rsidR="0043701C" w:rsidRPr="009849F1" w:rsidRDefault="0043701C" w:rsidP="0043701C">
      <w:pPr>
        <w:pStyle w:val="BodyNum"/>
      </w:pPr>
      <w:bookmarkStart w:id="65" w:name="_Ref372811118"/>
      <w:bookmarkStart w:id="66" w:name="_Ref197932112"/>
      <w:r w:rsidRPr="009849F1">
        <w:t>In a small number of cases, the instrument</w:t>
      </w:r>
      <w:r w:rsidR="00FD1CAC">
        <w:t>-</w:t>
      </w:r>
      <w:r w:rsidRPr="009849F1">
        <w:t>making powers can result in the making of an instrument of a legislative character if the power is exercised in relation to a class and an instrument of an administrative character if the power is exercised in relation to a particular individual or a particular act, event or case. You should confirm that the instructor is aware of the implications of declaring all instruments made under the power to be legislative instruments or not to be legislative instruments. In some cases there might be a need for some of the instruments made under the power to be declared to be legislative instruments and for other instruments to be declared not to be legislative instruments.</w:t>
      </w:r>
      <w:bookmarkEnd w:id="65"/>
    </w:p>
    <w:p w:rsidR="0043701C" w:rsidRPr="009849F1" w:rsidRDefault="0043701C" w:rsidP="0043701C">
      <w:pPr>
        <w:pStyle w:val="BodyNum"/>
      </w:pPr>
      <w:r w:rsidRPr="009849F1">
        <w:t>In these cases, you should create 2 separate enabling powers: one to enable the making of legislative instruments, and the other to enable the making of non</w:t>
      </w:r>
      <w:r w:rsidR="00FD1CAC">
        <w:t>-</w:t>
      </w:r>
      <w:r w:rsidRPr="009849F1">
        <w:t>legislative instruments. You must also describe the tests that are to be used to determine which of the 2 powers to use.</w:t>
      </w:r>
      <w:r w:rsidR="00767A75">
        <w:t xml:space="preserve"> </w:t>
      </w:r>
      <w:r w:rsidR="008A45FF" w:rsidRPr="009849F1">
        <w:rPr>
          <w:lang w:eastAsia="en-US"/>
        </w:rPr>
        <w:t>AGD</w:t>
      </w:r>
      <w:r w:rsidRPr="009849F1">
        <w:t xml:space="preserve"> can give you advice on the nature of the tests.</w:t>
      </w:r>
      <w:bookmarkEnd w:id="66"/>
    </w:p>
    <w:p w:rsidR="0043701C" w:rsidRPr="009849F1" w:rsidRDefault="0043701C" w:rsidP="0043701C">
      <w:pPr>
        <w:pStyle w:val="BodyNum"/>
      </w:pPr>
      <w:r w:rsidRPr="009849F1">
        <w:t>For example:</w:t>
      </w:r>
    </w:p>
    <w:p w:rsidR="0043701C" w:rsidRPr="009849F1" w:rsidRDefault="0043701C" w:rsidP="0043701C">
      <w:pPr>
        <w:pStyle w:val="subsection"/>
      </w:pPr>
      <w:r w:rsidRPr="009849F1">
        <w:tab/>
        <w:t>(1)</w:t>
      </w:r>
      <w:r w:rsidRPr="009849F1">
        <w:tab/>
        <w:t xml:space="preserve">The </w:t>
      </w:r>
      <w:r w:rsidRPr="009849F1">
        <w:rPr>
          <w:i/>
        </w:rPr>
        <w:t>[insert name of rule</w:t>
      </w:r>
      <w:r w:rsidR="00FD1CAC">
        <w:rPr>
          <w:i/>
        </w:rPr>
        <w:t>-</w:t>
      </w:r>
      <w:r w:rsidRPr="009849F1">
        <w:rPr>
          <w:i/>
        </w:rPr>
        <w:t xml:space="preserve">maker] </w:t>
      </w:r>
      <w:r w:rsidRPr="009849F1">
        <w:t xml:space="preserve">may make a </w:t>
      </w:r>
      <w:r w:rsidRPr="009849F1">
        <w:rPr>
          <w:i/>
        </w:rPr>
        <w:t xml:space="preserve">[insert description of instrument] </w:t>
      </w:r>
      <w:r w:rsidRPr="009849F1">
        <w:t xml:space="preserve">that </w:t>
      </w:r>
      <w:r w:rsidRPr="009849F1">
        <w:rPr>
          <w:i/>
        </w:rPr>
        <w:t>[insert condition e.g. applies to a particular person or a particular entity]</w:t>
      </w:r>
      <w:r w:rsidRPr="009849F1">
        <w:t>.</w:t>
      </w:r>
    </w:p>
    <w:p w:rsidR="0043701C" w:rsidRPr="009849F1" w:rsidRDefault="0043701C" w:rsidP="0043701C">
      <w:pPr>
        <w:pStyle w:val="subsection"/>
      </w:pPr>
      <w:r w:rsidRPr="009849F1">
        <w:tab/>
        <w:t>(2)</w:t>
      </w:r>
      <w:r w:rsidRPr="009849F1">
        <w:tab/>
        <w:t xml:space="preserve">A </w:t>
      </w:r>
      <w:r w:rsidRPr="009849F1">
        <w:rPr>
          <w:i/>
        </w:rPr>
        <w:t xml:space="preserve">[insert description of instrument] </w:t>
      </w:r>
      <w:r w:rsidRPr="009849F1">
        <w:t>made under subsection (1) is not a legislative instrument.</w:t>
      </w:r>
    </w:p>
    <w:p w:rsidR="0043701C" w:rsidRPr="009849F1" w:rsidRDefault="0043701C" w:rsidP="0043701C">
      <w:pPr>
        <w:pStyle w:val="subsection"/>
      </w:pPr>
      <w:r w:rsidRPr="009849F1">
        <w:tab/>
        <w:t>(3)</w:t>
      </w:r>
      <w:r w:rsidRPr="009849F1">
        <w:tab/>
        <w:t xml:space="preserve">The </w:t>
      </w:r>
      <w:r w:rsidRPr="009849F1">
        <w:rPr>
          <w:i/>
        </w:rPr>
        <w:t>[insert name of rule</w:t>
      </w:r>
      <w:r w:rsidR="00FD1CAC">
        <w:rPr>
          <w:i/>
        </w:rPr>
        <w:t>-</w:t>
      </w:r>
      <w:r w:rsidRPr="009849F1">
        <w:rPr>
          <w:i/>
        </w:rPr>
        <w:t xml:space="preserve">maker] </w:t>
      </w:r>
      <w:r w:rsidRPr="009849F1">
        <w:t>may, by legislative instrument,</w:t>
      </w:r>
      <w:r w:rsidR="00FD1CAC">
        <w:t xml:space="preserve"> </w:t>
      </w:r>
      <w:r w:rsidRPr="009849F1">
        <w:t xml:space="preserve">make a </w:t>
      </w:r>
      <w:r w:rsidRPr="009849F1">
        <w:rPr>
          <w:i/>
        </w:rPr>
        <w:t xml:space="preserve">[insert description of instrument] </w:t>
      </w:r>
      <w:r w:rsidRPr="009849F1">
        <w:t xml:space="preserve">that </w:t>
      </w:r>
      <w:r w:rsidRPr="009849F1">
        <w:rPr>
          <w:i/>
        </w:rPr>
        <w:t>[insert condition e.g. applies to a class of persons or entities]</w:t>
      </w:r>
      <w:r w:rsidRPr="009849F1">
        <w:t>.</w:t>
      </w:r>
    </w:p>
    <w:p w:rsidR="0043701C" w:rsidRPr="009849F1" w:rsidRDefault="0043701C" w:rsidP="0043701C">
      <w:pPr>
        <w:pStyle w:val="BodyNum"/>
      </w:pPr>
      <w:r w:rsidRPr="009849F1">
        <w:t>If you are drafting a provision of this kind, you should ask your instructors whether they need the ability to make a non</w:t>
      </w:r>
      <w:r w:rsidR="00FD1CAC">
        <w:t>-</w:t>
      </w:r>
      <w:r w:rsidRPr="009849F1">
        <w:t xml:space="preserve">legislative instrument that covers more than one individual or entity. If this is intended, you should tailor your provision to achieve this and advise your instructors that they should consult </w:t>
      </w:r>
      <w:r w:rsidR="008A45FF" w:rsidRPr="009849F1">
        <w:rPr>
          <w:lang w:eastAsia="en-US"/>
        </w:rPr>
        <w:t>AGD</w:t>
      </w:r>
      <w:r w:rsidRPr="009849F1">
        <w:t xml:space="preserve"> about whether the approval of the Attorney</w:t>
      </w:r>
      <w:r w:rsidR="00FD1CAC">
        <w:t>-</w:t>
      </w:r>
      <w:r w:rsidRPr="009849F1">
        <w:t>General is required.</w:t>
      </w:r>
    </w:p>
    <w:p w:rsidR="0043701C" w:rsidRPr="009849F1" w:rsidRDefault="0043701C" w:rsidP="0043701C">
      <w:pPr>
        <w:pStyle w:val="BodyNum"/>
      </w:pPr>
      <w:bookmarkStart w:id="67" w:name="_Ref264988119"/>
      <w:r w:rsidRPr="009849F1">
        <w:lastRenderedPageBreak/>
        <w:t xml:space="preserve">Although, the nature of the tests will be advised on by </w:t>
      </w:r>
      <w:r w:rsidR="008A45FF" w:rsidRPr="009849F1">
        <w:rPr>
          <w:lang w:eastAsia="en-US"/>
        </w:rPr>
        <w:t>AGD</w:t>
      </w:r>
      <w:r w:rsidRPr="009849F1">
        <w:t>, you should ensure that it will be easy to apply the tests and determine under which power an instrument is to be made. If you do not think that the tests meet this requirement, then you should speak to the head drafter.</w:t>
      </w:r>
      <w:bookmarkEnd w:id="67"/>
    </w:p>
    <w:p w:rsidR="0043701C" w:rsidRPr="009849F1" w:rsidRDefault="0043701C" w:rsidP="009849F1">
      <w:pPr>
        <w:pStyle w:val="Head3"/>
      </w:pPr>
      <w:bookmarkStart w:id="68" w:name="_Toc43196595"/>
      <w:r w:rsidRPr="009849F1">
        <w:t>Partial exemptions from the LA</w:t>
      </w:r>
      <w:bookmarkEnd w:id="68"/>
    </w:p>
    <w:p w:rsidR="0043701C" w:rsidRPr="009849F1" w:rsidRDefault="0043701C" w:rsidP="009849F1">
      <w:pPr>
        <w:pStyle w:val="Head4"/>
      </w:pPr>
      <w:bookmarkStart w:id="69" w:name="_Toc43196596"/>
      <w:r w:rsidRPr="009849F1">
        <w:t>Exemptions from the disallowance regime</w:t>
      </w:r>
      <w:bookmarkEnd w:id="69"/>
    </w:p>
    <w:p w:rsidR="0043701C" w:rsidRPr="009849F1" w:rsidRDefault="0043701C" w:rsidP="0043701C">
      <w:pPr>
        <w:pStyle w:val="BodyNum"/>
      </w:pPr>
      <w:r w:rsidRPr="009849F1">
        <w:t>If:</w:t>
      </w:r>
    </w:p>
    <w:p w:rsidR="0043701C" w:rsidRPr="009849F1" w:rsidRDefault="0043701C" w:rsidP="0043701C">
      <w:pPr>
        <w:pStyle w:val="BodyPara"/>
      </w:pPr>
      <w:r w:rsidRPr="009849F1">
        <w:t xml:space="preserve">an instrument (other than one covered by paragraph </w:t>
      </w:r>
      <w:r w:rsidR="00223A1F">
        <w:t>68</w:t>
      </w:r>
      <w:r w:rsidRPr="009849F1">
        <w:t>) is to be a legislative instrument; and</w:t>
      </w:r>
    </w:p>
    <w:p w:rsidR="0043701C" w:rsidRPr="009849F1" w:rsidRDefault="0043701C" w:rsidP="0043701C">
      <w:pPr>
        <w:pStyle w:val="BodyPara"/>
      </w:pPr>
      <w:r w:rsidRPr="009849F1">
        <w:t>the policy is that the disallowance regime should not apply to the instrument;</w:t>
      </w:r>
    </w:p>
    <w:p w:rsidR="0043701C" w:rsidRPr="009849F1" w:rsidRDefault="0043701C" w:rsidP="0043701C">
      <w:pPr>
        <w:pStyle w:val="Body"/>
      </w:pPr>
      <w:r w:rsidRPr="009849F1">
        <w:t>then you will need to state this expressly. The standard form in such a case is as follows:</w:t>
      </w:r>
    </w:p>
    <w:p w:rsidR="0043701C" w:rsidRPr="009849F1" w:rsidRDefault="0043701C" w:rsidP="0043701C">
      <w:pPr>
        <w:pStyle w:val="subsection"/>
      </w:pPr>
      <w:r w:rsidRPr="009849F1">
        <w:tab/>
      </w:r>
      <w:r w:rsidRPr="009849F1">
        <w:tab/>
        <w:t xml:space="preserve">A </w:t>
      </w:r>
      <w:r w:rsidRPr="009849F1">
        <w:rPr>
          <w:i/>
        </w:rPr>
        <w:t xml:space="preserve">[insert description of instrument] </w:t>
      </w:r>
      <w:r w:rsidRPr="009849F1">
        <w:t xml:space="preserve">made under </w:t>
      </w:r>
      <w:r w:rsidRPr="009849F1">
        <w:rPr>
          <w:i/>
        </w:rPr>
        <w:t>[insert enabling provision]</w:t>
      </w:r>
      <w:r w:rsidRPr="009849F1">
        <w:t xml:space="preserve"> is a legislative instrument, but section 42 (disallowance) of the </w:t>
      </w:r>
      <w:r w:rsidRPr="009849F1">
        <w:rPr>
          <w:i/>
        </w:rPr>
        <w:t>Legislation Act 2003</w:t>
      </w:r>
      <w:r w:rsidRPr="009849F1">
        <w:t xml:space="preserve"> does not apply to the </w:t>
      </w:r>
      <w:r w:rsidRPr="009849F1">
        <w:rPr>
          <w:i/>
        </w:rPr>
        <w:t>[instrument]</w:t>
      </w:r>
      <w:r w:rsidRPr="009849F1">
        <w:t>.</w:t>
      </w:r>
    </w:p>
    <w:p w:rsidR="0043701C" w:rsidRPr="009849F1" w:rsidRDefault="0043701C" w:rsidP="0043701C">
      <w:pPr>
        <w:pStyle w:val="BodyNum"/>
      </w:pPr>
      <w:r w:rsidRPr="009849F1">
        <w:t xml:space="preserve">This form of provision (with appropriate modifications) can also be used in the cases described in paragraph </w:t>
      </w:r>
      <w:r w:rsidR="00223A1F">
        <w:t>87</w:t>
      </w:r>
      <w:r w:rsidRPr="009849F1">
        <w:t>.</w:t>
      </w:r>
    </w:p>
    <w:p w:rsidR="0043701C" w:rsidRDefault="0040591A" w:rsidP="00627B29">
      <w:pPr>
        <w:pStyle w:val="BodyNum"/>
      </w:pPr>
      <w:bookmarkStart w:id="70" w:name="_Ref41476724"/>
      <w:r>
        <w:t xml:space="preserve">If an instrument is legislative in character, and it is proposed to exempt the instrument from the disallowance regime in the LA, you should advise your instructors that the exemption will </w:t>
      </w:r>
      <w:r w:rsidR="00084EC6">
        <w:t xml:space="preserve">require the </w:t>
      </w:r>
      <w:r>
        <w:t xml:space="preserve">agreement of AGD or the </w:t>
      </w:r>
      <w:r w:rsidR="0043701C" w:rsidRPr="009849F1">
        <w:t>Attorney</w:t>
      </w:r>
      <w:r w:rsidR="00FD1CAC">
        <w:t>-</w:t>
      </w:r>
      <w:r w:rsidR="0043701C" w:rsidRPr="009849F1">
        <w:t>General.</w:t>
      </w:r>
      <w:bookmarkEnd w:id="70"/>
    </w:p>
    <w:p w:rsidR="00716B90" w:rsidRPr="009849F1" w:rsidRDefault="00716B90" w:rsidP="00716B90">
      <w:pPr>
        <w:pStyle w:val="BodyNum"/>
      </w:pPr>
      <w:r w:rsidRPr="009849F1">
        <w:t>Sometimes an instructing department may require a Bill to provide for a different disallowance regime, most commonly by providing for a different period of disallowance. In this case, a provision should be included along the following lines:</w:t>
      </w:r>
    </w:p>
    <w:p w:rsidR="00716B90" w:rsidRPr="009849F1" w:rsidRDefault="00716B90" w:rsidP="00716B90">
      <w:pPr>
        <w:pStyle w:val="subsection"/>
      </w:pPr>
      <w:r w:rsidRPr="009849F1">
        <w:tab/>
        <w:t>(x)</w:t>
      </w:r>
      <w:r w:rsidRPr="009849F1">
        <w:tab/>
        <w:t xml:space="preserve">The </w:t>
      </w:r>
      <w:r w:rsidRPr="009849F1">
        <w:rPr>
          <w:i/>
        </w:rPr>
        <w:t xml:space="preserve">Legislation Act 2003 </w:t>
      </w:r>
      <w:r w:rsidRPr="009849F1">
        <w:t xml:space="preserve">applies in relation to </w:t>
      </w:r>
      <w:r w:rsidRPr="009849F1">
        <w:rPr>
          <w:i/>
        </w:rPr>
        <w:t>[insert description of instrument]</w:t>
      </w:r>
      <w:r w:rsidRPr="009849F1">
        <w:t xml:space="preserve"> as if a reference in Part 2 of Chapter 3 of that Act (parliamentary scrutiny of legislative instruments) to 15 days</w:t>
      </w:r>
      <w:r>
        <w:t xml:space="preserve"> were a reference to [x] days.</w:t>
      </w:r>
    </w:p>
    <w:p w:rsidR="00716B90" w:rsidRPr="009849F1" w:rsidRDefault="00716B90" w:rsidP="00716B90">
      <w:pPr>
        <w:pStyle w:val="BodyNum"/>
      </w:pPr>
      <w:r w:rsidRPr="009849F1">
        <w:t xml:space="preserve">This ensures that other provisions in </w:t>
      </w:r>
      <w:r w:rsidR="00F332C1">
        <w:t>the LA</w:t>
      </w:r>
      <w:r w:rsidRPr="009849F1">
        <w:t xml:space="preserve"> (such as subsection 15T(7) which ensures that an instrument that is disallowed under section 42 is not shown as in force on the Register) can continue to apply in relation to the instrument. Any different disallowance r</w:t>
      </w:r>
      <w:r w:rsidR="007657A4">
        <w:t>egime should be discussed with</w:t>
      </w:r>
      <w:r w:rsidR="00627B29">
        <w:t xml:space="preserve"> </w:t>
      </w:r>
      <w:r w:rsidR="007657A4">
        <w:t>AGD</w:t>
      </w:r>
      <w:r w:rsidR="007657A4">
        <w:rPr>
          <w:lang w:eastAsia="en-US"/>
        </w:rPr>
        <w:t>.</w:t>
      </w:r>
    </w:p>
    <w:p w:rsidR="00900C24" w:rsidRDefault="00716B90" w:rsidP="0040591A">
      <w:pPr>
        <w:pStyle w:val="BodyNum"/>
      </w:pPr>
      <w:r w:rsidRPr="009849F1">
        <w:t>If more significant changes to the disallowance regime in the</w:t>
      </w:r>
      <w:r w:rsidR="00900C24">
        <w:t xml:space="preserve"> LA</w:t>
      </w:r>
      <w:r w:rsidRPr="009849F1">
        <w:t xml:space="preserve"> are required, then this would be done by exempting the legislative instrument from the disallowance regime and providing for the alternative regime. </w:t>
      </w:r>
      <w:r w:rsidR="00900C24">
        <w:t xml:space="preserve">Such an alternative disallowance regime </w:t>
      </w:r>
      <w:r w:rsidR="00900C24" w:rsidRPr="009849F1">
        <w:t xml:space="preserve">must be discussed with </w:t>
      </w:r>
      <w:r w:rsidR="00900C24">
        <w:t>the head drafter</w:t>
      </w:r>
      <w:r w:rsidR="00900C24" w:rsidRPr="009849F1">
        <w:t xml:space="preserve"> as alternative tabling and disallowance regimes raise practical issues for the Publications Group.</w:t>
      </w:r>
      <w:r w:rsidR="00900C24">
        <w:t xml:space="preserve"> Such an exemption from the disallowance regime in the LA</w:t>
      </w:r>
      <w:r w:rsidR="0040591A">
        <w:t xml:space="preserve"> </w:t>
      </w:r>
      <w:r w:rsidR="00900C24">
        <w:t xml:space="preserve">would </w:t>
      </w:r>
      <w:r w:rsidRPr="009849F1">
        <w:t>require the approval of the Attorney</w:t>
      </w:r>
      <w:r w:rsidR="00FD1CAC">
        <w:t>-</w:t>
      </w:r>
      <w:r w:rsidRPr="009849F1">
        <w:t>General</w:t>
      </w:r>
      <w:r w:rsidR="00900C24">
        <w:t>.</w:t>
      </w:r>
    </w:p>
    <w:p w:rsidR="00CF34F3" w:rsidRPr="009849F1" w:rsidRDefault="00CF34F3" w:rsidP="00CF34F3">
      <w:pPr>
        <w:pStyle w:val="BodyNum"/>
      </w:pPr>
      <w:r w:rsidRPr="009849F1">
        <w:t>Occasionally an instructing department may want to apply parts of the LA to an instrument that is administrative in character. The non</w:t>
      </w:r>
      <w:r w:rsidR="00FD1CAC">
        <w:t>-</w:t>
      </w:r>
      <w:r w:rsidRPr="009849F1">
        <w:t>application of provisions of the LA to such an instrument does not require a decision of the Attorney</w:t>
      </w:r>
      <w:r w:rsidR="00FD1CAC">
        <w:t>-</w:t>
      </w:r>
      <w:r w:rsidRPr="009849F1">
        <w:t>General.</w:t>
      </w:r>
    </w:p>
    <w:p w:rsidR="00CF34F3" w:rsidRPr="009849F1" w:rsidRDefault="00CF34F3" w:rsidP="00CF34F3">
      <w:pPr>
        <w:pStyle w:val="BodyNum"/>
      </w:pPr>
      <w:r w:rsidRPr="009849F1">
        <w:lastRenderedPageBreak/>
        <w:t>There are also exemptions from disallowance found in Part 4 of the LR. You should rely on the generic exception in item 3 of the table in section 9 of the LR for an instrument relating to superannuation only if it is clear that the instrument is covered. If an instrument made under a provision of an Act is covered by an exemption in that Part, you should include the following note under the provision:</w:t>
      </w:r>
    </w:p>
    <w:p w:rsidR="00CF34F3" w:rsidRPr="009849F1" w:rsidRDefault="00CF34F3" w:rsidP="00CF34F3">
      <w:pPr>
        <w:pStyle w:val="notetext"/>
      </w:pPr>
      <w:r w:rsidRPr="009849F1">
        <w:t>Note:</w:t>
      </w:r>
      <w:r w:rsidRPr="009849F1">
        <w:tab/>
        <w:t>Section</w:t>
      </w:r>
      <w:r w:rsidR="00FD1CAC">
        <w:t xml:space="preserve"> </w:t>
      </w:r>
      <w:r w:rsidRPr="009849F1">
        <w:t xml:space="preserve">42 (disallowance) of the </w:t>
      </w:r>
      <w:r w:rsidRPr="009849F1">
        <w:rPr>
          <w:i/>
        </w:rPr>
        <w:t xml:space="preserve">Legislation Act 2003 </w:t>
      </w:r>
      <w:r w:rsidRPr="009849F1">
        <w:t xml:space="preserve">does not apply to </w:t>
      </w:r>
      <w:r w:rsidRPr="009849F1">
        <w:rPr>
          <w:i/>
        </w:rPr>
        <w:t>[name of instrument]</w:t>
      </w:r>
      <w:r w:rsidRPr="009849F1">
        <w:t xml:space="preserve"> (see regulations made for the purposes of paragraph 44(2)(b) of that Act).</w:t>
      </w:r>
    </w:p>
    <w:p w:rsidR="0043701C" w:rsidRPr="009849F1" w:rsidRDefault="0043701C" w:rsidP="009849F1">
      <w:pPr>
        <w:pStyle w:val="Head4"/>
      </w:pPr>
      <w:bookmarkStart w:id="71" w:name="_Toc43196597"/>
      <w:r w:rsidRPr="009849F1">
        <w:t>Explanatory drafting notes</w:t>
      </w:r>
      <w:bookmarkEnd w:id="71"/>
    </w:p>
    <w:p w:rsidR="0043701C" w:rsidRPr="009849F1" w:rsidRDefault="0043701C" w:rsidP="0043701C">
      <w:pPr>
        <w:pStyle w:val="BodyNum"/>
      </w:pPr>
      <w:r w:rsidRPr="009849F1">
        <w:t>To assist the Senate Scrutiny of Bills Committee to understand the reasons for an instrument being exempted from the disallowance regime, Bill drafters should provide some guidance to instructors about including an appropriate explanation in the explanatory memorandum.</w:t>
      </w:r>
    </w:p>
    <w:p w:rsidR="0043701C" w:rsidRPr="009849F1" w:rsidRDefault="0043701C" w:rsidP="0043701C">
      <w:pPr>
        <w:pStyle w:val="BodyNum"/>
      </w:pPr>
      <w:r w:rsidRPr="009849F1">
        <w:t>Bill drafters should include notes along the following lines (as the case requires) under the relevant provision in the Bill. (The drafting note can be inserted using Alt + I):</w:t>
      </w:r>
    </w:p>
    <w:p w:rsidR="0043701C" w:rsidRPr="009849F1" w:rsidRDefault="0043701C" w:rsidP="0043701C">
      <w:pPr>
        <w:pStyle w:val="notedraft"/>
      </w:pPr>
      <w:r w:rsidRPr="009849F1">
        <w:t>[You should explain in the explanatory memorandum the reason why this instrument is being exempted from the disallowance regime.]</w:t>
      </w:r>
    </w:p>
    <w:p w:rsidR="0043701C" w:rsidRPr="009849F1" w:rsidRDefault="0043701C" w:rsidP="0043701C">
      <w:pPr>
        <w:pStyle w:val="notedraft"/>
      </w:pPr>
      <w:r w:rsidRPr="009849F1">
        <w:t>[You should explain that the instrument is of an administrative character and would not be a legislative instrument without the provision, but that as a matter of policy it has been decided to apply particular (specified) requirements of the Legislation Act 2003 and not other (specified) requirements of that Act.]</w:t>
      </w:r>
    </w:p>
    <w:p w:rsidR="0043701C" w:rsidRPr="009849F1" w:rsidRDefault="0043701C" w:rsidP="009849F1">
      <w:pPr>
        <w:pStyle w:val="Head4"/>
      </w:pPr>
      <w:bookmarkStart w:id="72" w:name="_Toc43196598"/>
      <w:r w:rsidRPr="009849F1">
        <w:t>Exemptions from the sunsetting regime</w:t>
      </w:r>
      <w:bookmarkEnd w:id="72"/>
    </w:p>
    <w:p w:rsidR="0043701C" w:rsidRPr="009849F1" w:rsidRDefault="0043701C" w:rsidP="0043701C">
      <w:pPr>
        <w:pStyle w:val="BodyNum"/>
      </w:pPr>
      <w:r w:rsidRPr="009849F1">
        <w:t>It is the policy of</w:t>
      </w:r>
      <w:r w:rsidR="008A45FF" w:rsidRPr="009849F1">
        <w:rPr>
          <w:lang w:eastAsia="en-US"/>
        </w:rPr>
        <w:t xml:space="preserve"> AGD</w:t>
      </w:r>
      <w:r w:rsidRPr="009849F1">
        <w:t xml:space="preserve"> that all exemptions from the sunsetting regime must be included in the LR and must not be included in the Act containing the power to make the instrument.</w:t>
      </w:r>
      <w:r w:rsidR="007657A4">
        <w:t xml:space="preserve"> </w:t>
      </w:r>
    </w:p>
    <w:p w:rsidR="0043701C" w:rsidRPr="009849F1" w:rsidRDefault="0043701C" w:rsidP="0043701C">
      <w:pPr>
        <w:pStyle w:val="BodyNum"/>
      </w:pPr>
      <w:r w:rsidRPr="009849F1">
        <w:t>Therefore, if the policy of the instructors is that there should be such an exemption, the</w:t>
      </w:r>
      <w:r w:rsidR="00A70E94">
        <w:t xml:space="preserve"> instructors</w:t>
      </w:r>
      <w:r w:rsidRPr="009849F1">
        <w:t xml:space="preserve"> should </w:t>
      </w:r>
      <w:r w:rsidR="0040591A">
        <w:t>be advised to contact</w:t>
      </w:r>
      <w:r w:rsidRPr="009849F1">
        <w:t xml:space="preserve"> </w:t>
      </w:r>
      <w:r w:rsidR="008A45FF" w:rsidRPr="009849F1">
        <w:rPr>
          <w:lang w:eastAsia="en-US"/>
        </w:rPr>
        <w:t>AGD</w:t>
      </w:r>
      <w:r w:rsidRPr="009849F1">
        <w:t xml:space="preserve"> to discuss the matter and to arrange to have the necessary regulations drafted.</w:t>
      </w:r>
    </w:p>
    <w:p w:rsidR="0043701C" w:rsidRPr="009849F1" w:rsidRDefault="0043701C" w:rsidP="0043701C">
      <w:pPr>
        <w:pStyle w:val="BodyNum"/>
      </w:pPr>
      <w:r w:rsidRPr="009849F1">
        <w:t>Any proposed exemption of an instrument that is legislative in character from the sunsetting regime would require the approval of the Attorney</w:t>
      </w:r>
      <w:r w:rsidR="00FD1CAC">
        <w:t>-</w:t>
      </w:r>
      <w:r w:rsidRPr="009849F1">
        <w:t>General.</w:t>
      </w:r>
    </w:p>
    <w:p w:rsidR="0043701C" w:rsidRPr="009849F1" w:rsidRDefault="0043701C" w:rsidP="0043701C">
      <w:pPr>
        <w:pStyle w:val="BodyNum"/>
      </w:pPr>
      <w:r w:rsidRPr="009849F1">
        <w:t>Part 5 of the LR contains the exemptions from sunsetting. If an instrument made under a provision of an Act is covered by an exemption in that Part, you should include the following note under the provision:</w:t>
      </w:r>
    </w:p>
    <w:p w:rsidR="0043701C" w:rsidRPr="009849F1" w:rsidRDefault="0043701C" w:rsidP="0043701C">
      <w:pPr>
        <w:pStyle w:val="notetext"/>
      </w:pPr>
      <w:r w:rsidRPr="009849F1">
        <w:t>Note:</w:t>
      </w:r>
      <w:r w:rsidRPr="009849F1">
        <w:tab/>
        <w:t>Part</w:t>
      </w:r>
      <w:r w:rsidR="00FD1CAC">
        <w:t xml:space="preserve"> </w:t>
      </w:r>
      <w:r w:rsidRPr="009849F1">
        <w:t xml:space="preserve">4 of Chapter 3 (sunsetting) of the </w:t>
      </w:r>
      <w:r w:rsidRPr="009849F1">
        <w:rPr>
          <w:i/>
        </w:rPr>
        <w:t xml:space="preserve">Legislation Act 2003 </w:t>
      </w:r>
      <w:r w:rsidRPr="009849F1">
        <w:t xml:space="preserve">does not apply to the </w:t>
      </w:r>
      <w:r w:rsidRPr="009849F1">
        <w:rPr>
          <w:i/>
        </w:rPr>
        <w:t>[name of instrument]</w:t>
      </w:r>
      <w:r w:rsidRPr="009849F1">
        <w:t xml:space="preserve"> (see regulations made for the purposes of paragraph 54(2)(b) of that Act).</w:t>
      </w:r>
    </w:p>
    <w:p w:rsidR="0043701C" w:rsidRPr="009849F1" w:rsidRDefault="0043701C" w:rsidP="009849F1">
      <w:pPr>
        <w:pStyle w:val="Head3"/>
      </w:pPr>
      <w:bookmarkStart w:id="73" w:name="_Toc43196599"/>
      <w:r w:rsidRPr="009849F1">
        <w:t>Providing for other requirements for legislative instruments</w:t>
      </w:r>
      <w:bookmarkEnd w:id="73"/>
    </w:p>
    <w:p w:rsidR="0043701C" w:rsidRPr="009849F1" w:rsidRDefault="0043701C" w:rsidP="009849F1">
      <w:pPr>
        <w:pStyle w:val="Head4"/>
      </w:pPr>
      <w:bookmarkStart w:id="74" w:name="_Toc43196600"/>
      <w:r w:rsidRPr="009849F1">
        <w:t>Publication requirements</w:t>
      </w:r>
      <w:bookmarkEnd w:id="74"/>
    </w:p>
    <w:p w:rsidR="0043701C" w:rsidRPr="009849F1" w:rsidRDefault="0043701C" w:rsidP="0043701C">
      <w:pPr>
        <w:pStyle w:val="BodyNum"/>
      </w:pPr>
      <w:r w:rsidRPr="009849F1">
        <w:t xml:space="preserve">You may require a legislative instrument to be published in a particular way. This requirement is additional to the requirement to register a legislative instrument (see </w:t>
      </w:r>
      <w:r w:rsidRPr="009849F1">
        <w:lastRenderedPageBreak/>
        <w:t>subsections 56(2) and (3) of the LA in relation to a requirement to publish a legislative instrument in the Gazette).</w:t>
      </w:r>
    </w:p>
    <w:p w:rsidR="0043701C" w:rsidRPr="009849F1" w:rsidRDefault="0043701C" w:rsidP="0043701C">
      <w:pPr>
        <w:pStyle w:val="BodyNum"/>
        <w:rPr>
          <w:rStyle w:val="BodyNumChar"/>
        </w:rPr>
      </w:pPr>
      <w:r w:rsidRPr="009849F1">
        <w:rPr>
          <w:rStyle w:val="BodyNumChar"/>
        </w:rPr>
        <w:t>If you do require a legislative instrument to be published</w:t>
      </w:r>
      <w:r w:rsidRPr="009849F1">
        <w:t xml:space="preserve"> in a particular way</w:t>
      </w:r>
      <w:r w:rsidRPr="009849F1">
        <w:rPr>
          <w:rStyle w:val="BodyNumChar"/>
        </w:rPr>
        <w:t xml:space="preserve">, you should be aware that </w:t>
      </w:r>
      <w:r w:rsidRPr="009849F1">
        <w:rPr>
          <w:rStyle w:val="BodyNumChar"/>
          <w:b/>
          <w:i/>
        </w:rPr>
        <w:t>making</w:t>
      </w:r>
      <w:r w:rsidRPr="009849F1">
        <w:rPr>
          <w:rStyle w:val="BodyNumChar"/>
        </w:rPr>
        <w:t xml:space="preserve">, in relation to a proposed or actual legislative instrument, is defined in section 4 of the LA to mean “the signing, sealing or other endorsement of the instrument by the person or body empowered to make it”. Therefore, any publication requirements should occur </w:t>
      </w:r>
      <w:r w:rsidRPr="009849F1">
        <w:rPr>
          <w:rStyle w:val="BodyNumChar"/>
          <w:i/>
        </w:rPr>
        <w:t>after</w:t>
      </w:r>
      <w:r w:rsidRPr="009849F1">
        <w:rPr>
          <w:rStyle w:val="BodyNumChar"/>
        </w:rPr>
        <w:t xml:space="preserve"> a legislative instrument is made (rather than being the process by which the instrument is made). One way of doing this is to require a </w:t>
      </w:r>
      <w:r w:rsidRPr="009849F1">
        <w:rPr>
          <w:rStyle w:val="BodyNumChar"/>
          <w:i/>
        </w:rPr>
        <w:t>copy</w:t>
      </w:r>
      <w:r w:rsidRPr="009849F1">
        <w:rPr>
          <w:rStyle w:val="BodyNumChar"/>
        </w:rPr>
        <w:t xml:space="preserve"> of the instrument, once made, to be published </w:t>
      </w:r>
      <w:r w:rsidRPr="009849F1">
        <w:t>in a particular way</w:t>
      </w:r>
      <w:r w:rsidRPr="009849F1">
        <w:rPr>
          <w:rStyle w:val="BodyNumChar"/>
        </w:rPr>
        <w:t>.</w:t>
      </w:r>
    </w:p>
    <w:p w:rsidR="0043701C" w:rsidRPr="009849F1" w:rsidRDefault="0043701C" w:rsidP="0043701C">
      <w:pPr>
        <w:pStyle w:val="BodyNum"/>
        <w:rPr>
          <w:rStyle w:val="BodyNumChar"/>
        </w:rPr>
      </w:pPr>
      <w:bookmarkStart w:id="75" w:name="_Ref264988221"/>
      <w:r w:rsidRPr="009849F1">
        <w:rPr>
          <w:rStyle w:val="BodyNumChar"/>
        </w:rPr>
        <w:t>As all legislative instruments are required to be registered on the Federal Register of Legislation, and the</w:t>
      </w:r>
      <w:r w:rsidR="00F332C1">
        <w:rPr>
          <w:rStyle w:val="BodyNumChar"/>
        </w:rPr>
        <w:t xml:space="preserve"> LA</w:t>
      </w:r>
      <w:r w:rsidRPr="009849F1">
        <w:rPr>
          <w:rStyle w:val="BodyNumChar"/>
        </w:rPr>
        <w:t xml:space="preserve"> also allows for notifiable instruments that are not legislative instruments to be registered on the Federal Register of Legislation, the need for legislative instruments to be published</w:t>
      </w:r>
      <w:r w:rsidRPr="009849F1">
        <w:t xml:space="preserve"> in a particular way</w:t>
      </w:r>
      <w:r w:rsidRPr="009849F1">
        <w:rPr>
          <w:rStyle w:val="BodyNumChar"/>
        </w:rPr>
        <w:t xml:space="preserve"> in future should be less common (</w:t>
      </w:r>
      <w:r w:rsidRPr="009849F1">
        <w:t xml:space="preserve">and the need for legislative instruments to be published in the </w:t>
      </w:r>
      <w:r w:rsidRPr="009849F1">
        <w:rPr>
          <w:rStyle w:val="Emphasis"/>
        </w:rPr>
        <w:t xml:space="preserve">Gazette </w:t>
      </w:r>
      <w:r w:rsidRPr="009849F1">
        <w:t>in future should be very unusual</w:t>
      </w:r>
      <w:r w:rsidRPr="009849F1">
        <w:rPr>
          <w:rStyle w:val="BodyNumChar"/>
        </w:rPr>
        <w:t xml:space="preserve">). Provisions should be included in legislation requiring gazettal only after discussion with </w:t>
      </w:r>
      <w:r w:rsidR="0059155C">
        <w:rPr>
          <w:rStyle w:val="BodyNumChar"/>
        </w:rPr>
        <w:t>the head drafter</w:t>
      </w:r>
      <w:r w:rsidRPr="009849F1">
        <w:rPr>
          <w:rStyle w:val="BodyNumChar"/>
        </w:rPr>
        <w:t xml:space="preserve">. (See also paragraphs </w:t>
      </w:r>
      <w:r w:rsidR="00223A1F">
        <w:rPr>
          <w:rStyle w:val="BodyNumChar"/>
        </w:rPr>
        <w:t>114</w:t>
      </w:r>
      <w:r w:rsidRPr="009849F1">
        <w:rPr>
          <w:rStyle w:val="BodyNumChar"/>
        </w:rPr>
        <w:t xml:space="preserve"> to </w:t>
      </w:r>
      <w:r w:rsidR="00223A1F">
        <w:rPr>
          <w:rStyle w:val="BodyNumChar"/>
        </w:rPr>
        <w:t>119</w:t>
      </w:r>
      <w:r w:rsidRPr="009849F1">
        <w:rPr>
          <w:rStyle w:val="BodyNumChar"/>
        </w:rPr>
        <w:t>.)</w:t>
      </w:r>
    </w:p>
    <w:p w:rsidR="0043701C" w:rsidRPr="009849F1" w:rsidRDefault="0043701C" w:rsidP="0043701C">
      <w:pPr>
        <w:pStyle w:val="BodyNum"/>
        <w:rPr>
          <w:rStyle w:val="BodyNumChar"/>
        </w:rPr>
      </w:pPr>
      <w:bookmarkStart w:id="76" w:name="_Ref439754153"/>
      <w:r w:rsidRPr="009849F1">
        <w:rPr>
          <w:rStyle w:val="BodyNumChar"/>
        </w:rPr>
        <w:t>However, if you are required to include a requirement that a copy of a legislative</w:t>
      </w:r>
      <w:r w:rsidR="00FD1CAC">
        <w:rPr>
          <w:rStyle w:val="BodyNumChar"/>
        </w:rPr>
        <w:t xml:space="preserve"> </w:t>
      </w:r>
      <w:r w:rsidRPr="009849F1">
        <w:rPr>
          <w:rStyle w:val="BodyNumChar"/>
        </w:rPr>
        <w:t>instrument be published in the Gazette, then you should use the following form:</w:t>
      </w:r>
      <w:bookmarkEnd w:id="75"/>
      <w:bookmarkEnd w:id="76"/>
    </w:p>
    <w:p w:rsidR="0043701C" w:rsidRPr="009849F1" w:rsidRDefault="0043701C" w:rsidP="0043701C">
      <w:pPr>
        <w:pStyle w:val="subsection"/>
      </w:pPr>
      <w:r w:rsidRPr="009849F1">
        <w:tab/>
      </w:r>
      <w:r w:rsidRPr="009849F1">
        <w:tab/>
        <w:t xml:space="preserve">The Minister may, by legislative instrument, make a </w:t>
      </w:r>
      <w:r w:rsidRPr="009849F1">
        <w:rPr>
          <w:i/>
        </w:rPr>
        <w:t>[insert description of instrument]</w:t>
      </w:r>
      <w:r w:rsidRPr="009849F1">
        <w:t>.</w:t>
      </w:r>
    </w:p>
    <w:p w:rsidR="0043701C" w:rsidRPr="009849F1" w:rsidRDefault="0043701C" w:rsidP="0043701C">
      <w:pPr>
        <w:pStyle w:val="subsection"/>
      </w:pPr>
      <w:r w:rsidRPr="009849F1">
        <w:tab/>
      </w:r>
      <w:r w:rsidRPr="009849F1">
        <w:tab/>
        <w:t xml:space="preserve">In addition to the requirement under the </w:t>
      </w:r>
      <w:r w:rsidRPr="009849F1">
        <w:rPr>
          <w:i/>
        </w:rPr>
        <w:t>Legislation Act 2003</w:t>
      </w:r>
      <w:r w:rsidRPr="009849F1">
        <w:t xml:space="preserve"> for the </w:t>
      </w:r>
      <w:r w:rsidRPr="009849F1">
        <w:rPr>
          <w:i/>
        </w:rPr>
        <w:t>[instrument]</w:t>
      </w:r>
      <w:r w:rsidR="00FD1CAC">
        <w:t xml:space="preserve"> </w:t>
      </w:r>
      <w:r w:rsidRPr="009849F1">
        <w:t xml:space="preserve">to be registered, a copy of the </w:t>
      </w:r>
      <w:r w:rsidRPr="009849F1">
        <w:rPr>
          <w:i/>
        </w:rPr>
        <w:t>[instrument]</w:t>
      </w:r>
      <w:r w:rsidRPr="009849F1">
        <w:t xml:space="preserve"> must be published in the Gazette.</w:t>
      </w:r>
    </w:p>
    <w:p w:rsidR="0043701C" w:rsidRPr="009849F1" w:rsidRDefault="0043701C" w:rsidP="0043701C">
      <w:pPr>
        <w:pStyle w:val="BodyNum"/>
      </w:pPr>
      <w:r w:rsidRPr="009849F1">
        <w:t>The reason for the form of words in paragraph</w:t>
      </w:r>
      <w:r w:rsidR="001E3185" w:rsidRPr="009849F1">
        <w:t xml:space="preserve"> </w:t>
      </w:r>
      <w:r w:rsidR="00223A1F">
        <w:t>109</w:t>
      </w:r>
      <w:r w:rsidR="001E3185" w:rsidRPr="009849F1">
        <w:t xml:space="preserve"> </w:t>
      </w:r>
      <w:r w:rsidRPr="009849F1">
        <w:t>is to make it clear on the face of the statute book that subsection 56(</w:t>
      </w:r>
      <w:r w:rsidR="003E0594" w:rsidRPr="009849F1">
        <w:t>1</w:t>
      </w:r>
      <w:r w:rsidRPr="009849F1">
        <w:t xml:space="preserve">) of the LA </w:t>
      </w:r>
      <w:r w:rsidR="003E0594" w:rsidRPr="009849F1">
        <w:t xml:space="preserve">is overridden </w:t>
      </w:r>
      <w:r w:rsidRPr="009849F1">
        <w:t xml:space="preserve">(which states that </w:t>
      </w:r>
      <w:r w:rsidR="00515878" w:rsidRPr="009849F1">
        <w:t xml:space="preserve">a requirement for an instrument </w:t>
      </w:r>
      <w:r w:rsidR="003E0594" w:rsidRPr="009849F1">
        <w:t xml:space="preserve">to be published in the Gazette </w:t>
      </w:r>
      <w:r w:rsidR="00515878" w:rsidRPr="009849F1">
        <w:t xml:space="preserve">is </w:t>
      </w:r>
      <w:r w:rsidR="003E0594" w:rsidRPr="009849F1">
        <w:t>satisfied if the instrument is registered as a legislative instrument</w:t>
      </w:r>
      <w:r w:rsidRPr="009849F1">
        <w:t>). You should also adopt a similar form of words (as appropriate) in the case of other methods of publication (such as publication in a newspaper) for consistency</w:t>
      </w:r>
      <w:r w:rsidR="003E0594" w:rsidRPr="009849F1">
        <w:t xml:space="preserve"> (although this is the position</w:t>
      </w:r>
      <w:r w:rsidR="00515878" w:rsidRPr="009849F1">
        <w:t>,</w:t>
      </w:r>
      <w:r w:rsidR="003E0594" w:rsidRPr="009849F1">
        <w:t xml:space="preserve"> in any case</w:t>
      </w:r>
      <w:r w:rsidR="00515878" w:rsidRPr="009849F1">
        <w:t>,</w:t>
      </w:r>
      <w:r w:rsidR="003E0594" w:rsidRPr="009849F1">
        <w:t xml:space="preserve"> </w:t>
      </w:r>
      <w:r w:rsidR="00515878" w:rsidRPr="009849F1">
        <w:t xml:space="preserve">as a result of </w:t>
      </w:r>
      <w:r w:rsidR="003E0594" w:rsidRPr="009849F1">
        <w:t>subsection 56(3) of the LA)</w:t>
      </w:r>
      <w:r w:rsidRPr="009849F1">
        <w:t>.</w:t>
      </w:r>
    </w:p>
    <w:p w:rsidR="0043701C" w:rsidRPr="009849F1" w:rsidRDefault="0043701C" w:rsidP="0043701C">
      <w:pPr>
        <w:pStyle w:val="BodyNum"/>
      </w:pPr>
      <w:r w:rsidRPr="009849F1">
        <w:t>You might also need to consider whether a failure to publish the instrument as required affects the validity of the instrument.</w:t>
      </w:r>
    </w:p>
    <w:p w:rsidR="0043701C" w:rsidRPr="009849F1" w:rsidRDefault="0043701C" w:rsidP="0043701C">
      <w:pPr>
        <w:pStyle w:val="BodyNum"/>
      </w:pPr>
      <w:r w:rsidRPr="009849F1">
        <w:t>For further discussion on publication requirements for instruments, see the discussion below in relation to notifiable instruments.</w:t>
      </w:r>
    </w:p>
    <w:p w:rsidR="0043701C" w:rsidRPr="009849F1" w:rsidRDefault="0043701C" w:rsidP="009849F1">
      <w:pPr>
        <w:pStyle w:val="Head4"/>
      </w:pPr>
      <w:bookmarkStart w:id="77" w:name="_Toc43196601"/>
      <w:r w:rsidRPr="009849F1">
        <w:t>Tabling requirements</w:t>
      </w:r>
      <w:bookmarkEnd w:id="77"/>
    </w:p>
    <w:p w:rsidR="0043701C" w:rsidRPr="009849F1" w:rsidRDefault="0043701C" w:rsidP="0043701C">
      <w:pPr>
        <w:pStyle w:val="BodyNum"/>
      </w:pPr>
      <w:r w:rsidRPr="009849F1">
        <w:t>The obligation to deliver a legislative instrument for tabling lies on OPC (although that obligation only arises once the instrument is lodged for registration). There should not be any need to provide for any tabling requirements for legislative instruments that are different from those specified in Part 2 of Chapter 3 of the LA.</w:t>
      </w:r>
    </w:p>
    <w:p w:rsidR="0043701C" w:rsidRPr="009849F1" w:rsidRDefault="0043701C" w:rsidP="009849F1">
      <w:pPr>
        <w:pStyle w:val="Head3"/>
      </w:pPr>
      <w:bookmarkStart w:id="78" w:name="_Toc43196602"/>
      <w:r w:rsidRPr="009849F1">
        <w:t>Notifiable instruments</w:t>
      </w:r>
      <w:bookmarkEnd w:id="78"/>
    </w:p>
    <w:p w:rsidR="0043701C" w:rsidRPr="009849F1" w:rsidRDefault="0043701C" w:rsidP="0043701C">
      <w:pPr>
        <w:pStyle w:val="BodyNum"/>
      </w:pPr>
      <w:bookmarkStart w:id="79" w:name="_Ref438714136"/>
      <w:r w:rsidRPr="009849F1">
        <w:t>The LA provides for a</w:t>
      </w:r>
      <w:r w:rsidR="007D7DCE">
        <w:t>nother</w:t>
      </w:r>
      <w:r w:rsidRPr="009849F1">
        <w:t xml:space="preserve"> </w:t>
      </w:r>
      <w:r w:rsidR="007D7DCE">
        <w:t>c</w:t>
      </w:r>
      <w:r w:rsidRPr="009849F1">
        <w:t>lass of instruments</w:t>
      </w:r>
      <w:r w:rsidR="007D7DCE">
        <w:t>,</w:t>
      </w:r>
      <w:r w:rsidRPr="009849F1">
        <w:t xml:space="preserve"> called notifiable instruments. Section 11 of the LA provides for the following instruments to be notifiable instruments:</w:t>
      </w:r>
      <w:bookmarkEnd w:id="79"/>
    </w:p>
    <w:p w:rsidR="0043701C" w:rsidRPr="009849F1" w:rsidRDefault="0043701C" w:rsidP="0043701C">
      <w:pPr>
        <w:pStyle w:val="BodyPara"/>
      </w:pPr>
      <w:bookmarkStart w:id="80" w:name="_Ref437845156"/>
      <w:r w:rsidRPr="009849F1">
        <w:lastRenderedPageBreak/>
        <w:t>instruments declared to be notifiable by their enabling Act or instrument;</w:t>
      </w:r>
      <w:bookmarkEnd w:id="80"/>
    </w:p>
    <w:p w:rsidR="0043701C" w:rsidRPr="009849F1" w:rsidRDefault="001E3185" w:rsidP="0043701C">
      <w:pPr>
        <w:pStyle w:val="BodyPara"/>
      </w:pPr>
      <w:r w:rsidRPr="009849F1">
        <w:t xml:space="preserve">commencement </w:t>
      </w:r>
      <w:r w:rsidR="0043701C" w:rsidRPr="009849F1">
        <w:t>Proclamations for Acts and similar commencement instruments for instruments;</w:t>
      </w:r>
    </w:p>
    <w:p w:rsidR="0043701C" w:rsidRPr="009849F1" w:rsidRDefault="0043701C" w:rsidP="0043701C">
      <w:pPr>
        <w:pStyle w:val="BodyPara"/>
      </w:pPr>
      <w:r w:rsidRPr="009849F1">
        <w:t>instruments (other than legislative instruments) that are registered as notifiable instruments;</w:t>
      </w:r>
    </w:p>
    <w:p w:rsidR="0043701C" w:rsidRPr="009849F1" w:rsidRDefault="0043701C" w:rsidP="0043701C">
      <w:pPr>
        <w:pStyle w:val="BodyPara"/>
      </w:pPr>
      <w:r w:rsidRPr="009849F1">
        <w:t>instruments that amend or repeal other notifiable instruments.</w:t>
      </w:r>
    </w:p>
    <w:p w:rsidR="0043701C" w:rsidRPr="009849F1" w:rsidRDefault="0043701C" w:rsidP="0043701C">
      <w:pPr>
        <w:pStyle w:val="BodyNum"/>
      </w:pPr>
      <w:r w:rsidRPr="009849F1">
        <w:t xml:space="preserve">An instrument covered by paragraph </w:t>
      </w:r>
      <w:r w:rsidR="00223A1F">
        <w:t>11</w:t>
      </w:r>
      <w:r w:rsidR="00F57415">
        <w:t>7</w:t>
      </w:r>
      <w:r w:rsidR="00223A1F">
        <w:t>(a)</w:t>
      </w:r>
      <w:r w:rsidRPr="009849F1">
        <w:t xml:space="preserve"> is excluded from being a legislative instrument by paragraph 8(8)(a) of the LA, even if it happens to be legislative in character. Similarly, a commencement instrument is excluded from being a legislative instrument. Neither instrument can be registered as a legislative instrument.</w:t>
      </w:r>
    </w:p>
    <w:p w:rsidR="0043701C" w:rsidRPr="009849F1" w:rsidRDefault="0043701C" w:rsidP="0043701C">
      <w:pPr>
        <w:pStyle w:val="BodyNum"/>
      </w:pPr>
      <w:r w:rsidRPr="009849F1">
        <w:t>Notifiable instruments are designed to cover instruments that do not have legislative character, and that are currently required to be made publicly available, whether by publication in the Gazette, on a website</w:t>
      </w:r>
      <w:r w:rsidR="00247990">
        <w:t xml:space="preserve">, in a newspaper or otherwise. </w:t>
      </w:r>
      <w:r w:rsidRPr="009849F1">
        <w:t>Such instruments will become more easily and consistently accessible than at present by being formally registrable on the Federal Register of Legislation, and by allowing compilations to be made for those instruments that are amended from time to time.</w:t>
      </w:r>
    </w:p>
    <w:p w:rsidR="0043701C" w:rsidRPr="009849F1" w:rsidRDefault="0043701C" w:rsidP="0043701C">
      <w:pPr>
        <w:pStyle w:val="BodyNum"/>
      </w:pPr>
      <w:r w:rsidRPr="009849F1">
        <w:t>Notifiable instruments will be required to be registered, but are not required to be tabled in Parliament; they are not disallowable and they do not sunset. The requirements for consultation before the making of legislative instruments do not apply to notifiable instruments.</w:t>
      </w:r>
    </w:p>
    <w:p w:rsidR="0043701C" w:rsidRPr="009849F1" w:rsidRDefault="0043701C" w:rsidP="0043701C">
      <w:pPr>
        <w:pStyle w:val="BodyNum"/>
      </w:pPr>
      <w:r w:rsidRPr="009849F1">
        <w:t>In the past, drafters may have been instructed to include a requirement for a notice to be published in the Gazette. If instructions are given to provide for instruments, other than legislative instruments, to be m</w:t>
      </w:r>
      <w:r w:rsidR="001E3185" w:rsidRPr="009849F1">
        <w:t>ade public</w:t>
      </w:r>
      <w:r w:rsidRPr="009849F1">
        <w:t>ly available (whether in the Gazette, on a website or in a newspaper), consideration should be given as to whether the instruments should be notifiable instruments. Ultimately, it is a decision for instructors as to whether an instrument should be a notifiable instrument. Factors that may be taken into account in making the decision include the following:</w:t>
      </w:r>
    </w:p>
    <w:p w:rsidR="0043701C" w:rsidRPr="009849F1" w:rsidRDefault="0043701C" w:rsidP="0043701C">
      <w:pPr>
        <w:pStyle w:val="BodyPara"/>
      </w:pPr>
      <w:r w:rsidRPr="009849F1">
        <w:t>whether the instrument should be permanently available;</w:t>
      </w:r>
    </w:p>
    <w:p w:rsidR="0043701C" w:rsidRPr="009849F1" w:rsidRDefault="0043701C" w:rsidP="0043701C">
      <w:pPr>
        <w:pStyle w:val="BodyPara"/>
      </w:pPr>
      <w:r w:rsidRPr="009849F1">
        <w:t>the ability of the Federal Register of Legislation to link all instruments made under a particular power</w:t>
      </w:r>
      <w:r w:rsidR="00EF7968" w:rsidRPr="009849F1">
        <w:t xml:space="preserve"> and the ability to publish amendments and compilations of notifiable instruments on the Register</w:t>
      </w:r>
      <w:r w:rsidRPr="009849F1">
        <w:t>;</w:t>
      </w:r>
    </w:p>
    <w:p w:rsidR="0043701C" w:rsidRPr="009849F1" w:rsidRDefault="0043701C" w:rsidP="0043701C">
      <w:pPr>
        <w:pStyle w:val="BodyPara"/>
      </w:pPr>
      <w:r w:rsidRPr="009849F1">
        <w:t>whether what is being made publicly available is the exercise of a power or a notification of an exercise of a power</w:t>
      </w:r>
      <w:r w:rsidR="00B910B1" w:rsidRPr="009849F1">
        <w:t xml:space="preserve"> (</w:t>
      </w:r>
      <w:r w:rsidR="00B910B1" w:rsidRPr="009849F1">
        <w:rPr>
          <w:iCs/>
        </w:rPr>
        <w:t>where an exercise of power is more likely to be done by notifiable instrument than a notification of an exercise of power);</w:t>
      </w:r>
    </w:p>
    <w:p w:rsidR="0043701C" w:rsidRPr="009849F1" w:rsidRDefault="0043701C" w:rsidP="0043701C">
      <w:pPr>
        <w:pStyle w:val="BodyPara"/>
      </w:pPr>
      <w:r w:rsidRPr="009849F1">
        <w:t>where the public would expect to find the information (that is, would they expect to find the information on the Federal Register of Legislation, on a website or in newspapers);</w:t>
      </w:r>
    </w:p>
    <w:p w:rsidR="0043701C" w:rsidRPr="009849F1" w:rsidRDefault="0043701C" w:rsidP="0043701C">
      <w:pPr>
        <w:pStyle w:val="BodyPara"/>
      </w:pPr>
      <w:r w:rsidRPr="009849F1">
        <w:lastRenderedPageBreak/>
        <w:t>the need for the public to be alerted to a matter urgently</w:t>
      </w:r>
      <w:r w:rsidR="00B910B1" w:rsidRPr="009849F1">
        <w:t xml:space="preserve"> (</w:t>
      </w:r>
      <w:r w:rsidR="00B910B1" w:rsidRPr="009849F1">
        <w:rPr>
          <w:iCs/>
        </w:rPr>
        <w:t>where urgent notification is more appropriately dealt with on a particular website than on the Register)</w:t>
      </w:r>
      <w:r w:rsidRPr="009849F1">
        <w:t>;</w:t>
      </w:r>
    </w:p>
    <w:p w:rsidR="0043701C" w:rsidRPr="009849F1" w:rsidRDefault="0043701C" w:rsidP="0043701C">
      <w:pPr>
        <w:pStyle w:val="BodyPara"/>
      </w:pPr>
      <w:r w:rsidRPr="009849F1">
        <w:t>the relative costs of the various methods of making the information publicly available;</w:t>
      </w:r>
    </w:p>
    <w:p w:rsidR="0043701C" w:rsidRPr="009849F1" w:rsidRDefault="0043701C" w:rsidP="0043701C">
      <w:pPr>
        <w:pStyle w:val="BodyPara"/>
      </w:pPr>
      <w:r w:rsidRPr="009849F1">
        <w:t>for instruments that may be either legislative or non</w:t>
      </w:r>
      <w:r w:rsidR="00FD1CAC">
        <w:t>-</w:t>
      </w:r>
      <w:r w:rsidRPr="009849F1">
        <w:t xml:space="preserve">legislative, the ability for </w:t>
      </w:r>
      <w:r w:rsidRPr="009849F1">
        <w:br/>
        <w:t>the Federal Register of Legislation to house all instruments made under that power in a single location.</w:t>
      </w:r>
    </w:p>
    <w:p w:rsidR="0089008C" w:rsidRPr="009849F1" w:rsidRDefault="0043701C" w:rsidP="0043701C">
      <w:pPr>
        <w:pStyle w:val="BodyNum"/>
      </w:pPr>
      <w:bookmarkStart w:id="81" w:name="_Ref438714156"/>
      <w:r w:rsidRPr="009849F1">
        <w:t>The standard form of declaration for notifiable instruments should be the same as for legislative instruments, e</w:t>
      </w:r>
      <w:r w:rsidR="001E3185" w:rsidRPr="009849F1">
        <w:t>.</w:t>
      </w:r>
      <w:r w:rsidRPr="009849F1">
        <w:t>g</w:t>
      </w:r>
      <w:r w:rsidR="001E3185" w:rsidRPr="009849F1">
        <w:t>.</w:t>
      </w:r>
      <w:r w:rsidRPr="009849F1">
        <w:t xml:space="preserve"> “The Minister may, by notifiable instrument, determine...”. Of course, this may need to be varied depending on the context, as with legislative instrument declarations (see the examples in new subsections 8(2) and 11(1) of the LA). </w:t>
      </w:r>
      <w:r w:rsidR="0089008C" w:rsidRPr="009849F1">
        <w:t xml:space="preserve">Where a notification of an exercise of power is done by notifiable instrument, this may be done by using “The Minister </w:t>
      </w:r>
      <w:r w:rsidR="006D4808" w:rsidRPr="009849F1">
        <w:t>must</w:t>
      </w:r>
      <w:r w:rsidR="0089008C" w:rsidRPr="009849F1">
        <w:t xml:space="preserve">, by notifiable instrument, publish notice of …”. </w:t>
      </w:r>
    </w:p>
    <w:p w:rsidR="0043701C" w:rsidRPr="009849F1" w:rsidRDefault="0043701C" w:rsidP="0043701C">
      <w:pPr>
        <w:pStyle w:val="BodyNum"/>
      </w:pPr>
      <w:r w:rsidRPr="009849F1">
        <w:t xml:space="preserve">Section 2B of the </w:t>
      </w:r>
      <w:r w:rsidRPr="009849F1">
        <w:rPr>
          <w:i/>
        </w:rPr>
        <w:t>Acts Interpretation Act 1901</w:t>
      </w:r>
      <w:r w:rsidRPr="009849F1">
        <w:t xml:space="preserve"> defines </w:t>
      </w:r>
      <w:r w:rsidRPr="009849F1">
        <w:rPr>
          <w:b/>
          <w:i/>
        </w:rPr>
        <w:t>notifiable instrument</w:t>
      </w:r>
      <w:r w:rsidRPr="009849F1">
        <w:t xml:space="preserve"> for all Acts.</w:t>
      </w:r>
      <w:bookmarkEnd w:id="81"/>
    </w:p>
    <w:p w:rsidR="0043701C" w:rsidRPr="009849F1" w:rsidRDefault="0043701C" w:rsidP="009849F1">
      <w:pPr>
        <w:pStyle w:val="Head3"/>
      </w:pPr>
      <w:bookmarkStart w:id="82" w:name="_Toc43196603"/>
      <w:r w:rsidRPr="009849F1">
        <w:t>References to subsection 12(2) of the Legislati</w:t>
      </w:r>
      <w:r w:rsidR="003F557C" w:rsidRPr="009849F1">
        <w:t xml:space="preserve">on </w:t>
      </w:r>
      <w:r w:rsidRPr="009849F1">
        <w:t>Act 2003</w:t>
      </w:r>
      <w:bookmarkEnd w:id="82"/>
    </w:p>
    <w:p w:rsidR="0043701C" w:rsidRPr="009849F1" w:rsidRDefault="0043701C" w:rsidP="0043701C">
      <w:pPr>
        <w:pStyle w:val="BodyNum"/>
      </w:pPr>
      <w:r w:rsidRPr="009849F1">
        <w:rPr>
          <w:lang w:eastAsia="en-US"/>
        </w:rPr>
        <w:t xml:space="preserve">Subsection 12(2) of the LA provides that an instrument does not apply to a person if the instrument commences before the day it is registered and it would disadvantage the person. If you do not want this subsection to apply, you can include the following provision: </w:t>
      </w:r>
    </w:p>
    <w:p w:rsidR="0043701C" w:rsidRPr="009849F1" w:rsidRDefault="0043701C" w:rsidP="0043701C">
      <w:pPr>
        <w:pStyle w:val="subsection"/>
      </w:pPr>
      <w:r w:rsidRPr="009849F1">
        <w:tab/>
      </w:r>
      <w:r w:rsidRPr="009849F1">
        <w:tab/>
        <w:t xml:space="preserve">Subsection 12(2) (retrospective application of </w:t>
      </w:r>
      <w:r w:rsidR="005772FC" w:rsidRPr="009849F1">
        <w:rPr>
          <w:i/>
        </w:rPr>
        <w:t>[</w:t>
      </w:r>
      <w:r w:rsidRPr="009849F1">
        <w:rPr>
          <w:i/>
        </w:rPr>
        <w:t>legislative instruments</w:t>
      </w:r>
      <w:r w:rsidR="005772FC" w:rsidRPr="009849F1">
        <w:rPr>
          <w:i/>
        </w:rPr>
        <w:t>/notifiable instruments]</w:t>
      </w:r>
      <w:r w:rsidRPr="009849F1">
        <w:t xml:space="preserve">) of the </w:t>
      </w:r>
      <w:r w:rsidRPr="009849F1">
        <w:rPr>
          <w:i/>
        </w:rPr>
        <w:t xml:space="preserve">Legislation Act 2003 </w:t>
      </w:r>
      <w:r w:rsidRPr="009849F1">
        <w:t xml:space="preserve">does not apply in relation to </w:t>
      </w:r>
      <w:r w:rsidRPr="009849F1">
        <w:rPr>
          <w:i/>
        </w:rPr>
        <w:t>[name of instrument]</w:t>
      </w:r>
      <w:r w:rsidRPr="009849F1">
        <w:t xml:space="preserve"> made for the purposes of </w:t>
      </w:r>
      <w:r w:rsidRPr="009849F1">
        <w:rPr>
          <w:i/>
        </w:rPr>
        <w:t>[insert reference to relevant provision]</w:t>
      </w:r>
      <w:r w:rsidRPr="009849F1">
        <w:t>.</w:t>
      </w:r>
    </w:p>
    <w:p w:rsidR="0043701C" w:rsidRPr="009849F1" w:rsidRDefault="0043701C" w:rsidP="009849F1">
      <w:pPr>
        <w:pStyle w:val="Head2"/>
      </w:pPr>
      <w:bookmarkStart w:id="83" w:name="_Toc43196604"/>
      <w:r w:rsidRPr="009849F1">
        <w:t xml:space="preserve">Part 4—Instruments that are not legislative instruments and the </w:t>
      </w:r>
      <w:r w:rsidRPr="009849F1">
        <w:rPr>
          <w:i/>
        </w:rPr>
        <w:t>Acts Interpretation Act 1901</w:t>
      </w:r>
      <w:bookmarkEnd w:id="83"/>
    </w:p>
    <w:p w:rsidR="0043701C" w:rsidRPr="009849F1" w:rsidRDefault="0043701C" w:rsidP="0043701C">
      <w:pPr>
        <w:pStyle w:val="BodyNum"/>
      </w:pPr>
      <w:r w:rsidRPr="009849F1">
        <w:t xml:space="preserve">The </w:t>
      </w:r>
      <w:r w:rsidRPr="009849F1">
        <w:rPr>
          <w:i/>
        </w:rPr>
        <w:t>Acts Interpretation Act 1901</w:t>
      </w:r>
      <w:r w:rsidRPr="009849F1">
        <w:t xml:space="preserve"> contains provisions relating to instruments that are not legislative instruments, notifiable instruments or rules of court: see sections 46 and 46AA of that Act. These provisions are effectively equivalents of sections 13 and 14 of the </w:t>
      </w:r>
      <w:r w:rsidR="00F332C1">
        <w:t>LA</w:t>
      </w:r>
      <w:r w:rsidRPr="009849F1">
        <w:t>.</w:t>
      </w:r>
    </w:p>
    <w:p w:rsidR="0043701C" w:rsidRPr="009849F1" w:rsidRDefault="0043701C" w:rsidP="009849F1">
      <w:pPr>
        <w:pStyle w:val="Head2"/>
      </w:pPr>
      <w:bookmarkStart w:id="84" w:name="_Toc43196605"/>
      <w:r w:rsidRPr="009849F1">
        <w:t>Part 5—Other matters dealing with or affecting instruments</w:t>
      </w:r>
      <w:bookmarkEnd w:id="84"/>
    </w:p>
    <w:p w:rsidR="0043701C" w:rsidRPr="009849F1" w:rsidRDefault="0043701C" w:rsidP="009849F1">
      <w:pPr>
        <w:pStyle w:val="Head3"/>
      </w:pPr>
      <w:bookmarkStart w:id="85" w:name="_Toc43196606"/>
      <w:r w:rsidRPr="009849F1">
        <w:t>Naming of instruments</w:t>
      </w:r>
      <w:bookmarkEnd w:id="85"/>
    </w:p>
    <w:p w:rsidR="0043701C" w:rsidRPr="009849F1" w:rsidRDefault="0043701C" w:rsidP="0043701C">
      <w:pPr>
        <w:pStyle w:val="BodyNum"/>
      </w:pPr>
      <w:r w:rsidRPr="009849F1">
        <w:t xml:space="preserve">As mentioned in Drafting Direction No. 1.1A (names of instruments and provision units of instruments), </w:t>
      </w:r>
      <w:r w:rsidR="007D7DCE">
        <w:t xml:space="preserve">the name of </w:t>
      </w:r>
      <w:r w:rsidRPr="009849F1">
        <w:t>an instrument that is made under a power other than a general rule</w:t>
      </w:r>
      <w:r w:rsidR="00FD1CAC">
        <w:t>-</w:t>
      </w:r>
      <w:r w:rsidRPr="009849F1">
        <w:t xml:space="preserve">making power “should generally reflect the nature of the power given by the Act or instrument under which the instrument is to be made”. For example, if the power is to “declare” a matter, the instrument is called the </w:t>
      </w:r>
      <w:r w:rsidRPr="009849F1">
        <w:rPr>
          <w:i/>
        </w:rPr>
        <w:t>ABC Declaration 2015</w:t>
      </w:r>
      <w:r w:rsidRPr="009849F1">
        <w:t>.</w:t>
      </w:r>
    </w:p>
    <w:p w:rsidR="0043701C" w:rsidRPr="009849F1" w:rsidRDefault="0043701C" w:rsidP="0043701C">
      <w:pPr>
        <w:pStyle w:val="BodyNum"/>
      </w:pPr>
      <w:r w:rsidRPr="009849F1">
        <w:t xml:space="preserve">Some verbs work better than others for determining the name of an instrument. For example, verbs like “approve”, “authorise”, “certify”, “declare”, “determine”, “direct” or “exempt” work well. Other verbs, like “specify”, “fix” and “prescribe” do not work so well. </w:t>
      </w:r>
    </w:p>
    <w:p w:rsidR="0043701C" w:rsidRPr="009849F1" w:rsidRDefault="0043701C" w:rsidP="0043701C">
      <w:pPr>
        <w:pStyle w:val="BodyNum"/>
      </w:pPr>
      <w:r w:rsidRPr="009849F1">
        <w:lastRenderedPageBreak/>
        <w:t>When conferring a power in a Bill or instrument to make a subordinate instrument, drafters should ensure that an appropriate verb is chosen to minimise naming difficulties when drafting the subordinate instrument.</w:t>
      </w:r>
    </w:p>
    <w:p w:rsidR="0043701C" w:rsidRPr="009849F1" w:rsidRDefault="0043701C" w:rsidP="0043701C">
      <w:pPr>
        <w:pStyle w:val="BodyNum"/>
      </w:pPr>
      <w:r w:rsidRPr="009849F1">
        <w:t>Verbs like “specify” or “fix” can still be used in the following way:</w:t>
      </w:r>
    </w:p>
    <w:p w:rsidR="0043701C" w:rsidRPr="009849F1" w:rsidRDefault="0043701C" w:rsidP="0043701C">
      <w:pPr>
        <w:pStyle w:val="subsection"/>
      </w:pPr>
      <w:r w:rsidRPr="009849F1">
        <w:tab/>
      </w:r>
      <w:r w:rsidRPr="009849F1">
        <w:tab/>
        <w:t>The Minister may, by legislative instrument, make a determination specifying kinds of work for the purposes of paragraph 22(1)(a).</w:t>
      </w:r>
    </w:p>
    <w:p w:rsidR="00943001" w:rsidRDefault="00943001" w:rsidP="009849F1">
      <w:pPr>
        <w:pStyle w:val="Head3"/>
      </w:pPr>
      <w:bookmarkStart w:id="86" w:name="_Toc43196607"/>
      <w:r>
        <w:t>Authority for instruments</w:t>
      </w:r>
      <w:bookmarkEnd w:id="86"/>
    </w:p>
    <w:p w:rsidR="00550274" w:rsidRDefault="00550274" w:rsidP="00943001">
      <w:pPr>
        <w:pStyle w:val="Head4"/>
      </w:pPr>
      <w:bookmarkStart w:id="87" w:name="_Toc43196608"/>
      <w:r>
        <w:t xml:space="preserve">Principal instrument </w:t>
      </w:r>
      <w:r w:rsidR="008630FF">
        <w:t xml:space="preserve">generally </w:t>
      </w:r>
      <w:r>
        <w:t>should be made under only one Act</w:t>
      </w:r>
      <w:bookmarkEnd w:id="87"/>
    </w:p>
    <w:p w:rsidR="00B508B6" w:rsidRDefault="00CD5A79" w:rsidP="007A45DE">
      <w:pPr>
        <w:pStyle w:val="BodyNum"/>
        <w:rPr>
          <w:lang w:eastAsia="en-US"/>
        </w:rPr>
      </w:pPr>
      <w:r>
        <w:t xml:space="preserve">A principal </w:t>
      </w:r>
      <w:r w:rsidR="007F45FD">
        <w:t xml:space="preserve">legislative </w:t>
      </w:r>
      <w:r w:rsidR="00550274">
        <w:t>instrument</w:t>
      </w:r>
      <w:r>
        <w:t xml:space="preserve"> (including principal regulations)</w:t>
      </w:r>
      <w:r w:rsidR="00550274">
        <w:t xml:space="preserve"> should </w:t>
      </w:r>
      <w:r w:rsidR="007A45DE">
        <w:t xml:space="preserve">generally </w:t>
      </w:r>
      <w:r w:rsidR="009D43CA">
        <w:t>be made under only one Act</w:t>
      </w:r>
      <w:r w:rsidR="00550274">
        <w:t>.</w:t>
      </w:r>
    </w:p>
    <w:p w:rsidR="00B508B6" w:rsidRDefault="007A45DE" w:rsidP="008630FF">
      <w:pPr>
        <w:pStyle w:val="BodyNum"/>
        <w:rPr>
          <w:lang w:eastAsia="en-US"/>
        </w:rPr>
      </w:pPr>
      <w:r w:rsidRPr="007A45DE">
        <w:rPr>
          <w:lang w:eastAsia="en-US"/>
        </w:rPr>
        <w:t xml:space="preserve">You should speak to </w:t>
      </w:r>
      <w:r w:rsidR="0059155C">
        <w:rPr>
          <w:lang w:eastAsia="en-US"/>
        </w:rPr>
        <w:t>the head drafter</w:t>
      </w:r>
      <w:r w:rsidRPr="007A45DE">
        <w:rPr>
          <w:lang w:eastAsia="en-US"/>
        </w:rPr>
        <w:t xml:space="preserve"> i</w:t>
      </w:r>
      <w:r>
        <w:rPr>
          <w:lang w:eastAsia="en-US"/>
        </w:rPr>
        <w:t xml:space="preserve">f you think it would be appropriate in a particular case for </w:t>
      </w:r>
      <w:r w:rsidR="00CD5A79">
        <w:rPr>
          <w:lang w:eastAsia="en-US"/>
        </w:rPr>
        <w:t>a</w:t>
      </w:r>
      <w:r>
        <w:rPr>
          <w:lang w:eastAsia="en-US"/>
        </w:rPr>
        <w:t xml:space="preserve"> </w:t>
      </w:r>
      <w:r w:rsidR="00B508B6">
        <w:rPr>
          <w:lang w:eastAsia="en-US"/>
        </w:rPr>
        <w:t xml:space="preserve">principal </w:t>
      </w:r>
      <w:r>
        <w:rPr>
          <w:lang w:eastAsia="en-US"/>
        </w:rPr>
        <w:t>legislative instrument to be made under more than one Act.</w:t>
      </w:r>
      <w:bookmarkStart w:id="88" w:name="_Ref8656312"/>
    </w:p>
    <w:p w:rsidR="008630FF" w:rsidRDefault="008630FF" w:rsidP="008630FF">
      <w:pPr>
        <w:pStyle w:val="BodyNum"/>
        <w:rPr>
          <w:lang w:eastAsia="en-US"/>
        </w:rPr>
      </w:pPr>
      <w:bookmarkStart w:id="89" w:name="_Ref8833242"/>
      <w:r>
        <w:rPr>
          <w:lang w:eastAsia="en-US"/>
        </w:rPr>
        <w:t xml:space="preserve">For example, if a new principal Act is </w:t>
      </w:r>
      <w:r w:rsidR="00A9271A">
        <w:rPr>
          <w:lang w:eastAsia="en-US"/>
        </w:rPr>
        <w:t xml:space="preserve">enacted together with </w:t>
      </w:r>
      <w:r>
        <w:rPr>
          <w:lang w:eastAsia="en-US"/>
        </w:rPr>
        <w:t xml:space="preserve">a separate transitional provisions Act, it may be appropriate for </w:t>
      </w:r>
      <w:r w:rsidR="00F23D00">
        <w:rPr>
          <w:lang w:eastAsia="en-US"/>
        </w:rPr>
        <w:t xml:space="preserve">a single principal </w:t>
      </w:r>
      <w:r w:rsidR="00A9271A">
        <w:rPr>
          <w:lang w:eastAsia="en-US"/>
        </w:rPr>
        <w:t xml:space="preserve">legislative instrument to be </w:t>
      </w:r>
      <w:r>
        <w:rPr>
          <w:lang w:eastAsia="en-US"/>
        </w:rPr>
        <w:t xml:space="preserve">made under both Acts. In this situation it is important that the </w:t>
      </w:r>
      <w:r w:rsidR="00952E19">
        <w:rPr>
          <w:lang w:eastAsia="en-US"/>
        </w:rPr>
        <w:t>instrument</w:t>
      </w:r>
      <w:r>
        <w:rPr>
          <w:lang w:eastAsia="en-US"/>
        </w:rPr>
        <w:t>:</w:t>
      </w:r>
      <w:bookmarkEnd w:id="88"/>
      <w:bookmarkEnd w:id="89"/>
    </w:p>
    <w:p w:rsidR="008630FF" w:rsidRDefault="008630FF" w:rsidP="008630FF">
      <w:pPr>
        <w:pStyle w:val="BodyPara"/>
      </w:pPr>
      <w:r>
        <w:t>make</w:t>
      </w:r>
      <w:r w:rsidR="00952E19">
        <w:t>s</w:t>
      </w:r>
      <w:r>
        <w:t xml:space="preserve"> it clear which provisions are made for the purposes of the transitional Act; and</w:t>
      </w:r>
    </w:p>
    <w:p w:rsidR="008630FF" w:rsidRDefault="008630FF" w:rsidP="008630FF">
      <w:pPr>
        <w:pStyle w:val="BodyPara"/>
      </w:pPr>
      <w:r>
        <w:t>if possible, group</w:t>
      </w:r>
      <w:r w:rsidR="00952E19">
        <w:t>s</w:t>
      </w:r>
      <w:r>
        <w:t xml:space="preserve"> those provisions together.</w:t>
      </w:r>
    </w:p>
    <w:p w:rsidR="00B415C2" w:rsidRDefault="00B415C2" w:rsidP="00B415C2">
      <w:pPr>
        <w:pStyle w:val="Head4"/>
      </w:pPr>
      <w:bookmarkStart w:id="90" w:name="_Toc43196609"/>
      <w:r>
        <w:t>Statement of authority for instruments</w:t>
      </w:r>
      <w:bookmarkEnd w:id="90"/>
    </w:p>
    <w:p w:rsidR="00BE735E" w:rsidRPr="00BE735E" w:rsidRDefault="00BE735E" w:rsidP="00BE735E">
      <w:pPr>
        <w:pStyle w:val="Head5"/>
      </w:pPr>
      <w:bookmarkStart w:id="91" w:name="_Toc43196610"/>
      <w:r>
        <w:t>General</w:t>
      </w:r>
      <w:bookmarkEnd w:id="91"/>
    </w:p>
    <w:p w:rsidR="00BE735E" w:rsidRDefault="002E109E" w:rsidP="002E109E">
      <w:pPr>
        <w:pStyle w:val="BodyNum"/>
      </w:pPr>
      <w:r>
        <w:t>An instrument should generally include a provision (</w:t>
      </w:r>
      <w:r w:rsidR="00CC1885">
        <w:t>usually</w:t>
      </w:r>
      <w:r>
        <w:t xml:space="preserve"> section 3) setting out the name of the legislation or the provisions of legislation, or other sources of authority, under which the instrument is made</w:t>
      </w:r>
      <w:r w:rsidR="00BE735E">
        <w:t>.</w:t>
      </w:r>
    </w:p>
    <w:p w:rsidR="00BE735E" w:rsidRPr="00BE735E" w:rsidRDefault="00BE735E" w:rsidP="00BE735E">
      <w:pPr>
        <w:pStyle w:val="Head5"/>
      </w:pPr>
      <w:bookmarkStart w:id="92" w:name="_Toc43196611"/>
      <w:r>
        <w:t xml:space="preserve">How to </w:t>
      </w:r>
      <w:r w:rsidR="003040AD">
        <w:t>describe</w:t>
      </w:r>
      <w:r>
        <w:t xml:space="preserve"> the authority</w:t>
      </w:r>
      <w:bookmarkEnd w:id="92"/>
    </w:p>
    <w:p w:rsidR="00E421CB" w:rsidRDefault="00F10257" w:rsidP="00E421CB">
      <w:pPr>
        <w:pStyle w:val="BodyNum"/>
      </w:pPr>
      <w:r>
        <w:t xml:space="preserve">The authority provision should set out the </w:t>
      </w:r>
      <w:r w:rsidR="00E421CB">
        <w:t xml:space="preserve">name of the </w:t>
      </w:r>
      <w:r w:rsidR="003040AD">
        <w:t xml:space="preserve">authorising legislation </w:t>
      </w:r>
      <w:r w:rsidR="00E421CB">
        <w:t xml:space="preserve">in full, even if the instrument contains a definition (e.g. a definition of </w:t>
      </w:r>
      <w:r w:rsidR="00E421CB">
        <w:rPr>
          <w:b/>
          <w:i/>
        </w:rPr>
        <w:t>Act</w:t>
      </w:r>
      <w:r w:rsidR="00E421CB">
        <w:t>) providing a shorter way of referring to the legislation.</w:t>
      </w:r>
    </w:p>
    <w:p w:rsidR="00712E13" w:rsidRDefault="00BE735E" w:rsidP="00BE735E">
      <w:pPr>
        <w:pStyle w:val="BodyNum"/>
      </w:pPr>
      <w:r>
        <w:t>In the case of a legislative instrument that is a regulation or a rule being made under a general regulation or rule</w:t>
      </w:r>
      <w:r w:rsidR="00FD1CAC">
        <w:t>-</w:t>
      </w:r>
      <w:r>
        <w:t>making power</w:t>
      </w:r>
      <w:r w:rsidR="004C3AE9">
        <w:t xml:space="preserve"> in an Act</w:t>
      </w:r>
      <w:r>
        <w:t>, the authority provision should generally only inc</w:t>
      </w:r>
      <w:r w:rsidR="004C3AE9">
        <w:t>lude the name of the Act</w:t>
      </w:r>
      <w:r>
        <w:t xml:space="preserve"> rather than identifying the general regulation or rule</w:t>
      </w:r>
      <w:r w:rsidR="00FD1CAC">
        <w:t>-</w:t>
      </w:r>
      <w:r>
        <w:t>making power by section number. This is because, although the general regulation or rule</w:t>
      </w:r>
      <w:r w:rsidR="00FD1CAC">
        <w:t>-</w:t>
      </w:r>
      <w:r>
        <w:t>making power is the formal empowering provision, what matters may be dealt with in the regulation or rule are also</w:t>
      </w:r>
      <w:r w:rsidR="00992D52">
        <w:t xml:space="preserve"> worked out by reference to</w:t>
      </w:r>
      <w:r w:rsidR="00712E13">
        <w:t>:</w:t>
      </w:r>
    </w:p>
    <w:p w:rsidR="00712E13" w:rsidRDefault="00BE735E" w:rsidP="00712E13">
      <w:pPr>
        <w:pStyle w:val="BodyPara"/>
      </w:pPr>
      <w:r>
        <w:t xml:space="preserve">other provisions in the </w:t>
      </w:r>
      <w:r w:rsidR="004C3AE9">
        <w:t>Act</w:t>
      </w:r>
      <w:r>
        <w:t xml:space="preserve"> </w:t>
      </w:r>
      <w:r w:rsidR="00992D52">
        <w:t xml:space="preserve">that </w:t>
      </w:r>
      <w:r>
        <w:t>“require or permit” the regulations or rules to provide for</w:t>
      </w:r>
      <w:r w:rsidR="00712E13">
        <w:t xml:space="preserve"> matters; and</w:t>
      </w:r>
    </w:p>
    <w:p w:rsidR="00BE735E" w:rsidRDefault="00BE735E" w:rsidP="00712E13">
      <w:pPr>
        <w:pStyle w:val="BodyPara"/>
      </w:pPr>
      <w:r>
        <w:t xml:space="preserve">what is “necessary or convenient” to give effect to the </w:t>
      </w:r>
      <w:r w:rsidR="004C3AE9">
        <w:t>Act.</w:t>
      </w:r>
    </w:p>
    <w:p w:rsidR="00BE735E" w:rsidRDefault="00BE735E" w:rsidP="00BE735E">
      <w:pPr>
        <w:pStyle w:val="BodyNum"/>
      </w:pPr>
      <w:r>
        <w:lastRenderedPageBreak/>
        <w:t>This approach should also be adopted for other kinds of instruments that are made unde</w:t>
      </w:r>
      <w:r w:rsidR="00992D52">
        <w:t xml:space="preserve">r a power that </w:t>
      </w:r>
      <w:r w:rsidR="00611981">
        <w:t xml:space="preserve">is functionally equivalent </w:t>
      </w:r>
      <w:r w:rsidR="00992D52">
        <w:t>to a</w:t>
      </w:r>
      <w:r>
        <w:t xml:space="preserve"> general regulation or rule</w:t>
      </w:r>
      <w:r w:rsidR="00FD1CAC">
        <w:t>-</w:t>
      </w:r>
      <w:r>
        <w:t>making power.</w:t>
      </w:r>
    </w:p>
    <w:p w:rsidR="00BE735E" w:rsidRDefault="00BE735E" w:rsidP="00BE735E">
      <w:pPr>
        <w:pStyle w:val="notetext"/>
      </w:pPr>
      <w:r>
        <w:t>Example:</w:t>
      </w:r>
      <w:r>
        <w:tab/>
        <w:t xml:space="preserve">Principles made under the </w:t>
      </w:r>
      <w:r w:rsidRPr="00BE735E">
        <w:rPr>
          <w:i/>
        </w:rPr>
        <w:t>Aged Care Act 1997</w:t>
      </w:r>
      <w:r>
        <w:t xml:space="preserve"> and determinations made under the </w:t>
      </w:r>
      <w:r w:rsidRPr="00BE735E">
        <w:rPr>
          <w:i/>
        </w:rPr>
        <w:t>Australian Passports Act 2005</w:t>
      </w:r>
      <w:r>
        <w:t>.</w:t>
      </w:r>
    </w:p>
    <w:p w:rsidR="00BE735E" w:rsidRDefault="00BE735E" w:rsidP="00BE735E">
      <w:pPr>
        <w:pStyle w:val="BodyNum"/>
      </w:pPr>
      <w:r>
        <w:t>In the case of an instrument that is not being made under a general regulation or rule</w:t>
      </w:r>
      <w:r w:rsidR="00FD1CAC">
        <w:t>-</w:t>
      </w:r>
      <w:r>
        <w:t>making power, or a</w:t>
      </w:r>
      <w:r w:rsidR="00D01D6B">
        <w:t>n equivalent</w:t>
      </w:r>
      <w:r>
        <w:t xml:space="preserve"> power, the authority provision should generally identify the specific provision under which the instrument is being made.</w:t>
      </w:r>
    </w:p>
    <w:p w:rsidR="00BE735E" w:rsidRDefault="00BE735E" w:rsidP="003040AD">
      <w:pPr>
        <w:pStyle w:val="BodyNum"/>
      </w:pPr>
      <w:r w:rsidRPr="00BE735E">
        <w:t xml:space="preserve">It is not necessary to refer to section 4 of the </w:t>
      </w:r>
      <w:r w:rsidRPr="00BE735E">
        <w:rPr>
          <w:i/>
        </w:rPr>
        <w:t>Acts Interpretation Act 1901</w:t>
      </w:r>
      <w:r w:rsidRPr="00BE735E">
        <w:t xml:space="preserve"> if you are relying on that section in order to make an instrument before the commencement of the provision under which the instrument is to be made. However, you should remind the instructors to explain in the explanatory statement that the instrument is made in reliance on section 4 of that Act.</w:t>
      </w:r>
    </w:p>
    <w:p w:rsidR="00BE735E" w:rsidRPr="00BE735E" w:rsidRDefault="00BE735E" w:rsidP="00BE735E">
      <w:pPr>
        <w:pStyle w:val="Head5"/>
      </w:pPr>
      <w:bookmarkStart w:id="93" w:name="_Toc43196612"/>
      <w:r>
        <w:t>Precedents</w:t>
      </w:r>
      <w:bookmarkEnd w:id="93"/>
    </w:p>
    <w:p w:rsidR="00BE735E" w:rsidRDefault="003040AD" w:rsidP="003040AD">
      <w:pPr>
        <w:pStyle w:val="BodyNum"/>
      </w:pPr>
      <w:r>
        <w:t>The</w:t>
      </w:r>
      <w:r w:rsidR="00BE735E">
        <w:t xml:space="preserve"> authority </w:t>
      </w:r>
      <w:r w:rsidR="00D17B6E">
        <w:t>provision</w:t>
      </w:r>
      <w:r w:rsidR="00BE735E">
        <w:t xml:space="preserve"> </w:t>
      </w:r>
      <w:r>
        <w:t xml:space="preserve">of an instrument made under a single </w:t>
      </w:r>
      <w:r w:rsidR="00EE5054">
        <w:t>authority</w:t>
      </w:r>
      <w:r>
        <w:t xml:space="preserve"> </w:t>
      </w:r>
      <w:r w:rsidR="00BE735E">
        <w:t>should be consistent with the following example</w:t>
      </w:r>
      <w:r>
        <w:t xml:space="preserve"> if the </w:t>
      </w:r>
      <w:r w:rsidR="00EE5054">
        <w:t xml:space="preserve">authority </w:t>
      </w:r>
      <w:r>
        <w:t xml:space="preserve">is </w:t>
      </w:r>
      <w:r w:rsidR="00EE5054">
        <w:t xml:space="preserve">a </w:t>
      </w:r>
      <w:r>
        <w:t>general regulation or rule</w:t>
      </w:r>
      <w:r w:rsidR="00FD1CAC">
        <w:t>-</w:t>
      </w:r>
      <w:r>
        <w:t>making power in</w:t>
      </w:r>
      <w:r w:rsidR="00EE5054">
        <w:t xml:space="preserve"> an Act, or a</w:t>
      </w:r>
      <w:r w:rsidR="00D01D6B">
        <w:t>n equivalent</w:t>
      </w:r>
      <w:r w:rsidR="00EE5054">
        <w:t xml:space="preserve"> power</w:t>
      </w:r>
      <w:r w:rsidR="00BE735E">
        <w:t>.</w:t>
      </w:r>
    </w:p>
    <w:p w:rsidR="00EC3CA7" w:rsidRPr="00B15A63" w:rsidRDefault="00EC3CA7" w:rsidP="00EC3CA7">
      <w:pPr>
        <w:pStyle w:val="Specials"/>
      </w:pPr>
      <w:r w:rsidRPr="00B15A63">
        <w:t>3  Authority</w:t>
      </w:r>
    </w:p>
    <w:p w:rsidR="00EC3CA7" w:rsidRPr="00B15A63" w:rsidRDefault="00EC3CA7" w:rsidP="00EC3CA7">
      <w:pPr>
        <w:pStyle w:val="subsection"/>
      </w:pPr>
      <w:r w:rsidRPr="00B15A63">
        <w:tab/>
      </w:r>
      <w:r w:rsidRPr="00B15A63">
        <w:tab/>
        <w:t xml:space="preserve">This instrument is made under the </w:t>
      </w:r>
      <w:r w:rsidRPr="00B15A63">
        <w:rPr>
          <w:i/>
        </w:rPr>
        <w:t xml:space="preserve">Agricultural and Veterinary Chemicals </w:t>
      </w:r>
      <w:r w:rsidR="00484B64">
        <w:rPr>
          <w:i/>
        </w:rPr>
        <w:t>Code</w:t>
      </w:r>
      <w:r w:rsidRPr="00B15A63">
        <w:rPr>
          <w:i/>
        </w:rPr>
        <w:t xml:space="preserve"> Act 199</w:t>
      </w:r>
      <w:r w:rsidR="00484B64">
        <w:rPr>
          <w:i/>
        </w:rPr>
        <w:t>4</w:t>
      </w:r>
      <w:r>
        <w:t>.</w:t>
      </w:r>
    </w:p>
    <w:p w:rsidR="003040AD" w:rsidRDefault="003040AD" w:rsidP="003040AD">
      <w:pPr>
        <w:pStyle w:val="BodyNum"/>
      </w:pPr>
      <w:bookmarkStart w:id="94" w:name="_Ref10011033"/>
      <w:r>
        <w:t xml:space="preserve">The authority provision of an instrument made under a </w:t>
      </w:r>
      <w:r w:rsidR="001A11B3">
        <w:t>single authority</w:t>
      </w:r>
      <w:r>
        <w:t xml:space="preserve"> should be consistent with the following example if the </w:t>
      </w:r>
      <w:r w:rsidR="00B84C02">
        <w:t>authority is</w:t>
      </w:r>
      <w:r>
        <w:t xml:space="preserve"> </w:t>
      </w:r>
      <w:r w:rsidR="007733A9">
        <w:t xml:space="preserve">not </w:t>
      </w:r>
      <w:r w:rsidR="00EE5054">
        <w:t>a general regulation or rule</w:t>
      </w:r>
      <w:r w:rsidR="00FD1CAC">
        <w:t>-</w:t>
      </w:r>
      <w:r w:rsidR="00EE5054">
        <w:t xml:space="preserve">making power or </w:t>
      </w:r>
      <w:r w:rsidR="00D01D6B">
        <w:t xml:space="preserve">equivalent </w:t>
      </w:r>
      <w:r w:rsidR="00EE5054">
        <w:t>power</w:t>
      </w:r>
      <w:r>
        <w:t>.</w:t>
      </w:r>
    </w:p>
    <w:p w:rsidR="003040AD" w:rsidRPr="00B15A63" w:rsidRDefault="003040AD" w:rsidP="003040AD">
      <w:pPr>
        <w:pStyle w:val="Specials"/>
      </w:pPr>
      <w:r w:rsidRPr="00B15A63">
        <w:t>3  Authority</w:t>
      </w:r>
    </w:p>
    <w:p w:rsidR="003040AD" w:rsidRPr="00B15A63" w:rsidRDefault="003040AD" w:rsidP="003040AD">
      <w:pPr>
        <w:pStyle w:val="subsection"/>
      </w:pPr>
      <w:r w:rsidRPr="00B15A63">
        <w:tab/>
      </w:r>
      <w:r w:rsidRPr="00B15A63">
        <w:tab/>
        <w:t xml:space="preserve">This instrument is made under </w:t>
      </w:r>
      <w:r>
        <w:t xml:space="preserve">subsection 11(2) of </w:t>
      </w:r>
      <w:r w:rsidRPr="00B15A63">
        <w:t xml:space="preserve">the </w:t>
      </w:r>
      <w:r w:rsidRPr="00B15A63">
        <w:rPr>
          <w:i/>
        </w:rPr>
        <w:t xml:space="preserve">Agricultural and Veterinary Chemicals </w:t>
      </w:r>
      <w:r>
        <w:rPr>
          <w:i/>
        </w:rPr>
        <w:t>Code</w:t>
      </w:r>
      <w:r w:rsidRPr="00B15A63">
        <w:rPr>
          <w:i/>
        </w:rPr>
        <w:t xml:space="preserve"> Act 199</w:t>
      </w:r>
      <w:r>
        <w:rPr>
          <w:i/>
        </w:rPr>
        <w:t>4</w:t>
      </w:r>
      <w:r>
        <w:t>.</w:t>
      </w:r>
    </w:p>
    <w:p w:rsidR="00943001" w:rsidRDefault="003040AD" w:rsidP="00F11214">
      <w:pPr>
        <w:pStyle w:val="BodyNum"/>
      </w:pPr>
      <w:r>
        <w:t>The authority provision of</w:t>
      </w:r>
      <w:r w:rsidR="00943001" w:rsidRPr="00B15A63">
        <w:t xml:space="preserve"> an instrument made under multiple authorities</w:t>
      </w:r>
      <w:r w:rsidR="00F11214">
        <w:t xml:space="preserve"> </w:t>
      </w:r>
      <w:r w:rsidR="00943001" w:rsidRPr="00B15A63">
        <w:t xml:space="preserve">should set out </w:t>
      </w:r>
      <w:r w:rsidR="00F11214">
        <w:t xml:space="preserve">the authorities </w:t>
      </w:r>
      <w:r w:rsidR="00943001" w:rsidRPr="00B15A63">
        <w:t>in a paragraphed list, consistently with the following example</w:t>
      </w:r>
      <w:r w:rsidR="00943001">
        <w:t xml:space="preserve"> (subject to paragraph </w:t>
      </w:r>
      <w:r w:rsidR="00223A1F">
        <w:t>140</w:t>
      </w:r>
      <w:r w:rsidR="00943001">
        <w:t>).</w:t>
      </w:r>
      <w:bookmarkEnd w:id="94"/>
    </w:p>
    <w:p w:rsidR="00943001" w:rsidRPr="00B15A63" w:rsidRDefault="00943001" w:rsidP="00943001">
      <w:pPr>
        <w:pStyle w:val="Specials"/>
      </w:pPr>
      <w:r w:rsidRPr="00B15A63">
        <w:t>3  Authority</w:t>
      </w:r>
    </w:p>
    <w:p w:rsidR="00943001" w:rsidRPr="00B15A63" w:rsidRDefault="00943001" w:rsidP="00943001">
      <w:pPr>
        <w:pStyle w:val="subsection"/>
      </w:pPr>
      <w:r w:rsidRPr="00B15A63">
        <w:tab/>
      </w:r>
      <w:r w:rsidRPr="00B15A63">
        <w:tab/>
        <w:t>This instrument is made under the following:</w:t>
      </w:r>
    </w:p>
    <w:p w:rsidR="00943001" w:rsidRPr="00B15A63" w:rsidRDefault="00943001" w:rsidP="00943001">
      <w:pPr>
        <w:pStyle w:val="paragraph"/>
      </w:pPr>
      <w:r w:rsidRPr="00B15A63">
        <w:tab/>
        <w:t>(a)</w:t>
      </w:r>
      <w:r w:rsidRPr="00B15A63">
        <w:tab/>
        <w:t xml:space="preserve">the </w:t>
      </w:r>
      <w:r w:rsidRPr="00B15A63">
        <w:rPr>
          <w:i/>
        </w:rPr>
        <w:t>Agricultural and Veterinary Chemicals (Administration) Act 1992</w:t>
      </w:r>
      <w:r w:rsidRPr="00B15A63">
        <w:t>;</w:t>
      </w:r>
    </w:p>
    <w:p w:rsidR="00943001" w:rsidRPr="00B15A63" w:rsidRDefault="00943001" w:rsidP="00943001">
      <w:pPr>
        <w:pStyle w:val="paragraph"/>
      </w:pPr>
      <w:r w:rsidRPr="00B15A63">
        <w:tab/>
        <w:t>(b)</w:t>
      </w:r>
      <w:r w:rsidRPr="00B15A63">
        <w:tab/>
        <w:t xml:space="preserve">the </w:t>
      </w:r>
      <w:r w:rsidRPr="00B15A63">
        <w:rPr>
          <w:i/>
        </w:rPr>
        <w:t>Agricultural and Veterinary Chemicals Code Act 1994</w:t>
      </w:r>
      <w:r w:rsidRPr="00B15A63">
        <w:t>.</w:t>
      </w:r>
    </w:p>
    <w:p w:rsidR="00943001" w:rsidRPr="00B15A63" w:rsidRDefault="00943001" w:rsidP="00943001">
      <w:pPr>
        <w:pStyle w:val="BodyNum"/>
      </w:pPr>
      <w:bookmarkStart w:id="95" w:name="_Ref9242881"/>
      <w:r w:rsidRPr="00B15A63">
        <w:t>The authorities should generally be listed in alphabetical order. However, another appropriate order may be used.</w:t>
      </w:r>
      <w:bookmarkEnd w:id="95"/>
    </w:p>
    <w:p w:rsidR="00943001" w:rsidRDefault="003040AD" w:rsidP="003040AD">
      <w:pPr>
        <w:pStyle w:val="BodyNum"/>
      </w:pPr>
      <w:bookmarkStart w:id="96" w:name="_Ref9242898"/>
      <w:r>
        <w:t xml:space="preserve">The </w:t>
      </w:r>
      <w:r>
        <w:rPr>
          <w:lang w:eastAsia="en-US"/>
        </w:rPr>
        <w:t xml:space="preserve">authority provision of a principal instrument made under multiple authorities should be consistent with the following example if </w:t>
      </w:r>
      <w:r w:rsidR="00146E4B">
        <w:t xml:space="preserve">one of those authorities is the main one and the bits of the instrument that are made under other </w:t>
      </w:r>
      <w:r>
        <w:t>authorities</w:t>
      </w:r>
      <w:r w:rsidR="00146E4B">
        <w:t xml:space="preserve"> are clearly identifiable. </w:t>
      </w:r>
      <w:r w:rsidR="0012175D">
        <w:t>For example, t</w:t>
      </w:r>
      <w:r w:rsidR="00146E4B">
        <w:t xml:space="preserve">his is likely to be the case if the principal instrument is made under a </w:t>
      </w:r>
      <w:r w:rsidR="00700094">
        <w:t xml:space="preserve">principal Act and a related transitional provisions Act as mentioned in paragraph </w:t>
      </w:r>
      <w:r w:rsidR="00223A1F">
        <w:t>129</w:t>
      </w:r>
      <w:bookmarkEnd w:id="96"/>
      <w:r w:rsidR="00146E4B">
        <w:t>.</w:t>
      </w:r>
    </w:p>
    <w:p w:rsidR="00943001" w:rsidRPr="00B15A63" w:rsidRDefault="00943001" w:rsidP="00943001">
      <w:pPr>
        <w:pStyle w:val="Specials"/>
      </w:pPr>
      <w:r w:rsidRPr="00B15A63">
        <w:lastRenderedPageBreak/>
        <w:t>3  Authority</w:t>
      </w:r>
    </w:p>
    <w:p w:rsidR="00943001" w:rsidRPr="008630FF" w:rsidRDefault="00943001" w:rsidP="00943001">
      <w:pPr>
        <w:pStyle w:val="subsection"/>
      </w:pPr>
      <w:r>
        <w:tab/>
        <w:t>(1)</w:t>
      </w:r>
      <w:r>
        <w:tab/>
        <w:t>Subjec</w:t>
      </w:r>
      <w:r w:rsidRPr="008630FF">
        <w:t xml:space="preserve">t to subsection (2), this instrument is made under the </w:t>
      </w:r>
      <w:r w:rsidRPr="008630FF">
        <w:rPr>
          <w:i/>
        </w:rPr>
        <w:t>A New Tax System (Goods and Services Tax) Act 1999</w:t>
      </w:r>
      <w:r w:rsidRPr="008630FF">
        <w:t>.</w:t>
      </w:r>
    </w:p>
    <w:p w:rsidR="00943001" w:rsidRDefault="00943001" w:rsidP="00943001">
      <w:pPr>
        <w:pStyle w:val="subsection"/>
      </w:pPr>
      <w:r>
        <w:tab/>
      </w:r>
      <w:r w:rsidRPr="008630FF">
        <w:t>(2)</w:t>
      </w:r>
      <w:r>
        <w:tab/>
      </w:r>
      <w:r w:rsidRPr="008630FF">
        <w:t>Division</w:t>
      </w:r>
      <w:r w:rsidR="00FD1CAC">
        <w:t xml:space="preserve"> </w:t>
      </w:r>
      <w:r>
        <w:rPr>
          <w:rStyle w:val="CharDivNo"/>
        </w:rPr>
        <w:t>198 of Part 7</w:t>
      </w:r>
      <w:r w:rsidR="00FD1CAC">
        <w:rPr>
          <w:rStyle w:val="CharDivNo"/>
        </w:rPr>
        <w:t>-</w:t>
      </w:r>
      <w:r>
        <w:rPr>
          <w:rStyle w:val="CharDivNo"/>
        </w:rPr>
        <w:t>1 is made under the</w:t>
      </w:r>
      <w:r>
        <w:t xml:space="preserve"> </w:t>
      </w:r>
      <w:r>
        <w:rPr>
          <w:i/>
          <w:iCs/>
        </w:rPr>
        <w:t>A New Tax System (Goods and Services Tax Transition) Act 1999</w:t>
      </w:r>
      <w:r>
        <w:t>.</w:t>
      </w:r>
    </w:p>
    <w:p w:rsidR="0043701C" w:rsidRPr="009849F1" w:rsidRDefault="00553BAB" w:rsidP="009849F1">
      <w:pPr>
        <w:pStyle w:val="Head3"/>
      </w:pPr>
      <w:bookmarkStart w:id="97" w:name="_Toc43196613"/>
      <w:r>
        <w:t>Acts</w:t>
      </w:r>
      <w:r w:rsidR="0043701C" w:rsidRPr="009849F1">
        <w:t xml:space="preserve"> referring to </w:t>
      </w:r>
      <w:r w:rsidR="007F45FD">
        <w:t>regulations or other i</w:t>
      </w:r>
      <w:r w:rsidR="0043701C" w:rsidRPr="009849F1">
        <w:t>nstruments</w:t>
      </w:r>
      <w:bookmarkEnd w:id="97"/>
    </w:p>
    <w:p w:rsidR="00EE54CF" w:rsidRDefault="00337205" w:rsidP="00337205">
      <w:pPr>
        <w:pStyle w:val="BodyNum"/>
      </w:pPr>
      <w:r>
        <w:t xml:space="preserve">You should avoid including in an Act references to </w:t>
      </w:r>
      <w:r w:rsidR="00CD5A79">
        <w:t xml:space="preserve">a </w:t>
      </w:r>
      <w:r w:rsidR="0043701C" w:rsidRPr="009849F1">
        <w:t xml:space="preserve">particular </w:t>
      </w:r>
      <w:r w:rsidR="007F45FD">
        <w:t xml:space="preserve">legislative instrument </w:t>
      </w:r>
      <w:r w:rsidR="00EE011F">
        <w:t xml:space="preserve">(including regulations) </w:t>
      </w:r>
      <w:r w:rsidR="0043701C" w:rsidRPr="009849F1">
        <w:t>or a par</w:t>
      </w:r>
      <w:r w:rsidR="007F45FD">
        <w:t xml:space="preserve">ticular numbered provision of </w:t>
      </w:r>
      <w:r w:rsidR="00CD5A79">
        <w:t>a</w:t>
      </w:r>
      <w:r w:rsidR="007F45FD">
        <w:t xml:space="preserve"> legislative </w:t>
      </w:r>
      <w:r w:rsidR="00EE54CF">
        <w:t>instrument</w:t>
      </w:r>
      <w:r w:rsidR="0097516A">
        <w:t>. S</w:t>
      </w:r>
      <w:r w:rsidR="00EE54CF">
        <w:t>uch a reference:</w:t>
      </w:r>
    </w:p>
    <w:p w:rsidR="00EE54CF" w:rsidRDefault="00EE54CF" w:rsidP="00EE54CF">
      <w:pPr>
        <w:pStyle w:val="BodyPara"/>
      </w:pPr>
      <w:r>
        <w:t>could easily become incorrect; and</w:t>
      </w:r>
    </w:p>
    <w:p w:rsidR="00EE54CF" w:rsidRDefault="00EE54CF" w:rsidP="00EE54CF">
      <w:pPr>
        <w:pStyle w:val="BodyPara"/>
        <w:rPr>
          <w:szCs w:val="24"/>
        </w:rPr>
      </w:pPr>
      <w:r>
        <w:t>c</w:t>
      </w:r>
      <w:r w:rsidR="0097516A">
        <w:t>ould</w:t>
      </w:r>
      <w:r>
        <w:t xml:space="preserve"> cause problems in repealing and remaking the legislative instrument when it is due to sunset, for example by requiring amendments to be made to the Act to deal with the reference.</w:t>
      </w:r>
    </w:p>
    <w:p w:rsidR="0043701C" w:rsidRPr="009849F1" w:rsidRDefault="00337205" w:rsidP="00337205">
      <w:pPr>
        <w:pStyle w:val="BodyNum"/>
      </w:pPr>
      <w:r>
        <w:t xml:space="preserve">If you think such a reference is needed in a particular case, you must </w:t>
      </w:r>
      <w:r w:rsidRPr="009849F1">
        <w:t xml:space="preserve">discuss the matter with </w:t>
      </w:r>
      <w:r w:rsidR="0059155C">
        <w:t>the head drafter</w:t>
      </w:r>
      <w:r>
        <w:t xml:space="preserve"> before including it. Such a reference </w:t>
      </w:r>
      <w:r w:rsidR="0043701C" w:rsidRPr="009849F1">
        <w:t xml:space="preserve">should be in the form provided by the </w:t>
      </w:r>
      <w:r w:rsidR="007F45FD">
        <w:t>legislative</w:t>
      </w:r>
      <w:r w:rsidR="0043701C" w:rsidRPr="009849F1">
        <w:t xml:space="preserve"> instrument as the name or citation of the </w:t>
      </w:r>
      <w:r w:rsidR="007F45FD">
        <w:t xml:space="preserve">legislative </w:t>
      </w:r>
      <w:r w:rsidR="0043701C" w:rsidRPr="009849F1">
        <w:t xml:space="preserve">instrument (see Drafting Direction </w:t>
      </w:r>
      <w:r w:rsidR="0092708A">
        <w:t xml:space="preserve">No. </w:t>
      </w:r>
      <w:r w:rsidR="0043701C" w:rsidRPr="009849F1">
        <w:t>1.1A</w:t>
      </w:r>
      <w:r w:rsidR="00553BAB">
        <w:t>,</w:t>
      </w:r>
      <w:r w:rsidR="0043701C" w:rsidRPr="009849F1">
        <w:t xml:space="preserve"> Word Note 4</w:t>
      </w:r>
      <w:r w:rsidR="00B40423" w:rsidRPr="009849F1">
        <w:t>.2</w:t>
      </w:r>
      <w:r w:rsidR="00553BAB">
        <w:t xml:space="preserve"> and subparagraph 40(1A)(b)(i</w:t>
      </w:r>
      <w:r w:rsidR="0043701C" w:rsidRPr="009849F1">
        <w:t>)</w:t>
      </w:r>
      <w:r w:rsidR="00553BAB">
        <w:t xml:space="preserve"> of the </w:t>
      </w:r>
      <w:r w:rsidR="00553BAB">
        <w:rPr>
          <w:i/>
        </w:rPr>
        <w:t>Acts Interpretation Act 1901</w:t>
      </w:r>
      <w:r w:rsidR="00553BAB">
        <w:t>)</w:t>
      </w:r>
      <w:r w:rsidR="0043701C" w:rsidRPr="009849F1">
        <w:t>.</w:t>
      </w:r>
    </w:p>
    <w:p w:rsidR="0043701C" w:rsidRPr="009849F1" w:rsidRDefault="00CD5A79" w:rsidP="009849F1">
      <w:pPr>
        <w:pStyle w:val="Head3"/>
      </w:pPr>
      <w:bookmarkStart w:id="98" w:name="_Toc43196614"/>
      <w:r>
        <w:t>Acts</w:t>
      </w:r>
      <w:r w:rsidR="0043701C" w:rsidRPr="009849F1">
        <w:t xml:space="preserve"> amending </w:t>
      </w:r>
      <w:r w:rsidR="0050542F" w:rsidRPr="009849F1">
        <w:t xml:space="preserve">legislative </w:t>
      </w:r>
      <w:r w:rsidR="0043701C" w:rsidRPr="009849F1">
        <w:t>instruments</w:t>
      </w:r>
      <w:bookmarkEnd w:id="98"/>
    </w:p>
    <w:p w:rsidR="00B43BD9" w:rsidRPr="009849F1" w:rsidRDefault="0043701C" w:rsidP="00B43BD9">
      <w:pPr>
        <w:pStyle w:val="BodyNum"/>
        <w:rPr>
          <w:sz w:val="22"/>
          <w:szCs w:val="22"/>
          <w:lang w:eastAsia="en-US"/>
        </w:rPr>
      </w:pPr>
      <w:r w:rsidRPr="009849F1">
        <w:t xml:space="preserve">Acts should not amend </w:t>
      </w:r>
      <w:r w:rsidR="0050542F" w:rsidRPr="009849F1">
        <w:t xml:space="preserve">legislative </w:t>
      </w:r>
      <w:r w:rsidRPr="009849F1">
        <w:t>instruments</w:t>
      </w:r>
      <w:r w:rsidR="00CD5A79">
        <w:t xml:space="preserve"> (including regulations)</w:t>
      </w:r>
      <w:r w:rsidR="004F6402" w:rsidRPr="009849F1">
        <w:t xml:space="preserve">, </w:t>
      </w:r>
      <w:r w:rsidRPr="009849F1">
        <w:t>unless there are special reasons.</w:t>
      </w:r>
      <w:r w:rsidR="004F6402" w:rsidRPr="009849F1">
        <w:t xml:space="preserve"> This is </w:t>
      </w:r>
      <w:r w:rsidR="00B43BD9" w:rsidRPr="009849F1">
        <w:t xml:space="preserve">because of the significantly different nature of Bills and </w:t>
      </w:r>
      <w:r w:rsidR="00251D7C" w:rsidRPr="009849F1">
        <w:t>legislative instrument</w:t>
      </w:r>
      <w:r w:rsidR="00B43BD9" w:rsidRPr="009849F1">
        <w:t xml:space="preserve">s. Bills are laws that are made by Parliament. </w:t>
      </w:r>
      <w:r w:rsidR="00251D7C" w:rsidRPr="009849F1">
        <w:t>Legislative instruments</w:t>
      </w:r>
      <w:r w:rsidR="00B43BD9" w:rsidRPr="009849F1">
        <w:t xml:space="preserve"> on the other hand are a form o</w:t>
      </w:r>
      <w:r w:rsidR="002952E2" w:rsidRPr="009849F1">
        <w:t>f legislation delegated by the P</w:t>
      </w:r>
      <w:r w:rsidR="00B43BD9" w:rsidRPr="009849F1">
        <w:t>arliament to be made by the Executive Government and substantially regulated under the</w:t>
      </w:r>
      <w:r w:rsidR="00F332C1">
        <w:t xml:space="preserve"> LA</w:t>
      </w:r>
      <w:r w:rsidR="00B43BD9" w:rsidRPr="009849F1">
        <w:t>.</w:t>
      </w:r>
    </w:p>
    <w:p w:rsidR="00B43BD9" w:rsidRPr="009849F1" w:rsidRDefault="00B43BD9" w:rsidP="004F6402">
      <w:pPr>
        <w:pStyle w:val="BodyNum"/>
      </w:pPr>
      <w:r w:rsidRPr="009849F1">
        <w:t xml:space="preserve">It is generally not considered appropriate, except in exceptional cases, </w:t>
      </w:r>
      <w:r w:rsidR="002952E2" w:rsidRPr="009849F1">
        <w:t>for p</w:t>
      </w:r>
      <w:r w:rsidRPr="009849F1">
        <w:t xml:space="preserve">arliamentary time that is set aside for debating Bills to be taken up with amendments to </w:t>
      </w:r>
      <w:r w:rsidR="00251D7C" w:rsidRPr="009849F1">
        <w:t xml:space="preserve">legislative instruments </w:t>
      </w:r>
      <w:r w:rsidRPr="009849F1">
        <w:t>which are otherwise subject to the disa</w:t>
      </w:r>
      <w:r w:rsidR="00F332C1">
        <w:t>llowance process set out in the LA</w:t>
      </w:r>
      <w:r w:rsidRPr="009849F1">
        <w:t>. If the matters in question are appropriate for this form</w:t>
      </w:r>
      <w:r w:rsidR="002952E2" w:rsidRPr="009849F1">
        <w:t xml:space="preserve"> of p</w:t>
      </w:r>
      <w:r w:rsidRPr="009849F1">
        <w:t>arliamentary consideration, there is a strong argument that the material in question should be included in the principal Act, rather th</w:t>
      </w:r>
      <w:r w:rsidR="00247990">
        <w:t>an in subordinate legislation.</w:t>
      </w:r>
    </w:p>
    <w:p w:rsidR="00B43BD9" w:rsidRPr="009849F1" w:rsidRDefault="00B43BD9" w:rsidP="004F6402">
      <w:pPr>
        <w:pStyle w:val="BodyNum"/>
      </w:pPr>
      <w:r w:rsidRPr="009849F1">
        <w:t>Further, numerous rules apply to legislative instruments under the</w:t>
      </w:r>
      <w:r w:rsidR="00F332C1">
        <w:t xml:space="preserve"> LA</w:t>
      </w:r>
      <w:r w:rsidRPr="009849F1">
        <w:t xml:space="preserve">. Some of these rules do not apply to amendments of </w:t>
      </w:r>
      <w:r w:rsidR="00251D7C" w:rsidRPr="009849F1">
        <w:t xml:space="preserve">legislative instruments </w:t>
      </w:r>
      <w:r w:rsidRPr="009849F1">
        <w:t>made by Bills (for example, rules relating to consultation and disallowance). While exceptions to the rules in the</w:t>
      </w:r>
      <w:r w:rsidR="00F332C1">
        <w:t xml:space="preserve"> LA</w:t>
      </w:r>
      <w:r w:rsidRPr="009849F1">
        <w:rPr>
          <w:i/>
          <w:iCs/>
        </w:rPr>
        <w:t xml:space="preserve"> </w:t>
      </w:r>
      <w:r w:rsidRPr="009849F1">
        <w:t xml:space="preserve">are occasionally appropriate, increased use of Bills to amend </w:t>
      </w:r>
      <w:r w:rsidR="00251D7C" w:rsidRPr="009849F1">
        <w:t xml:space="preserve">legislative instruments </w:t>
      </w:r>
      <w:r w:rsidRPr="009849F1">
        <w:t>is inconsistent with the fundamental policy underlying the Act</w:t>
      </w:r>
      <w:r w:rsidR="004F6402" w:rsidRPr="009849F1">
        <w:t>, a policy that was consulted on extensively</w:t>
      </w:r>
      <w:r w:rsidR="00F27D65" w:rsidRPr="009849F1">
        <w:t xml:space="preserve"> by </w:t>
      </w:r>
      <w:r w:rsidR="007657A4">
        <w:t>AGD</w:t>
      </w:r>
      <w:r w:rsidR="004F6402" w:rsidRPr="009849F1">
        <w:t>, including with the Senate Scrutiny of Bills Committee.</w:t>
      </w:r>
    </w:p>
    <w:p w:rsidR="0043701C" w:rsidRPr="009849F1" w:rsidRDefault="0043701C" w:rsidP="0043701C">
      <w:pPr>
        <w:pStyle w:val="BodyNum"/>
      </w:pPr>
      <w:r w:rsidRPr="009849F1">
        <w:t xml:space="preserve">An example of a special reason </w:t>
      </w:r>
      <w:r w:rsidR="00F27D65" w:rsidRPr="009849F1">
        <w:t xml:space="preserve">for including an amendment to a </w:t>
      </w:r>
      <w:r w:rsidR="00251D7C" w:rsidRPr="009849F1">
        <w:t xml:space="preserve">legislative instrument </w:t>
      </w:r>
      <w:r w:rsidR="00F27D65" w:rsidRPr="009849F1">
        <w:t xml:space="preserve">in a Bill </w:t>
      </w:r>
      <w:r w:rsidRPr="009849F1">
        <w:t xml:space="preserve">would be a need to amend a legislative instrument retrospectively in a way that adversely affects a person’s rights or imposes new liabilities contrary to the </w:t>
      </w:r>
      <w:r w:rsidRPr="009849F1">
        <w:rPr>
          <w:i/>
        </w:rPr>
        <w:t>Acts Interpretation Act 1901</w:t>
      </w:r>
      <w:r w:rsidRPr="009849F1">
        <w:t xml:space="preserve"> or the LA. If you are instructed to draft a provision amending </w:t>
      </w:r>
      <w:r w:rsidRPr="009849F1">
        <w:lastRenderedPageBreak/>
        <w:t xml:space="preserve">regulations or </w:t>
      </w:r>
      <w:r w:rsidR="00455DC7" w:rsidRPr="009849F1">
        <w:t xml:space="preserve">other legislative </w:t>
      </w:r>
      <w:r w:rsidRPr="009849F1">
        <w:t>instruments</w:t>
      </w:r>
      <w:r w:rsidR="00F27D65" w:rsidRPr="009849F1">
        <w:t xml:space="preserve"> in a Bill</w:t>
      </w:r>
      <w:r w:rsidRPr="009849F1">
        <w:t xml:space="preserve">, you should discuss the matter with </w:t>
      </w:r>
      <w:r w:rsidR="0059155C">
        <w:t>the head drafter</w:t>
      </w:r>
      <w:r w:rsidRPr="009849F1">
        <w:t>.</w:t>
      </w:r>
    </w:p>
    <w:p w:rsidR="00C32BBA" w:rsidRPr="009849F1" w:rsidRDefault="0043701C" w:rsidP="0043701C">
      <w:pPr>
        <w:pStyle w:val="BodyNum"/>
      </w:pPr>
      <w:r w:rsidRPr="009849F1">
        <w:t xml:space="preserve">If it is decided that an Act must amend </w:t>
      </w:r>
      <w:r w:rsidR="00CD5A79">
        <w:t xml:space="preserve">a </w:t>
      </w:r>
      <w:r w:rsidRPr="009849F1">
        <w:t>legislative instrument, you should take care to ensure that</w:t>
      </w:r>
      <w:r w:rsidR="00C32BBA" w:rsidRPr="009849F1">
        <w:t xml:space="preserve"> a</w:t>
      </w:r>
      <w:r w:rsidRPr="009849F1">
        <w:t>ny amending instruments with suspended commencements will not affect the amendments to be made by the Act (and OPC drafters are aware of the proposed amendments and the instructing department is aware of the need not to make amending instruments that could affect the amendments to be made by the Act)</w:t>
      </w:r>
      <w:r w:rsidR="00C32BBA" w:rsidRPr="009849F1">
        <w:t>.</w:t>
      </w:r>
    </w:p>
    <w:p w:rsidR="0043701C" w:rsidRPr="009849F1" w:rsidRDefault="0043701C" w:rsidP="0043701C">
      <w:pPr>
        <w:pStyle w:val="BodyNum"/>
      </w:pPr>
      <w:r w:rsidRPr="009849F1">
        <w:t>The usual form of the clause to achieve this is as follows:</w:t>
      </w:r>
    </w:p>
    <w:p w:rsidR="0043701C" w:rsidRPr="009849F1" w:rsidRDefault="0043701C" w:rsidP="0043701C">
      <w:pPr>
        <w:pStyle w:val="Specials"/>
      </w:pPr>
      <w:r w:rsidRPr="009849F1">
        <w:t>3  Schedules</w:t>
      </w:r>
    </w:p>
    <w:p w:rsidR="0043701C" w:rsidRPr="009849F1" w:rsidRDefault="0043701C" w:rsidP="0043701C">
      <w:pPr>
        <w:pStyle w:val="subsection"/>
      </w:pPr>
      <w:r w:rsidRPr="009849F1">
        <w:tab/>
      </w:r>
      <w:r w:rsidRPr="009849F1">
        <w:tab/>
        <w:t>Legislation that is specified in a Schedule to this Act is amended or repealed as set out in the applicable items in the Schedule concerned, and any other item in a Schedule to this Act has effect according to its terms.</w:t>
      </w:r>
    </w:p>
    <w:p w:rsidR="00C63848" w:rsidRPr="009849F1" w:rsidRDefault="00C63848" w:rsidP="009C508A">
      <w:pPr>
        <w:pStyle w:val="notetext"/>
      </w:pPr>
      <w:r w:rsidRPr="009849F1">
        <w:t>Note:</w:t>
      </w:r>
      <w:r w:rsidRPr="009849F1">
        <w:tab/>
      </w:r>
      <w:r w:rsidR="009C508A" w:rsidRPr="009849F1">
        <w:t xml:space="preserve">The </w:t>
      </w:r>
      <w:r w:rsidR="002404EE" w:rsidRPr="009849F1">
        <w:t xml:space="preserve">provisions of the </w:t>
      </w:r>
      <w:r w:rsidR="009C508A" w:rsidRPr="009849F1">
        <w:rPr>
          <w:i/>
          <w:iCs/>
        </w:rPr>
        <w:t xml:space="preserve">[title of </w:t>
      </w:r>
      <w:r w:rsidR="000B4885" w:rsidRPr="009849F1">
        <w:rPr>
          <w:i/>
          <w:iCs/>
        </w:rPr>
        <w:t>instrument</w:t>
      </w:r>
      <w:r w:rsidR="009C508A" w:rsidRPr="009849F1">
        <w:rPr>
          <w:i/>
          <w:iCs/>
        </w:rPr>
        <w:t>]</w:t>
      </w:r>
      <w:r w:rsidR="002404EE" w:rsidRPr="009849F1">
        <w:rPr>
          <w:iCs/>
        </w:rPr>
        <w:t xml:space="preserve"> amended or inserted by this Act</w:t>
      </w:r>
      <w:r w:rsidR="009C508A" w:rsidRPr="009849F1">
        <w:t xml:space="preserve">, </w:t>
      </w:r>
      <w:r w:rsidR="002404EE" w:rsidRPr="009849F1">
        <w:t xml:space="preserve">and any other provisions of </w:t>
      </w:r>
      <w:r w:rsidR="000B4885" w:rsidRPr="009849F1">
        <w:rPr>
          <w:i/>
        </w:rPr>
        <w:t>[that instrument]</w:t>
      </w:r>
      <w:r w:rsidR="009C508A" w:rsidRPr="009849F1">
        <w:t xml:space="preserve">, may be amended or repealed by </w:t>
      </w:r>
      <w:r w:rsidR="00DC6EF7" w:rsidRPr="009849F1">
        <w:rPr>
          <w:i/>
        </w:rPr>
        <w:t>[</w:t>
      </w:r>
      <w:r w:rsidR="000B4885" w:rsidRPr="009849F1">
        <w:rPr>
          <w:i/>
        </w:rPr>
        <w:t>an instrument]</w:t>
      </w:r>
      <w:r w:rsidR="009C508A" w:rsidRPr="009849F1">
        <w:t xml:space="preserve"> made under </w:t>
      </w:r>
      <w:r w:rsidR="009C508A" w:rsidRPr="009849F1">
        <w:rPr>
          <w:i/>
          <w:iCs/>
        </w:rPr>
        <w:t>[</w:t>
      </w:r>
      <w:r w:rsidR="000B4885" w:rsidRPr="009849F1">
        <w:rPr>
          <w:i/>
          <w:iCs/>
        </w:rPr>
        <w:t>instrument</w:t>
      </w:r>
      <w:r w:rsidR="00FD1CAC">
        <w:rPr>
          <w:i/>
          <w:iCs/>
        </w:rPr>
        <w:t>-</w:t>
      </w:r>
      <w:r w:rsidR="009C508A" w:rsidRPr="009849F1">
        <w:rPr>
          <w:i/>
          <w:iCs/>
        </w:rPr>
        <w:t>making power section]</w:t>
      </w:r>
      <w:r w:rsidR="009C508A" w:rsidRPr="009849F1">
        <w:t xml:space="preserve"> (see subsection 13(5) of the </w:t>
      </w:r>
      <w:r w:rsidR="009C508A" w:rsidRPr="009849F1">
        <w:rPr>
          <w:i/>
          <w:iCs/>
        </w:rPr>
        <w:t>Legislation Act 2003</w:t>
      </w:r>
      <w:r w:rsidR="009C508A" w:rsidRPr="009849F1">
        <w:t>).</w:t>
      </w:r>
    </w:p>
    <w:p w:rsidR="0043701C" w:rsidRPr="009849F1" w:rsidRDefault="0043701C" w:rsidP="0043701C">
      <w:pPr>
        <w:pStyle w:val="BodyNum"/>
      </w:pPr>
      <w:r w:rsidRPr="009849F1">
        <w:t>The following subsection is considered unnecessary and should not be included:</w:t>
      </w:r>
    </w:p>
    <w:p w:rsidR="0043701C" w:rsidRPr="009849F1" w:rsidRDefault="0043701C" w:rsidP="0043701C">
      <w:pPr>
        <w:pStyle w:val="subsection"/>
      </w:pPr>
      <w:r w:rsidRPr="009849F1">
        <w:tab/>
        <w:t>(</w:t>
      </w:r>
      <w:r w:rsidR="00C32BBA" w:rsidRPr="009849F1">
        <w:t>2</w:t>
      </w:r>
      <w:r w:rsidRPr="009849F1">
        <w:t>)</w:t>
      </w:r>
      <w:r w:rsidRPr="009849F1">
        <w:tab/>
        <w:t>To avoid doubt, [</w:t>
      </w:r>
      <w:r w:rsidRPr="009849F1">
        <w:rPr>
          <w:i/>
        </w:rPr>
        <w:t>regulations/instruments</w:t>
      </w:r>
      <w:r w:rsidRPr="009849F1">
        <w:t>] amended under subsection (1) are taken to still be [</w:t>
      </w:r>
      <w:r w:rsidRPr="009849F1">
        <w:rPr>
          <w:i/>
        </w:rPr>
        <w:t>regulations/instruments</w:t>
      </w:r>
      <w:r w:rsidRPr="009849F1">
        <w:t>].</w:t>
      </w:r>
    </w:p>
    <w:p w:rsidR="0043701C" w:rsidRPr="009849F1" w:rsidRDefault="0043701C" w:rsidP="009849F1">
      <w:pPr>
        <w:pStyle w:val="Head3"/>
      </w:pPr>
      <w:bookmarkStart w:id="99" w:name="_Toc43196615"/>
      <w:r w:rsidRPr="009849F1">
        <w:t>Amendments of definitions in enabling Act relied on in instruments</w:t>
      </w:r>
      <w:bookmarkEnd w:id="99"/>
    </w:p>
    <w:p w:rsidR="0043701C" w:rsidRPr="009849F1" w:rsidRDefault="0043701C" w:rsidP="0043701C">
      <w:pPr>
        <w:pStyle w:val="BodyNum"/>
      </w:pPr>
      <w:r w:rsidRPr="009849F1">
        <w:t xml:space="preserve">Previously, there was conflicting jurisprudence on the effect of an amendment of a definition in an Act on existing regulations or other instruments (compare </w:t>
      </w:r>
      <w:r w:rsidRPr="009849F1">
        <w:rPr>
          <w:i/>
        </w:rPr>
        <w:t xml:space="preserve">Birch </w:t>
      </w:r>
      <w:r w:rsidRPr="009849F1">
        <w:t xml:space="preserve">v </w:t>
      </w:r>
      <w:r w:rsidRPr="009849F1">
        <w:rPr>
          <w:i/>
        </w:rPr>
        <w:t>Allen</w:t>
      </w:r>
      <w:r w:rsidRPr="009849F1">
        <w:t xml:space="preserve"> [1942] 65 CLR 621 with </w:t>
      </w:r>
      <w:r w:rsidRPr="009849F1">
        <w:rPr>
          <w:i/>
        </w:rPr>
        <w:t xml:space="preserve">Kostrzewa </w:t>
      </w:r>
      <w:r w:rsidRPr="009849F1">
        <w:t xml:space="preserve">v </w:t>
      </w:r>
      <w:r w:rsidRPr="009849F1">
        <w:rPr>
          <w:i/>
        </w:rPr>
        <w:t xml:space="preserve">Southern Electricity Authority of Queensland </w:t>
      </w:r>
      <w:r w:rsidRPr="009849F1">
        <w:t>[1970] 120 CLR 653).</w:t>
      </w:r>
    </w:p>
    <w:p w:rsidR="0043701C" w:rsidRPr="009849F1" w:rsidRDefault="0043701C" w:rsidP="0043701C">
      <w:pPr>
        <w:pStyle w:val="BodyNum"/>
      </w:pPr>
      <w:r w:rsidRPr="009849F1">
        <w:t xml:space="preserve">Section 46 of the </w:t>
      </w:r>
      <w:r w:rsidRPr="009849F1">
        <w:rPr>
          <w:i/>
        </w:rPr>
        <w:t>Acts Interpretation Act 1901</w:t>
      </w:r>
      <w:r w:rsidRPr="009849F1">
        <w:t xml:space="preserve"> and section 13 of the </w:t>
      </w:r>
      <w:r w:rsidR="001E3185" w:rsidRPr="009849F1">
        <w:t xml:space="preserve">LA </w:t>
      </w:r>
      <w:r w:rsidRPr="009849F1">
        <w:t>now clarify that expressions used in non</w:t>
      </w:r>
      <w:r w:rsidR="00FD1CAC">
        <w:t>-</w:t>
      </w:r>
      <w:r w:rsidRPr="009849F1">
        <w:t>legislative instruments and legislative instruments have the same meaning as in the enabling legislation as in force from time to time. This means that changes in definitions in the enabling legislation will flow through to the instruments made under the enabling legislation.</w:t>
      </w:r>
    </w:p>
    <w:p w:rsidR="0043701C" w:rsidRPr="009849F1" w:rsidRDefault="0043701C" w:rsidP="009849F1">
      <w:pPr>
        <w:pStyle w:val="Head3"/>
      </w:pPr>
      <w:bookmarkStart w:id="100" w:name="_Toc43196616"/>
      <w:r w:rsidRPr="009849F1">
        <w:t>Instruments prescribing penalties</w:t>
      </w:r>
      <w:bookmarkEnd w:id="100"/>
    </w:p>
    <w:p w:rsidR="0043701C" w:rsidRPr="009849F1" w:rsidRDefault="0043701C" w:rsidP="0043701C">
      <w:pPr>
        <w:pStyle w:val="BodyNum"/>
      </w:pPr>
      <w:r w:rsidRPr="009849F1">
        <w:t xml:space="preserve">Subsection 33(5) of the </w:t>
      </w:r>
      <w:r w:rsidRPr="009849F1">
        <w:rPr>
          <w:i/>
        </w:rPr>
        <w:t xml:space="preserve">Acts Interpretation Act 1901 </w:t>
      </w:r>
      <w:r w:rsidRPr="009849F1">
        <w:t>provides that, if an Act confers power to make an instrument prescribing limited penalties, that limitation does not prevent the instrument from requiring the making of a statutory declaration.</w:t>
      </w:r>
    </w:p>
    <w:p w:rsidR="004F4DAB" w:rsidRDefault="004F4DAB" w:rsidP="009849F1">
      <w:pPr>
        <w:pStyle w:val="Head3"/>
      </w:pPr>
      <w:bookmarkStart w:id="101" w:name="_Toc43196617"/>
      <w:r>
        <w:t>Prescribed</w:t>
      </w:r>
      <w:r w:rsidR="00D01E5B">
        <w:t xml:space="preserve"> or approved</w:t>
      </w:r>
      <w:r>
        <w:t xml:space="preserve"> forms</w:t>
      </w:r>
      <w:bookmarkEnd w:id="101"/>
    </w:p>
    <w:p w:rsidR="0054698C" w:rsidRPr="0054698C" w:rsidRDefault="00D01E5B" w:rsidP="0054698C">
      <w:pPr>
        <w:pStyle w:val="Head4"/>
      </w:pPr>
      <w:bookmarkStart w:id="102" w:name="_Toc43196618"/>
      <w:r>
        <w:t xml:space="preserve">Prescribed or approved forms </w:t>
      </w:r>
      <w:r w:rsidR="00C91C29">
        <w:t>are often unnecessary</w:t>
      </w:r>
      <w:bookmarkEnd w:id="102"/>
    </w:p>
    <w:p w:rsidR="00674910" w:rsidRDefault="00674910" w:rsidP="00674910">
      <w:pPr>
        <w:pStyle w:val="BodyNum"/>
      </w:pPr>
      <w:r>
        <w:t>R</w:t>
      </w:r>
      <w:r w:rsidR="00E03CA5">
        <w:t>equiring something to be done in a f</w:t>
      </w:r>
      <w:r w:rsidR="00E03CA5" w:rsidRPr="004F4DAB">
        <w:t xml:space="preserve">orm </w:t>
      </w:r>
      <w:r w:rsidR="00E03CA5">
        <w:t xml:space="preserve">(a </w:t>
      </w:r>
      <w:r w:rsidR="00E03CA5" w:rsidRPr="00E03CA5">
        <w:rPr>
          <w:b/>
          <w:i/>
        </w:rPr>
        <w:t xml:space="preserve">prescribed </w:t>
      </w:r>
      <w:r w:rsidR="009136AD">
        <w:rPr>
          <w:b/>
          <w:i/>
        </w:rPr>
        <w:t xml:space="preserve">or approved </w:t>
      </w:r>
      <w:r w:rsidR="00E03CA5" w:rsidRPr="00E03CA5">
        <w:rPr>
          <w:b/>
          <w:i/>
        </w:rPr>
        <w:t>form</w:t>
      </w:r>
      <w:r w:rsidR="00E03CA5">
        <w:t xml:space="preserve">) </w:t>
      </w:r>
      <w:r w:rsidR="009B0D3E">
        <w:t>prescribed</w:t>
      </w:r>
      <w:r w:rsidR="00C91C29">
        <w:t xml:space="preserve"> </w:t>
      </w:r>
      <w:r>
        <w:t>by (including set out in) an Act, regulations or other written instrument or approved by a person or body can limit administrative flexibility and complicate legislation. In many situations such requirements are not necessary.</w:t>
      </w:r>
    </w:p>
    <w:p w:rsidR="00C91C29" w:rsidRDefault="00C91C29" w:rsidP="00C91C29">
      <w:pPr>
        <w:pStyle w:val="BodyNum"/>
      </w:pPr>
      <w:r>
        <w:lastRenderedPageBreak/>
        <w:t xml:space="preserve">If draft legislation needs to provide simply for the giving of particular information, the legislation should not provide for a prescribed </w:t>
      </w:r>
      <w:r w:rsidR="009136AD">
        <w:t xml:space="preserve">or approved </w:t>
      </w:r>
      <w:r>
        <w:t>form but should instead either:</w:t>
      </w:r>
    </w:p>
    <w:p w:rsidR="00C91C29" w:rsidRDefault="00C91C29" w:rsidP="00C91C29">
      <w:pPr>
        <w:pStyle w:val="BodyPara"/>
      </w:pPr>
      <w:r>
        <w:t>list the information; or</w:t>
      </w:r>
    </w:p>
    <w:p w:rsidR="00C91C29" w:rsidRDefault="00C91C29" w:rsidP="00C91C29">
      <w:pPr>
        <w:pStyle w:val="BodyPara"/>
      </w:pPr>
      <w:r>
        <w:t xml:space="preserve">provide for the information (rather than a form) to be prescribed </w:t>
      </w:r>
      <w:r w:rsidR="00BB144D">
        <w:t>by</w:t>
      </w:r>
      <w:r>
        <w:t xml:space="preserve"> a legislative or notifiable instrument.</w:t>
      </w:r>
    </w:p>
    <w:p w:rsidR="00C91C29" w:rsidRDefault="008B352A" w:rsidP="00C91C29">
      <w:pPr>
        <w:pStyle w:val="Head4"/>
      </w:pPr>
      <w:bookmarkStart w:id="103" w:name="_Toc43196619"/>
      <w:r>
        <w:t>What sort of instrument to use for prescribing</w:t>
      </w:r>
      <w:r w:rsidR="00D01E5B">
        <w:t xml:space="preserve"> or approving </w:t>
      </w:r>
      <w:r>
        <w:t>forms</w:t>
      </w:r>
      <w:bookmarkEnd w:id="103"/>
    </w:p>
    <w:p w:rsidR="0054698C" w:rsidRDefault="00446AF9" w:rsidP="00C91C29">
      <w:pPr>
        <w:pStyle w:val="BodyNum"/>
      </w:pPr>
      <w:bookmarkStart w:id="104" w:name="_Ref5965707"/>
      <w:bookmarkStart w:id="105" w:name="_Ref5959392"/>
      <w:r>
        <w:t xml:space="preserve">If </w:t>
      </w:r>
      <w:r w:rsidR="00BB144D">
        <w:t>a prescribed</w:t>
      </w:r>
      <w:r w:rsidR="009136AD">
        <w:t xml:space="preserve"> or approved</w:t>
      </w:r>
      <w:r w:rsidR="00BB144D">
        <w:t xml:space="preserve"> form</w:t>
      </w:r>
      <w:r w:rsidR="009136AD">
        <w:t xml:space="preserve"> </w:t>
      </w:r>
      <w:r w:rsidR="00BB144D">
        <w:t>is necessary</w:t>
      </w:r>
      <w:r>
        <w:t>, i</w:t>
      </w:r>
      <w:r w:rsidR="00C91C29">
        <w:t xml:space="preserve">t is appropriate </w:t>
      </w:r>
      <w:r w:rsidR="00BB144D">
        <w:t xml:space="preserve">to provide for </w:t>
      </w:r>
      <w:r>
        <w:t xml:space="preserve">the form to be prescribed </w:t>
      </w:r>
      <w:r w:rsidR="00D01E5B">
        <w:t xml:space="preserve">by (or set out in) </w:t>
      </w:r>
      <w:r w:rsidR="00C91C29">
        <w:t>an Act or regulations i</w:t>
      </w:r>
      <w:r>
        <w:t>f</w:t>
      </w:r>
      <w:r w:rsidR="00C91C29">
        <w:t>:</w:t>
      </w:r>
      <w:bookmarkEnd w:id="104"/>
    </w:p>
    <w:p w:rsidR="0054698C" w:rsidRDefault="00446AF9" w:rsidP="0054698C">
      <w:pPr>
        <w:pStyle w:val="BodyPara"/>
      </w:pPr>
      <w:r>
        <w:t xml:space="preserve">the form is for a </w:t>
      </w:r>
      <w:r w:rsidR="008159B6" w:rsidRPr="008159B6">
        <w:t>warrant, summons, oath</w:t>
      </w:r>
      <w:r w:rsidR="008159B6">
        <w:t xml:space="preserve"> or </w:t>
      </w:r>
      <w:r w:rsidR="008159B6" w:rsidRPr="008159B6">
        <w:t>affirmation</w:t>
      </w:r>
      <w:r>
        <w:t xml:space="preserve"> or </w:t>
      </w:r>
      <w:r w:rsidR="00244200">
        <w:t>examination notice</w:t>
      </w:r>
      <w:r w:rsidR="00BB144D">
        <w:t>; or</w:t>
      </w:r>
    </w:p>
    <w:p w:rsidR="0054698C" w:rsidRDefault="00446AF9" w:rsidP="0054698C">
      <w:pPr>
        <w:pStyle w:val="BodyPara"/>
      </w:pPr>
      <w:r>
        <w:t xml:space="preserve">the </w:t>
      </w:r>
      <w:r w:rsidR="0054698C">
        <w:t>context involv</w:t>
      </w:r>
      <w:r w:rsidR="00BB144D">
        <w:t>es</w:t>
      </w:r>
      <w:r w:rsidR="0054698C">
        <w:t xml:space="preserve"> </w:t>
      </w:r>
      <w:r w:rsidR="009B0D3E">
        <w:t>the courts,</w:t>
      </w:r>
      <w:r w:rsidR="008159B6" w:rsidRPr="008159B6">
        <w:t xml:space="preserve"> military discipline</w:t>
      </w:r>
      <w:r w:rsidR="009B0D3E">
        <w:t xml:space="preserve"> or </w:t>
      </w:r>
      <w:r w:rsidR="009B0D3E" w:rsidRPr="008159B6">
        <w:t>the investigation of offences</w:t>
      </w:r>
      <w:r w:rsidR="009B0D3E">
        <w:t>;</w:t>
      </w:r>
      <w:r w:rsidR="00BB144D">
        <w:t xml:space="preserve"> or</w:t>
      </w:r>
    </w:p>
    <w:p w:rsidR="008159B6" w:rsidRPr="004F4DAB" w:rsidRDefault="00446AF9" w:rsidP="0054698C">
      <w:pPr>
        <w:pStyle w:val="BodyPara"/>
      </w:pPr>
      <w:r>
        <w:t xml:space="preserve">the form is under </w:t>
      </w:r>
      <w:r w:rsidR="00244200">
        <w:t xml:space="preserve">Corporations </w:t>
      </w:r>
      <w:r w:rsidR="00BD65EF">
        <w:t>legislation</w:t>
      </w:r>
      <w:r w:rsidR="00244200">
        <w:t>, f</w:t>
      </w:r>
      <w:r w:rsidR="008159B6" w:rsidRPr="008159B6">
        <w:t xml:space="preserve">amily law, Fair Work legislation, </w:t>
      </w:r>
      <w:r>
        <w:t xml:space="preserve">a </w:t>
      </w:r>
      <w:r w:rsidR="00244200" w:rsidRPr="00244200">
        <w:t>Commonwealth</w:t>
      </w:r>
      <w:r w:rsidR="00FD1CAC">
        <w:t>-</w:t>
      </w:r>
      <w:r w:rsidR="00244200" w:rsidRPr="00244200">
        <w:t>State scheme</w:t>
      </w:r>
      <w:r w:rsidR="00244200">
        <w:t xml:space="preserve"> </w:t>
      </w:r>
      <w:r>
        <w:t>or</w:t>
      </w:r>
      <w:r w:rsidR="00244200">
        <w:t xml:space="preserve"> legislation </w:t>
      </w:r>
      <w:r w:rsidR="008159B6" w:rsidRPr="008159B6">
        <w:t xml:space="preserve">relying on </w:t>
      </w:r>
      <w:r w:rsidR="00244200">
        <w:t xml:space="preserve">a </w:t>
      </w:r>
      <w:r w:rsidR="008159B6" w:rsidRPr="008159B6">
        <w:t>referral of power.</w:t>
      </w:r>
      <w:bookmarkEnd w:id="105"/>
    </w:p>
    <w:p w:rsidR="005D1F5B" w:rsidRDefault="005D1F5B" w:rsidP="005D1F5B">
      <w:pPr>
        <w:pStyle w:val="BodyNum"/>
      </w:pPr>
      <w:r w:rsidRPr="005D1F5B">
        <w:t xml:space="preserve">You should see </w:t>
      </w:r>
      <w:r w:rsidR="0059155C">
        <w:t>the head drafter</w:t>
      </w:r>
      <w:r w:rsidRPr="005D1F5B">
        <w:t xml:space="preserve"> if you </w:t>
      </w:r>
      <w:r>
        <w:t xml:space="preserve">are unsure about whether </w:t>
      </w:r>
      <w:r w:rsidR="0097516A">
        <w:t xml:space="preserve">using </w:t>
      </w:r>
      <w:r w:rsidR="00C91C29">
        <w:t xml:space="preserve">an Act or regulations </w:t>
      </w:r>
      <w:r w:rsidR="0097516A">
        <w:t xml:space="preserve">for this purpose </w:t>
      </w:r>
      <w:r w:rsidR="00C91C29">
        <w:t xml:space="preserve">is </w:t>
      </w:r>
      <w:r>
        <w:t>appropriate.</w:t>
      </w:r>
    </w:p>
    <w:p w:rsidR="00C91C29" w:rsidRDefault="008B352A" w:rsidP="008B352A">
      <w:pPr>
        <w:pStyle w:val="BodyNum"/>
      </w:pPr>
      <w:r>
        <w:t>In other contexts a</w:t>
      </w:r>
      <w:r w:rsidR="00674910">
        <w:t xml:space="preserve"> </w:t>
      </w:r>
      <w:r w:rsidR="00C91C29">
        <w:t xml:space="preserve">form </w:t>
      </w:r>
      <w:r w:rsidR="00C91C29" w:rsidRPr="00936411">
        <w:t xml:space="preserve">should be </w:t>
      </w:r>
      <w:r w:rsidR="00C91C29">
        <w:t xml:space="preserve">approved by a specified person or body by </w:t>
      </w:r>
      <w:r w:rsidR="00C91C29" w:rsidRPr="00936411">
        <w:t>notifiable instrument</w:t>
      </w:r>
      <w:r w:rsidR="00C91C29">
        <w:t>. This is consistent with the view of</w:t>
      </w:r>
      <w:r w:rsidR="007657A4">
        <w:t xml:space="preserve"> AGD</w:t>
      </w:r>
      <w:r w:rsidR="00C91C29">
        <w:t xml:space="preserve"> that prescribed</w:t>
      </w:r>
      <w:r w:rsidR="00B508B6">
        <w:t xml:space="preserve"> or</w:t>
      </w:r>
      <w:r w:rsidR="009136AD">
        <w:t xml:space="preserve"> approved </w:t>
      </w:r>
      <w:r w:rsidR="00C91C29">
        <w:t>forms should appear in a central location, i.e. on the Federal Register of Legislation.</w:t>
      </w:r>
    </w:p>
    <w:p w:rsidR="0054698C" w:rsidRDefault="008B352A" w:rsidP="00C91C29">
      <w:pPr>
        <w:pStyle w:val="BodyNum"/>
      </w:pPr>
      <w:r>
        <w:t xml:space="preserve">In addition to providing for a prescribed </w:t>
      </w:r>
      <w:r w:rsidR="009136AD">
        <w:t xml:space="preserve">or approved </w:t>
      </w:r>
      <w:r>
        <w:t xml:space="preserve">form to be </w:t>
      </w:r>
      <w:r w:rsidR="00D01E5B">
        <w:t xml:space="preserve">prescribed by </w:t>
      </w:r>
      <w:r>
        <w:t xml:space="preserve">an Act, regulations or a </w:t>
      </w:r>
      <w:r w:rsidR="00666C6F">
        <w:t xml:space="preserve">notifiable instrument, </w:t>
      </w:r>
      <w:r w:rsidR="00EE4B3C">
        <w:t>legislation could</w:t>
      </w:r>
      <w:r w:rsidR="00666C6F">
        <w:t xml:space="preserve"> require the form to be </w:t>
      </w:r>
      <w:r w:rsidR="0054698C">
        <w:t xml:space="preserve">published on a </w:t>
      </w:r>
      <w:r w:rsidR="00666C6F">
        <w:t xml:space="preserve">particular </w:t>
      </w:r>
      <w:r w:rsidR="0054698C" w:rsidRPr="00936411">
        <w:t>website</w:t>
      </w:r>
      <w:r w:rsidR="00666C6F">
        <w:t>. (Of course, the form could be published on a website without this being mentioned in legislation</w:t>
      </w:r>
      <w:r w:rsidR="0054698C" w:rsidRPr="00936411">
        <w:t>.</w:t>
      </w:r>
      <w:r w:rsidR="00666C6F">
        <w:t>)</w:t>
      </w:r>
    </w:p>
    <w:p w:rsidR="00660FE0" w:rsidRPr="00660FE0" w:rsidRDefault="00660FE0" w:rsidP="00660FE0">
      <w:pPr>
        <w:pStyle w:val="Head4"/>
      </w:pPr>
      <w:bookmarkStart w:id="106" w:name="_Toc43196620"/>
      <w:r>
        <w:t>S</w:t>
      </w:r>
      <w:r w:rsidR="00A12815">
        <w:t>ubstantial compliance with forms</w:t>
      </w:r>
      <w:bookmarkEnd w:id="106"/>
    </w:p>
    <w:p w:rsidR="008A586B" w:rsidRDefault="00660FE0" w:rsidP="00660FE0">
      <w:pPr>
        <w:pStyle w:val="BodyNum"/>
      </w:pPr>
      <w:r>
        <w:t>If legislation provides for a</w:t>
      </w:r>
      <w:r w:rsidR="00A12815">
        <w:t xml:space="preserve"> prescribed or approved</w:t>
      </w:r>
      <w:r>
        <w:t xml:space="preserve"> form</w:t>
      </w:r>
      <w:r w:rsidR="00A12815">
        <w:t xml:space="preserve"> (including a form ap</w:t>
      </w:r>
      <w:r w:rsidR="004D5E75">
        <w:t>proved by notifiable instrument</w:t>
      </w:r>
      <w:r w:rsidR="00A12815">
        <w:t>)</w:t>
      </w:r>
      <w:r>
        <w:t xml:space="preserve">, there </w:t>
      </w:r>
      <w:r w:rsidR="004D5E75">
        <w:t>is</w:t>
      </w:r>
      <w:r>
        <w:t xml:space="preserve"> generally no need to include a provision</w:t>
      </w:r>
      <w:r w:rsidR="008A586B">
        <w:t xml:space="preserve"> stating that </w:t>
      </w:r>
      <w:r w:rsidR="00A12815">
        <w:t xml:space="preserve">strict compliance with the form is not required and </w:t>
      </w:r>
      <w:r w:rsidR="008A586B">
        <w:t>substantial compliance is sufficient. This is because of</w:t>
      </w:r>
      <w:r w:rsidR="00A12815">
        <w:t>:</w:t>
      </w:r>
    </w:p>
    <w:p w:rsidR="008A586B" w:rsidRDefault="00660FE0" w:rsidP="006327B4">
      <w:pPr>
        <w:pStyle w:val="BodyPara"/>
      </w:pPr>
      <w:r>
        <w:t xml:space="preserve">section 25C of the </w:t>
      </w:r>
      <w:r>
        <w:rPr>
          <w:i/>
        </w:rPr>
        <w:t>Acts Interpretation Act 1901</w:t>
      </w:r>
      <w:r w:rsidR="006327B4">
        <w:t xml:space="preserve"> (read with paragraph 13(1)(a) of the</w:t>
      </w:r>
      <w:r w:rsidR="00F332C1">
        <w:t xml:space="preserve"> LA</w:t>
      </w:r>
      <w:r w:rsidR="006327B4">
        <w:rPr>
          <w:iCs/>
        </w:rPr>
        <w:t xml:space="preserve"> or</w:t>
      </w:r>
      <w:r w:rsidR="006327B4">
        <w:t xml:space="preserve"> paragraph 46(1)(a) of the </w:t>
      </w:r>
      <w:r w:rsidR="006327B4">
        <w:rPr>
          <w:i/>
          <w:iCs/>
        </w:rPr>
        <w:t>Acts Interpretation Act 1901</w:t>
      </w:r>
      <w:r w:rsidR="006327B4">
        <w:rPr>
          <w:iCs/>
        </w:rPr>
        <w:t xml:space="preserve">, if </w:t>
      </w:r>
      <w:r w:rsidR="000E13DA">
        <w:rPr>
          <w:iCs/>
        </w:rPr>
        <w:t>relevant</w:t>
      </w:r>
      <w:r w:rsidR="006327B4">
        <w:t>)</w:t>
      </w:r>
      <w:r w:rsidR="008A586B">
        <w:t>; and</w:t>
      </w:r>
    </w:p>
    <w:p w:rsidR="00660FE0" w:rsidRDefault="00660FE0" w:rsidP="008A586B">
      <w:pPr>
        <w:pStyle w:val="BodyPara"/>
      </w:pPr>
      <w:r>
        <w:t xml:space="preserve">the common law rule that </w:t>
      </w:r>
      <w:r w:rsidR="00A12815">
        <w:t>if</w:t>
      </w:r>
      <w:r>
        <w:t xml:space="preserve"> legislation requires certain procedural requirements to be met, substantial as distinct from strict compliance with those requirements will generally be sufficient.</w:t>
      </w:r>
    </w:p>
    <w:p w:rsidR="0043701C" w:rsidRPr="009849F1" w:rsidRDefault="0043701C" w:rsidP="004F4DAB">
      <w:pPr>
        <w:pStyle w:val="Head3"/>
      </w:pPr>
      <w:bookmarkStart w:id="107" w:name="_Toc43196621"/>
      <w:r w:rsidRPr="009849F1">
        <w:lastRenderedPageBreak/>
        <w:t xml:space="preserve">Explanation when relying on the necessary </w:t>
      </w:r>
      <w:r w:rsidR="00D2395B">
        <w:t>or</w:t>
      </w:r>
      <w:r w:rsidRPr="009849F1">
        <w:t xml:space="preserve"> convenient power</w:t>
      </w:r>
      <w:bookmarkEnd w:id="107"/>
    </w:p>
    <w:p w:rsidR="0043701C" w:rsidRPr="009849F1" w:rsidRDefault="0043701C" w:rsidP="0043701C">
      <w:pPr>
        <w:pStyle w:val="BodyNum"/>
      </w:pPr>
      <w:r w:rsidRPr="009849F1">
        <w:t xml:space="preserve">For a provision of an instrument that relies for its head of power on the necessary </w:t>
      </w:r>
      <w:r w:rsidR="00D2395B">
        <w:t>or</w:t>
      </w:r>
      <w:r w:rsidRPr="009849F1">
        <w:t xml:space="preserve"> convenient power, drafters should include a drafting note under the provision along the following lines:</w:t>
      </w:r>
    </w:p>
    <w:p w:rsidR="0043701C" w:rsidRPr="009849F1" w:rsidRDefault="0043701C" w:rsidP="0043701C">
      <w:pPr>
        <w:pStyle w:val="notedraft"/>
      </w:pPr>
      <w:r w:rsidRPr="009849F1">
        <w:t xml:space="preserve">[: This provision relies on the necessary </w:t>
      </w:r>
      <w:r w:rsidR="00D2395B">
        <w:t>or</w:t>
      </w:r>
      <w:r w:rsidRPr="009849F1">
        <w:t xml:space="preserve"> convenient power in paragraph (x)(1)(b) of the Act. You should indicate in the explanatory statement that this provision relies on that power as the Senate Standing Committee </w:t>
      </w:r>
      <w:r w:rsidR="00126CEE">
        <w:t xml:space="preserve">for the Scrutiny of Delegated Legislation </w:t>
      </w:r>
      <w:r w:rsidRPr="009849F1">
        <w:t>expects the explanatory statement to indicate when the “necessary or convenient” power has been relied on.]</w:t>
      </w:r>
    </w:p>
    <w:p w:rsidR="00BA607F" w:rsidRPr="009849F1" w:rsidRDefault="00BA607F" w:rsidP="009849F1">
      <w:pPr>
        <w:pStyle w:val="Head3"/>
      </w:pPr>
      <w:bookmarkStart w:id="108" w:name="_Toc43196622"/>
      <w:r w:rsidRPr="009849F1">
        <w:t>Incorporation of material by reference</w:t>
      </w:r>
      <w:bookmarkEnd w:id="108"/>
    </w:p>
    <w:p w:rsidR="00BA607F" w:rsidRPr="009849F1" w:rsidRDefault="00BA607F" w:rsidP="008F1D58">
      <w:pPr>
        <w:pStyle w:val="BodyNum"/>
      </w:pPr>
      <w:r w:rsidRPr="009849F1">
        <w:t>Section 14 of the</w:t>
      </w:r>
      <w:r w:rsidR="0015095A">
        <w:t xml:space="preserve"> LA</w:t>
      </w:r>
      <w:r w:rsidRPr="009849F1">
        <w:t xml:space="preserve"> sets out special rules about the circumstances in which a legislative instrument</w:t>
      </w:r>
      <w:r w:rsidR="00335208" w:rsidRPr="009849F1">
        <w:t xml:space="preserve"> or notifiable instrument</w:t>
      </w:r>
      <w:r w:rsidRPr="009849F1">
        <w:t xml:space="preserve"> may make provision in relation to a matter by applying, adopting or incorporating material in an Act, an instrument</w:t>
      </w:r>
      <w:r w:rsidR="004B1473">
        <w:t>, rules of court</w:t>
      </w:r>
      <w:r w:rsidRPr="009849F1">
        <w:t xml:space="preserve"> or another written document.</w:t>
      </w:r>
    </w:p>
    <w:p w:rsidR="00BA607F" w:rsidRPr="009849F1" w:rsidRDefault="00BA607F" w:rsidP="002404EE">
      <w:pPr>
        <w:pStyle w:val="notemargin"/>
      </w:pPr>
      <w:r w:rsidRPr="009849F1">
        <w:t>Note:</w:t>
      </w:r>
      <w:r w:rsidR="002404EE" w:rsidRPr="009849F1">
        <w:tab/>
      </w:r>
      <w:r w:rsidRPr="009849F1">
        <w:t xml:space="preserve">Section 46AA of the </w:t>
      </w:r>
      <w:r w:rsidRPr="009849F1">
        <w:rPr>
          <w:i/>
        </w:rPr>
        <w:t>Acts Interpretation Act 1901</w:t>
      </w:r>
      <w:r w:rsidRPr="009849F1">
        <w:t xml:space="preserve"> sets out a similar rule for instruments that are not legislative instruments</w:t>
      </w:r>
      <w:r w:rsidR="00F17049" w:rsidRPr="009849F1">
        <w:t xml:space="preserve"> or notifiable instruments</w:t>
      </w:r>
      <w:r w:rsidRPr="009849F1">
        <w:t>.</w:t>
      </w:r>
    </w:p>
    <w:p w:rsidR="002F5750" w:rsidRDefault="002F5750" w:rsidP="008F1D58">
      <w:pPr>
        <w:pStyle w:val="BodyNum"/>
      </w:pPr>
      <w:r>
        <w:t xml:space="preserve">The rules </w:t>
      </w:r>
      <w:r w:rsidR="00010C91">
        <w:t xml:space="preserve">differ </w:t>
      </w:r>
      <w:r>
        <w:t>depending on whether what is applied, adopted or incorporated is from:</w:t>
      </w:r>
    </w:p>
    <w:p w:rsidR="002F5750" w:rsidRDefault="002F5750" w:rsidP="002F5750">
      <w:pPr>
        <w:pStyle w:val="BodyPara"/>
      </w:pPr>
      <w:r>
        <w:t>a source (a</w:t>
      </w:r>
      <w:r w:rsidR="00291DDF">
        <w:t xml:space="preserve">n </w:t>
      </w:r>
      <w:r w:rsidR="00291DDF" w:rsidRPr="00291DDF">
        <w:rPr>
          <w:b/>
          <w:i/>
        </w:rPr>
        <w:t>allowed varying</w:t>
      </w:r>
      <w:r>
        <w:t xml:space="preserve"> </w:t>
      </w:r>
      <w:r w:rsidRPr="002F5750">
        <w:rPr>
          <w:b/>
          <w:i/>
        </w:rPr>
        <w:t>source</w:t>
      </w:r>
      <w:r>
        <w:t xml:space="preserve">) that is a </w:t>
      </w:r>
      <w:r w:rsidRPr="009849F1">
        <w:t>Commonwealth Act</w:t>
      </w:r>
      <w:r>
        <w:t>,</w:t>
      </w:r>
      <w:r w:rsidRPr="009849F1">
        <w:t xml:space="preserve"> disallowable legislative instrument (within the meaning of the</w:t>
      </w:r>
      <w:r w:rsidR="0015095A">
        <w:t xml:space="preserve"> LA</w:t>
      </w:r>
      <w:r w:rsidRPr="009849F1">
        <w:t xml:space="preserve">) </w:t>
      </w:r>
      <w:r>
        <w:t>or rules of court; or</w:t>
      </w:r>
    </w:p>
    <w:p w:rsidR="002F5750" w:rsidRPr="002F5750" w:rsidRDefault="002F5750" w:rsidP="002F5750">
      <w:pPr>
        <w:pStyle w:val="BodyPara"/>
      </w:pPr>
      <w:r>
        <w:t xml:space="preserve">a source (a </w:t>
      </w:r>
      <w:r w:rsidRPr="002F5750">
        <w:rPr>
          <w:b/>
          <w:i/>
        </w:rPr>
        <w:t>fixed source</w:t>
      </w:r>
      <w:r>
        <w:t>)</w:t>
      </w:r>
      <w:r w:rsidR="00D805FE">
        <w:t xml:space="preserve"> that is an instrument, or other written document, that is not a </w:t>
      </w:r>
      <w:r w:rsidR="00D805FE" w:rsidRPr="009849F1">
        <w:t>Commonwealth Act</w:t>
      </w:r>
      <w:r w:rsidR="00D805FE">
        <w:t>,</w:t>
      </w:r>
      <w:r w:rsidR="00D805FE" w:rsidRPr="009849F1">
        <w:t xml:space="preserve"> disallowable legislative instrument (within the meaning of the</w:t>
      </w:r>
      <w:r w:rsidR="0015095A">
        <w:t xml:space="preserve"> LA</w:t>
      </w:r>
      <w:r w:rsidR="00D805FE" w:rsidRPr="009849F1">
        <w:t xml:space="preserve">) </w:t>
      </w:r>
      <w:r w:rsidR="00D805FE">
        <w:t>or rules of court.</w:t>
      </w:r>
    </w:p>
    <w:p w:rsidR="00BA607F" w:rsidRPr="009849F1" w:rsidRDefault="00BA607F" w:rsidP="008F1D58">
      <w:pPr>
        <w:pStyle w:val="BodyNum"/>
      </w:pPr>
      <w:r w:rsidRPr="009849F1">
        <w:t>The basic rule is that a legislative instrument</w:t>
      </w:r>
      <w:r w:rsidR="00335208" w:rsidRPr="009849F1">
        <w:t xml:space="preserve"> or notifiable instrument</w:t>
      </w:r>
      <w:r w:rsidRPr="009849F1">
        <w:t xml:space="preserve"> can apply, adopt or incorporate:</w:t>
      </w:r>
    </w:p>
    <w:p w:rsidR="00BA607F" w:rsidRPr="009849F1" w:rsidRDefault="00BA607F" w:rsidP="008F1D58">
      <w:pPr>
        <w:pStyle w:val="BodyPara"/>
      </w:pPr>
      <w:r w:rsidRPr="009849F1">
        <w:t xml:space="preserve">the provisions of </w:t>
      </w:r>
      <w:r w:rsidR="00291DDF">
        <w:t>an allowed varying</w:t>
      </w:r>
      <w:r w:rsidR="00D805FE">
        <w:t xml:space="preserve"> source</w:t>
      </w:r>
      <w:r w:rsidR="004B1473">
        <w:t xml:space="preserve"> </w:t>
      </w:r>
      <w:r w:rsidRPr="009849F1">
        <w:t>as in force at a particular time or as in force from time to time; and</w:t>
      </w:r>
    </w:p>
    <w:p w:rsidR="00BA607F" w:rsidRPr="009849F1" w:rsidRDefault="00BA607F" w:rsidP="008F1D58">
      <w:pPr>
        <w:pStyle w:val="BodyPara"/>
      </w:pPr>
      <w:r w:rsidRPr="009849F1">
        <w:t>matter contained in a</w:t>
      </w:r>
      <w:r w:rsidR="00D805FE">
        <w:t xml:space="preserve"> fixed source </w:t>
      </w:r>
      <w:r w:rsidRPr="009849F1">
        <w:t xml:space="preserve">as in force or existing </w:t>
      </w:r>
      <w:r w:rsidR="00E05EAC" w:rsidRPr="009849F1">
        <w:t xml:space="preserve">at </w:t>
      </w:r>
      <w:r w:rsidR="00D805FE">
        <w:t xml:space="preserve">or before </w:t>
      </w:r>
      <w:r w:rsidR="00E05EAC" w:rsidRPr="009849F1">
        <w:t>the time the</w:t>
      </w:r>
      <w:r w:rsidRPr="009849F1">
        <w:t xml:space="preserve"> legislative instrument</w:t>
      </w:r>
      <w:r w:rsidR="00335208" w:rsidRPr="009849F1">
        <w:t xml:space="preserve"> or notifiable instrument</w:t>
      </w:r>
      <w:r w:rsidRPr="009849F1">
        <w:t xml:space="preserve"> </w:t>
      </w:r>
      <w:r w:rsidR="008D6BAC" w:rsidRPr="009849F1">
        <w:t>commences</w:t>
      </w:r>
      <w:r w:rsidRPr="009849F1">
        <w:t>.</w:t>
      </w:r>
    </w:p>
    <w:p w:rsidR="007830CA" w:rsidRDefault="007830CA" w:rsidP="008F1D58">
      <w:pPr>
        <w:pStyle w:val="BodyNum"/>
      </w:pPr>
      <w:r>
        <w:t xml:space="preserve">Unless its enabling Act allows, a legislative instrument or notifiable instrument cannot </w:t>
      </w:r>
      <w:r w:rsidRPr="009849F1">
        <w:t xml:space="preserve">apply, adopt or incorporate matter </w:t>
      </w:r>
      <w:r>
        <w:t>from a</w:t>
      </w:r>
      <w:r w:rsidR="00D805FE">
        <w:t xml:space="preserve"> </w:t>
      </w:r>
      <w:r w:rsidR="00010C91">
        <w:t>fixed</w:t>
      </w:r>
      <w:r w:rsidR="00D805FE">
        <w:t xml:space="preserve"> source </w:t>
      </w:r>
      <w:r>
        <w:t xml:space="preserve">as in force or existing </w:t>
      </w:r>
      <w:r w:rsidR="009A638E">
        <w:t>f</w:t>
      </w:r>
      <w:r>
        <w:t>rom time to time</w:t>
      </w:r>
      <w:r w:rsidR="009A638E">
        <w:t>.</w:t>
      </w:r>
    </w:p>
    <w:p w:rsidR="00BA607F" w:rsidRPr="009849F1" w:rsidRDefault="00BA607F" w:rsidP="008F1D58">
      <w:pPr>
        <w:pStyle w:val="BodyNum"/>
      </w:pPr>
      <w:r w:rsidRPr="009849F1">
        <w:t>When drafting a legislative instrument</w:t>
      </w:r>
      <w:r w:rsidR="00335208" w:rsidRPr="009849F1">
        <w:t xml:space="preserve"> or notifiable instrument</w:t>
      </w:r>
      <w:r w:rsidRPr="009849F1">
        <w:t xml:space="preserve"> that will apply</w:t>
      </w:r>
      <w:r w:rsidR="00010C91">
        <w:t>, adopt or incorporate</w:t>
      </w:r>
      <w:r w:rsidRPr="009849F1">
        <w:t xml:space="preserve"> material in an Act, an instrument</w:t>
      </w:r>
      <w:r w:rsidR="009A638E">
        <w:t>, rules of court</w:t>
      </w:r>
      <w:r w:rsidRPr="009849F1">
        <w:t xml:space="preserve"> or another written document, the wording used to do this will depend on whether the material is contained in</w:t>
      </w:r>
      <w:r w:rsidR="00D805FE">
        <w:t xml:space="preserve"> </w:t>
      </w:r>
      <w:r w:rsidR="00291DDF">
        <w:t>an allowed varying</w:t>
      </w:r>
      <w:r w:rsidR="00D805FE">
        <w:t xml:space="preserve"> source or </w:t>
      </w:r>
      <w:r w:rsidR="00010C91">
        <w:t xml:space="preserve">in </w:t>
      </w:r>
      <w:r w:rsidR="00D805FE">
        <w:t xml:space="preserve">a fixed source (such as </w:t>
      </w:r>
      <w:r w:rsidR="00D805FE" w:rsidRPr="009849F1">
        <w:t>a non</w:t>
      </w:r>
      <w:r w:rsidR="00FD1CAC">
        <w:t>-</w:t>
      </w:r>
      <w:r w:rsidR="00D805FE" w:rsidRPr="009849F1">
        <w:t>disallowable legislative instrument, State or Territory legislation or a technical standard).</w:t>
      </w:r>
    </w:p>
    <w:p w:rsidR="00BA607F" w:rsidRPr="009849F1" w:rsidRDefault="00BA607F" w:rsidP="009849F1">
      <w:pPr>
        <w:pStyle w:val="Head4"/>
      </w:pPr>
      <w:bookmarkStart w:id="109" w:name="_Toc43196623"/>
      <w:r w:rsidRPr="009849F1">
        <w:lastRenderedPageBreak/>
        <w:t xml:space="preserve">Incorporating </w:t>
      </w:r>
      <w:r w:rsidR="00604AE0">
        <w:t xml:space="preserve">provisions of </w:t>
      </w:r>
      <w:r w:rsidR="00291DDF">
        <w:t>an allowed varying</w:t>
      </w:r>
      <w:r w:rsidR="00604AE0">
        <w:t xml:space="preserve"> source</w:t>
      </w:r>
      <w:r w:rsidR="00D805FE">
        <w:t xml:space="preserve"> </w:t>
      </w:r>
      <w:r w:rsidRPr="009849F1">
        <w:t>as in force from time to time</w:t>
      </w:r>
      <w:bookmarkEnd w:id="109"/>
    </w:p>
    <w:p w:rsidR="00BA607F" w:rsidRPr="009849F1" w:rsidRDefault="0091303A" w:rsidP="008F1D58">
      <w:pPr>
        <w:pStyle w:val="BodyNum"/>
      </w:pPr>
      <w:r>
        <w:t>Generally, a legislative instrument or notifiable instrument applying, adopting or incorporating</w:t>
      </w:r>
      <w:r w:rsidRPr="009849F1">
        <w:t xml:space="preserve"> provisions</w:t>
      </w:r>
      <w:r>
        <w:t>, as in force from time to time,</w:t>
      </w:r>
      <w:r w:rsidRPr="009849F1">
        <w:t xml:space="preserve"> of </w:t>
      </w:r>
      <w:r w:rsidR="00291DDF">
        <w:t>an allowed varying</w:t>
      </w:r>
      <w:r w:rsidR="00604AE0">
        <w:t xml:space="preserve"> source </w:t>
      </w:r>
      <w:r>
        <w:t xml:space="preserve">need not say that the provisions (or the </w:t>
      </w:r>
      <w:r w:rsidR="00604AE0">
        <w:t>source</w:t>
      </w:r>
      <w:r>
        <w:t>) are “as in force from time to time”.</w:t>
      </w:r>
      <w:r w:rsidR="00BA607F" w:rsidRPr="009849F1">
        <w:t xml:space="preserve"> This is because:</w:t>
      </w:r>
    </w:p>
    <w:p w:rsidR="00BA607F" w:rsidRPr="009849F1" w:rsidRDefault="00BA607F" w:rsidP="008F1D58">
      <w:pPr>
        <w:pStyle w:val="BodyPara"/>
      </w:pPr>
      <w:r w:rsidRPr="009849F1">
        <w:t>under section 14 of the</w:t>
      </w:r>
      <w:r w:rsidR="0015095A">
        <w:t xml:space="preserve"> LA</w:t>
      </w:r>
      <w:r w:rsidRPr="009849F1">
        <w:t>, provisions of this kind</w:t>
      </w:r>
      <w:r w:rsidR="009A638E" w:rsidRPr="009849F1">
        <w:t xml:space="preserve"> as in force from time to time</w:t>
      </w:r>
      <w:r w:rsidRPr="009849F1">
        <w:t xml:space="preserve"> are permitted to be applied, adopted or incorporated in a legislative instrument</w:t>
      </w:r>
      <w:r w:rsidR="009A638E">
        <w:t xml:space="preserve"> or notifiable instrument</w:t>
      </w:r>
      <w:r w:rsidRPr="009849F1">
        <w:t>; and</w:t>
      </w:r>
    </w:p>
    <w:p w:rsidR="00BA607F" w:rsidRPr="009849F1" w:rsidRDefault="0091303A" w:rsidP="008F1D58">
      <w:pPr>
        <w:pStyle w:val="BodyPara"/>
      </w:pPr>
      <w:r>
        <w:t>in the case of provisions of an Act or legislative instrument—</w:t>
      </w:r>
      <w:r w:rsidR="00BA607F" w:rsidRPr="009849F1">
        <w:t>the reference to the short title or name of the Act or instrument is a refer</w:t>
      </w:r>
      <w:r w:rsidR="002F5750">
        <w:t xml:space="preserve">ence to that Act or instrument </w:t>
      </w:r>
      <w:r w:rsidR="00BA607F" w:rsidRPr="009849F1">
        <w:t xml:space="preserve">as in force from time to time because of section 10 of the </w:t>
      </w:r>
      <w:r w:rsidR="00BA607F" w:rsidRPr="009849F1">
        <w:rPr>
          <w:i/>
        </w:rPr>
        <w:t>Acts Interpretation Act 1901</w:t>
      </w:r>
      <w:r w:rsidR="00BA607F" w:rsidRPr="009849F1">
        <w:t>.</w:t>
      </w:r>
    </w:p>
    <w:p w:rsidR="00BA607F" w:rsidRPr="009849F1" w:rsidRDefault="00BA607F" w:rsidP="008F1D58">
      <w:pPr>
        <w:pStyle w:val="BodyNum"/>
      </w:pPr>
      <w:bookmarkStart w:id="110" w:name="_Ref488131408"/>
      <w:r w:rsidRPr="009849F1">
        <w:t>However, drafters should advise instructors that the explanatory statement</w:t>
      </w:r>
      <w:r w:rsidR="00335208" w:rsidRPr="009849F1">
        <w:t xml:space="preserve"> for a legislative instrument</w:t>
      </w:r>
      <w:r w:rsidRPr="009849F1">
        <w:t xml:space="preserve"> should mention that the </w:t>
      </w:r>
      <w:r w:rsidR="002F5750">
        <w:t xml:space="preserve">provisions are </w:t>
      </w:r>
      <w:r w:rsidRPr="009849F1">
        <w:t>being applied, adopted or incorporated as in force from time to time.</w:t>
      </w:r>
      <w:bookmarkEnd w:id="110"/>
    </w:p>
    <w:p w:rsidR="00BA607F" w:rsidRPr="009849F1" w:rsidRDefault="00BA607F" w:rsidP="009849F1">
      <w:pPr>
        <w:pStyle w:val="Head4"/>
      </w:pPr>
      <w:bookmarkStart w:id="111" w:name="_Toc43196624"/>
      <w:r w:rsidRPr="009849F1">
        <w:t xml:space="preserve">Incorporating </w:t>
      </w:r>
      <w:r w:rsidR="00604AE0">
        <w:t xml:space="preserve">provisions of </w:t>
      </w:r>
      <w:r w:rsidR="00291DDF">
        <w:t>an allowed varying</w:t>
      </w:r>
      <w:r w:rsidR="00604AE0">
        <w:t xml:space="preserve"> source </w:t>
      </w:r>
      <w:r w:rsidRPr="009849F1">
        <w:t>as in force a</w:t>
      </w:r>
      <w:r w:rsidR="004E017A" w:rsidRPr="009849F1">
        <w:t>t</w:t>
      </w:r>
      <w:r w:rsidRPr="009849F1">
        <w:t xml:space="preserve"> a particular time</w:t>
      </w:r>
      <w:bookmarkEnd w:id="111"/>
    </w:p>
    <w:p w:rsidR="00BA607F" w:rsidRPr="009849F1" w:rsidRDefault="00BA607F" w:rsidP="008F1D58">
      <w:pPr>
        <w:pStyle w:val="BodyNum"/>
      </w:pPr>
      <w:r w:rsidRPr="009849F1">
        <w:t xml:space="preserve">It would be unusual for </w:t>
      </w:r>
      <w:r w:rsidR="00D80196">
        <w:t xml:space="preserve">provisions of </w:t>
      </w:r>
      <w:r w:rsidR="00291DDF">
        <w:t>an allowed varying</w:t>
      </w:r>
      <w:r w:rsidR="00604AE0">
        <w:t xml:space="preserve"> source</w:t>
      </w:r>
      <w:r w:rsidR="002F5750">
        <w:t xml:space="preserve"> </w:t>
      </w:r>
      <w:r w:rsidRPr="009849F1">
        <w:t>to be applied, adopted or incorporated as in force at a particular time. However, if this is done, the particular time should be specified.</w:t>
      </w:r>
    </w:p>
    <w:p w:rsidR="00BA607F" w:rsidRPr="009849F1" w:rsidRDefault="00BA607F" w:rsidP="009849F1">
      <w:pPr>
        <w:pStyle w:val="Head4"/>
      </w:pPr>
      <w:bookmarkStart w:id="112" w:name="_Toc43196625"/>
      <w:r w:rsidRPr="009849F1">
        <w:t xml:space="preserve">Incorporating </w:t>
      </w:r>
      <w:r w:rsidR="00604AE0">
        <w:t>matter from a fixed source</w:t>
      </w:r>
      <w:r w:rsidR="00335208" w:rsidRPr="009849F1">
        <w:t>—general</w:t>
      </w:r>
      <w:bookmarkEnd w:id="112"/>
    </w:p>
    <w:p w:rsidR="00BA607F" w:rsidRPr="009849F1" w:rsidRDefault="00BA607F" w:rsidP="008F1D58">
      <w:pPr>
        <w:pStyle w:val="BodyNum"/>
      </w:pPr>
      <w:bookmarkStart w:id="113" w:name="_Ref488131448"/>
      <w:r w:rsidRPr="009849F1">
        <w:t>If mat</w:t>
      </w:r>
      <w:r w:rsidR="00D80196">
        <w:t xml:space="preserve">ter </w:t>
      </w:r>
      <w:r w:rsidRPr="009849F1">
        <w:t>in a</w:t>
      </w:r>
      <w:r w:rsidR="00604AE0">
        <w:t xml:space="preserve"> fixed source </w:t>
      </w:r>
      <w:r w:rsidRPr="009849F1">
        <w:t>is to be applied, adopted or incorporated in a legislative instrument</w:t>
      </w:r>
      <w:r w:rsidR="00335208" w:rsidRPr="009849F1">
        <w:t xml:space="preserve"> or notifiable instrument</w:t>
      </w:r>
      <w:r w:rsidRPr="009849F1">
        <w:t xml:space="preserve">, the </w:t>
      </w:r>
      <w:r w:rsidR="00604AE0">
        <w:t>source</w:t>
      </w:r>
      <w:r w:rsidRPr="009849F1">
        <w:t xml:space="preserve"> should be specified as being:</w:t>
      </w:r>
      <w:bookmarkEnd w:id="113"/>
    </w:p>
    <w:p w:rsidR="00604AE0" w:rsidRDefault="00583FF4" w:rsidP="008F1D58">
      <w:pPr>
        <w:pStyle w:val="BodyPara"/>
      </w:pPr>
      <w:r w:rsidRPr="009849F1">
        <w:t>as in force or existing at the time the legislative instrument or notifiable instrument commences</w:t>
      </w:r>
      <w:r w:rsidR="00604AE0">
        <w:t>; or</w:t>
      </w:r>
    </w:p>
    <w:p w:rsidR="00583FF4" w:rsidRPr="009849F1" w:rsidRDefault="00604AE0" w:rsidP="008F1D58">
      <w:pPr>
        <w:pStyle w:val="BodyPara"/>
      </w:pPr>
      <w:r w:rsidRPr="009849F1">
        <w:t xml:space="preserve">as in force or existing at </w:t>
      </w:r>
      <w:r>
        <w:t xml:space="preserve">a particular time that is before </w:t>
      </w:r>
      <w:r w:rsidRPr="009849F1">
        <w:t xml:space="preserve">the </w:t>
      </w:r>
      <w:r>
        <w:t xml:space="preserve">commencement of the </w:t>
      </w:r>
      <w:r w:rsidRPr="009849F1">
        <w:t>legislative instrument or notifiable instrument</w:t>
      </w:r>
      <w:r w:rsidR="00583FF4" w:rsidRPr="009849F1">
        <w:t>; or</w:t>
      </w:r>
    </w:p>
    <w:p w:rsidR="00BA607F" w:rsidRPr="009849F1" w:rsidRDefault="00BA607F" w:rsidP="008F1D58">
      <w:pPr>
        <w:pStyle w:val="BodyPara"/>
      </w:pPr>
      <w:bookmarkStart w:id="114" w:name="_Ref488131916"/>
      <w:r w:rsidRPr="009849F1">
        <w:t xml:space="preserve">as in force or existing from time to time (if this is permitted by the </w:t>
      </w:r>
      <w:r w:rsidR="00051375" w:rsidRPr="009849F1">
        <w:t>enabling</w:t>
      </w:r>
      <w:r w:rsidRPr="009849F1">
        <w:t xml:space="preserve"> Act).</w:t>
      </w:r>
      <w:bookmarkEnd w:id="114"/>
    </w:p>
    <w:p w:rsidR="002404EE" w:rsidRPr="009849F1" w:rsidRDefault="00721310" w:rsidP="00440CB3">
      <w:pPr>
        <w:pStyle w:val="BodyNum"/>
      </w:pPr>
      <w:r w:rsidRPr="009849F1">
        <w:t>In the case of paragraph</w:t>
      </w:r>
      <w:r w:rsidR="00265134">
        <w:t xml:space="preserve"> </w:t>
      </w:r>
      <w:r w:rsidR="00265134">
        <w:fldChar w:fldCharType="begin"/>
      </w:r>
      <w:r w:rsidR="00265134">
        <w:instrText xml:space="preserve"> REF _Ref488131916 \r \h </w:instrText>
      </w:r>
      <w:r w:rsidR="00265134">
        <w:fldChar w:fldCharType="separate"/>
      </w:r>
      <w:r w:rsidR="00F90EAA">
        <w:t>172(c)</w:t>
      </w:r>
      <w:r w:rsidR="00265134">
        <w:fldChar w:fldCharType="end"/>
      </w:r>
      <w:r w:rsidR="005E135F" w:rsidRPr="009849F1">
        <w:t xml:space="preserve">, drafters should advise instructors that the explanatory statement for a legislative instrument should mention that the </w:t>
      </w:r>
      <w:r w:rsidR="00604AE0">
        <w:t>enabling Act permits the matter</w:t>
      </w:r>
      <w:r w:rsidR="005E135F" w:rsidRPr="009849F1">
        <w:t xml:space="preserve"> </w:t>
      </w:r>
      <w:r w:rsidR="00604AE0">
        <w:t>to be</w:t>
      </w:r>
      <w:r w:rsidR="005E135F" w:rsidRPr="009849F1">
        <w:t xml:space="preserve"> applied, adopted or incorporated as in force from time to time.</w:t>
      </w:r>
    </w:p>
    <w:p w:rsidR="00BA607F" w:rsidRPr="009849F1" w:rsidRDefault="00BA607F" w:rsidP="009849F1">
      <w:pPr>
        <w:pStyle w:val="Head4"/>
      </w:pPr>
      <w:bookmarkStart w:id="115" w:name="_Toc43196626"/>
      <w:r w:rsidRPr="009849F1">
        <w:t>Incorporating</w:t>
      </w:r>
      <w:r w:rsidR="00335208" w:rsidRPr="009849F1">
        <w:t xml:space="preserve"> </w:t>
      </w:r>
      <w:r w:rsidR="00604AE0">
        <w:t>matter from fixed source</w:t>
      </w:r>
      <w:r w:rsidR="00F759DB">
        <w:t>s</w:t>
      </w:r>
      <w:r w:rsidR="00335208" w:rsidRPr="009849F1">
        <w:t>—</w:t>
      </w:r>
      <w:r w:rsidRPr="009849F1">
        <w:t>State and Territory laws</w:t>
      </w:r>
      <w:bookmarkEnd w:id="115"/>
    </w:p>
    <w:p w:rsidR="00BA607F" w:rsidRPr="009849F1" w:rsidRDefault="00BA607F" w:rsidP="008F1D58">
      <w:pPr>
        <w:pStyle w:val="BodyNum"/>
      </w:pPr>
      <w:r w:rsidRPr="009849F1">
        <w:t>The rule in paragraph</w:t>
      </w:r>
      <w:r w:rsidR="00265134">
        <w:t xml:space="preserve"> </w:t>
      </w:r>
      <w:r w:rsidR="00265134">
        <w:fldChar w:fldCharType="begin"/>
      </w:r>
      <w:r w:rsidR="00265134">
        <w:instrText xml:space="preserve"> REF _Ref488131448 \r \h </w:instrText>
      </w:r>
      <w:r w:rsidR="00265134">
        <w:fldChar w:fldCharType="separate"/>
      </w:r>
      <w:r w:rsidR="00F90EAA">
        <w:t>172</w:t>
      </w:r>
      <w:r w:rsidR="00265134">
        <w:fldChar w:fldCharType="end"/>
      </w:r>
      <w:r w:rsidRPr="009849F1">
        <w:t xml:space="preserve"> applies to mat</w:t>
      </w:r>
      <w:r w:rsidR="00D80196">
        <w:t>t</w:t>
      </w:r>
      <w:r w:rsidRPr="009849F1">
        <w:t>er contained in a State or Territory law</w:t>
      </w:r>
      <w:r w:rsidR="00D80196">
        <w:t>,</w:t>
      </w:r>
      <w:r w:rsidRPr="009849F1">
        <w:t xml:space="preserve"> </w:t>
      </w:r>
      <w:r w:rsidR="00C36E38" w:rsidRPr="009849F1">
        <w:t xml:space="preserve">as a State or Territory law is </w:t>
      </w:r>
      <w:r w:rsidR="00FD3783">
        <w:t xml:space="preserve">not </w:t>
      </w:r>
      <w:r w:rsidRPr="009849F1">
        <w:t>a Commonwealth Act</w:t>
      </w:r>
      <w:r w:rsidR="00F759DB">
        <w:t>,</w:t>
      </w:r>
      <w:r w:rsidRPr="009849F1">
        <w:t xml:space="preserve"> </w:t>
      </w:r>
      <w:r w:rsidR="00F759DB">
        <w:t>a</w:t>
      </w:r>
      <w:r w:rsidRPr="009849F1">
        <w:t xml:space="preserve"> disallowable legislative instrument</w:t>
      </w:r>
      <w:r w:rsidR="00C36E38" w:rsidRPr="009849F1">
        <w:t xml:space="preserve"> (within the meaning of the</w:t>
      </w:r>
      <w:r w:rsidR="00C12F16">
        <w:t xml:space="preserve"> LA</w:t>
      </w:r>
      <w:r w:rsidR="00C36E38" w:rsidRPr="009849F1">
        <w:t>)</w:t>
      </w:r>
      <w:r w:rsidR="00F759DB">
        <w:t xml:space="preserve"> or rules of court</w:t>
      </w:r>
      <w:r w:rsidRPr="009849F1">
        <w:t xml:space="preserve">. Although section 10A of the </w:t>
      </w:r>
      <w:r w:rsidRPr="009849F1">
        <w:rPr>
          <w:i/>
        </w:rPr>
        <w:t>Acts Interpretation Act 1901</w:t>
      </w:r>
      <w:r w:rsidRPr="009849F1">
        <w:t xml:space="preserve"> provides that a reference to the short title or other citation of a law of a State or Territory is to be construed as a reference to that law as amended from time to time, that section cannot always be relied on in relation to references to State and Territory laws in legislative instruments</w:t>
      </w:r>
      <w:r w:rsidR="00335208" w:rsidRPr="009849F1">
        <w:t xml:space="preserve"> or notifiable instrument</w:t>
      </w:r>
      <w:r w:rsidR="00F17049" w:rsidRPr="009849F1">
        <w:t>s</w:t>
      </w:r>
      <w:r w:rsidRPr="009849F1">
        <w:t>.</w:t>
      </w:r>
    </w:p>
    <w:p w:rsidR="00BA607F" w:rsidRPr="009849F1" w:rsidRDefault="00BA607F" w:rsidP="008F1D58">
      <w:pPr>
        <w:pStyle w:val="BodyNum"/>
      </w:pPr>
      <w:r w:rsidRPr="009849F1">
        <w:lastRenderedPageBreak/>
        <w:t>For example, if a legislative instrument</w:t>
      </w:r>
      <w:r w:rsidR="00335208" w:rsidRPr="009849F1">
        <w:t xml:space="preserve"> or notifiable instrument</w:t>
      </w:r>
      <w:r w:rsidRPr="009849F1">
        <w:t xml:space="preserve"> refers to a State or Territory law without specifying whether it is as in force from time to time, or as in force at a particular time, and the </w:t>
      </w:r>
      <w:r w:rsidR="00051375" w:rsidRPr="009849F1">
        <w:t>enabling</w:t>
      </w:r>
      <w:r w:rsidRPr="009849F1">
        <w:t xml:space="preserve"> Act does not permit the State or Territory law to be applied, adopted or incorporated as in force from time to time, the reference could only be to the State or Territory law as in force at the time the legislative instrument</w:t>
      </w:r>
      <w:r w:rsidR="00335208" w:rsidRPr="009849F1">
        <w:t xml:space="preserve"> or notifiable instrument</w:t>
      </w:r>
      <w:r w:rsidRPr="009849F1">
        <w:t xml:space="preserve"> commenced (because of section 14 of the</w:t>
      </w:r>
      <w:r w:rsidR="0015095A">
        <w:t xml:space="preserve"> LA</w:t>
      </w:r>
      <w:r w:rsidRPr="009849F1">
        <w:t xml:space="preserve">) despite section 10A of the </w:t>
      </w:r>
      <w:r w:rsidRPr="009849F1">
        <w:rPr>
          <w:i/>
        </w:rPr>
        <w:t>Acts Interpretation Act 1901</w:t>
      </w:r>
      <w:r w:rsidRPr="009849F1">
        <w:t>.</w:t>
      </w:r>
    </w:p>
    <w:p w:rsidR="00051375" w:rsidRPr="009849F1" w:rsidRDefault="00F17049" w:rsidP="00051375">
      <w:pPr>
        <w:pStyle w:val="BodyNum"/>
      </w:pPr>
      <w:r w:rsidRPr="009849F1">
        <w:t xml:space="preserve">Accordingly, when drafting a legislative instrument or notifiable instrument that applies, adopts or incorporates a State or Territory law, to avoid any confusion as to whether or not section 10A of the </w:t>
      </w:r>
      <w:r w:rsidRPr="009849F1">
        <w:rPr>
          <w:i/>
          <w:iCs/>
        </w:rPr>
        <w:t>Acts Interpretation Act 1901</w:t>
      </w:r>
      <w:r w:rsidRPr="009849F1">
        <w:t xml:space="preserve"> is being relied on in any particular case, references to that State or Territory law should always specify whether the State or Territory law is as in force from time to time, or as in force at a particular time.</w:t>
      </w:r>
    </w:p>
    <w:p w:rsidR="00BA607F" w:rsidRPr="009849F1" w:rsidRDefault="00F17049" w:rsidP="00F2387F">
      <w:pPr>
        <w:pStyle w:val="BodyNum"/>
      </w:pPr>
      <w:r w:rsidRPr="009849F1">
        <w:t>This does not affect the position when drafting primary legislation, which is generally that references to State or Territory law mean references to State or Territory law as in force from time to time.</w:t>
      </w:r>
    </w:p>
    <w:p w:rsidR="00051375" w:rsidRPr="009849F1" w:rsidRDefault="00051375" w:rsidP="009849F1">
      <w:pPr>
        <w:pStyle w:val="Head4"/>
      </w:pPr>
      <w:bookmarkStart w:id="116" w:name="_Toc43196627"/>
      <w:r w:rsidRPr="009849F1">
        <w:t xml:space="preserve">Incorporating </w:t>
      </w:r>
      <w:r w:rsidR="00F759DB">
        <w:t>matter from fixed sources</w:t>
      </w:r>
      <w:r w:rsidRPr="009849F1">
        <w:t>—forms</w:t>
      </w:r>
      <w:bookmarkEnd w:id="116"/>
    </w:p>
    <w:p w:rsidR="004D5C76" w:rsidRPr="009849F1" w:rsidRDefault="004D5C76" w:rsidP="004D5C76">
      <w:pPr>
        <w:pStyle w:val="BodyNum"/>
      </w:pPr>
      <w:r w:rsidRPr="009849F1">
        <w:t>Section 14 of the</w:t>
      </w:r>
      <w:r w:rsidR="0015095A">
        <w:t xml:space="preserve"> LA</w:t>
      </w:r>
      <w:r w:rsidRPr="009849F1">
        <w:t xml:space="preserve"> does not apply in relation to forms (see subsection (4) of that </w:t>
      </w:r>
      <w:r w:rsidR="0015095A">
        <w:t>section</w:t>
      </w:r>
      <w:r w:rsidRPr="009849F1">
        <w:t>) so a legislative instrument or notifiable instrument can apply, adopt or incorporate a form as in force at a particular time or as in force from time to time.</w:t>
      </w:r>
    </w:p>
    <w:p w:rsidR="004D5C76" w:rsidRPr="009849F1" w:rsidRDefault="004D5C76" w:rsidP="004D5C76">
      <w:pPr>
        <w:pStyle w:val="BodyNum"/>
      </w:pPr>
      <w:r w:rsidRPr="009849F1">
        <w:t>When drafting a legislative instrument or notifiable instrument that applies, adopts or incorporates a form as in force from time to time, it is not necessary to specify that the form is “as in force from time to time”. However, drafters should advise instructors that the explanatory statement for a legislative instrument should mention that the form is being applied, adopted or incorporated as in force from time to time.</w:t>
      </w:r>
    </w:p>
    <w:p w:rsidR="004D5C76" w:rsidRPr="009849F1" w:rsidRDefault="004D5C76" w:rsidP="004D5C76">
      <w:pPr>
        <w:pStyle w:val="BodyNum"/>
      </w:pPr>
      <w:r w:rsidRPr="009849F1">
        <w:t>It would be unusual for a form to be applied, adopted or incorporated as in force at a particular time. However, if this is done, the particular time should be specified.</w:t>
      </w:r>
    </w:p>
    <w:p w:rsidR="00EE267F" w:rsidRPr="009849F1" w:rsidRDefault="00EE267F" w:rsidP="009849F1">
      <w:pPr>
        <w:pStyle w:val="Head3"/>
      </w:pPr>
      <w:bookmarkStart w:id="117" w:name="_Toc43196628"/>
      <w:r w:rsidRPr="009849F1">
        <w:t>Notifying Publications Group if an instrument ceases to be in force</w:t>
      </w:r>
      <w:bookmarkEnd w:id="117"/>
    </w:p>
    <w:p w:rsidR="00BA607F" w:rsidRPr="009849F1" w:rsidRDefault="004023B9" w:rsidP="00EE267F">
      <w:pPr>
        <w:pStyle w:val="BodyNum"/>
      </w:pPr>
      <w:r w:rsidRPr="009849F1">
        <w:t>D</w:t>
      </w:r>
      <w:r w:rsidR="00EE267F" w:rsidRPr="009849F1">
        <w:t xml:space="preserve">rafters should notify the General Manager of Publications if they are working on a Bill or instrument that they are aware will result in regulations or other instruments </w:t>
      </w:r>
      <w:r w:rsidRPr="009849F1">
        <w:t>ceasing to be in force</w:t>
      </w:r>
      <w:r w:rsidR="00EE267F" w:rsidRPr="009849F1">
        <w:t xml:space="preserve"> (for example, they are repealing provisions under which legislative instruments have been made), or if they become aware th</w:t>
      </w:r>
      <w:r w:rsidRPr="009849F1">
        <w:t>at an instrument has ceased to be in force</w:t>
      </w:r>
      <w:r w:rsidR="00AB312F" w:rsidRPr="009849F1">
        <w:t xml:space="preserve"> and this has not been reflected on the Federal Register of Legislation</w:t>
      </w:r>
      <w:r w:rsidR="00EE267F" w:rsidRPr="009849F1">
        <w:t xml:space="preserve">. See also Drafting Direction </w:t>
      </w:r>
      <w:r w:rsidR="0092708A">
        <w:t xml:space="preserve">No. </w:t>
      </w:r>
      <w:r w:rsidR="00EE267F" w:rsidRPr="009849F1">
        <w:t>2.2 in relation to sunset provisions.</w:t>
      </w:r>
    </w:p>
    <w:p w:rsidR="00F2387F" w:rsidRPr="009849F1" w:rsidRDefault="00F2387F" w:rsidP="0043701C">
      <w:pPr>
        <w:pStyle w:val="Body"/>
      </w:pPr>
    </w:p>
    <w:p w:rsidR="00CF0824" w:rsidRDefault="00CF0824" w:rsidP="0043701C">
      <w:pPr>
        <w:pStyle w:val="Blocks"/>
      </w:pPr>
      <w:r>
        <w:t>Meredith Leigh</w:t>
      </w:r>
    </w:p>
    <w:p w:rsidR="0043701C" w:rsidRPr="009849F1" w:rsidRDefault="0043701C" w:rsidP="0043701C">
      <w:pPr>
        <w:pStyle w:val="Blocks"/>
      </w:pPr>
      <w:r w:rsidRPr="009849F1">
        <w:t>First Parliamentary Counsel</w:t>
      </w:r>
    </w:p>
    <w:p w:rsidR="0043701C" w:rsidRPr="009849F1" w:rsidRDefault="00CF0824" w:rsidP="0043701C">
      <w:pPr>
        <w:pStyle w:val="Blocks"/>
      </w:pPr>
      <w:r>
        <w:t>9 December 2021</w:t>
      </w:r>
    </w:p>
    <w:p w:rsidR="0043701C" w:rsidRPr="009849F1" w:rsidRDefault="0043701C" w:rsidP="0043701C">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43701C" w:rsidRPr="009849F1" w:rsidTr="004C1E41">
        <w:trPr>
          <w:tblHeader/>
        </w:trPr>
        <w:tc>
          <w:tcPr>
            <w:tcW w:w="9027" w:type="dxa"/>
            <w:gridSpan w:val="3"/>
            <w:tcBorders>
              <w:top w:val="single" w:sz="12" w:space="0" w:color="auto"/>
              <w:bottom w:val="single" w:sz="6" w:space="0" w:color="auto"/>
            </w:tcBorders>
            <w:shd w:val="clear" w:color="auto" w:fill="auto"/>
          </w:tcPr>
          <w:p w:rsidR="0043701C" w:rsidRPr="009849F1" w:rsidRDefault="0043701C" w:rsidP="00D95AC4">
            <w:pPr>
              <w:pStyle w:val="Tabletext"/>
              <w:keepNext/>
              <w:rPr>
                <w:b/>
              </w:rPr>
            </w:pPr>
            <w:r w:rsidRPr="009849F1">
              <w:rPr>
                <w:b/>
              </w:rPr>
              <w:t>Document History</w:t>
            </w:r>
          </w:p>
        </w:tc>
      </w:tr>
      <w:tr w:rsidR="0043701C" w:rsidRPr="009849F1" w:rsidTr="004C1E41">
        <w:trPr>
          <w:tblHeader/>
        </w:trPr>
        <w:tc>
          <w:tcPr>
            <w:tcW w:w="3009" w:type="dxa"/>
            <w:tcBorders>
              <w:top w:val="single" w:sz="6" w:space="0" w:color="auto"/>
              <w:bottom w:val="single" w:sz="12" w:space="0" w:color="auto"/>
            </w:tcBorders>
            <w:shd w:val="clear" w:color="auto" w:fill="auto"/>
          </w:tcPr>
          <w:p w:rsidR="0043701C" w:rsidRPr="009849F1" w:rsidRDefault="0043701C" w:rsidP="00D95AC4">
            <w:pPr>
              <w:pStyle w:val="Tabletext"/>
              <w:keepNext/>
              <w:rPr>
                <w:b/>
              </w:rPr>
            </w:pPr>
            <w:r w:rsidRPr="009849F1">
              <w:rPr>
                <w:b/>
              </w:rPr>
              <w:t>Release</w:t>
            </w:r>
          </w:p>
        </w:tc>
        <w:tc>
          <w:tcPr>
            <w:tcW w:w="3009" w:type="dxa"/>
            <w:tcBorders>
              <w:top w:val="single" w:sz="6" w:space="0" w:color="auto"/>
              <w:bottom w:val="single" w:sz="12" w:space="0" w:color="auto"/>
            </w:tcBorders>
            <w:shd w:val="clear" w:color="auto" w:fill="auto"/>
          </w:tcPr>
          <w:p w:rsidR="0043701C" w:rsidRPr="009849F1" w:rsidRDefault="0043701C" w:rsidP="00D95AC4">
            <w:pPr>
              <w:pStyle w:val="Tabletext"/>
              <w:keepNext/>
              <w:rPr>
                <w:b/>
              </w:rPr>
            </w:pPr>
            <w:r w:rsidRPr="009849F1">
              <w:rPr>
                <w:b/>
              </w:rPr>
              <w:t>Release date</w:t>
            </w:r>
          </w:p>
        </w:tc>
        <w:tc>
          <w:tcPr>
            <w:tcW w:w="3009" w:type="dxa"/>
            <w:tcBorders>
              <w:top w:val="single" w:sz="6" w:space="0" w:color="auto"/>
              <w:bottom w:val="single" w:sz="12" w:space="0" w:color="auto"/>
            </w:tcBorders>
            <w:shd w:val="clear" w:color="auto" w:fill="auto"/>
          </w:tcPr>
          <w:p w:rsidR="0043701C" w:rsidRPr="009849F1" w:rsidRDefault="0043701C" w:rsidP="00D95AC4">
            <w:pPr>
              <w:pStyle w:val="Tabletext"/>
              <w:keepNext/>
              <w:rPr>
                <w:b/>
              </w:rPr>
            </w:pPr>
            <w:r w:rsidRPr="009849F1">
              <w:rPr>
                <w:b/>
              </w:rPr>
              <w:t>Document number</w:t>
            </w:r>
          </w:p>
        </w:tc>
      </w:tr>
      <w:tr w:rsidR="0043701C" w:rsidRPr="009849F1" w:rsidTr="004C1E41">
        <w:tc>
          <w:tcPr>
            <w:tcW w:w="3009" w:type="dxa"/>
            <w:tcBorders>
              <w:top w:val="single" w:sz="12" w:space="0" w:color="auto"/>
            </w:tcBorders>
            <w:shd w:val="clear" w:color="auto" w:fill="auto"/>
          </w:tcPr>
          <w:p w:rsidR="0043701C" w:rsidRPr="009849F1" w:rsidRDefault="0043701C" w:rsidP="00D95AC4">
            <w:pPr>
              <w:pStyle w:val="Tabletext"/>
            </w:pPr>
            <w:r w:rsidRPr="009849F1">
              <w:t>1.0</w:t>
            </w:r>
          </w:p>
        </w:tc>
        <w:tc>
          <w:tcPr>
            <w:tcW w:w="3009" w:type="dxa"/>
            <w:tcBorders>
              <w:top w:val="single" w:sz="12" w:space="0" w:color="auto"/>
            </w:tcBorders>
            <w:shd w:val="clear" w:color="auto" w:fill="auto"/>
          </w:tcPr>
          <w:p w:rsidR="0043701C" w:rsidRPr="009849F1" w:rsidRDefault="0043701C" w:rsidP="00D95AC4">
            <w:pPr>
              <w:pStyle w:val="Tabletext"/>
            </w:pPr>
            <w:r w:rsidRPr="009849F1">
              <w:t>1 May 2006</w:t>
            </w:r>
          </w:p>
        </w:tc>
        <w:tc>
          <w:tcPr>
            <w:tcW w:w="3009" w:type="dxa"/>
            <w:tcBorders>
              <w:top w:val="single" w:sz="12" w:space="0" w:color="auto"/>
            </w:tcBorders>
            <w:shd w:val="clear" w:color="auto" w:fill="auto"/>
          </w:tcPr>
          <w:p w:rsidR="0043701C" w:rsidRPr="009849F1" w:rsidRDefault="0043701C" w:rsidP="00D95AC4">
            <w:pPr>
              <w:pStyle w:val="Tabletext"/>
            </w:pPr>
            <w:r w:rsidRPr="009849F1">
              <w:t>s06pf335.v01.doc</w:t>
            </w:r>
          </w:p>
        </w:tc>
      </w:tr>
      <w:tr w:rsidR="0043701C" w:rsidRPr="009849F1" w:rsidTr="004C1E41">
        <w:tc>
          <w:tcPr>
            <w:tcW w:w="3009" w:type="dxa"/>
            <w:shd w:val="clear" w:color="auto" w:fill="auto"/>
          </w:tcPr>
          <w:p w:rsidR="0043701C" w:rsidRPr="009849F1" w:rsidRDefault="0043701C" w:rsidP="00D95AC4">
            <w:pPr>
              <w:pStyle w:val="Tabletext"/>
            </w:pPr>
            <w:r w:rsidRPr="009849F1">
              <w:lastRenderedPageBreak/>
              <w:t>1.1</w:t>
            </w:r>
          </w:p>
        </w:tc>
        <w:tc>
          <w:tcPr>
            <w:tcW w:w="3009" w:type="dxa"/>
            <w:shd w:val="clear" w:color="auto" w:fill="auto"/>
          </w:tcPr>
          <w:p w:rsidR="0043701C" w:rsidRPr="009849F1" w:rsidRDefault="0043701C" w:rsidP="00D95AC4">
            <w:pPr>
              <w:pStyle w:val="Tabletext"/>
            </w:pPr>
            <w:r w:rsidRPr="009849F1">
              <w:t>2 May 2007</w:t>
            </w:r>
          </w:p>
        </w:tc>
        <w:tc>
          <w:tcPr>
            <w:tcW w:w="3009" w:type="dxa"/>
            <w:shd w:val="clear" w:color="auto" w:fill="auto"/>
          </w:tcPr>
          <w:p w:rsidR="0043701C" w:rsidRPr="009849F1" w:rsidRDefault="0043701C" w:rsidP="00D95AC4">
            <w:pPr>
              <w:pStyle w:val="Tabletext"/>
            </w:pPr>
            <w:r w:rsidRPr="009849F1">
              <w:t>s06pf335.v05.doc</w:t>
            </w:r>
          </w:p>
        </w:tc>
      </w:tr>
      <w:tr w:rsidR="0043701C" w:rsidRPr="009849F1" w:rsidTr="004C1E41">
        <w:tc>
          <w:tcPr>
            <w:tcW w:w="3009" w:type="dxa"/>
            <w:shd w:val="clear" w:color="auto" w:fill="auto"/>
          </w:tcPr>
          <w:p w:rsidR="0043701C" w:rsidRPr="009849F1" w:rsidRDefault="0043701C" w:rsidP="00D95AC4">
            <w:pPr>
              <w:pStyle w:val="Tabletext"/>
            </w:pPr>
            <w:r w:rsidRPr="009849F1">
              <w:t>2.0</w:t>
            </w:r>
          </w:p>
        </w:tc>
        <w:tc>
          <w:tcPr>
            <w:tcW w:w="3009" w:type="dxa"/>
            <w:shd w:val="clear" w:color="auto" w:fill="auto"/>
          </w:tcPr>
          <w:p w:rsidR="0043701C" w:rsidRPr="009849F1" w:rsidRDefault="0043701C" w:rsidP="00D95AC4">
            <w:pPr>
              <w:pStyle w:val="Tabletext"/>
            </w:pPr>
            <w:r w:rsidRPr="009849F1">
              <w:t>13 Nov 2007</w:t>
            </w:r>
          </w:p>
        </w:tc>
        <w:tc>
          <w:tcPr>
            <w:tcW w:w="3009" w:type="dxa"/>
            <w:shd w:val="clear" w:color="auto" w:fill="auto"/>
          </w:tcPr>
          <w:p w:rsidR="0043701C" w:rsidRPr="009849F1" w:rsidRDefault="0043701C" w:rsidP="00D95AC4">
            <w:pPr>
              <w:pStyle w:val="Tabletext"/>
            </w:pPr>
            <w:r w:rsidRPr="009849F1">
              <w:t>s06pf335.v10.doc</w:t>
            </w:r>
          </w:p>
        </w:tc>
      </w:tr>
      <w:tr w:rsidR="0043701C" w:rsidRPr="009849F1" w:rsidTr="004C1E41">
        <w:tc>
          <w:tcPr>
            <w:tcW w:w="3009" w:type="dxa"/>
            <w:shd w:val="clear" w:color="auto" w:fill="auto"/>
          </w:tcPr>
          <w:p w:rsidR="0043701C" w:rsidRPr="004B09C3" w:rsidRDefault="0043701C" w:rsidP="00D95AC4">
            <w:pPr>
              <w:pStyle w:val="Tabletext"/>
            </w:pPr>
            <w:r w:rsidRPr="004B09C3">
              <w:t>3.0</w:t>
            </w:r>
          </w:p>
        </w:tc>
        <w:tc>
          <w:tcPr>
            <w:tcW w:w="3009" w:type="dxa"/>
            <w:shd w:val="clear" w:color="auto" w:fill="auto"/>
          </w:tcPr>
          <w:p w:rsidR="0043701C" w:rsidRPr="004B09C3" w:rsidRDefault="0043701C" w:rsidP="00D95AC4">
            <w:pPr>
              <w:pStyle w:val="Tabletext"/>
            </w:pPr>
            <w:r w:rsidRPr="004B09C3">
              <w:t>1 Apr 2008</w:t>
            </w:r>
          </w:p>
        </w:tc>
        <w:tc>
          <w:tcPr>
            <w:tcW w:w="3009" w:type="dxa"/>
            <w:shd w:val="clear" w:color="auto" w:fill="auto"/>
          </w:tcPr>
          <w:p w:rsidR="0043701C" w:rsidRPr="004B09C3" w:rsidRDefault="0043701C" w:rsidP="00D95AC4">
            <w:pPr>
              <w:pStyle w:val="Tabletext"/>
            </w:pPr>
            <w:r w:rsidRPr="004B09C3">
              <w:t>s06pf335.v14.doc</w:t>
            </w:r>
          </w:p>
        </w:tc>
      </w:tr>
      <w:tr w:rsidR="0043701C" w:rsidRPr="009849F1" w:rsidTr="004C1E41">
        <w:tc>
          <w:tcPr>
            <w:tcW w:w="3009" w:type="dxa"/>
            <w:shd w:val="clear" w:color="auto" w:fill="auto"/>
          </w:tcPr>
          <w:p w:rsidR="0043701C" w:rsidRPr="004B09C3" w:rsidRDefault="0043701C" w:rsidP="00D95AC4">
            <w:pPr>
              <w:pStyle w:val="Tabletext"/>
            </w:pPr>
            <w:r w:rsidRPr="004B09C3">
              <w:t>4.0</w:t>
            </w:r>
          </w:p>
        </w:tc>
        <w:tc>
          <w:tcPr>
            <w:tcW w:w="3009" w:type="dxa"/>
            <w:shd w:val="clear" w:color="auto" w:fill="auto"/>
          </w:tcPr>
          <w:p w:rsidR="0043701C" w:rsidRPr="004B09C3" w:rsidRDefault="0043701C" w:rsidP="00D95AC4">
            <w:pPr>
              <w:pStyle w:val="Tabletext"/>
            </w:pPr>
            <w:r w:rsidRPr="004B09C3">
              <w:t>6 March 2014</w:t>
            </w:r>
          </w:p>
        </w:tc>
        <w:tc>
          <w:tcPr>
            <w:tcW w:w="3009" w:type="dxa"/>
            <w:shd w:val="clear" w:color="auto" w:fill="auto"/>
          </w:tcPr>
          <w:p w:rsidR="0043701C" w:rsidRPr="004B09C3" w:rsidRDefault="0043701C" w:rsidP="00D95AC4">
            <w:pPr>
              <w:pStyle w:val="Tabletext"/>
            </w:pPr>
            <w:r w:rsidRPr="004B09C3">
              <w:t>s06pf335.v36.doc</w:t>
            </w:r>
          </w:p>
        </w:tc>
      </w:tr>
      <w:tr w:rsidR="0043701C" w:rsidRPr="009849F1" w:rsidTr="004C1E41">
        <w:tc>
          <w:tcPr>
            <w:tcW w:w="3009" w:type="dxa"/>
            <w:shd w:val="clear" w:color="auto" w:fill="auto"/>
          </w:tcPr>
          <w:p w:rsidR="0043701C" w:rsidRPr="004B09C3" w:rsidRDefault="0043701C" w:rsidP="00D95AC4">
            <w:pPr>
              <w:pStyle w:val="Tabletext"/>
            </w:pPr>
            <w:r w:rsidRPr="004B09C3">
              <w:t>5.0</w:t>
            </w:r>
          </w:p>
        </w:tc>
        <w:tc>
          <w:tcPr>
            <w:tcW w:w="3009" w:type="dxa"/>
            <w:shd w:val="clear" w:color="auto" w:fill="auto"/>
          </w:tcPr>
          <w:p w:rsidR="0043701C" w:rsidRPr="004B09C3" w:rsidRDefault="0043701C" w:rsidP="00D95AC4">
            <w:pPr>
              <w:pStyle w:val="Tabletext"/>
            </w:pPr>
            <w:r w:rsidRPr="004B09C3">
              <w:t>15 December 2014</w:t>
            </w:r>
          </w:p>
        </w:tc>
        <w:tc>
          <w:tcPr>
            <w:tcW w:w="3009" w:type="dxa"/>
            <w:shd w:val="clear" w:color="auto" w:fill="auto"/>
          </w:tcPr>
          <w:p w:rsidR="0043701C" w:rsidRPr="004B09C3" w:rsidRDefault="0043701C" w:rsidP="00D95AC4">
            <w:pPr>
              <w:pStyle w:val="Tabletext"/>
            </w:pPr>
            <w:r w:rsidRPr="004B09C3">
              <w:t>s06pf335.v49.doc</w:t>
            </w:r>
          </w:p>
        </w:tc>
      </w:tr>
      <w:tr w:rsidR="0043701C" w:rsidRPr="009849F1" w:rsidTr="004C1E41">
        <w:tc>
          <w:tcPr>
            <w:tcW w:w="3009" w:type="dxa"/>
            <w:shd w:val="clear" w:color="auto" w:fill="auto"/>
          </w:tcPr>
          <w:p w:rsidR="0043701C" w:rsidRPr="004B09C3" w:rsidRDefault="0043701C" w:rsidP="00D95AC4">
            <w:pPr>
              <w:pStyle w:val="Tabletext"/>
            </w:pPr>
            <w:r w:rsidRPr="004B09C3">
              <w:t>5.1</w:t>
            </w:r>
          </w:p>
        </w:tc>
        <w:tc>
          <w:tcPr>
            <w:tcW w:w="3009" w:type="dxa"/>
            <w:shd w:val="clear" w:color="auto" w:fill="auto"/>
          </w:tcPr>
          <w:p w:rsidR="0043701C" w:rsidRPr="004B09C3" w:rsidRDefault="0043701C" w:rsidP="00D95AC4">
            <w:pPr>
              <w:pStyle w:val="Tabletext"/>
            </w:pPr>
            <w:r w:rsidRPr="004B09C3">
              <w:t>19 August 2015</w:t>
            </w:r>
          </w:p>
        </w:tc>
        <w:tc>
          <w:tcPr>
            <w:tcW w:w="3009" w:type="dxa"/>
            <w:shd w:val="clear" w:color="auto" w:fill="auto"/>
          </w:tcPr>
          <w:p w:rsidR="0043701C" w:rsidRPr="004B09C3" w:rsidRDefault="0043701C" w:rsidP="00D95AC4">
            <w:pPr>
              <w:pStyle w:val="Tabletext"/>
            </w:pPr>
            <w:r w:rsidRPr="004B09C3">
              <w:t>s06pf335.v56.doc</w:t>
            </w:r>
          </w:p>
        </w:tc>
      </w:tr>
      <w:tr w:rsidR="004C1E41" w:rsidRPr="009849F1" w:rsidTr="004C1E41">
        <w:tc>
          <w:tcPr>
            <w:tcW w:w="3009" w:type="dxa"/>
            <w:tcBorders>
              <w:bottom w:val="single" w:sz="2" w:space="0" w:color="auto"/>
            </w:tcBorders>
            <w:shd w:val="clear" w:color="auto" w:fill="auto"/>
          </w:tcPr>
          <w:p w:rsidR="004C1E41" w:rsidRPr="004B09C3" w:rsidRDefault="004C1E41" w:rsidP="001A6DCC">
            <w:pPr>
              <w:pStyle w:val="Tabletext"/>
            </w:pPr>
            <w:r w:rsidRPr="004B09C3">
              <w:t>5.2</w:t>
            </w:r>
          </w:p>
        </w:tc>
        <w:tc>
          <w:tcPr>
            <w:tcW w:w="3009" w:type="dxa"/>
            <w:tcBorders>
              <w:bottom w:val="single" w:sz="2" w:space="0" w:color="auto"/>
            </w:tcBorders>
            <w:shd w:val="clear" w:color="auto" w:fill="auto"/>
          </w:tcPr>
          <w:p w:rsidR="004C1E41" w:rsidRPr="004B09C3" w:rsidRDefault="004C1E41" w:rsidP="001A6DCC">
            <w:pPr>
              <w:pStyle w:val="Tabletext"/>
            </w:pPr>
            <w:r w:rsidRPr="004B09C3">
              <w:t>4 March 2016</w:t>
            </w:r>
          </w:p>
        </w:tc>
        <w:tc>
          <w:tcPr>
            <w:tcW w:w="3009" w:type="dxa"/>
            <w:tcBorders>
              <w:bottom w:val="single" w:sz="2" w:space="0" w:color="auto"/>
            </w:tcBorders>
            <w:shd w:val="clear" w:color="auto" w:fill="auto"/>
          </w:tcPr>
          <w:p w:rsidR="004C1E41" w:rsidRPr="004B09C3" w:rsidRDefault="004C1E41" w:rsidP="001A6DCC">
            <w:pPr>
              <w:pStyle w:val="Tabletext"/>
            </w:pPr>
            <w:r w:rsidRPr="004B09C3">
              <w:t>s06pf335.v62.doc</w:t>
            </w:r>
          </w:p>
        </w:tc>
      </w:tr>
      <w:tr w:rsidR="0043701C" w:rsidRPr="009849F1" w:rsidTr="00C63573">
        <w:tc>
          <w:tcPr>
            <w:tcW w:w="3009" w:type="dxa"/>
            <w:tcBorders>
              <w:top w:val="single" w:sz="2" w:space="0" w:color="auto"/>
              <w:bottom w:val="single" w:sz="2" w:space="0" w:color="auto"/>
            </w:tcBorders>
            <w:shd w:val="clear" w:color="auto" w:fill="auto"/>
          </w:tcPr>
          <w:p w:rsidR="0043701C" w:rsidRPr="004B09C3" w:rsidRDefault="0043701C" w:rsidP="004C1E41">
            <w:pPr>
              <w:pStyle w:val="Tabletext"/>
            </w:pPr>
            <w:r w:rsidRPr="004B09C3">
              <w:t>5.</w:t>
            </w:r>
            <w:r w:rsidR="004C1E41" w:rsidRPr="004B09C3">
              <w:t>3</w:t>
            </w:r>
          </w:p>
        </w:tc>
        <w:tc>
          <w:tcPr>
            <w:tcW w:w="3009" w:type="dxa"/>
            <w:tcBorders>
              <w:top w:val="single" w:sz="2" w:space="0" w:color="auto"/>
              <w:bottom w:val="single" w:sz="2" w:space="0" w:color="auto"/>
            </w:tcBorders>
            <w:shd w:val="clear" w:color="auto" w:fill="auto"/>
          </w:tcPr>
          <w:p w:rsidR="0043701C" w:rsidRPr="004B09C3" w:rsidRDefault="00E70B45" w:rsidP="00BB65AF">
            <w:pPr>
              <w:pStyle w:val="Tabletext"/>
            </w:pPr>
            <w:r w:rsidRPr="004B09C3">
              <w:t>20</w:t>
            </w:r>
            <w:r w:rsidR="0043701C" w:rsidRPr="004B09C3">
              <w:t xml:space="preserve"> </w:t>
            </w:r>
            <w:r w:rsidR="00BB65AF" w:rsidRPr="004B09C3">
              <w:t>June</w:t>
            </w:r>
            <w:r w:rsidR="004C1E41" w:rsidRPr="004B09C3">
              <w:t xml:space="preserve"> </w:t>
            </w:r>
            <w:r w:rsidR="0043701C" w:rsidRPr="004B09C3">
              <w:t>2016</w:t>
            </w:r>
          </w:p>
        </w:tc>
        <w:tc>
          <w:tcPr>
            <w:tcW w:w="3009" w:type="dxa"/>
            <w:tcBorders>
              <w:top w:val="single" w:sz="2" w:space="0" w:color="auto"/>
              <w:bottom w:val="single" w:sz="2" w:space="0" w:color="auto"/>
            </w:tcBorders>
            <w:shd w:val="clear" w:color="auto" w:fill="auto"/>
          </w:tcPr>
          <w:p w:rsidR="0043701C" w:rsidRPr="004B09C3" w:rsidRDefault="0043701C" w:rsidP="00E70B45">
            <w:pPr>
              <w:pStyle w:val="Tabletext"/>
            </w:pPr>
            <w:r w:rsidRPr="004B09C3">
              <w:t>s06pf335.v</w:t>
            </w:r>
            <w:r w:rsidR="00E70B45" w:rsidRPr="004B09C3">
              <w:t>69</w:t>
            </w:r>
            <w:r w:rsidRPr="004B09C3">
              <w:t>.doc</w:t>
            </w:r>
          </w:p>
        </w:tc>
      </w:tr>
      <w:tr w:rsidR="00C63573" w:rsidRPr="009849F1" w:rsidTr="00282423">
        <w:tc>
          <w:tcPr>
            <w:tcW w:w="3009" w:type="dxa"/>
            <w:tcBorders>
              <w:top w:val="single" w:sz="2" w:space="0" w:color="auto"/>
              <w:bottom w:val="single" w:sz="2" w:space="0" w:color="auto"/>
            </w:tcBorders>
            <w:shd w:val="clear" w:color="auto" w:fill="auto"/>
          </w:tcPr>
          <w:p w:rsidR="00C63573" w:rsidRPr="004B09C3" w:rsidRDefault="00C63573" w:rsidP="004C1E41">
            <w:pPr>
              <w:pStyle w:val="Tabletext"/>
            </w:pPr>
            <w:r w:rsidRPr="004B09C3">
              <w:t>5.4</w:t>
            </w:r>
          </w:p>
        </w:tc>
        <w:tc>
          <w:tcPr>
            <w:tcW w:w="3009" w:type="dxa"/>
            <w:tcBorders>
              <w:top w:val="single" w:sz="2" w:space="0" w:color="auto"/>
              <w:bottom w:val="single" w:sz="2" w:space="0" w:color="auto"/>
            </w:tcBorders>
            <w:shd w:val="clear" w:color="auto" w:fill="auto"/>
          </w:tcPr>
          <w:p w:rsidR="00C63573" w:rsidRPr="004B09C3" w:rsidRDefault="004E3114" w:rsidP="00BB65AF">
            <w:pPr>
              <w:pStyle w:val="Tabletext"/>
            </w:pPr>
            <w:r w:rsidRPr="004B09C3">
              <w:t>27 July 2017</w:t>
            </w:r>
          </w:p>
        </w:tc>
        <w:tc>
          <w:tcPr>
            <w:tcW w:w="3009" w:type="dxa"/>
            <w:tcBorders>
              <w:top w:val="single" w:sz="2" w:space="0" w:color="auto"/>
              <w:bottom w:val="single" w:sz="2" w:space="0" w:color="auto"/>
            </w:tcBorders>
            <w:shd w:val="clear" w:color="auto" w:fill="auto"/>
          </w:tcPr>
          <w:p w:rsidR="00C63573" w:rsidRPr="004B09C3" w:rsidRDefault="00C63573" w:rsidP="00A1354A">
            <w:pPr>
              <w:pStyle w:val="Tabletext"/>
            </w:pPr>
            <w:r w:rsidRPr="004B09C3">
              <w:t>s06pf335.</w:t>
            </w:r>
            <w:r w:rsidR="004E3114" w:rsidRPr="004B09C3">
              <w:t>v8</w:t>
            </w:r>
            <w:r w:rsidR="00A1354A" w:rsidRPr="004B09C3">
              <w:t>6</w:t>
            </w:r>
            <w:r w:rsidRPr="004B09C3">
              <w:t>.doc</w:t>
            </w:r>
          </w:p>
        </w:tc>
      </w:tr>
      <w:tr w:rsidR="00282423" w:rsidRPr="009849F1" w:rsidTr="00CF0824">
        <w:tc>
          <w:tcPr>
            <w:tcW w:w="3009" w:type="dxa"/>
            <w:tcBorders>
              <w:top w:val="single" w:sz="2" w:space="0" w:color="auto"/>
              <w:bottom w:val="single" w:sz="2" w:space="0" w:color="auto"/>
            </w:tcBorders>
            <w:shd w:val="clear" w:color="auto" w:fill="auto"/>
          </w:tcPr>
          <w:p w:rsidR="00282423" w:rsidRPr="004B09C3" w:rsidRDefault="00282423" w:rsidP="004C1E41">
            <w:pPr>
              <w:pStyle w:val="Tabletext"/>
            </w:pPr>
            <w:r w:rsidRPr="004B09C3">
              <w:t>5.5</w:t>
            </w:r>
          </w:p>
        </w:tc>
        <w:tc>
          <w:tcPr>
            <w:tcW w:w="3009" w:type="dxa"/>
            <w:tcBorders>
              <w:top w:val="single" w:sz="2" w:space="0" w:color="auto"/>
              <w:bottom w:val="single" w:sz="2" w:space="0" w:color="auto"/>
            </w:tcBorders>
            <w:shd w:val="clear" w:color="auto" w:fill="auto"/>
          </w:tcPr>
          <w:p w:rsidR="00282423" w:rsidRPr="004B09C3" w:rsidRDefault="004B09C3" w:rsidP="0091283F">
            <w:pPr>
              <w:pStyle w:val="Tabletext"/>
            </w:pPr>
            <w:r w:rsidRPr="004B09C3">
              <w:t>15 June</w:t>
            </w:r>
            <w:r w:rsidR="00282423" w:rsidRPr="004B09C3">
              <w:t xml:space="preserve"> </w:t>
            </w:r>
            <w:r w:rsidR="00AA7BAD" w:rsidRPr="004B09C3">
              <w:t>2020</w:t>
            </w:r>
          </w:p>
        </w:tc>
        <w:tc>
          <w:tcPr>
            <w:tcW w:w="3009" w:type="dxa"/>
            <w:tcBorders>
              <w:top w:val="single" w:sz="2" w:space="0" w:color="auto"/>
              <w:bottom w:val="single" w:sz="2" w:space="0" w:color="auto"/>
            </w:tcBorders>
            <w:shd w:val="clear" w:color="auto" w:fill="auto"/>
          </w:tcPr>
          <w:p w:rsidR="00CF0824" w:rsidRPr="004B09C3" w:rsidRDefault="00282423" w:rsidP="004B09C3">
            <w:pPr>
              <w:pStyle w:val="Tabletext"/>
            </w:pPr>
            <w:r w:rsidRPr="004B09C3">
              <w:t>s06pf335.v</w:t>
            </w:r>
            <w:r w:rsidR="004B09C3" w:rsidRPr="004B09C3">
              <w:t>113</w:t>
            </w:r>
            <w:r w:rsidRPr="004B09C3">
              <w:t>.doc</w:t>
            </w:r>
          </w:p>
        </w:tc>
      </w:tr>
      <w:tr w:rsidR="00CF0824" w:rsidRPr="009849F1" w:rsidTr="004C1E41">
        <w:tc>
          <w:tcPr>
            <w:tcW w:w="3009" w:type="dxa"/>
            <w:tcBorders>
              <w:top w:val="single" w:sz="2" w:space="0" w:color="auto"/>
              <w:bottom w:val="single" w:sz="12" w:space="0" w:color="auto"/>
            </w:tcBorders>
            <w:shd w:val="clear" w:color="auto" w:fill="auto"/>
          </w:tcPr>
          <w:p w:rsidR="00CF0824" w:rsidRPr="004B09C3" w:rsidRDefault="00CF0824" w:rsidP="004C1E41">
            <w:pPr>
              <w:pStyle w:val="Tabletext"/>
            </w:pPr>
            <w:r>
              <w:t>5.6</w:t>
            </w:r>
          </w:p>
        </w:tc>
        <w:tc>
          <w:tcPr>
            <w:tcW w:w="3009" w:type="dxa"/>
            <w:tcBorders>
              <w:top w:val="single" w:sz="2" w:space="0" w:color="auto"/>
              <w:bottom w:val="single" w:sz="12" w:space="0" w:color="auto"/>
            </w:tcBorders>
            <w:shd w:val="clear" w:color="auto" w:fill="auto"/>
          </w:tcPr>
          <w:p w:rsidR="00CF0824" w:rsidRPr="004B09C3" w:rsidRDefault="00CF0824" w:rsidP="0091283F">
            <w:pPr>
              <w:pStyle w:val="Tabletext"/>
            </w:pPr>
            <w:r>
              <w:t>9 December 2021</w:t>
            </w:r>
          </w:p>
        </w:tc>
        <w:tc>
          <w:tcPr>
            <w:tcW w:w="3009" w:type="dxa"/>
            <w:tcBorders>
              <w:top w:val="single" w:sz="2" w:space="0" w:color="auto"/>
              <w:bottom w:val="single" w:sz="12" w:space="0" w:color="auto"/>
            </w:tcBorders>
            <w:shd w:val="clear" w:color="auto" w:fill="auto"/>
          </w:tcPr>
          <w:p w:rsidR="00CF0824" w:rsidRPr="004B09C3" w:rsidRDefault="00CF0824" w:rsidP="004B09C3">
            <w:pPr>
              <w:pStyle w:val="Tabletext"/>
            </w:pPr>
            <w:r w:rsidRPr="004B09C3">
              <w:t>s06pf335.v11</w:t>
            </w:r>
            <w:r>
              <w:t>5</w:t>
            </w:r>
            <w:r w:rsidRPr="004B09C3">
              <w:t>.doc</w:t>
            </w:r>
          </w:p>
        </w:tc>
      </w:tr>
    </w:tbl>
    <w:p w:rsidR="009234D3" w:rsidRPr="009849F1" w:rsidRDefault="0043701C" w:rsidP="0043701C">
      <w:pPr>
        <w:pStyle w:val="notemargin"/>
      </w:pPr>
      <w:r w:rsidRPr="009849F1">
        <w:t>Note:</w:t>
      </w:r>
      <w:r w:rsidRPr="009849F1">
        <w:tab/>
        <w:t>Before the issue of the current series of Drafting Directions, this Drafting Direction was known as Drafting Direction No. 4 of 2006.</w:t>
      </w:r>
    </w:p>
    <w:sectPr w:rsidR="009234D3" w:rsidRPr="009849F1" w:rsidSect="003A737E">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E96" w:rsidRDefault="00AE2E96" w:rsidP="00A34568">
      <w:pPr>
        <w:spacing w:line="240" w:lineRule="auto"/>
      </w:pPr>
      <w:r>
        <w:separator/>
      </w:r>
    </w:p>
  </w:endnote>
  <w:endnote w:type="continuationSeparator" w:id="0">
    <w:p w:rsidR="00AE2E96" w:rsidRDefault="00AE2E96"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E96" w:rsidRDefault="00AE2E96" w:rsidP="003A737E">
    <w:pPr>
      <w:pStyle w:val="Footer"/>
      <w:tabs>
        <w:tab w:val="clear" w:pos="4153"/>
        <w:tab w:val="clear" w:pos="8306"/>
        <w:tab w:val="right" w:pos="8880"/>
      </w:tabs>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150908">
      <w:rPr>
        <w:rStyle w:val="PageNumber"/>
        <w:noProof/>
        <w:sz w:val="20"/>
      </w:rPr>
      <w:t>30</w:t>
    </w:r>
    <w:r>
      <w:rPr>
        <w:rStyle w:val="PageNumber"/>
        <w:sz w:val="20"/>
      </w:rPr>
      <w:fldChar w:fldCharType="end"/>
    </w:r>
    <w:r>
      <w:rPr>
        <w:sz w:val="16"/>
      </w:rPr>
      <w:t xml:space="preserve"> </w:t>
    </w:r>
    <w:r>
      <w:rPr>
        <w:sz w:val="16"/>
      </w:rPr>
      <w:tab/>
      <w:t>[</w:t>
    </w:r>
    <w:r w:rsidR="005C6B72">
      <w:rPr>
        <w:noProof/>
        <w:sz w:val="16"/>
      </w:rPr>
      <w:t>s06pf335.v115.docx</w:t>
    </w:r>
    <w:r>
      <w:rPr>
        <w:sz w:val="16"/>
      </w:rPr>
      <w:t>] [</w:t>
    </w:r>
    <w:r w:rsidR="005C6B72">
      <w:rPr>
        <w:noProof/>
        <w:sz w:val="16"/>
      </w:rPr>
      <w:t>9 Dec 2021</w:t>
    </w:r>
    <w:r>
      <w:rPr>
        <w:sz w:val="16"/>
      </w:rPr>
      <w:t>] [</w:t>
    </w:r>
    <w:r w:rsidR="005C6B72">
      <w:rPr>
        <w:noProof/>
        <w:sz w:val="16"/>
      </w:rPr>
      <w:t>2:25 PM</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E96" w:rsidRDefault="00AE2E96" w:rsidP="003A737E">
    <w:pPr>
      <w:tabs>
        <w:tab w:val="right" w:pos="8931"/>
      </w:tabs>
      <w:rPr>
        <w:sz w:val="16"/>
      </w:rPr>
    </w:pPr>
    <w:r>
      <w:rPr>
        <w:sz w:val="16"/>
      </w:rPr>
      <w:t>[</w:t>
    </w:r>
    <w:r w:rsidR="005C6B72">
      <w:rPr>
        <w:noProof/>
        <w:sz w:val="16"/>
      </w:rPr>
      <w:t>s06pf335.v115.docx</w:t>
    </w:r>
    <w:r>
      <w:rPr>
        <w:sz w:val="16"/>
      </w:rPr>
      <w:t>] [</w:t>
    </w:r>
    <w:r w:rsidR="005C6B72">
      <w:rPr>
        <w:noProof/>
        <w:sz w:val="16"/>
      </w:rPr>
      <w:t>9 Dec 2021</w:t>
    </w:r>
    <w:r>
      <w:rPr>
        <w:sz w:val="16"/>
      </w:rPr>
      <w:t>] [</w:t>
    </w:r>
    <w:r w:rsidR="005C6B72">
      <w:rPr>
        <w:noProof/>
        <w:sz w:val="16"/>
      </w:rPr>
      <w:t>2:25 PM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150908">
      <w:rPr>
        <w:rStyle w:val="PageNumber"/>
        <w:noProof/>
        <w:sz w:val="20"/>
      </w:rPr>
      <w:t>29</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E96" w:rsidRDefault="00AE2E96" w:rsidP="003A737E">
    <w:pPr>
      <w:tabs>
        <w:tab w:val="right" w:pos="8931"/>
      </w:tabs>
    </w:pPr>
    <w:r>
      <w:rPr>
        <w:sz w:val="16"/>
      </w:rPr>
      <w:t>[</w:t>
    </w:r>
    <w:r w:rsidR="005C6B72">
      <w:rPr>
        <w:noProof/>
        <w:sz w:val="16"/>
      </w:rPr>
      <w:t>s06pf335.v115.docx</w:t>
    </w:r>
    <w:r>
      <w:rPr>
        <w:sz w:val="16"/>
      </w:rPr>
      <w:t>] [</w:t>
    </w:r>
    <w:r w:rsidR="005C6B72">
      <w:rPr>
        <w:noProof/>
        <w:sz w:val="16"/>
      </w:rPr>
      <w:t>9 Dec 2021</w:t>
    </w:r>
    <w:r>
      <w:rPr>
        <w:sz w:val="16"/>
      </w:rPr>
      <w:t>] [</w:t>
    </w:r>
    <w:r w:rsidR="005C6B72">
      <w:rPr>
        <w:noProof/>
        <w:sz w:val="16"/>
      </w:rPr>
      <w:t>2:25 PM</w:t>
    </w:r>
    <w:r>
      <w:rPr>
        <w:sz w:val="16"/>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150908">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E96" w:rsidRDefault="00AE2E96" w:rsidP="00A34568">
      <w:pPr>
        <w:spacing w:line="240" w:lineRule="auto"/>
      </w:pPr>
      <w:r>
        <w:separator/>
      </w:r>
    </w:p>
  </w:footnote>
  <w:footnote w:type="continuationSeparator" w:id="0">
    <w:p w:rsidR="00AE2E96" w:rsidRDefault="00AE2E96"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E96" w:rsidRDefault="00AE2E96" w:rsidP="003A737E">
    <w:pPr>
      <w:pStyle w:val="Header"/>
    </w:pPr>
    <w:r>
      <w:rPr>
        <w:rStyle w:val="PageNumber"/>
      </w:rPr>
      <w:fldChar w:fldCharType="begin"/>
    </w:r>
    <w:r>
      <w:rPr>
        <w:rStyle w:val="PageNumber"/>
      </w:rPr>
      <w:instrText xml:space="preserve"> STYLEREF "Head 1" </w:instrText>
    </w:r>
    <w:r>
      <w:rPr>
        <w:rStyle w:val="PageNumber"/>
      </w:rPr>
      <w:fldChar w:fldCharType="separate"/>
    </w:r>
    <w:r w:rsidR="00D95A2B">
      <w:rPr>
        <w:rStyle w:val="PageNumber"/>
        <w:noProof/>
      </w:rPr>
      <w:t>Drafting Direction No. 3.8</w:t>
    </w:r>
    <w:r w:rsidR="00D95A2B">
      <w:rPr>
        <w:rStyle w:val="PageNumber"/>
        <w:noProof/>
      </w:rPr>
      <w:br/>
      <w:t>Subordinate legislation</w:t>
    </w:r>
    <w:r>
      <w:rPr>
        <w:rStyle w:val="PageNumber"/>
      </w:rPr>
      <w:fldChar w:fldCharType="end"/>
    </w:r>
  </w:p>
  <w:p w:rsidR="00AE2E96" w:rsidRDefault="00AE2E96" w:rsidP="003A7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E96" w:rsidRDefault="00AE2E96" w:rsidP="003A737E">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D95A2B">
      <w:rPr>
        <w:rStyle w:val="PageNumber"/>
        <w:noProof/>
      </w:rPr>
      <w:t>Drafting Direction No. 3.8</w:t>
    </w:r>
    <w:r w:rsidR="00D95A2B">
      <w:rPr>
        <w:rStyle w:val="PageNumber"/>
        <w:noProof/>
      </w:rPr>
      <w:br/>
      <w:t>Subordinate legislation</w:t>
    </w:r>
    <w:r>
      <w:rPr>
        <w:rStyle w:val="PageNumber"/>
      </w:rPr>
      <w:fldChar w:fldCharType="end"/>
    </w:r>
  </w:p>
  <w:p w:rsidR="00AE2E96" w:rsidRDefault="00AE2E96" w:rsidP="003A737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E96" w:rsidRDefault="00AE2E96" w:rsidP="003A737E">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D95A2B">
      <w:rPr>
        <w:rStyle w:val="PageNumber"/>
        <w:noProof/>
      </w:rPr>
      <w:t>Drafting Direction No. 3.8</w:t>
    </w:r>
    <w:r w:rsidR="00D95A2B">
      <w:rPr>
        <w:rStyle w:val="PageNumber"/>
        <w:noProof/>
      </w:rPr>
      <w:br/>
      <w:t>Subordinate legislation</w:t>
    </w:r>
    <w:r>
      <w:rPr>
        <w:rStyle w:val="PageNumber"/>
      </w:rPr>
      <w:fldChar w:fldCharType="end"/>
    </w:r>
  </w:p>
  <w:p w:rsidR="00AE2E96" w:rsidRDefault="00AE2E96" w:rsidP="003A737E">
    <w:pPr>
      <w:pStyle w:val="Header"/>
      <w:spacing w:before="240" w:after="600"/>
      <w:jc w:val="center"/>
      <w:rPr>
        <w:b/>
        <w:caps/>
        <w:sz w:val="36"/>
        <w:lang w:val="en-US"/>
      </w:rPr>
    </w:pPr>
    <w:r>
      <w:rPr>
        <w:b/>
        <w:caps/>
        <w:sz w:val="36"/>
        <w:lang w:val="en-US"/>
      </w:rPr>
      <w:t>Parliamentary Counsel</w:t>
    </w:r>
  </w:p>
  <w:p w:rsidR="00AE2E96" w:rsidRDefault="00AE2E96" w:rsidP="003A737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55E7943"/>
    <w:multiLevelType w:val="hybridMultilevel"/>
    <w:tmpl w:val="95D6B95A"/>
    <w:lvl w:ilvl="0" w:tplc="0C090001">
      <w:start w:val="1"/>
      <w:numFmt w:val="bullet"/>
      <w:lvlText w:val=""/>
      <w:lvlJc w:val="left"/>
      <w:pPr>
        <w:ind w:left="792" w:hanging="360"/>
      </w:pPr>
      <w:rPr>
        <w:rFonts w:ascii="Symbol" w:hAnsi="Symbol" w:hint="default"/>
      </w:rPr>
    </w:lvl>
    <w:lvl w:ilvl="1" w:tplc="0C090003">
      <w:start w:val="1"/>
      <w:numFmt w:val="bullet"/>
      <w:lvlText w:val="o"/>
      <w:lvlJc w:val="left"/>
      <w:pPr>
        <w:ind w:left="1512" w:hanging="360"/>
      </w:pPr>
      <w:rPr>
        <w:rFonts w:ascii="Courier New" w:hAnsi="Courier New" w:cs="Courier New" w:hint="default"/>
      </w:rPr>
    </w:lvl>
    <w:lvl w:ilvl="2" w:tplc="0C090005">
      <w:start w:val="1"/>
      <w:numFmt w:val="bullet"/>
      <w:lvlText w:val=""/>
      <w:lvlJc w:val="left"/>
      <w:pPr>
        <w:ind w:left="2232" w:hanging="360"/>
      </w:pPr>
      <w:rPr>
        <w:rFonts w:ascii="Wingdings" w:hAnsi="Wingdings" w:hint="default"/>
      </w:rPr>
    </w:lvl>
    <w:lvl w:ilvl="3" w:tplc="0C090001">
      <w:start w:val="1"/>
      <w:numFmt w:val="bullet"/>
      <w:lvlText w:val=""/>
      <w:lvlJc w:val="left"/>
      <w:pPr>
        <w:ind w:left="2952" w:hanging="360"/>
      </w:pPr>
      <w:rPr>
        <w:rFonts w:ascii="Symbol" w:hAnsi="Symbol" w:hint="default"/>
      </w:rPr>
    </w:lvl>
    <w:lvl w:ilvl="4" w:tplc="0C090003">
      <w:start w:val="1"/>
      <w:numFmt w:val="bullet"/>
      <w:lvlText w:val="o"/>
      <w:lvlJc w:val="left"/>
      <w:pPr>
        <w:ind w:left="3672" w:hanging="360"/>
      </w:pPr>
      <w:rPr>
        <w:rFonts w:ascii="Courier New" w:hAnsi="Courier New" w:cs="Courier New" w:hint="default"/>
      </w:rPr>
    </w:lvl>
    <w:lvl w:ilvl="5" w:tplc="0C090005">
      <w:start w:val="1"/>
      <w:numFmt w:val="bullet"/>
      <w:lvlText w:val=""/>
      <w:lvlJc w:val="left"/>
      <w:pPr>
        <w:ind w:left="4392" w:hanging="360"/>
      </w:pPr>
      <w:rPr>
        <w:rFonts w:ascii="Wingdings" w:hAnsi="Wingdings" w:hint="default"/>
      </w:rPr>
    </w:lvl>
    <w:lvl w:ilvl="6" w:tplc="0C090001">
      <w:start w:val="1"/>
      <w:numFmt w:val="bullet"/>
      <w:lvlText w:val=""/>
      <w:lvlJc w:val="left"/>
      <w:pPr>
        <w:ind w:left="5112" w:hanging="360"/>
      </w:pPr>
      <w:rPr>
        <w:rFonts w:ascii="Symbol" w:hAnsi="Symbol" w:hint="default"/>
      </w:rPr>
    </w:lvl>
    <w:lvl w:ilvl="7" w:tplc="0C090003">
      <w:start w:val="1"/>
      <w:numFmt w:val="bullet"/>
      <w:lvlText w:val="o"/>
      <w:lvlJc w:val="left"/>
      <w:pPr>
        <w:ind w:left="5832" w:hanging="360"/>
      </w:pPr>
      <w:rPr>
        <w:rFonts w:ascii="Courier New" w:hAnsi="Courier New" w:cs="Courier New" w:hint="default"/>
      </w:rPr>
    </w:lvl>
    <w:lvl w:ilvl="8" w:tplc="0C090005">
      <w:start w:val="1"/>
      <w:numFmt w:val="bullet"/>
      <w:lvlText w:val=""/>
      <w:lvlJc w:val="left"/>
      <w:pPr>
        <w:ind w:left="6552" w:hanging="360"/>
      </w:pPr>
      <w:rPr>
        <w:rFonts w:ascii="Wingdings" w:hAnsi="Wingdings" w:hint="default"/>
      </w:rPr>
    </w:lvl>
  </w:abstractNum>
  <w:abstractNum w:abstractNumId="13" w15:restartNumberingAfterBreak="0">
    <w:nsid w:val="5A890F00"/>
    <w:multiLevelType w:val="hybridMultilevel"/>
    <w:tmpl w:val="394A5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5A09A7"/>
    <w:multiLevelType w:val="hybridMultilevel"/>
    <w:tmpl w:val="F31408AE"/>
    <w:lvl w:ilvl="0" w:tplc="0C090001">
      <w:start w:val="1"/>
      <w:numFmt w:val="bullet"/>
      <w:lvlText w:val=""/>
      <w:lvlJc w:val="left"/>
      <w:pPr>
        <w:ind w:left="795" w:hanging="360"/>
      </w:pPr>
      <w:rPr>
        <w:rFonts w:ascii="Symbol" w:hAnsi="Symbol" w:hint="default"/>
      </w:rPr>
    </w:lvl>
    <w:lvl w:ilvl="1" w:tplc="0C090003">
      <w:start w:val="1"/>
      <w:numFmt w:val="bullet"/>
      <w:lvlText w:val="o"/>
      <w:lvlJc w:val="left"/>
      <w:pPr>
        <w:ind w:left="1515" w:hanging="360"/>
      </w:pPr>
      <w:rPr>
        <w:rFonts w:ascii="Courier New" w:hAnsi="Courier New" w:cs="Courier New" w:hint="default"/>
      </w:rPr>
    </w:lvl>
    <w:lvl w:ilvl="2" w:tplc="0C090005">
      <w:start w:val="1"/>
      <w:numFmt w:val="bullet"/>
      <w:lvlText w:val=""/>
      <w:lvlJc w:val="left"/>
      <w:pPr>
        <w:ind w:left="2235" w:hanging="360"/>
      </w:pPr>
      <w:rPr>
        <w:rFonts w:ascii="Wingdings" w:hAnsi="Wingdings" w:hint="default"/>
      </w:rPr>
    </w:lvl>
    <w:lvl w:ilvl="3" w:tplc="0C090001">
      <w:start w:val="1"/>
      <w:numFmt w:val="bullet"/>
      <w:lvlText w:val=""/>
      <w:lvlJc w:val="left"/>
      <w:pPr>
        <w:ind w:left="2955" w:hanging="360"/>
      </w:pPr>
      <w:rPr>
        <w:rFonts w:ascii="Symbol" w:hAnsi="Symbol" w:hint="default"/>
      </w:rPr>
    </w:lvl>
    <w:lvl w:ilvl="4" w:tplc="0C090003">
      <w:start w:val="1"/>
      <w:numFmt w:val="bullet"/>
      <w:lvlText w:val="o"/>
      <w:lvlJc w:val="left"/>
      <w:pPr>
        <w:ind w:left="3675" w:hanging="360"/>
      </w:pPr>
      <w:rPr>
        <w:rFonts w:ascii="Courier New" w:hAnsi="Courier New" w:cs="Courier New" w:hint="default"/>
      </w:rPr>
    </w:lvl>
    <w:lvl w:ilvl="5" w:tplc="0C090005">
      <w:start w:val="1"/>
      <w:numFmt w:val="bullet"/>
      <w:lvlText w:val=""/>
      <w:lvlJc w:val="left"/>
      <w:pPr>
        <w:ind w:left="4395" w:hanging="360"/>
      </w:pPr>
      <w:rPr>
        <w:rFonts w:ascii="Wingdings" w:hAnsi="Wingdings" w:hint="default"/>
      </w:rPr>
    </w:lvl>
    <w:lvl w:ilvl="6" w:tplc="0C090001">
      <w:start w:val="1"/>
      <w:numFmt w:val="bullet"/>
      <w:lvlText w:val=""/>
      <w:lvlJc w:val="left"/>
      <w:pPr>
        <w:ind w:left="5115" w:hanging="360"/>
      </w:pPr>
      <w:rPr>
        <w:rFonts w:ascii="Symbol" w:hAnsi="Symbol" w:hint="default"/>
      </w:rPr>
    </w:lvl>
    <w:lvl w:ilvl="7" w:tplc="0C090003">
      <w:start w:val="1"/>
      <w:numFmt w:val="bullet"/>
      <w:lvlText w:val="o"/>
      <w:lvlJc w:val="left"/>
      <w:pPr>
        <w:ind w:left="5835" w:hanging="360"/>
      </w:pPr>
      <w:rPr>
        <w:rFonts w:ascii="Courier New" w:hAnsi="Courier New" w:cs="Courier New" w:hint="default"/>
      </w:rPr>
    </w:lvl>
    <w:lvl w:ilvl="8" w:tplc="0C090005">
      <w:start w:val="1"/>
      <w:numFmt w:val="bullet"/>
      <w:lvlText w:val=""/>
      <w:lvlJc w:val="left"/>
      <w:pPr>
        <w:ind w:left="655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3"/>
  </w:num>
  <w:num w:numId="15">
    <w:abstractNumId w:val="12"/>
  </w:num>
  <w:num w:numId="16">
    <w:abstractNumId w:val="15"/>
  </w:num>
  <w:num w:numId="17">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defaultTabStop w:val="720"/>
  <w:evenAndOddHeaders/>
  <w:drawingGridHorizontalSpacing w:val="110"/>
  <w:displayHorizontalDrawingGridEvery w:val="2"/>
  <w:characterSpacingControl w:val="doNotCompress"/>
  <w:hdrShapeDefaults>
    <o:shapedefaults v:ext="edit" spidmax="460801">
      <o:colormenu v:ext="edit" fill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A52"/>
    <w:rsid w:val="0000217F"/>
    <w:rsid w:val="00007739"/>
    <w:rsid w:val="00010C91"/>
    <w:rsid w:val="000136AF"/>
    <w:rsid w:val="00013F3C"/>
    <w:rsid w:val="00015EAC"/>
    <w:rsid w:val="00026DEE"/>
    <w:rsid w:val="00033CF0"/>
    <w:rsid w:val="00040764"/>
    <w:rsid w:val="00041CF1"/>
    <w:rsid w:val="00043376"/>
    <w:rsid w:val="00051375"/>
    <w:rsid w:val="00052BFE"/>
    <w:rsid w:val="0005666E"/>
    <w:rsid w:val="00056743"/>
    <w:rsid w:val="000604FB"/>
    <w:rsid w:val="000611ED"/>
    <w:rsid w:val="000614BF"/>
    <w:rsid w:val="000670E5"/>
    <w:rsid w:val="00071D53"/>
    <w:rsid w:val="0007215A"/>
    <w:rsid w:val="00075DF5"/>
    <w:rsid w:val="00084849"/>
    <w:rsid w:val="00084EC6"/>
    <w:rsid w:val="00093B78"/>
    <w:rsid w:val="00093BA5"/>
    <w:rsid w:val="00094243"/>
    <w:rsid w:val="000A4784"/>
    <w:rsid w:val="000A5633"/>
    <w:rsid w:val="000B23ED"/>
    <w:rsid w:val="000B3993"/>
    <w:rsid w:val="000B4885"/>
    <w:rsid w:val="000C0869"/>
    <w:rsid w:val="000C1631"/>
    <w:rsid w:val="000C1F40"/>
    <w:rsid w:val="000C23CC"/>
    <w:rsid w:val="000C2ACB"/>
    <w:rsid w:val="000C4F87"/>
    <w:rsid w:val="000C5BED"/>
    <w:rsid w:val="000C76F4"/>
    <w:rsid w:val="000D0195"/>
    <w:rsid w:val="000D05EF"/>
    <w:rsid w:val="000D0893"/>
    <w:rsid w:val="000D1A70"/>
    <w:rsid w:val="000D7989"/>
    <w:rsid w:val="000D7E12"/>
    <w:rsid w:val="000E13DA"/>
    <w:rsid w:val="000E45D1"/>
    <w:rsid w:val="000E754F"/>
    <w:rsid w:val="000E7783"/>
    <w:rsid w:val="000F23E7"/>
    <w:rsid w:val="000F32AA"/>
    <w:rsid w:val="000F47DB"/>
    <w:rsid w:val="000F6ECB"/>
    <w:rsid w:val="000F7774"/>
    <w:rsid w:val="001057B6"/>
    <w:rsid w:val="0010745C"/>
    <w:rsid w:val="00110197"/>
    <w:rsid w:val="00111BB7"/>
    <w:rsid w:val="00114702"/>
    <w:rsid w:val="00115483"/>
    <w:rsid w:val="0012174A"/>
    <w:rsid w:val="0012175D"/>
    <w:rsid w:val="00121777"/>
    <w:rsid w:val="00123F61"/>
    <w:rsid w:val="00124E7C"/>
    <w:rsid w:val="00125704"/>
    <w:rsid w:val="00125D2E"/>
    <w:rsid w:val="00126CEE"/>
    <w:rsid w:val="0013005F"/>
    <w:rsid w:val="00132992"/>
    <w:rsid w:val="00136B07"/>
    <w:rsid w:val="00142244"/>
    <w:rsid w:val="00146E4B"/>
    <w:rsid w:val="00150908"/>
    <w:rsid w:val="0015095A"/>
    <w:rsid w:val="00150BDD"/>
    <w:rsid w:val="00152FE0"/>
    <w:rsid w:val="00160572"/>
    <w:rsid w:val="00166C2F"/>
    <w:rsid w:val="00175036"/>
    <w:rsid w:val="00177146"/>
    <w:rsid w:val="00180712"/>
    <w:rsid w:val="00181111"/>
    <w:rsid w:val="00186117"/>
    <w:rsid w:val="00187970"/>
    <w:rsid w:val="001939E1"/>
    <w:rsid w:val="00195382"/>
    <w:rsid w:val="0019713C"/>
    <w:rsid w:val="001A0F58"/>
    <w:rsid w:val="001A11B3"/>
    <w:rsid w:val="001A6DCC"/>
    <w:rsid w:val="001B0391"/>
    <w:rsid w:val="001B3D8E"/>
    <w:rsid w:val="001C028E"/>
    <w:rsid w:val="001C111A"/>
    <w:rsid w:val="001C1DC0"/>
    <w:rsid w:val="001C6111"/>
    <w:rsid w:val="001C69C4"/>
    <w:rsid w:val="001D1455"/>
    <w:rsid w:val="001D31B5"/>
    <w:rsid w:val="001D329E"/>
    <w:rsid w:val="001D40AC"/>
    <w:rsid w:val="001D554D"/>
    <w:rsid w:val="001D7184"/>
    <w:rsid w:val="001D7FE9"/>
    <w:rsid w:val="001E0027"/>
    <w:rsid w:val="001E04C0"/>
    <w:rsid w:val="001E0BBC"/>
    <w:rsid w:val="001E1B37"/>
    <w:rsid w:val="001E228B"/>
    <w:rsid w:val="001E3185"/>
    <w:rsid w:val="001E3590"/>
    <w:rsid w:val="001E7407"/>
    <w:rsid w:val="001F262B"/>
    <w:rsid w:val="001F4808"/>
    <w:rsid w:val="001F7256"/>
    <w:rsid w:val="00204D56"/>
    <w:rsid w:val="0020735B"/>
    <w:rsid w:val="002075D0"/>
    <w:rsid w:val="002107FF"/>
    <w:rsid w:val="00217DC9"/>
    <w:rsid w:val="002202A0"/>
    <w:rsid w:val="00220D5F"/>
    <w:rsid w:val="00223A1F"/>
    <w:rsid w:val="00224BFA"/>
    <w:rsid w:val="002263D6"/>
    <w:rsid w:val="00230A52"/>
    <w:rsid w:val="00237C0B"/>
    <w:rsid w:val="002404EE"/>
    <w:rsid w:val="00241852"/>
    <w:rsid w:val="0024214D"/>
    <w:rsid w:val="00244200"/>
    <w:rsid w:val="00245F76"/>
    <w:rsid w:val="00246E60"/>
    <w:rsid w:val="00247990"/>
    <w:rsid w:val="00251D7C"/>
    <w:rsid w:val="00253D1B"/>
    <w:rsid w:val="00261214"/>
    <w:rsid w:val="00264248"/>
    <w:rsid w:val="00265134"/>
    <w:rsid w:val="00265F76"/>
    <w:rsid w:val="0026766F"/>
    <w:rsid w:val="00281EA7"/>
    <w:rsid w:val="00282423"/>
    <w:rsid w:val="00283A07"/>
    <w:rsid w:val="002853BE"/>
    <w:rsid w:val="002916F0"/>
    <w:rsid w:val="00291DDF"/>
    <w:rsid w:val="002952E2"/>
    <w:rsid w:val="00295FBA"/>
    <w:rsid w:val="002962BA"/>
    <w:rsid w:val="002970D7"/>
    <w:rsid w:val="00297ECB"/>
    <w:rsid w:val="002A259F"/>
    <w:rsid w:val="002A3376"/>
    <w:rsid w:val="002B0C41"/>
    <w:rsid w:val="002B0F0F"/>
    <w:rsid w:val="002C450B"/>
    <w:rsid w:val="002C53DA"/>
    <w:rsid w:val="002C60FC"/>
    <w:rsid w:val="002D0240"/>
    <w:rsid w:val="002D0322"/>
    <w:rsid w:val="002D043A"/>
    <w:rsid w:val="002D12C8"/>
    <w:rsid w:val="002D1CB1"/>
    <w:rsid w:val="002D2547"/>
    <w:rsid w:val="002D506C"/>
    <w:rsid w:val="002D5A44"/>
    <w:rsid w:val="002D6E36"/>
    <w:rsid w:val="002D73DE"/>
    <w:rsid w:val="002E109E"/>
    <w:rsid w:val="002E1EF7"/>
    <w:rsid w:val="002E66FA"/>
    <w:rsid w:val="002F1CA6"/>
    <w:rsid w:val="002F5750"/>
    <w:rsid w:val="00301605"/>
    <w:rsid w:val="00301E80"/>
    <w:rsid w:val="003040AD"/>
    <w:rsid w:val="00306D54"/>
    <w:rsid w:val="00306F61"/>
    <w:rsid w:val="00312908"/>
    <w:rsid w:val="00312D73"/>
    <w:rsid w:val="00323AE9"/>
    <w:rsid w:val="00327A39"/>
    <w:rsid w:val="00327D55"/>
    <w:rsid w:val="0033047D"/>
    <w:rsid w:val="0033110D"/>
    <w:rsid w:val="00333B05"/>
    <w:rsid w:val="003347DA"/>
    <w:rsid w:val="00335208"/>
    <w:rsid w:val="00337205"/>
    <w:rsid w:val="00347F0C"/>
    <w:rsid w:val="003515E8"/>
    <w:rsid w:val="00352B0F"/>
    <w:rsid w:val="00352BFE"/>
    <w:rsid w:val="00360FB0"/>
    <w:rsid w:val="00363A8A"/>
    <w:rsid w:val="00366F4E"/>
    <w:rsid w:val="00375F1D"/>
    <w:rsid w:val="00380A68"/>
    <w:rsid w:val="003917E1"/>
    <w:rsid w:val="003A16BB"/>
    <w:rsid w:val="003A737E"/>
    <w:rsid w:val="003B38D5"/>
    <w:rsid w:val="003B50F8"/>
    <w:rsid w:val="003B5735"/>
    <w:rsid w:val="003B6DFE"/>
    <w:rsid w:val="003B74FE"/>
    <w:rsid w:val="003C2E3F"/>
    <w:rsid w:val="003C6B2D"/>
    <w:rsid w:val="003C6CF5"/>
    <w:rsid w:val="003D0BFE"/>
    <w:rsid w:val="003D3F5C"/>
    <w:rsid w:val="003D5700"/>
    <w:rsid w:val="003E0594"/>
    <w:rsid w:val="003E2C41"/>
    <w:rsid w:val="003F3542"/>
    <w:rsid w:val="003F3C46"/>
    <w:rsid w:val="003F557C"/>
    <w:rsid w:val="003F5AA3"/>
    <w:rsid w:val="003F7923"/>
    <w:rsid w:val="003F7EDC"/>
    <w:rsid w:val="004023B9"/>
    <w:rsid w:val="0040591A"/>
    <w:rsid w:val="004116CD"/>
    <w:rsid w:val="00412612"/>
    <w:rsid w:val="004151EF"/>
    <w:rsid w:val="00416DD9"/>
    <w:rsid w:val="004205B8"/>
    <w:rsid w:val="00423A81"/>
    <w:rsid w:val="00424CA9"/>
    <w:rsid w:val="00436545"/>
    <w:rsid w:val="0043701C"/>
    <w:rsid w:val="00437127"/>
    <w:rsid w:val="00440CB3"/>
    <w:rsid w:val="0044291A"/>
    <w:rsid w:val="00444A77"/>
    <w:rsid w:val="004462B5"/>
    <w:rsid w:val="00446AF9"/>
    <w:rsid w:val="0045071F"/>
    <w:rsid w:val="00453503"/>
    <w:rsid w:val="00455DC7"/>
    <w:rsid w:val="004653F8"/>
    <w:rsid w:val="00476B57"/>
    <w:rsid w:val="004812A4"/>
    <w:rsid w:val="00484B64"/>
    <w:rsid w:val="0049449E"/>
    <w:rsid w:val="00496F97"/>
    <w:rsid w:val="004A0102"/>
    <w:rsid w:val="004A3FCA"/>
    <w:rsid w:val="004B09C3"/>
    <w:rsid w:val="004B136A"/>
    <w:rsid w:val="004B1473"/>
    <w:rsid w:val="004B71C5"/>
    <w:rsid w:val="004C1E41"/>
    <w:rsid w:val="004C3AE9"/>
    <w:rsid w:val="004C4F72"/>
    <w:rsid w:val="004C69B8"/>
    <w:rsid w:val="004C79A2"/>
    <w:rsid w:val="004D0C4C"/>
    <w:rsid w:val="004D5C76"/>
    <w:rsid w:val="004D5E75"/>
    <w:rsid w:val="004D6113"/>
    <w:rsid w:val="004E017A"/>
    <w:rsid w:val="004E1ACB"/>
    <w:rsid w:val="004E3114"/>
    <w:rsid w:val="004E5729"/>
    <w:rsid w:val="004E6D2A"/>
    <w:rsid w:val="004F0A83"/>
    <w:rsid w:val="004F3D0D"/>
    <w:rsid w:val="004F4DAB"/>
    <w:rsid w:val="004F6402"/>
    <w:rsid w:val="00502FD1"/>
    <w:rsid w:val="0050542F"/>
    <w:rsid w:val="00505861"/>
    <w:rsid w:val="00511881"/>
    <w:rsid w:val="00515878"/>
    <w:rsid w:val="00516B8D"/>
    <w:rsid w:val="00522918"/>
    <w:rsid w:val="00526B5C"/>
    <w:rsid w:val="00527630"/>
    <w:rsid w:val="00530478"/>
    <w:rsid w:val="005311B7"/>
    <w:rsid w:val="00532A1F"/>
    <w:rsid w:val="005379F7"/>
    <w:rsid w:val="00537FBC"/>
    <w:rsid w:val="00540866"/>
    <w:rsid w:val="00546163"/>
    <w:rsid w:val="0054698C"/>
    <w:rsid w:val="00550187"/>
    <w:rsid w:val="00550274"/>
    <w:rsid w:val="00553BAB"/>
    <w:rsid w:val="0055607B"/>
    <w:rsid w:val="005573A8"/>
    <w:rsid w:val="00562819"/>
    <w:rsid w:val="00565FF8"/>
    <w:rsid w:val="005732F3"/>
    <w:rsid w:val="00574229"/>
    <w:rsid w:val="00574F55"/>
    <w:rsid w:val="005768F8"/>
    <w:rsid w:val="005772FC"/>
    <w:rsid w:val="005809C1"/>
    <w:rsid w:val="00582B69"/>
    <w:rsid w:val="005834F1"/>
    <w:rsid w:val="00583A01"/>
    <w:rsid w:val="00583FF4"/>
    <w:rsid w:val="00584509"/>
    <w:rsid w:val="00584811"/>
    <w:rsid w:val="00584ACC"/>
    <w:rsid w:val="0059155C"/>
    <w:rsid w:val="00593013"/>
    <w:rsid w:val="00594161"/>
    <w:rsid w:val="00594749"/>
    <w:rsid w:val="00595D89"/>
    <w:rsid w:val="005A65B5"/>
    <w:rsid w:val="005B0763"/>
    <w:rsid w:val="005B0AFF"/>
    <w:rsid w:val="005B3AED"/>
    <w:rsid w:val="005B40C1"/>
    <w:rsid w:val="005B5C12"/>
    <w:rsid w:val="005B74B4"/>
    <w:rsid w:val="005B77D7"/>
    <w:rsid w:val="005C6B72"/>
    <w:rsid w:val="005C7037"/>
    <w:rsid w:val="005D0886"/>
    <w:rsid w:val="005D1F5B"/>
    <w:rsid w:val="005D2349"/>
    <w:rsid w:val="005D29D9"/>
    <w:rsid w:val="005E135F"/>
    <w:rsid w:val="005F3433"/>
    <w:rsid w:val="005F46DD"/>
    <w:rsid w:val="005F47B1"/>
    <w:rsid w:val="005F7579"/>
    <w:rsid w:val="00600219"/>
    <w:rsid w:val="00601F11"/>
    <w:rsid w:val="00604AE0"/>
    <w:rsid w:val="006103D4"/>
    <w:rsid w:val="00611981"/>
    <w:rsid w:val="00615F99"/>
    <w:rsid w:val="006207A3"/>
    <w:rsid w:val="00623229"/>
    <w:rsid w:val="00623C67"/>
    <w:rsid w:val="00626897"/>
    <w:rsid w:val="00627B29"/>
    <w:rsid w:val="006327B4"/>
    <w:rsid w:val="006429D9"/>
    <w:rsid w:val="00645060"/>
    <w:rsid w:val="006508E8"/>
    <w:rsid w:val="006522F1"/>
    <w:rsid w:val="00655909"/>
    <w:rsid w:val="00660FE0"/>
    <w:rsid w:val="00666C6F"/>
    <w:rsid w:val="00674910"/>
    <w:rsid w:val="00675A9B"/>
    <w:rsid w:val="00677CC2"/>
    <w:rsid w:val="00680F77"/>
    <w:rsid w:val="00680FA7"/>
    <w:rsid w:val="00685A26"/>
    <w:rsid w:val="0068606E"/>
    <w:rsid w:val="0069207B"/>
    <w:rsid w:val="006920AD"/>
    <w:rsid w:val="006A142F"/>
    <w:rsid w:val="006A7CDD"/>
    <w:rsid w:val="006B0F62"/>
    <w:rsid w:val="006B2098"/>
    <w:rsid w:val="006B2351"/>
    <w:rsid w:val="006B2428"/>
    <w:rsid w:val="006B278A"/>
    <w:rsid w:val="006B64F0"/>
    <w:rsid w:val="006C1B8E"/>
    <w:rsid w:val="006C7F8C"/>
    <w:rsid w:val="006D3359"/>
    <w:rsid w:val="006D4808"/>
    <w:rsid w:val="006D5302"/>
    <w:rsid w:val="006E0619"/>
    <w:rsid w:val="006E1BA9"/>
    <w:rsid w:val="006E3B1C"/>
    <w:rsid w:val="006E6372"/>
    <w:rsid w:val="006E683E"/>
    <w:rsid w:val="006E718B"/>
    <w:rsid w:val="006F231E"/>
    <w:rsid w:val="006F3FE0"/>
    <w:rsid w:val="006F5F2C"/>
    <w:rsid w:val="006F7209"/>
    <w:rsid w:val="00700094"/>
    <w:rsid w:val="00704AE2"/>
    <w:rsid w:val="00705B7E"/>
    <w:rsid w:val="00710D4A"/>
    <w:rsid w:val="00710FAA"/>
    <w:rsid w:val="00712E13"/>
    <w:rsid w:val="007135EF"/>
    <w:rsid w:val="0071467C"/>
    <w:rsid w:val="00716B90"/>
    <w:rsid w:val="00721310"/>
    <w:rsid w:val="007224C7"/>
    <w:rsid w:val="0072480E"/>
    <w:rsid w:val="0072759D"/>
    <w:rsid w:val="007276BC"/>
    <w:rsid w:val="00731E00"/>
    <w:rsid w:val="00732E72"/>
    <w:rsid w:val="00733990"/>
    <w:rsid w:val="007401CD"/>
    <w:rsid w:val="00740385"/>
    <w:rsid w:val="00742F70"/>
    <w:rsid w:val="0074718C"/>
    <w:rsid w:val="00753457"/>
    <w:rsid w:val="00755539"/>
    <w:rsid w:val="00755C3D"/>
    <w:rsid w:val="00756B12"/>
    <w:rsid w:val="00761A9C"/>
    <w:rsid w:val="00764906"/>
    <w:rsid w:val="007657A4"/>
    <w:rsid w:val="00767A75"/>
    <w:rsid w:val="00770169"/>
    <w:rsid w:val="00771339"/>
    <w:rsid w:val="007715C9"/>
    <w:rsid w:val="007733A9"/>
    <w:rsid w:val="00773B59"/>
    <w:rsid w:val="00774EDD"/>
    <w:rsid w:val="007757EC"/>
    <w:rsid w:val="00775899"/>
    <w:rsid w:val="00775F9E"/>
    <w:rsid w:val="00776BE3"/>
    <w:rsid w:val="00776D3A"/>
    <w:rsid w:val="0077710C"/>
    <w:rsid w:val="00782FD2"/>
    <w:rsid w:val="007830CA"/>
    <w:rsid w:val="00790A49"/>
    <w:rsid w:val="00791CDB"/>
    <w:rsid w:val="00792C5D"/>
    <w:rsid w:val="00794D91"/>
    <w:rsid w:val="00795B68"/>
    <w:rsid w:val="00796F7E"/>
    <w:rsid w:val="00797B1B"/>
    <w:rsid w:val="007A133E"/>
    <w:rsid w:val="007A377C"/>
    <w:rsid w:val="007A45DE"/>
    <w:rsid w:val="007A6864"/>
    <w:rsid w:val="007B19E5"/>
    <w:rsid w:val="007B2796"/>
    <w:rsid w:val="007B50C3"/>
    <w:rsid w:val="007B6451"/>
    <w:rsid w:val="007C699A"/>
    <w:rsid w:val="007C7AB0"/>
    <w:rsid w:val="007D05DA"/>
    <w:rsid w:val="007D7DCE"/>
    <w:rsid w:val="007F40ED"/>
    <w:rsid w:val="007F45FD"/>
    <w:rsid w:val="007F5850"/>
    <w:rsid w:val="007F6786"/>
    <w:rsid w:val="007F769B"/>
    <w:rsid w:val="008048A7"/>
    <w:rsid w:val="00807E2C"/>
    <w:rsid w:val="00813E61"/>
    <w:rsid w:val="008159B6"/>
    <w:rsid w:val="00815C9E"/>
    <w:rsid w:val="00832103"/>
    <w:rsid w:val="0083617B"/>
    <w:rsid w:val="008440B6"/>
    <w:rsid w:val="00844E34"/>
    <w:rsid w:val="00845D07"/>
    <w:rsid w:val="00850110"/>
    <w:rsid w:val="00851094"/>
    <w:rsid w:val="0085245F"/>
    <w:rsid w:val="00856A31"/>
    <w:rsid w:val="008630FF"/>
    <w:rsid w:val="00870AE2"/>
    <w:rsid w:val="00873033"/>
    <w:rsid w:val="008754D0"/>
    <w:rsid w:val="00875F97"/>
    <w:rsid w:val="0089008C"/>
    <w:rsid w:val="00890A4D"/>
    <w:rsid w:val="008940AA"/>
    <w:rsid w:val="008965D4"/>
    <w:rsid w:val="008A24AF"/>
    <w:rsid w:val="008A25B8"/>
    <w:rsid w:val="008A3DA7"/>
    <w:rsid w:val="008A45FF"/>
    <w:rsid w:val="008A586B"/>
    <w:rsid w:val="008A5F15"/>
    <w:rsid w:val="008A62CA"/>
    <w:rsid w:val="008A6883"/>
    <w:rsid w:val="008B23B1"/>
    <w:rsid w:val="008B27FB"/>
    <w:rsid w:val="008B352A"/>
    <w:rsid w:val="008B4C96"/>
    <w:rsid w:val="008B5C32"/>
    <w:rsid w:val="008B6EAE"/>
    <w:rsid w:val="008C2CCB"/>
    <w:rsid w:val="008C4A8F"/>
    <w:rsid w:val="008D1F10"/>
    <w:rsid w:val="008D248E"/>
    <w:rsid w:val="008D687C"/>
    <w:rsid w:val="008D6BAC"/>
    <w:rsid w:val="008D7356"/>
    <w:rsid w:val="008E1706"/>
    <w:rsid w:val="008E26D5"/>
    <w:rsid w:val="008E33A2"/>
    <w:rsid w:val="008E3B8C"/>
    <w:rsid w:val="008F0E5B"/>
    <w:rsid w:val="008F1002"/>
    <w:rsid w:val="008F1D58"/>
    <w:rsid w:val="008F386F"/>
    <w:rsid w:val="00900C24"/>
    <w:rsid w:val="009024BD"/>
    <w:rsid w:val="00904412"/>
    <w:rsid w:val="0091283F"/>
    <w:rsid w:val="0091303A"/>
    <w:rsid w:val="009136AD"/>
    <w:rsid w:val="00914A98"/>
    <w:rsid w:val="00920C4F"/>
    <w:rsid w:val="00921CBA"/>
    <w:rsid w:val="009234D3"/>
    <w:rsid w:val="009240F7"/>
    <w:rsid w:val="0092708A"/>
    <w:rsid w:val="009272C9"/>
    <w:rsid w:val="00927E88"/>
    <w:rsid w:val="00943001"/>
    <w:rsid w:val="00944AB6"/>
    <w:rsid w:val="009456C7"/>
    <w:rsid w:val="0094622F"/>
    <w:rsid w:val="00952E19"/>
    <w:rsid w:val="00953D65"/>
    <w:rsid w:val="00957891"/>
    <w:rsid w:val="00964686"/>
    <w:rsid w:val="00964DBE"/>
    <w:rsid w:val="00965BBE"/>
    <w:rsid w:val="00972159"/>
    <w:rsid w:val="0097516A"/>
    <w:rsid w:val="00975A57"/>
    <w:rsid w:val="00976E7B"/>
    <w:rsid w:val="00977EA3"/>
    <w:rsid w:val="0098176B"/>
    <w:rsid w:val="00981CF4"/>
    <w:rsid w:val="009849F1"/>
    <w:rsid w:val="00984BBC"/>
    <w:rsid w:val="00985DD4"/>
    <w:rsid w:val="009920F3"/>
    <w:rsid w:val="009929F5"/>
    <w:rsid w:val="00992D52"/>
    <w:rsid w:val="009942AF"/>
    <w:rsid w:val="00994FD2"/>
    <w:rsid w:val="009950C7"/>
    <w:rsid w:val="00996600"/>
    <w:rsid w:val="009A077D"/>
    <w:rsid w:val="009A4894"/>
    <w:rsid w:val="009A6361"/>
    <w:rsid w:val="009A638E"/>
    <w:rsid w:val="009A6B43"/>
    <w:rsid w:val="009A6B53"/>
    <w:rsid w:val="009A72C8"/>
    <w:rsid w:val="009B0D3E"/>
    <w:rsid w:val="009B2766"/>
    <w:rsid w:val="009C508A"/>
    <w:rsid w:val="009D2428"/>
    <w:rsid w:val="009D40E9"/>
    <w:rsid w:val="009D43CA"/>
    <w:rsid w:val="009D4CF9"/>
    <w:rsid w:val="009E5C0E"/>
    <w:rsid w:val="009F09E3"/>
    <w:rsid w:val="009F10F2"/>
    <w:rsid w:val="009F161C"/>
    <w:rsid w:val="009F2C7F"/>
    <w:rsid w:val="009F324F"/>
    <w:rsid w:val="009F34E3"/>
    <w:rsid w:val="00A04C99"/>
    <w:rsid w:val="00A11E82"/>
    <w:rsid w:val="00A12815"/>
    <w:rsid w:val="00A1354A"/>
    <w:rsid w:val="00A14F26"/>
    <w:rsid w:val="00A15B89"/>
    <w:rsid w:val="00A22292"/>
    <w:rsid w:val="00A231E2"/>
    <w:rsid w:val="00A34568"/>
    <w:rsid w:val="00A409BF"/>
    <w:rsid w:val="00A43B75"/>
    <w:rsid w:val="00A47B51"/>
    <w:rsid w:val="00A52D08"/>
    <w:rsid w:val="00A54EA0"/>
    <w:rsid w:val="00A56A46"/>
    <w:rsid w:val="00A6171B"/>
    <w:rsid w:val="00A63E85"/>
    <w:rsid w:val="00A64912"/>
    <w:rsid w:val="00A649F3"/>
    <w:rsid w:val="00A70A74"/>
    <w:rsid w:val="00A70E94"/>
    <w:rsid w:val="00A7676E"/>
    <w:rsid w:val="00A8043D"/>
    <w:rsid w:val="00A80B3E"/>
    <w:rsid w:val="00A80F5A"/>
    <w:rsid w:val="00A81DB1"/>
    <w:rsid w:val="00A86D27"/>
    <w:rsid w:val="00A87B5B"/>
    <w:rsid w:val="00A9271A"/>
    <w:rsid w:val="00A944FF"/>
    <w:rsid w:val="00AA4424"/>
    <w:rsid w:val="00AA5F38"/>
    <w:rsid w:val="00AA7BAD"/>
    <w:rsid w:val="00AB312F"/>
    <w:rsid w:val="00AB4DAD"/>
    <w:rsid w:val="00AC6074"/>
    <w:rsid w:val="00AD5641"/>
    <w:rsid w:val="00AD5ABD"/>
    <w:rsid w:val="00AD67AF"/>
    <w:rsid w:val="00AD72FD"/>
    <w:rsid w:val="00AE25E1"/>
    <w:rsid w:val="00AE2D4B"/>
    <w:rsid w:val="00AE2E96"/>
    <w:rsid w:val="00AE50A7"/>
    <w:rsid w:val="00AF2CFE"/>
    <w:rsid w:val="00AF66CB"/>
    <w:rsid w:val="00AF78A2"/>
    <w:rsid w:val="00AF7D0F"/>
    <w:rsid w:val="00B14DB4"/>
    <w:rsid w:val="00B164E8"/>
    <w:rsid w:val="00B21E31"/>
    <w:rsid w:val="00B25209"/>
    <w:rsid w:val="00B26745"/>
    <w:rsid w:val="00B33B3C"/>
    <w:rsid w:val="00B356EA"/>
    <w:rsid w:val="00B40423"/>
    <w:rsid w:val="00B41341"/>
    <w:rsid w:val="00B415C2"/>
    <w:rsid w:val="00B41733"/>
    <w:rsid w:val="00B43BD9"/>
    <w:rsid w:val="00B455A3"/>
    <w:rsid w:val="00B508B6"/>
    <w:rsid w:val="00B514F6"/>
    <w:rsid w:val="00B51632"/>
    <w:rsid w:val="00B612B7"/>
    <w:rsid w:val="00B65353"/>
    <w:rsid w:val="00B70AC0"/>
    <w:rsid w:val="00B8171A"/>
    <w:rsid w:val="00B84C02"/>
    <w:rsid w:val="00B8689C"/>
    <w:rsid w:val="00B910B1"/>
    <w:rsid w:val="00B939C5"/>
    <w:rsid w:val="00B93FA4"/>
    <w:rsid w:val="00B947A2"/>
    <w:rsid w:val="00B964CC"/>
    <w:rsid w:val="00BA0628"/>
    <w:rsid w:val="00BA07F7"/>
    <w:rsid w:val="00BA3D2B"/>
    <w:rsid w:val="00BA46D8"/>
    <w:rsid w:val="00BA5336"/>
    <w:rsid w:val="00BA607F"/>
    <w:rsid w:val="00BB053B"/>
    <w:rsid w:val="00BB09A3"/>
    <w:rsid w:val="00BB0A8B"/>
    <w:rsid w:val="00BB144D"/>
    <w:rsid w:val="00BB1FBE"/>
    <w:rsid w:val="00BB24E0"/>
    <w:rsid w:val="00BB38BD"/>
    <w:rsid w:val="00BB65AF"/>
    <w:rsid w:val="00BB7A2A"/>
    <w:rsid w:val="00BD1B11"/>
    <w:rsid w:val="00BD2F5F"/>
    <w:rsid w:val="00BD349F"/>
    <w:rsid w:val="00BD65EF"/>
    <w:rsid w:val="00BE3BFF"/>
    <w:rsid w:val="00BE4C2E"/>
    <w:rsid w:val="00BE5E1B"/>
    <w:rsid w:val="00BE719A"/>
    <w:rsid w:val="00BE720A"/>
    <w:rsid w:val="00BE735E"/>
    <w:rsid w:val="00BE73AB"/>
    <w:rsid w:val="00BF2F6D"/>
    <w:rsid w:val="00BF3617"/>
    <w:rsid w:val="00BF65A7"/>
    <w:rsid w:val="00BF6E91"/>
    <w:rsid w:val="00C0530E"/>
    <w:rsid w:val="00C055B2"/>
    <w:rsid w:val="00C05651"/>
    <w:rsid w:val="00C12A7D"/>
    <w:rsid w:val="00C12F16"/>
    <w:rsid w:val="00C166D4"/>
    <w:rsid w:val="00C21745"/>
    <w:rsid w:val="00C22030"/>
    <w:rsid w:val="00C22692"/>
    <w:rsid w:val="00C227C2"/>
    <w:rsid w:val="00C24F09"/>
    <w:rsid w:val="00C31234"/>
    <w:rsid w:val="00C31EB9"/>
    <w:rsid w:val="00C32BBA"/>
    <w:rsid w:val="00C36E38"/>
    <w:rsid w:val="00C40029"/>
    <w:rsid w:val="00C42BF8"/>
    <w:rsid w:val="00C44F25"/>
    <w:rsid w:val="00C46EDD"/>
    <w:rsid w:val="00C50043"/>
    <w:rsid w:val="00C51D7A"/>
    <w:rsid w:val="00C61423"/>
    <w:rsid w:val="00C61CDD"/>
    <w:rsid w:val="00C6305A"/>
    <w:rsid w:val="00C63573"/>
    <w:rsid w:val="00C63660"/>
    <w:rsid w:val="00C63848"/>
    <w:rsid w:val="00C63EEE"/>
    <w:rsid w:val="00C64383"/>
    <w:rsid w:val="00C751FD"/>
    <w:rsid w:val="00C7573B"/>
    <w:rsid w:val="00C80298"/>
    <w:rsid w:val="00C866EA"/>
    <w:rsid w:val="00C91C29"/>
    <w:rsid w:val="00C91CF1"/>
    <w:rsid w:val="00C9339C"/>
    <w:rsid w:val="00C940F7"/>
    <w:rsid w:val="00C963F9"/>
    <w:rsid w:val="00CA1577"/>
    <w:rsid w:val="00CB0FD3"/>
    <w:rsid w:val="00CB3F1B"/>
    <w:rsid w:val="00CB53A4"/>
    <w:rsid w:val="00CC1885"/>
    <w:rsid w:val="00CC2F37"/>
    <w:rsid w:val="00CC4230"/>
    <w:rsid w:val="00CC6479"/>
    <w:rsid w:val="00CD3574"/>
    <w:rsid w:val="00CD5A79"/>
    <w:rsid w:val="00CD6566"/>
    <w:rsid w:val="00CF0824"/>
    <w:rsid w:val="00CF0922"/>
    <w:rsid w:val="00CF0A6B"/>
    <w:rsid w:val="00CF0BB2"/>
    <w:rsid w:val="00CF34F3"/>
    <w:rsid w:val="00CF40C2"/>
    <w:rsid w:val="00CF4528"/>
    <w:rsid w:val="00CF5B61"/>
    <w:rsid w:val="00CF6D33"/>
    <w:rsid w:val="00CF76D7"/>
    <w:rsid w:val="00CF7E05"/>
    <w:rsid w:val="00D01D6B"/>
    <w:rsid w:val="00D01E5B"/>
    <w:rsid w:val="00D06801"/>
    <w:rsid w:val="00D1200B"/>
    <w:rsid w:val="00D13441"/>
    <w:rsid w:val="00D17B6E"/>
    <w:rsid w:val="00D21B1B"/>
    <w:rsid w:val="00D2395B"/>
    <w:rsid w:val="00D32564"/>
    <w:rsid w:val="00D33B41"/>
    <w:rsid w:val="00D34B35"/>
    <w:rsid w:val="00D37350"/>
    <w:rsid w:val="00D456E7"/>
    <w:rsid w:val="00D459DF"/>
    <w:rsid w:val="00D45FB4"/>
    <w:rsid w:val="00D51D96"/>
    <w:rsid w:val="00D53A43"/>
    <w:rsid w:val="00D570DE"/>
    <w:rsid w:val="00D63F53"/>
    <w:rsid w:val="00D65F76"/>
    <w:rsid w:val="00D70B9F"/>
    <w:rsid w:val="00D70DFB"/>
    <w:rsid w:val="00D717F3"/>
    <w:rsid w:val="00D71F7C"/>
    <w:rsid w:val="00D766DF"/>
    <w:rsid w:val="00D77842"/>
    <w:rsid w:val="00D80196"/>
    <w:rsid w:val="00D805FE"/>
    <w:rsid w:val="00D81D88"/>
    <w:rsid w:val="00D826CF"/>
    <w:rsid w:val="00D85AFE"/>
    <w:rsid w:val="00D8626C"/>
    <w:rsid w:val="00D87601"/>
    <w:rsid w:val="00D87C15"/>
    <w:rsid w:val="00D9082E"/>
    <w:rsid w:val="00D9187C"/>
    <w:rsid w:val="00D95A2B"/>
    <w:rsid w:val="00D95AC4"/>
    <w:rsid w:val="00D97BE3"/>
    <w:rsid w:val="00DA1B43"/>
    <w:rsid w:val="00DA3A98"/>
    <w:rsid w:val="00DA3F33"/>
    <w:rsid w:val="00DB0CE4"/>
    <w:rsid w:val="00DB6744"/>
    <w:rsid w:val="00DC00EB"/>
    <w:rsid w:val="00DC14C2"/>
    <w:rsid w:val="00DC6EF7"/>
    <w:rsid w:val="00DD0A06"/>
    <w:rsid w:val="00DD0C5E"/>
    <w:rsid w:val="00DD7106"/>
    <w:rsid w:val="00DE3AA8"/>
    <w:rsid w:val="00DF114F"/>
    <w:rsid w:val="00DF1451"/>
    <w:rsid w:val="00DF4E8A"/>
    <w:rsid w:val="00DF5F2A"/>
    <w:rsid w:val="00E03CA5"/>
    <w:rsid w:val="00E05EAC"/>
    <w:rsid w:val="00E11FBC"/>
    <w:rsid w:val="00E12BDF"/>
    <w:rsid w:val="00E25444"/>
    <w:rsid w:val="00E309A7"/>
    <w:rsid w:val="00E31889"/>
    <w:rsid w:val="00E37AEC"/>
    <w:rsid w:val="00E41F2A"/>
    <w:rsid w:val="00E421CB"/>
    <w:rsid w:val="00E43981"/>
    <w:rsid w:val="00E455DD"/>
    <w:rsid w:val="00E52DE1"/>
    <w:rsid w:val="00E56BAF"/>
    <w:rsid w:val="00E62633"/>
    <w:rsid w:val="00E62938"/>
    <w:rsid w:val="00E70B45"/>
    <w:rsid w:val="00E73882"/>
    <w:rsid w:val="00E74DC7"/>
    <w:rsid w:val="00E86F05"/>
    <w:rsid w:val="00E8750B"/>
    <w:rsid w:val="00E92BC8"/>
    <w:rsid w:val="00E94689"/>
    <w:rsid w:val="00E94743"/>
    <w:rsid w:val="00E95E51"/>
    <w:rsid w:val="00EA3BA5"/>
    <w:rsid w:val="00EA6BD6"/>
    <w:rsid w:val="00EB3E01"/>
    <w:rsid w:val="00EC193B"/>
    <w:rsid w:val="00EC3CA7"/>
    <w:rsid w:val="00EC5F47"/>
    <w:rsid w:val="00EC7EB3"/>
    <w:rsid w:val="00ED3897"/>
    <w:rsid w:val="00ED5943"/>
    <w:rsid w:val="00ED7A4A"/>
    <w:rsid w:val="00EE011F"/>
    <w:rsid w:val="00EE0DD5"/>
    <w:rsid w:val="00EE267F"/>
    <w:rsid w:val="00EE4B3C"/>
    <w:rsid w:val="00EE5054"/>
    <w:rsid w:val="00EE54CF"/>
    <w:rsid w:val="00EF0732"/>
    <w:rsid w:val="00EF2AD3"/>
    <w:rsid w:val="00EF2E3A"/>
    <w:rsid w:val="00EF326B"/>
    <w:rsid w:val="00EF7968"/>
    <w:rsid w:val="00F004AB"/>
    <w:rsid w:val="00F04811"/>
    <w:rsid w:val="00F0485D"/>
    <w:rsid w:val="00F078DC"/>
    <w:rsid w:val="00F10257"/>
    <w:rsid w:val="00F10E82"/>
    <w:rsid w:val="00F11214"/>
    <w:rsid w:val="00F11D45"/>
    <w:rsid w:val="00F17049"/>
    <w:rsid w:val="00F202B9"/>
    <w:rsid w:val="00F2049B"/>
    <w:rsid w:val="00F20B06"/>
    <w:rsid w:val="00F22394"/>
    <w:rsid w:val="00F2387F"/>
    <w:rsid w:val="00F23D00"/>
    <w:rsid w:val="00F23E5F"/>
    <w:rsid w:val="00F25C17"/>
    <w:rsid w:val="00F26320"/>
    <w:rsid w:val="00F2663A"/>
    <w:rsid w:val="00F2747C"/>
    <w:rsid w:val="00F27D65"/>
    <w:rsid w:val="00F31165"/>
    <w:rsid w:val="00F31702"/>
    <w:rsid w:val="00F332C1"/>
    <w:rsid w:val="00F34593"/>
    <w:rsid w:val="00F364F4"/>
    <w:rsid w:val="00F463AF"/>
    <w:rsid w:val="00F47303"/>
    <w:rsid w:val="00F51269"/>
    <w:rsid w:val="00F5359E"/>
    <w:rsid w:val="00F53FAE"/>
    <w:rsid w:val="00F5512D"/>
    <w:rsid w:val="00F57415"/>
    <w:rsid w:val="00F621CE"/>
    <w:rsid w:val="00F63841"/>
    <w:rsid w:val="00F64A4E"/>
    <w:rsid w:val="00F70A61"/>
    <w:rsid w:val="00F73F31"/>
    <w:rsid w:val="00F74505"/>
    <w:rsid w:val="00F750AC"/>
    <w:rsid w:val="00F75868"/>
    <w:rsid w:val="00F759DB"/>
    <w:rsid w:val="00F846AD"/>
    <w:rsid w:val="00F850C0"/>
    <w:rsid w:val="00F90EAA"/>
    <w:rsid w:val="00F91591"/>
    <w:rsid w:val="00F92727"/>
    <w:rsid w:val="00F9302D"/>
    <w:rsid w:val="00F9705B"/>
    <w:rsid w:val="00FA2A8D"/>
    <w:rsid w:val="00FA2DCD"/>
    <w:rsid w:val="00FA3C58"/>
    <w:rsid w:val="00FA43B8"/>
    <w:rsid w:val="00FA4FED"/>
    <w:rsid w:val="00FA5F16"/>
    <w:rsid w:val="00FA6F0D"/>
    <w:rsid w:val="00FB49BC"/>
    <w:rsid w:val="00FC262C"/>
    <w:rsid w:val="00FC2F8B"/>
    <w:rsid w:val="00FC4D06"/>
    <w:rsid w:val="00FD1C9D"/>
    <w:rsid w:val="00FD1CAC"/>
    <w:rsid w:val="00FD3783"/>
    <w:rsid w:val="00FD5DC1"/>
    <w:rsid w:val="00FE4FBF"/>
    <w:rsid w:val="00FF533E"/>
    <w:rsid w:val="00FF5893"/>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60801">
      <o:colormenu v:ext="edit" fillcolor="none [3213]"/>
    </o:shapedefaults>
    <o:shapelayout v:ext="edit">
      <o:idmap v:ext="edit" data="1"/>
    </o:shapelayout>
  </w:shapeDefaults>
  <w:decimalSymbol w:val="."/>
  <w:listSeparator w:val=","/>
  <w14:docId w14:val="65BE22E5"/>
  <w15:docId w15:val="{50D7774B-8679-45F2-944F-6AD06291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849F1"/>
    <w:pPr>
      <w:spacing w:line="260" w:lineRule="atLeast"/>
    </w:pPr>
    <w:rPr>
      <w:sz w:val="22"/>
    </w:rPr>
  </w:style>
  <w:style w:type="paragraph" w:styleId="Heading7">
    <w:name w:val="heading 7"/>
    <w:basedOn w:val="Normal"/>
    <w:next w:val="Normal"/>
    <w:link w:val="Heading7Char"/>
    <w:uiPriority w:val="9"/>
    <w:unhideWhenUsed/>
    <w:qFormat/>
    <w:rsid w:val="00BA607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849F1"/>
  </w:style>
  <w:style w:type="paragraph" w:customStyle="1" w:styleId="OPCParaBase">
    <w:name w:val="OPCParaBase"/>
    <w:link w:val="OPCParaBaseChar"/>
    <w:qFormat/>
    <w:rsid w:val="009849F1"/>
    <w:pPr>
      <w:spacing w:line="260" w:lineRule="atLeast"/>
    </w:pPr>
    <w:rPr>
      <w:rFonts w:eastAsia="Times New Roman" w:cs="Times New Roman"/>
      <w:sz w:val="22"/>
      <w:lang w:eastAsia="en-AU"/>
    </w:rPr>
  </w:style>
  <w:style w:type="paragraph" w:customStyle="1" w:styleId="ShortT">
    <w:name w:val="ShortT"/>
    <w:basedOn w:val="OPCParaBase"/>
    <w:next w:val="Normal"/>
    <w:qFormat/>
    <w:rsid w:val="009849F1"/>
    <w:pPr>
      <w:spacing w:line="240" w:lineRule="auto"/>
    </w:pPr>
    <w:rPr>
      <w:b/>
      <w:sz w:val="40"/>
    </w:rPr>
  </w:style>
  <w:style w:type="paragraph" w:customStyle="1" w:styleId="ActHead1">
    <w:name w:val="ActHead 1"/>
    <w:aliases w:val="c"/>
    <w:basedOn w:val="OPCParaBase"/>
    <w:next w:val="Normal"/>
    <w:qFormat/>
    <w:rsid w:val="009849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49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49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49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849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49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49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49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49F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849F1"/>
  </w:style>
  <w:style w:type="paragraph" w:customStyle="1" w:styleId="Blocks">
    <w:name w:val="Blocks"/>
    <w:aliases w:val="bb"/>
    <w:basedOn w:val="OPCParaBase"/>
    <w:qFormat/>
    <w:rsid w:val="009849F1"/>
    <w:pPr>
      <w:spacing w:line="240" w:lineRule="auto"/>
    </w:pPr>
    <w:rPr>
      <w:sz w:val="24"/>
    </w:rPr>
  </w:style>
  <w:style w:type="paragraph" w:customStyle="1" w:styleId="BoxText">
    <w:name w:val="BoxText"/>
    <w:aliases w:val="bt"/>
    <w:basedOn w:val="OPCParaBase"/>
    <w:rsid w:val="009849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49F1"/>
    <w:rPr>
      <w:b/>
    </w:rPr>
  </w:style>
  <w:style w:type="paragraph" w:customStyle="1" w:styleId="BoxHeadItalic">
    <w:name w:val="BoxHeadItalic"/>
    <w:aliases w:val="bhi"/>
    <w:basedOn w:val="BoxText"/>
    <w:next w:val="Normal"/>
    <w:qFormat/>
    <w:rsid w:val="009849F1"/>
    <w:rPr>
      <w:i/>
    </w:rPr>
  </w:style>
  <w:style w:type="paragraph" w:customStyle="1" w:styleId="BoxList">
    <w:name w:val="BoxList"/>
    <w:aliases w:val="bl"/>
    <w:basedOn w:val="BoxText"/>
    <w:qFormat/>
    <w:rsid w:val="009849F1"/>
    <w:pPr>
      <w:ind w:left="1559" w:hanging="425"/>
    </w:pPr>
  </w:style>
  <w:style w:type="paragraph" w:customStyle="1" w:styleId="BoxNote">
    <w:name w:val="BoxNote"/>
    <w:aliases w:val="bn"/>
    <w:basedOn w:val="BoxText"/>
    <w:qFormat/>
    <w:rsid w:val="009849F1"/>
    <w:pPr>
      <w:tabs>
        <w:tab w:val="left" w:pos="1985"/>
      </w:tabs>
      <w:spacing w:before="122" w:line="198" w:lineRule="exact"/>
      <w:ind w:left="2948" w:hanging="1814"/>
    </w:pPr>
    <w:rPr>
      <w:sz w:val="18"/>
    </w:rPr>
  </w:style>
  <w:style w:type="paragraph" w:customStyle="1" w:styleId="BoxPara">
    <w:name w:val="BoxPara"/>
    <w:aliases w:val="bp"/>
    <w:basedOn w:val="BoxText"/>
    <w:qFormat/>
    <w:rsid w:val="009849F1"/>
    <w:pPr>
      <w:tabs>
        <w:tab w:val="right" w:pos="2268"/>
      </w:tabs>
      <w:ind w:left="2552" w:hanging="1418"/>
    </w:pPr>
  </w:style>
  <w:style w:type="paragraph" w:customStyle="1" w:styleId="BoxStep">
    <w:name w:val="BoxStep"/>
    <w:aliases w:val="bs"/>
    <w:basedOn w:val="BoxText"/>
    <w:qFormat/>
    <w:rsid w:val="009849F1"/>
    <w:pPr>
      <w:ind w:left="1985" w:hanging="851"/>
    </w:pPr>
  </w:style>
  <w:style w:type="character" w:customStyle="1" w:styleId="CharAmPartNo">
    <w:name w:val="CharAmPartNo"/>
    <w:basedOn w:val="OPCCharBase"/>
    <w:uiPriority w:val="1"/>
    <w:qFormat/>
    <w:rsid w:val="009849F1"/>
  </w:style>
  <w:style w:type="character" w:customStyle="1" w:styleId="CharAmPartText">
    <w:name w:val="CharAmPartText"/>
    <w:basedOn w:val="OPCCharBase"/>
    <w:uiPriority w:val="1"/>
    <w:qFormat/>
    <w:rsid w:val="009849F1"/>
  </w:style>
  <w:style w:type="character" w:customStyle="1" w:styleId="CharAmSchNo">
    <w:name w:val="CharAmSchNo"/>
    <w:basedOn w:val="OPCCharBase"/>
    <w:uiPriority w:val="1"/>
    <w:qFormat/>
    <w:rsid w:val="009849F1"/>
  </w:style>
  <w:style w:type="character" w:customStyle="1" w:styleId="CharAmSchText">
    <w:name w:val="CharAmSchText"/>
    <w:basedOn w:val="OPCCharBase"/>
    <w:uiPriority w:val="1"/>
    <w:qFormat/>
    <w:rsid w:val="009849F1"/>
  </w:style>
  <w:style w:type="character" w:customStyle="1" w:styleId="CharBoldItalic">
    <w:name w:val="CharBoldItalic"/>
    <w:basedOn w:val="OPCCharBase"/>
    <w:uiPriority w:val="1"/>
    <w:qFormat/>
    <w:rsid w:val="009849F1"/>
    <w:rPr>
      <w:b/>
      <w:i/>
    </w:rPr>
  </w:style>
  <w:style w:type="character" w:customStyle="1" w:styleId="CharChapNo">
    <w:name w:val="CharChapNo"/>
    <w:basedOn w:val="OPCCharBase"/>
    <w:uiPriority w:val="1"/>
    <w:qFormat/>
    <w:rsid w:val="009849F1"/>
  </w:style>
  <w:style w:type="character" w:customStyle="1" w:styleId="CharChapText">
    <w:name w:val="CharChapText"/>
    <w:basedOn w:val="OPCCharBase"/>
    <w:uiPriority w:val="1"/>
    <w:qFormat/>
    <w:rsid w:val="009849F1"/>
  </w:style>
  <w:style w:type="character" w:customStyle="1" w:styleId="CharDivNo">
    <w:name w:val="CharDivNo"/>
    <w:basedOn w:val="OPCCharBase"/>
    <w:uiPriority w:val="1"/>
    <w:qFormat/>
    <w:rsid w:val="009849F1"/>
  </w:style>
  <w:style w:type="character" w:customStyle="1" w:styleId="CharDivText">
    <w:name w:val="CharDivText"/>
    <w:basedOn w:val="OPCCharBase"/>
    <w:uiPriority w:val="1"/>
    <w:qFormat/>
    <w:rsid w:val="009849F1"/>
  </w:style>
  <w:style w:type="character" w:customStyle="1" w:styleId="CharItalic">
    <w:name w:val="CharItalic"/>
    <w:basedOn w:val="OPCCharBase"/>
    <w:uiPriority w:val="1"/>
    <w:qFormat/>
    <w:rsid w:val="009849F1"/>
    <w:rPr>
      <w:i/>
    </w:rPr>
  </w:style>
  <w:style w:type="character" w:customStyle="1" w:styleId="CharPartNo">
    <w:name w:val="CharPartNo"/>
    <w:basedOn w:val="OPCCharBase"/>
    <w:uiPriority w:val="1"/>
    <w:qFormat/>
    <w:rsid w:val="009849F1"/>
  </w:style>
  <w:style w:type="character" w:customStyle="1" w:styleId="CharPartText">
    <w:name w:val="CharPartText"/>
    <w:basedOn w:val="OPCCharBase"/>
    <w:uiPriority w:val="1"/>
    <w:qFormat/>
    <w:rsid w:val="009849F1"/>
  </w:style>
  <w:style w:type="character" w:customStyle="1" w:styleId="CharSectno">
    <w:name w:val="CharSectno"/>
    <w:basedOn w:val="OPCCharBase"/>
    <w:uiPriority w:val="1"/>
    <w:qFormat/>
    <w:rsid w:val="009849F1"/>
  </w:style>
  <w:style w:type="character" w:customStyle="1" w:styleId="CharSubdNo">
    <w:name w:val="CharSubdNo"/>
    <w:basedOn w:val="OPCCharBase"/>
    <w:uiPriority w:val="1"/>
    <w:qFormat/>
    <w:rsid w:val="009849F1"/>
  </w:style>
  <w:style w:type="character" w:customStyle="1" w:styleId="CharSubdText">
    <w:name w:val="CharSubdText"/>
    <w:basedOn w:val="OPCCharBase"/>
    <w:uiPriority w:val="1"/>
    <w:qFormat/>
    <w:rsid w:val="009849F1"/>
  </w:style>
  <w:style w:type="paragraph" w:customStyle="1" w:styleId="CTA--">
    <w:name w:val="CTA --"/>
    <w:basedOn w:val="OPCParaBase"/>
    <w:next w:val="Normal"/>
    <w:rsid w:val="009849F1"/>
    <w:pPr>
      <w:spacing w:before="60" w:line="240" w:lineRule="atLeast"/>
      <w:ind w:left="142" w:hanging="142"/>
    </w:pPr>
    <w:rPr>
      <w:sz w:val="20"/>
    </w:rPr>
  </w:style>
  <w:style w:type="paragraph" w:customStyle="1" w:styleId="CTA-">
    <w:name w:val="CTA -"/>
    <w:basedOn w:val="OPCParaBase"/>
    <w:rsid w:val="009849F1"/>
    <w:pPr>
      <w:spacing w:before="60" w:line="240" w:lineRule="atLeast"/>
      <w:ind w:left="85" w:hanging="85"/>
    </w:pPr>
    <w:rPr>
      <w:sz w:val="20"/>
    </w:rPr>
  </w:style>
  <w:style w:type="paragraph" w:customStyle="1" w:styleId="CTA---">
    <w:name w:val="CTA ---"/>
    <w:basedOn w:val="OPCParaBase"/>
    <w:next w:val="Normal"/>
    <w:rsid w:val="009849F1"/>
    <w:pPr>
      <w:spacing w:before="60" w:line="240" w:lineRule="atLeast"/>
      <w:ind w:left="198" w:hanging="198"/>
    </w:pPr>
    <w:rPr>
      <w:sz w:val="20"/>
    </w:rPr>
  </w:style>
  <w:style w:type="paragraph" w:customStyle="1" w:styleId="CTA----">
    <w:name w:val="CTA ----"/>
    <w:basedOn w:val="OPCParaBase"/>
    <w:next w:val="Normal"/>
    <w:rsid w:val="009849F1"/>
    <w:pPr>
      <w:spacing w:before="60" w:line="240" w:lineRule="atLeast"/>
      <w:ind w:left="255" w:hanging="255"/>
    </w:pPr>
    <w:rPr>
      <w:sz w:val="20"/>
    </w:rPr>
  </w:style>
  <w:style w:type="paragraph" w:customStyle="1" w:styleId="CTA1a">
    <w:name w:val="CTA 1(a)"/>
    <w:basedOn w:val="OPCParaBase"/>
    <w:rsid w:val="009849F1"/>
    <w:pPr>
      <w:tabs>
        <w:tab w:val="right" w:pos="414"/>
      </w:tabs>
      <w:spacing w:before="40" w:line="240" w:lineRule="atLeast"/>
      <w:ind w:left="675" w:hanging="675"/>
    </w:pPr>
    <w:rPr>
      <w:sz w:val="20"/>
    </w:rPr>
  </w:style>
  <w:style w:type="paragraph" w:customStyle="1" w:styleId="CTA1ai">
    <w:name w:val="CTA 1(a)(i)"/>
    <w:basedOn w:val="OPCParaBase"/>
    <w:rsid w:val="009849F1"/>
    <w:pPr>
      <w:tabs>
        <w:tab w:val="right" w:pos="1004"/>
      </w:tabs>
      <w:spacing w:before="40" w:line="240" w:lineRule="atLeast"/>
      <w:ind w:left="1253" w:hanging="1253"/>
    </w:pPr>
    <w:rPr>
      <w:sz w:val="20"/>
    </w:rPr>
  </w:style>
  <w:style w:type="paragraph" w:customStyle="1" w:styleId="CTA2a">
    <w:name w:val="CTA 2(a)"/>
    <w:basedOn w:val="OPCParaBase"/>
    <w:rsid w:val="009849F1"/>
    <w:pPr>
      <w:tabs>
        <w:tab w:val="right" w:pos="482"/>
      </w:tabs>
      <w:spacing w:before="40" w:line="240" w:lineRule="atLeast"/>
      <w:ind w:left="748" w:hanging="748"/>
    </w:pPr>
    <w:rPr>
      <w:sz w:val="20"/>
    </w:rPr>
  </w:style>
  <w:style w:type="paragraph" w:customStyle="1" w:styleId="CTA2ai">
    <w:name w:val="CTA 2(a)(i)"/>
    <w:basedOn w:val="OPCParaBase"/>
    <w:rsid w:val="009849F1"/>
    <w:pPr>
      <w:tabs>
        <w:tab w:val="right" w:pos="1089"/>
      </w:tabs>
      <w:spacing w:before="40" w:line="240" w:lineRule="atLeast"/>
      <w:ind w:left="1327" w:hanging="1327"/>
    </w:pPr>
    <w:rPr>
      <w:sz w:val="20"/>
    </w:rPr>
  </w:style>
  <w:style w:type="paragraph" w:customStyle="1" w:styleId="CTA3a">
    <w:name w:val="CTA 3(a)"/>
    <w:basedOn w:val="OPCParaBase"/>
    <w:rsid w:val="009849F1"/>
    <w:pPr>
      <w:tabs>
        <w:tab w:val="right" w:pos="556"/>
      </w:tabs>
      <w:spacing w:before="40" w:line="240" w:lineRule="atLeast"/>
      <w:ind w:left="805" w:hanging="805"/>
    </w:pPr>
    <w:rPr>
      <w:sz w:val="20"/>
    </w:rPr>
  </w:style>
  <w:style w:type="paragraph" w:customStyle="1" w:styleId="CTA3ai">
    <w:name w:val="CTA 3(a)(i)"/>
    <w:basedOn w:val="OPCParaBase"/>
    <w:rsid w:val="009849F1"/>
    <w:pPr>
      <w:tabs>
        <w:tab w:val="right" w:pos="1140"/>
      </w:tabs>
      <w:spacing w:before="40" w:line="240" w:lineRule="atLeast"/>
      <w:ind w:left="1361" w:hanging="1361"/>
    </w:pPr>
    <w:rPr>
      <w:sz w:val="20"/>
    </w:rPr>
  </w:style>
  <w:style w:type="paragraph" w:customStyle="1" w:styleId="CTA4a">
    <w:name w:val="CTA 4(a)"/>
    <w:basedOn w:val="OPCParaBase"/>
    <w:rsid w:val="009849F1"/>
    <w:pPr>
      <w:tabs>
        <w:tab w:val="right" w:pos="624"/>
      </w:tabs>
      <w:spacing w:before="40" w:line="240" w:lineRule="atLeast"/>
      <w:ind w:left="873" w:hanging="873"/>
    </w:pPr>
    <w:rPr>
      <w:sz w:val="20"/>
    </w:rPr>
  </w:style>
  <w:style w:type="paragraph" w:customStyle="1" w:styleId="CTA4ai">
    <w:name w:val="CTA 4(a)(i)"/>
    <w:basedOn w:val="OPCParaBase"/>
    <w:rsid w:val="009849F1"/>
    <w:pPr>
      <w:tabs>
        <w:tab w:val="right" w:pos="1213"/>
      </w:tabs>
      <w:spacing w:before="40" w:line="240" w:lineRule="atLeast"/>
      <w:ind w:left="1452" w:hanging="1452"/>
    </w:pPr>
    <w:rPr>
      <w:sz w:val="20"/>
    </w:rPr>
  </w:style>
  <w:style w:type="paragraph" w:customStyle="1" w:styleId="CTACAPS">
    <w:name w:val="CTA CAPS"/>
    <w:basedOn w:val="OPCParaBase"/>
    <w:rsid w:val="009849F1"/>
    <w:pPr>
      <w:spacing w:before="60" w:line="240" w:lineRule="atLeast"/>
    </w:pPr>
    <w:rPr>
      <w:sz w:val="20"/>
    </w:rPr>
  </w:style>
  <w:style w:type="paragraph" w:customStyle="1" w:styleId="CTAright">
    <w:name w:val="CTA right"/>
    <w:basedOn w:val="OPCParaBase"/>
    <w:rsid w:val="009849F1"/>
    <w:pPr>
      <w:spacing w:before="60" w:line="240" w:lineRule="auto"/>
      <w:jc w:val="right"/>
    </w:pPr>
    <w:rPr>
      <w:sz w:val="20"/>
    </w:rPr>
  </w:style>
  <w:style w:type="paragraph" w:customStyle="1" w:styleId="subsection">
    <w:name w:val="subsection"/>
    <w:aliases w:val="ss"/>
    <w:basedOn w:val="OPCParaBase"/>
    <w:link w:val="subsectionChar"/>
    <w:rsid w:val="009849F1"/>
    <w:pPr>
      <w:tabs>
        <w:tab w:val="right" w:pos="1021"/>
      </w:tabs>
      <w:spacing w:before="180" w:line="240" w:lineRule="auto"/>
      <w:ind w:left="1134" w:hanging="1134"/>
    </w:pPr>
  </w:style>
  <w:style w:type="paragraph" w:customStyle="1" w:styleId="Definition">
    <w:name w:val="Definition"/>
    <w:aliases w:val="dd"/>
    <w:basedOn w:val="OPCParaBase"/>
    <w:rsid w:val="009849F1"/>
    <w:pPr>
      <w:spacing w:before="180" w:line="240" w:lineRule="auto"/>
      <w:ind w:left="1134"/>
    </w:pPr>
  </w:style>
  <w:style w:type="paragraph" w:customStyle="1" w:styleId="ETAsubitem">
    <w:name w:val="ETA(subitem)"/>
    <w:basedOn w:val="OPCParaBase"/>
    <w:rsid w:val="009849F1"/>
    <w:pPr>
      <w:tabs>
        <w:tab w:val="right" w:pos="340"/>
      </w:tabs>
      <w:spacing w:before="60" w:line="240" w:lineRule="auto"/>
      <w:ind w:left="454" w:hanging="454"/>
    </w:pPr>
    <w:rPr>
      <w:sz w:val="20"/>
    </w:rPr>
  </w:style>
  <w:style w:type="paragraph" w:customStyle="1" w:styleId="ETApara">
    <w:name w:val="ETA(para)"/>
    <w:basedOn w:val="OPCParaBase"/>
    <w:rsid w:val="009849F1"/>
    <w:pPr>
      <w:tabs>
        <w:tab w:val="right" w:pos="754"/>
      </w:tabs>
      <w:spacing w:before="60" w:line="240" w:lineRule="auto"/>
      <w:ind w:left="828" w:hanging="828"/>
    </w:pPr>
    <w:rPr>
      <w:sz w:val="20"/>
    </w:rPr>
  </w:style>
  <w:style w:type="paragraph" w:customStyle="1" w:styleId="ETAsubpara">
    <w:name w:val="ETA(subpara)"/>
    <w:basedOn w:val="OPCParaBase"/>
    <w:rsid w:val="009849F1"/>
    <w:pPr>
      <w:tabs>
        <w:tab w:val="right" w:pos="1083"/>
      </w:tabs>
      <w:spacing w:before="60" w:line="240" w:lineRule="auto"/>
      <w:ind w:left="1191" w:hanging="1191"/>
    </w:pPr>
    <w:rPr>
      <w:sz w:val="20"/>
    </w:rPr>
  </w:style>
  <w:style w:type="paragraph" w:customStyle="1" w:styleId="ETAsub-subpara">
    <w:name w:val="ETA(sub-subpara)"/>
    <w:basedOn w:val="OPCParaBase"/>
    <w:rsid w:val="009849F1"/>
    <w:pPr>
      <w:tabs>
        <w:tab w:val="right" w:pos="1412"/>
      </w:tabs>
      <w:spacing w:before="60" w:line="240" w:lineRule="auto"/>
      <w:ind w:left="1525" w:hanging="1525"/>
    </w:pPr>
    <w:rPr>
      <w:sz w:val="20"/>
    </w:rPr>
  </w:style>
  <w:style w:type="paragraph" w:customStyle="1" w:styleId="Formula">
    <w:name w:val="Formula"/>
    <w:basedOn w:val="OPCParaBase"/>
    <w:rsid w:val="009849F1"/>
    <w:pPr>
      <w:spacing w:line="240" w:lineRule="auto"/>
      <w:ind w:left="1134"/>
    </w:pPr>
    <w:rPr>
      <w:sz w:val="20"/>
    </w:rPr>
  </w:style>
  <w:style w:type="paragraph" w:styleId="Header">
    <w:name w:val="header"/>
    <w:basedOn w:val="OPCParaBase"/>
    <w:link w:val="HeaderChar"/>
    <w:unhideWhenUsed/>
    <w:rsid w:val="009849F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49F1"/>
    <w:rPr>
      <w:rFonts w:eastAsia="Times New Roman" w:cs="Times New Roman"/>
      <w:sz w:val="16"/>
      <w:lang w:eastAsia="en-AU"/>
    </w:rPr>
  </w:style>
  <w:style w:type="paragraph" w:customStyle="1" w:styleId="House">
    <w:name w:val="House"/>
    <w:basedOn w:val="OPCParaBase"/>
    <w:rsid w:val="009849F1"/>
    <w:pPr>
      <w:spacing w:line="240" w:lineRule="auto"/>
    </w:pPr>
    <w:rPr>
      <w:sz w:val="28"/>
    </w:rPr>
  </w:style>
  <w:style w:type="paragraph" w:customStyle="1" w:styleId="Item">
    <w:name w:val="Item"/>
    <w:aliases w:val="i"/>
    <w:basedOn w:val="OPCParaBase"/>
    <w:next w:val="ItemHead"/>
    <w:rsid w:val="009849F1"/>
    <w:pPr>
      <w:keepLines/>
      <w:spacing w:before="80" w:line="240" w:lineRule="auto"/>
      <w:ind w:left="709"/>
    </w:pPr>
  </w:style>
  <w:style w:type="paragraph" w:customStyle="1" w:styleId="ItemHead">
    <w:name w:val="ItemHead"/>
    <w:aliases w:val="ih"/>
    <w:basedOn w:val="OPCParaBase"/>
    <w:next w:val="Item"/>
    <w:link w:val="ItemHeadChar"/>
    <w:rsid w:val="009849F1"/>
    <w:pPr>
      <w:keepLines/>
      <w:spacing w:before="220" w:line="240" w:lineRule="auto"/>
      <w:ind w:left="709" w:hanging="709"/>
    </w:pPr>
    <w:rPr>
      <w:rFonts w:ascii="Arial" w:hAnsi="Arial"/>
      <w:b/>
      <w:kern w:val="28"/>
      <w:sz w:val="24"/>
    </w:rPr>
  </w:style>
  <w:style w:type="paragraph" w:customStyle="1" w:styleId="LongT">
    <w:name w:val="LongT"/>
    <w:basedOn w:val="OPCParaBase"/>
    <w:rsid w:val="009849F1"/>
    <w:pPr>
      <w:spacing w:line="240" w:lineRule="auto"/>
    </w:pPr>
    <w:rPr>
      <w:b/>
      <w:sz w:val="32"/>
    </w:rPr>
  </w:style>
  <w:style w:type="paragraph" w:customStyle="1" w:styleId="notedraft">
    <w:name w:val="note(draft)"/>
    <w:aliases w:val="nd"/>
    <w:basedOn w:val="OPCParaBase"/>
    <w:rsid w:val="009849F1"/>
    <w:pPr>
      <w:spacing w:before="240" w:line="240" w:lineRule="auto"/>
      <w:ind w:left="284" w:hanging="284"/>
    </w:pPr>
    <w:rPr>
      <w:i/>
      <w:sz w:val="24"/>
    </w:rPr>
  </w:style>
  <w:style w:type="paragraph" w:customStyle="1" w:styleId="notemargin">
    <w:name w:val="note(margin)"/>
    <w:aliases w:val="nm"/>
    <w:basedOn w:val="OPCParaBase"/>
    <w:rsid w:val="009849F1"/>
    <w:pPr>
      <w:tabs>
        <w:tab w:val="left" w:pos="709"/>
      </w:tabs>
      <w:spacing w:before="122" w:line="198" w:lineRule="exact"/>
      <w:ind w:left="709" w:hanging="709"/>
    </w:pPr>
    <w:rPr>
      <w:sz w:val="18"/>
    </w:rPr>
  </w:style>
  <w:style w:type="paragraph" w:customStyle="1" w:styleId="notepara">
    <w:name w:val="note(para)"/>
    <w:aliases w:val="na"/>
    <w:basedOn w:val="OPCParaBase"/>
    <w:rsid w:val="009849F1"/>
    <w:pPr>
      <w:spacing w:before="40" w:line="198" w:lineRule="exact"/>
      <w:ind w:left="2354" w:hanging="369"/>
    </w:pPr>
    <w:rPr>
      <w:sz w:val="18"/>
    </w:rPr>
  </w:style>
  <w:style w:type="paragraph" w:customStyle="1" w:styleId="noteParlAmend">
    <w:name w:val="note(ParlAmend)"/>
    <w:aliases w:val="npp"/>
    <w:basedOn w:val="OPCParaBase"/>
    <w:next w:val="ParlAmend"/>
    <w:rsid w:val="009849F1"/>
    <w:pPr>
      <w:spacing w:line="240" w:lineRule="auto"/>
      <w:jc w:val="right"/>
    </w:pPr>
    <w:rPr>
      <w:rFonts w:ascii="Arial" w:hAnsi="Arial"/>
      <w:b/>
      <w:i/>
    </w:rPr>
  </w:style>
  <w:style w:type="paragraph" w:customStyle="1" w:styleId="notetext">
    <w:name w:val="note(text)"/>
    <w:aliases w:val="n"/>
    <w:basedOn w:val="OPCParaBase"/>
    <w:rsid w:val="009849F1"/>
    <w:pPr>
      <w:spacing w:before="122" w:line="198" w:lineRule="exact"/>
      <w:ind w:left="1985" w:hanging="851"/>
    </w:pPr>
    <w:rPr>
      <w:sz w:val="18"/>
    </w:rPr>
  </w:style>
  <w:style w:type="paragraph" w:customStyle="1" w:styleId="Page1">
    <w:name w:val="Page1"/>
    <w:basedOn w:val="OPCParaBase"/>
    <w:rsid w:val="009849F1"/>
    <w:pPr>
      <w:spacing w:before="5600" w:line="240" w:lineRule="auto"/>
    </w:pPr>
    <w:rPr>
      <w:b/>
      <w:sz w:val="32"/>
    </w:rPr>
  </w:style>
  <w:style w:type="paragraph" w:customStyle="1" w:styleId="PageBreak">
    <w:name w:val="PageBreak"/>
    <w:aliases w:val="pb"/>
    <w:basedOn w:val="OPCParaBase"/>
    <w:rsid w:val="009849F1"/>
    <w:pPr>
      <w:spacing w:line="240" w:lineRule="auto"/>
    </w:pPr>
    <w:rPr>
      <w:sz w:val="10"/>
    </w:rPr>
  </w:style>
  <w:style w:type="paragraph" w:customStyle="1" w:styleId="paragraphsub">
    <w:name w:val="paragraph(sub)"/>
    <w:aliases w:val="aa"/>
    <w:basedOn w:val="OPCParaBase"/>
    <w:rsid w:val="009849F1"/>
    <w:pPr>
      <w:tabs>
        <w:tab w:val="right" w:pos="1985"/>
      </w:tabs>
      <w:spacing w:before="40" w:line="240" w:lineRule="auto"/>
      <w:ind w:left="2098" w:hanging="2098"/>
    </w:pPr>
  </w:style>
  <w:style w:type="paragraph" w:customStyle="1" w:styleId="paragraphsub-sub">
    <w:name w:val="paragraph(sub-sub)"/>
    <w:aliases w:val="aaa"/>
    <w:basedOn w:val="OPCParaBase"/>
    <w:rsid w:val="009849F1"/>
    <w:pPr>
      <w:tabs>
        <w:tab w:val="right" w:pos="2722"/>
      </w:tabs>
      <w:spacing w:before="40" w:line="240" w:lineRule="auto"/>
      <w:ind w:left="2835" w:hanging="2835"/>
    </w:pPr>
  </w:style>
  <w:style w:type="paragraph" w:customStyle="1" w:styleId="paragraph">
    <w:name w:val="paragraph"/>
    <w:aliases w:val="a"/>
    <w:basedOn w:val="OPCParaBase"/>
    <w:link w:val="paragraphChar"/>
    <w:rsid w:val="009849F1"/>
    <w:pPr>
      <w:tabs>
        <w:tab w:val="right" w:pos="1531"/>
      </w:tabs>
      <w:spacing w:before="40" w:line="240" w:lineRule="auto"/>
      <w:ind w:left="1644" w:hanging="1644"/>
    </w:pPr>
  </w:style>
  <w:style w:type="paragraph" w:customStyle="1" w:styleId="ParlAmend">
    <w:name w:val="ParlAmend"/>
    <w:aliases w:val="pp"/>
    <w:basedOn w:val="OPCParaBase"/>
    <w:rsid w:val="009849F1"/>
    <w:pPr>
      <w:spacing w:before="240" w:line="240" w:lineRule="atLeast"/>
      <w:ind w:hanging="567"/>
    </w:pPr>
    <w:rPr>
      <w:sz w:val="24"/>
    </w:rPr>
  </w:style>
  <w:style w:type="paragraph" w:customStyle="1" w:styleId="Penalty">
    <w:name w:val="Penalty"/>
    <w:basedOn w:val="OPCParaBase"/>
    <w:rsid w:val="009849F1"/>
    <w:pPr>
      <w:tabs>
        <w:tab w:val="left" w:pos="2977"/>
      </w:tabs>
      <w:spacing w:before="180" w:line="240" w:lineRule="auto"/>
      <w:ind w:left="1985" w:hanging="851"/>
    </w:pPr>
  </w:style>
  <w:style w:type="paragraph" w:customStyle="1" w:styleId="Portfolio">
    <w:name w:val="Portfolio"/>
    <w:basedOn w:val="OPCParaBase"/>
    <w:rsid w:val="009849F1"/>
    <w:pPr>
      <w:spacing w:line="240" w:lineRule="auto"/>
    </w:pPr>
    <w:rPr>
      <w:i/>
      <w:sz w:val="20"/>
    </w:rPr>
  </w:style>
  <w:style w:type="paragraph" w:customStyle="1" w:styleId="Preamble">
    <w:name w:val="Preamble"/>
    <w:basedOn w:val="OPCParaBase"/>
    <w:next w:val="Normal"/>
    <w:rsid w:val="009849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49F1"/>
    <w:pPr>
      <w:spacing w:line="240" w:lineRule="auto"/>
    </w:pPr>
    <w:rPr>
      <w:i/>
      <w:sz w:val="20"/>
    </w:rPr>
  </w:style>
  <w:style w:type="paragraph" w:customStyle="1" w:styleId="Session">
    <w:name w:val="Session"/>
    <w:basedOn w:val="OPCParaBase"/>
    <w:rsid w:val="009849F1"/>
    <w:pPr>
      <w:spacing w:line="240" w:lineRule="auto"/>
    </w:pPr>
    <w:rPr>
      <w:sz w:val="28"/>
    </w:rPr>
  </w:style>
  <w:style w:type="paragraph" w:customStyle="1" w:styleId="Sponsor">
    <w:name w:val="Sponsor"/>
    <w:basedOn w:val="OPCParaBase"/>
    <w:rsid w:val="009849F1"/>
    <w:pPr>
      <w:spacing w:line="240" w:lineRule="auto"/>
    </w:pPr>
    <w:rPr>
      <w:i/>
    </w:rPr>
  </w:style>
  <w:style w:type="paragraph" w:customStyle="1" w:styleId="Subitem">
    <w:name w:val="Subitem"/>
    <w:aliases w:val="iss"/>
    <w:basedOn w:val="OPCParaBase"/>
    <w:rsid w:val="009849F1"/>
    <w:pPr>
      <w:spacing w:before="180" w:line="240" w:lineRule="auto"/>
      <w:ind w:left="709" w:hanging="709"/>
    </w:pPr>
  </w:style>
  <w:style w:type="paragraph" w:customStyle="1" w:styleId="SubitemHead">
    <w:name w:val="SubitemHead"/>
    <w:aliases w:val="issh"/>
    <w:basedOn w:val="OPCParaBase"/>
    <w:rsid w:val="009849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49F1"/>
    <w:pPr>
      <w:spacing w:before="40" w:line="240" w:lineRule="auto"/>
      <w:ind w:left="1134"/>
    </w:pPr>
  </w:style>
  <w:style w:type="paragraph" w:customStyle="1" w:styleId="SubsectionHead">
    <w:name w:val="SubsectionHead"/>
    <w:aliases w:val="ssh"/>
    <w:basedOn w:val="OPCParaBase"/>
    <w:next w:val="subsection"/>
    <w:rsid w:val="009849F1"/>
    <w:pPr>
      <w:keepNext/>
      <w:keepLines/>
      <w:spacing w:before="240" w:line="240" w:lineRule="auto"/>
      <w:ind w:left="1134"/>
    </w:pPr>
    <w:rPr>
      <w:i/>
    </w:rPr>
  </w:style>
  <w:style w:type="paragraph" w:customStyle="1" w:styleId="Tablea">
    <w:name w:val="Table(a)"/>
    <w:aliases w:val="ta"/>
    <w:basedOn w:val="OPCParaBase"/>
    <w:rsid w:val="009849F1"/>
    <w:pPr>
      <w:spacing w:before="60" w:line="240" w:lineRule="auto"/>
      <w:ind w:left="284" w:hanging="284"/>
    </w:pPr>
    <w:rPr>
      <w:sz w:val="20"/>
    </w:rPr>
  </w:style>
  <w:style w:type="paragraph" w:customStyle="1" w:styleId="TableAA">
    <w:name w:val="Table(AA)"/>
    <w:aliases w:val="taaa"/>
    <w:basedOn w:val="OPCParaBase"/>
    <w:rsid w:val="009849F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49F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49F1"/>
    <w:pPr>
      <w:spacing w:before="60" w:line="240" w:lineRule="atLeast"/>
    </w:pPr>
    <w:rPr>
      <w:sz w:val="20"/>
    </w:rPr>
  </w:style>
  <w:style w:type="paragraph" w:customStyle="1" w:styleId="TLPBoxTextnote">
    <w:name w:val="TLPBoxText(note"/>
    <w:aliases w:val="right)"/>
    <w:basedOn w:val="OPCParaBase"/>
    <w:rsid w:val="009849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49F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9849F1"/>
    <w:pPr>
      <w:spacing w:before="122" w:line="198" w:lineRule="exact"/>
      <w:ind w:left="1985" w:hanging="851"/>
      <w:jc w:val="right"/>
    </w:pPr>
    <w:rPr>
      <w:sz w:val="18"/>
    </w:rPr>
  </w:style>
  <w:style w:type="paragraph" w:customStyle="1" w:styleId="TLPTableBullet">
    <w:name w:val="TLPTableBullet"/>
    <w:aliases w:val="ttb"/>
    <w:basedOn w:val="OPCParaBase"/>
    <w:rsid w:val="009849F1"/>
    <w:pPr>
      <w:spacing w:line="240" w:lineRule="exact"/>
      <w:ind w:left="284" w:hanging="284"/>
    </w:pPr>
    <w:rPr>
      <w:sz w:val="20"/>
    </w:rPr>
  </w:style>
  <w:style w:type="paragraph" w:styleId="TOC1">
    <w:name w:val="toc 1"/>
    <w:basedOn w:val="OPCParaBase"/>
    <w:next w:val="Normal"/>
    <w:uiPriority w:val="39"/>
    <w:unhideWhenUsed/>
    <w:rsid w:val="009849F1"/>
    <w:pPr>
      <w:spacing w:line="240" w:lineRule="auto"/>
    </w:pPr>
    <w:rPr>
      <w:sz w:val="24"/>
    </w:rPr>
  </w:style>
  <w:style w:type="paragraph" w:styleId="TOC2">
    <w:name w:val="toc 2"/>
    <w:basedOn w:val="OPCParaBase"/>
    <w:next w:val="Normal"/>
    <w:uiPriority w:val="39"/>
    <w:unhideWhenUsed/>
    <w:rsid w:val="009849F1"/>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9849F1"/>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9849F1"/>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9849F1"/>
    <w:pPr>
      <w:spacing w:line="240" w:lineRule="auto"/>
      <w:ind w:left="958"/>
    </w:pPr>
    <w:rPr>
      <w:sz w:val="24"/>
    </w:rPr>
  </w:style>
  <w:style w:type="paragraph" w:styleId="TOC6">
    <w:name w:val="toc 6"/>
    <w:basedOn w:val="OPCParaBase"/>
    <w:next w:val="Normal"/>
    <w:uiPriority w:val="39"/>
    <w:semiHidden/>
    <w:unhideWhenUsed/>
    <w:rsid w:val="009849F1"/>
    <w:pPr>
      <w:spacing w:line="240" w:lineRule="auto"/>
      <w:ind w:left="1202"/>
    </w:pPr>
    <w:rPr>
      <w:sz w:val="24"/>
    </w:rPr>
  </w:style>
  <w:style w:type="paragraph" w:styleId="TOC7">
    <w:name w:val="toc 7"/>
    <w:basedOn w:val="OPCParaBase"/>
    <w:next w:val="Normal"/>
    <w:uiPriority w:val="39"/>
    <w:semiHidden/>
    <w:unhideWhenUsed/>
    <w:rsid w:val="009849F1"/>
    <w:pPr>
      <w:spacing w:line="240" w:lineRule="auto"/>
      <w:ind w:left="1440"/>
    </w:pPr>
    <w:rPr>
      <w:sz w:val="24"/>
    </w:rPr>
  </w:style>
  <w:style w:type="paragraph" w:styleId="TOC8">
    <w:name w:val="toc 8"/>
    <w:basedOn w:val="OPCParaBase"/>
    <w:next w:val="Normal"/>
    <w:uiPriority w:val="39"/>
    <w:semiHidden/>
    <w:unhideWhenUsed/>
    <w:rsid w:val="009849F1"/>
    <w:pPr>
      <w:spacing w:line="240" w:lineRule="auto"/>
      <w:ind w:left="1678"/>
    </w:pPr>
    <w:rPr>
      <w:sz w:val="24"/>
    </w:rPr>
  </w:style>
  <w:style w:type="paragraph" w:styleId="TOC9">
    <w:name w:val="toc 9"/>
    <w:basedOn w:val="OPCParaBase"/>
    <w:next w:val="Normal"/>
    <w:uiPriority w:val="39"/>
    <w:unhideWhenUsed/>
    <w:rsid w:val="009849F1"/>
    <w:pPr>
      <w:spacing w:line="240" w:lineRule="auto"/>
      <w:ind w:left="1922"/>
    </w:pPr>
    <w:rPr>
      <w:sz w:val="24"/>
    </w:rPr>
  </w:style>
  <w:style w:type="paragraph" w:customStyle="1" w:styleId="TofSectsGroupHeading">
    <w:name w:val="TofSects(GroupHeading)"/>
    <w:basedOn w:val="OPCParaBase"/>
    <w:next w:val="TofSectsSection"/>
    <w:rsid w:val="009849F1"/>
    <w:pPr>
      <w:keepLines/>
      <w:spacing w:before="240" w:after="120" w:line="240" w:lineRule="auto"/>
      <w:ind w:left="794"/>
    </w:pPr>
    <w:rPr>
      <w:b/>
      <w:kern w:val="28"/>
      <w:sz w:val="20"/>
    </w:rPr>
  </w:style>
  <w:style w:type="paragraph" w:customStyle="1" w:styleId="TofSectsHeading">
    <w:name w:val="TofSects(Heading)"/>
    <w:basedOn w:val="OPCParaBase"/>
    <w:rsid w:val="009849F1"/>
    <w:pPr>
      <w:spacing w:before="240" w:after="120" w:line="240" w:lineRule="auto"/>
    </w:pPr>
    <w:rPr>
      <w:b/>
      <w:sz w:val="24"/>
    </w:rPr>
  </w:style>
  <w:style w:type="paragraph" w:customStyle="1" w:styleId="TofSectsSection">
    <w:name w:val="TofSects(Section)"/>
    <w:basedOn w:val="OPCParaBase"/>
    <w:rsid w:val="009849F1"/>
    <w:pPr>
      <w:keepLines/>
      <w:spacing w:before="40" w:line="240" w:lineRule="auto"/>
      <w:ind w:left="1588" w:hanging="794"/>
    </w:pPr>
    <w:rPr>
      <w:kern w:val="28"/>
      <w:sz w:val="18"/>
    </w:rPr>
  </w:style>
  <w:style w:type="paragraph" w:customStyle="1" w:styleId="TofSectsSubdiv">
    <w:name w:val="TofSects(Subdiv)"/>
    <w:basedOn w:val="OPCParaBase"/>
    <w:rsid w:val="009849F1"/>
    <w:pPr>
      <w:keepLines/>
      <w:spacing w:before="80" w:line="240" w:lineRule="auto"/>
      <w:ind w:left="1588" w:hanging="794"/>
    </w:pPr>
    <w:rPr>
      <w:kern w:val="28"/>
    </w:rPr>
  </w:style>
  <w:style w:type="paragraph" w:customStyle="1" w:styleId="WRStyle">
    <w:name w:val="WR Style"/>
    <w:aliases w:val="WR"/>
    <w:basedOn w:val="OPCParaBase"/>
    <w:rsid w:val="009849F1"/>
    <w:pPr>
      <w:spacing w:before="240" w:line="240" w:lineRule="auto"/>
      <w:ind w:left="284" w:hanging="284"/>
    </w:pPr>
    <w:rPr>
      <w:b/>
      <w:i/>
      <w:kern w:val="28"/>
      <w:sz w:val="24"/>
    </w:rPr>
  </w:style>
  <w:style w:type="paragraph" w:customStyle="1" w:styleId="Body">
    <w:name w:val="Body"/>
    <w:aliases w:val="b"/>
    <w:basedOn w:val="OPCParaBase"/>
    <w:rsid w:val="009849F1"/>
    <w:pPr>
      <w:spacing w:before="240" w:line="240" w:lineRule="auto"/>
    </w:pPr>
    <w:rPr>
      <w:sz w:val="24"/>
    </w:rPr>
  </w:style>
  <w:style w:type="paragraph" w:customStyle="1" w:styleId="BodyNum">
    <w:name w:val="BodyNum"/>
    <w:aliases w:val="b1"/>
    <w:basedOn w:val="OPCParaBase"/>
    <w:link w:val="BodyNumChar"/>
    <w:rsid w:val="009849F1"/>
    <w:pPr>
      <w:numPr>
        <w:numId w:val="13"/>
      </w:numPr>
      <w:spacing w:before="240" w:line="240" w:lineRule="auto"/>
    </w:pPr>
    <w:rPr>
      <w:sz w:val="24"/>
    </w:rPr>
  </w:style>
  <w:style w:type="paragraph" w:customStyle="1" w:styleId="BodyPara">
    <w:name w:val="BodyPara"/>
    <w:aliases w:val="ba"/>
    <w:basedOn w:val="OPCParaBase"/>
    <w:rsid w:val="009849F1"/>
    <w:pPr>
      <w:numPr>
        <w:ilvl w:val="1"/>
        <w:numId w:val="13"/>
      </w:numPr>
      <w:spacing w:before="240" w:line="240" w:lineRule="auto"/>
    </w:pPr>
    <w:rPr>
      <w:sz w:val="24"/>
    </w:rPr>
  </w:style>
  <w:style w:type="paragraph" w:customStyle="1" w:styleId="BodyParaBullet">
    <w:name w:val="BodyParaBullet"/>
    <w:aliases w:val="bpb"/>
    <w:basedOn w:val="OPCParaBase"/>
    <w:rsid w:val="009849F1"/>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9849F1"/>
    <w:pPr>
      <w:numPr>
        <w:ilvl w:val="3"/>
        <w:numId w:val="13"/>
      </w:numPr>
      <w:spacing w:before="240" w:line="240" w:lineRule="auto"/>
    </w:pPr>
    <w:rPr>
      <w:sz w:val="24"/>
    </w:rPr>
  </w:style>
  <w:style w:type="numbering" w:customStyle="1" w:styleId="OPCBodyList">
    <w:name w:val="OPCBodyList"/>
    <w:uiPriority w:val="99"/>
    <w:rsid w:val="009849F1"/>
    <w:pPr>
      <w:numPr>
        <w:numId w:val="13"/>
      </w:numPr>
    </w:pPr>
  </w:style>
  <w:style w:type="paragraph" w:customStyle="1" w:styleId="Head1">
    <w:name w:val="Head 1"/>
    <w:aliases w:val="1"/>
    <w:basedOn w:val="OPCParaBase"/>
    <w:next w:val="BodyNum"/>
    <w:rsid w:val="009849F1"/>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9849F1"/>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9849F1"/>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9849F1"/>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9849F1"/>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9849F1"/>
    <w:pPr>
      <w:spacing w:before="122" w:line="198" w:lineRule="exact"/>
      <w:ind w:left="2353" w:hanging="709"/>
    </w:pPr>
    <w:rPr>
      <w:sz w:val="18"/>
    </w:rPr>
  </w:style>
  <w:style w:type="paragraph" w:styleId="Footer">
    <w:name w:val="footer"/>
    <w:link w:val="FooterChar"/>
    <w:rsid w:val="009849F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49F1"/>
    <w:rPr>
      <w:rFonts w:eastAsia="Times New Roman" w:cs="Times New Roman"/>
      <w:sz w:val="22"/>
      <w:szCs w:val="24"/>
      <w:lang w:eastAsia="en-AU"/>
    </w:rPr>
  </w:style>
  <w:style w:type="character" w:styleId="PageNumber">
    <w:name w:val="page number"/>
    <w:basedOn w:val="DefaultParagraphFont"/>
    <w:rsid w:val="009849F1"/>
  </w:style>
  <w:style w:type="character" w:styleId="Emphasis">
    <w:name w:val="Emphasis"/>
    <w:basedOn w:val="DefaultParagraphFont"/>
    <w:qFormat/>
    <w:rsid w:val="00230A52"/>
    <w:rPr>
      <w:i/>
      <w:iCs/>
    </w:rPr>
  </w:style>
  <w:style w:type="character" w:styleId="Strong">
    <w:name w:val="Strong"/>
    <w:basedOn w:val="HTMLDefinition"/>
    <w:qFormat/>
    <w:rsid w:val="00230A52"/>
    <w:rPr>
      <w:b/>
      <w:bCs/>
      <w:i/>
      <w:iCs/>
    </w:rPr>
  </w:style>
  <w:style w:type="character" w:customStyle="1" w:styleId="BodyNumChar">
    <w:name w:val="BodyNum Char"/>
    <w:aliases w:val="b1 Char"/>
    <w:basedOn w:val="DefaultParagraphFont"/>
    <w:link w:val="BodyNum"/>
    <w:rsid w:val="00230A52"/>
    <w:rPr>
      <w:rFonts w:eastAsia="Times New Roman" w:cs="Times New Roman"/>
      <w:sz w:val="24"/>
      <w:lang w:eastAsia="en-AU"/>
    </w:rPr>
  </w:style>
  <w:style w:type="character" w:styleId="HTMLDefinition">
    <w:name w:val="HTML Definition"/>
    <w:basedOn w:val="DefaultParagraphFont"/>
    <w:uiPriority w:val="99"/>
    <w:semiHidden/>
    <w:unhideWhenUsed/>
    <w:rsid w:val="00230A52"/>
    <w:rPr>
      <w:i/>
      <w:iCs/>
    </w:rPr>
  </w:style>
  <w:style w:type="paragraph" w:customStyle="1" w:styleId="Issued">
    <w:name w:val="Issued"/>
    <w:basedOn w:val="Body"/>
    <w:rsid w:val="009849F1"/>
    <w:pPr>
      <w:spacing w:before="120"/>
    </w:pPr>
    <w:rPr>
      <w:b/>
      <w:sz w:val="28"/>
    </w:rPr>
  </w:style>
  <w:style w:type="paragraph" w:customStyle="1" w:styleId="Release">
    <w:name w:val="Release"/>
    <w:basedOn w:val="Body"/>
    <w:rsid w:val="009849F1"/>
    <w:rPr>
      <w:b/>
    </w:rPr>
  </w:style>
  <w:style w:type="paragraph" w:customStyle="1" w:styleId="Specials">
    <w:name w:val="Special s"/>
    <w:basedOn w:val="Normal"/>
    <w:link w:val="SpecialsChar"/>
    <w:rsid w:val="002D2547"/>
    <w:pPr>
      <w:keepNext/>
      <w:keepLines/>
      <w:spacing w:before="280" w:line="240" w:lineRule="auto"/>
      <w:ind w:left="1134" w:hanging="1134"/>
    </w:pPr>
    <w:rPr>
      <w:rFonts w:eastAsia="Times New Roman" w:cs="Times New Roman"/>
      <w:b/>
      <w:bCs/>
      <w:kern w:val="28"/>
      <w:sz w:val="24"/>
      <w:szCs w:val="32"/>
      <w:lang w:eastAsia="en-AU"/>
    </w:rPr>
  </w:style>
  <w:style w:type="paragraph" w:customStyle="1" w:styleId="Specialih">
    <w:name w:val="Special ih"/>
    <w:basedOn w:val="ItemHead"/>
    <w:link w:val="SpecialihChar"/>
    <w:rsid w:val="00CC4230"/>
  </w:style>
  <w:style w:type="character" w:customStyle="1" w:styleId="OPCParaBaseChar">
    <w:name w:val="OPCParaBase Char"/>
    <w:basedOn w:val="DefaultParagraphFont"/>
    <w:link w:val="OPCParaBase"/>
    <w:rsid w:val="00CC4230"/>
    <w:rPr>
      <w:rFonts w:eastAsia="Times New Roman" w:cs="Times New Roman"/>
      <w:sz w:val="22"/>
      <w:lang w:eastAsia="en-AU"/>
    </w:rPr>
  </w:style>
  <w:style w:type="character" w:customStyle="1" w:styleId="ItemHeadChar">
    <w:name w:val="ItemHead Char"/>
    <w:aliases w:val="ih Char"/>
    <w:basedOn w:val="OPCParaBaseChar"/>
    <w:link w:val="ItemHead"/>
    <w:rsid w:val="00CC4230"/>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CC4230"/>
    <w:rPr>
      <w:rFonts w:ascii="Arial" w:eastAsia="Times New Roman" w:hAnsi="Arial" w:cs="Times New Roman"/>
      <w:b/>
      <w:kern w:val="28"/>
      <w:sz w:val="24"/>
      <w:lang w:eastAsia="en-AU"/>
    </w:rPr>
  </w:style>
  <w:style w:type="paragraph" w:styleId="ListParagraph">
    <w:name w:val="List Paragraph"/>
    <w:basedOn w:val="Normal"/>
    <w:uiPriority w:val="34"/>
    <w:qFormat/>
    <w:rsid w:val="004A0102"/>
    <w:pPr>
      <w:spacing w:line="240" w:lineRule="auto"/>
      <w:ind w:left="720"/>
    </w:pPr>
    <w:rPr>
      <w:rFonts w:cs="Times New Roman"/>
      <w:sz w:val="24"/>
      <w:szCs w:val="24"/>
      <w:lang w:eastAsia="en-AU"/>
    </w:rPr>
  </w:style>
  <w:style w:type="character" w:customStyle="1" w:styleId="subsectionChar">
    <w:name w:val="subsection Char"/>
    <w:aliases w:val="ss Char"/>
    <w:basedOn w:val="DefaultParagraphFont"/>
    <w:link w:val="subsection"/>
    <w:locked/>
    <w:rsid w:val="00562819"/>
    <w:rPr>
      <w:rFonts w:eastAsia="Times New Roman" w:cs="Times New Roman"/>
      <w:sz w:val="22"/>
      <w:lang w:eastAsia="en-AU"/>
    </w:rPr>
  </w:style>
  <w:style w:type="character" w:customStyle="1" w:styleId="paragraphChar">
    <w:name w:val="paragraph Char"/>
    <w:aliases w:val="a Char"/>
    <w:basedOn w:val="DefaultParagraphFont"/>
    <w:link w:val="paragraph"/>
    <w:locked/>
    <w:rsid w:val="00562819"/>
    <w:rPr>
      <w:rFonts w:eastAsia="Times New Roman" w:cs="Times New Roman"/>
      <w:sz w:val="22"/>
      <w:lang w:eastAsia="en-AU"/>
    </w:rPr>
  </w:style>
  <w:style w:type="paragraph" w:styleId="BalloonText">
    <w:name w:val="Balloon Text"/>
    <w:basedOn w:val="Normal"/>
    <w:link w:val="BalloonTextChar"/>
    <w:uiPriority w:val="99"/>
    <w:semiHidden/>
    <w:unhideWhenUsed/>
    <w:rsid w:val="009849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9F1"/>
    <w:rPr>
      <w:rFonts w:ascii="Tahoma" w:hAnsi="Tahoma" w:cs="Tahoma"/>
      <w:sz w:val="16"/>
      <w:szCs w:val="16"/>
    </w:rPr>
  </w:style>
  <w:style w:type="paragraph" w:customStyle="1" w:styleId="NoteDraftingDirection">
    <w:name w:val="Note Drafting Direction"/>
    <w:basedOn w:val="OPCParaBase"/>
    <w:rsid w:val="009849F1"/>
    <w:pPr>
      <w:spacing w:before="120"/>
      <w:ind w:left="1134" w:hanging="1134"/>
    </w:pPr>
    <w:rPr>
      <w:sz w:val="18"/>
    </w:rPr>
  </w:style>
  <w:style w:type="paragraph" w:customStyle="1" w:styleId="SOText">
    <w:name w:val="SO Text"/>
    <w:aliases w:val="sot"/>
    <w:link w:val="SOTextChar"/>
    <w:rsid w:val="009849F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49F1"/>
    <w:rPr>
      <w:sz w:val="22"/>
    </w:rPr>
  </w:style>
  <w:style w:type="paragraph" w:customStyle="1" w:styleId="SOTextNote">
    <w:name w:val="SO TextNote"/>
    <w:aliases w:val="sont"/>
    <w:basedOn w:val="SOText"/>
    <w:qFormat/>
    <w:rsid w:val="009849F1"/>
    <w:pPr>
      <w:spacing w:before="122" w:line="198" w:lineRule="exact"/>
      <w:ind w:left="1843" w:hanging="709"/>
    </w:pPr>
    <w:rPr>
      <w:sz w:val="18"/>
    </w:rPr>
  </w:style>
  <w:style w:type="paragraph" w:customStyle="1" w:styleId="SOPara">
    <w:name w:val="SO Para"/>
    <w:aliases w:val="soa"/>
    <w:basedOn w:val="SOText"/>
    <w:link w:val="SOParaChar"/>
    <w:qFormat/>
    <w:rsid w:val="009849F1"/>
    <w:pPr>
      <w:tabs>
        <w:tab w:val="right" w:pos="1786"/>
      </w:tabs>
      <w:spacing w:before="40"/>
      <w:ind w:left="2070" w:hanging="936"/>
    </w:pPr>
  </w:style>
  <w:style w:type="character" w:customStyle="1" w:styleId="SOParaChar">
    <w:name w:val="SO Para Char"/>
    <w:aliases w:val="soa Char"/>
    <w:basedOn w:val="DefaultParagraphFont"/>
    <w:link w:val="SOPara"/>
    <w:rsid w:val="009849F1"/>
    <w:rPr>
      <w:sz w:val="22"/>
    </w:rPr>
  </w:style>
  <w:style w:type="paragraph" w:customStyle="1" w:styleId="FileName">
    <w:name w:val="FileName"/>
    <w:basedOn w:val="Normal"/>
    <w:rsid w:val="009849F1"/>
  </w:style>
  <w:style w:type="paragraph" w:customStyle="1" w:styleId="TableHeading">
    <w:name w:val="TableHeading"/>
    <w:aliases w:val="th"/>
    <w:basedOn w:val="OPCParaBase"/>
    <w:next w:val="Tabletext"/>
    <w:rsid w:val="009849F1"/>
    <w:pPr>
      <w:keepNext/>
      <w:spacing w:before="60" w:line="240" w:lineRule="atLeast"/>
    </w:pPr>
    <w:rPr>
      <w:b/>
      <w:sz w:val="20"/>
    </w:rPr>
  </w:style>
  <w:style w:type="paragraph" w:customStyle="1" w:styleId="SOHeadBold">
    <w:name w:val="SO HeadBold"/>
    <w:aliases w:val="sohb"/>
    <w:basedOn w:val="SOText"/>
    <w:next w:val="SOText"/>
    <w:link w:val="SOHeadBoldChar"/>
    <w:qFormat/>
    <w:rsid w:val="009849F1"/>
    <w:rPr>
      <w:b/>
    </w:rPr>
  </w:style>
  <w:style w:type="character" w:customStyle="1" w:styleId="SOHeadBoldChar">
    <w:name w:val="SO HeadBold Char"/>
    <w:aliases w:val="sohb Char"/>
    <w:basedOn w:val="DefaultParagraphFont"/>
    <w:link w:val="SOHeadBold"/>
    <w:rsid w:val="009849F1"/>
    <w:rPr>
      <w:b/>
      <w:sz w:val="22"/>
    </w:rPr>
  </w:style>
  <w:style w:type="paragraph" w:customStyle="1" w:styleId="SOHeadItalic">
    <w:name w:val="SO HeadItalic"/>
    <w:aliases w:val="sohi"/>
    <w:basedOn w:val="SOText"/>
    <w:next w:val="SOText"/>
    <w:link w:val="SOHeadItalicChar"/>
    <w:qFormat/>
    <w:rsid w:val="009849F1"/>
    <w:rPr>
      <w:i/>
    </w:rPr>
  </w:style>
  <w:style w:type="character" w:customStyle="1" w:styleId="SOHeadItalicChar">
    <w:name w:val="SO HeadItalic Char"/>
    <w:aliases w:val="sohi Char"/>
    <w:basedOn w:val="DefaultParagraphFont"/>
    <w:link w:val="SOHeadItalic"/>
    <w:rsid w:val="009849F1"/>
    <w:rPr>
      <w:i/>
      <w:sz w:val="22"/>
    </w:rPr>
  </w:style>
  <w:style w:type="paragraph" w:customStyle="1" w:styleId="SOBullet">
    <w:name w:val="SO Bullet"/>
    <w:aliases w:val="sotb"/>
    <w:basedOn w:val="SOText"/>
    <w:link w:val="SOBulletChar"/>
    <w:qFormat/>
    <w:rsid w:val="009849F1"/>
    <w:pPr>
      <w:ind w:left="1559" w:hanging="425"/>
    </w:pPr>
  </w:style>
  <w:style w:type="character" w:customStyle="1" w:styleId="SOBulletChar">
    <w:name w:val="SO Bullet Char"/>
    <w:aliases w:val="sotb Char"/>
    <w:basedOn w:val="DefaultParagraphFont"/>
    <w:link w:val="SOBullet"/>
    <w:rsid w:val="009849F1"/>
    <w:rPr>
      <w:sz w:val="22"/>
    </w:rPr>
  </w:style>
  <w:style w:type="paragraph" w:customStyle="1" w:styleId="SOBulletNote">
    <w:name w:val="SO BulletNote"/>
    <w:aliases w:val="sonb"/>
    <w:basedOn w:val="SOTextNote"/>
    <w:link w:val="SOBulletNoteChar"/>
    <w:qFormat/>
    <w:rsid w:val="009849F1"/>
    <w:pPr>
      <w:tabs>
        <w:tab w:val="left" w:pos="1560"/>
      </w:tabs>
      <w:ind w:left="2268" w:hanging="1134"/>
    </w:pPr>
  </w:style>
  <w:style w:type="character" w:customStyle="1" w:styleId="SOBulletNoteChar">
    <w:name w:val="SO BulletNote Char"/>
    <w:aliases w:val="sonb Char"/>
    <w:basedOn w:val="DefaultParagraphFont"/>
    <w:link w:val="SOBulletNote"/>
    <w:rsid w:val="009849F1"/>
    <w:rPr>
      <w:sz w:val="18"/>
    </w:rPr>
  </w:style>
  <w:style w:type="paragraph" w:customStyle="1" w:styleId="FreeForm">
    <w:name w:val="FreeForm"/>
    <w:rsid w:val="002853BE"/>
    <w:rPr>
      <w:rFonts w:ascii="Arial" w:eastAsia="Calibri" w:hAnsi="Arial" w:cs="Times New Roman"/>
      <w:sz w:val="22"/>
    </w:rPr>
  </w:style>
  <w:style w:type="paragraph" w:customStyle="1" w:styleId="SubPartCASA">
    <w:name w:val="SubPart(CASA)"/>
    <w:aliases w:val="csp"/>
    <w:basedOn w:val="OPCParaBase"/>
    <w:next w:val="ActHead3"/>
    <w:rsid w:val="009849F1"/>
    <w:pPr>
      <w:keepNext/>
      <w:keepLines/>
      <w:spacing w:before="280"/>
      <w:ind w:left="1134" w:hanging="1134"/>
      <w:outlineLvl w:val="1"/>
    </w:pPr>
    <w:rPr>
      <w:b/>
      <w:kern w:val="28"/>
      <w:sz w:val="32"/>
    </w:rPr>
  </w:style>
  <w:style w:type="character" w:customStyle="1" w:styleId="Heading7Char">
    <w:name w:val="Heading 7 Char"/>
    <w:basedOn w:val="DefaultParagraphFont"/>
    <w:link w:val="Heading7"/>
    <w:uiPriority w:val="9"/>
    <w:rsid w:val="00BA607F"/>
    <w:rPr>
      <w:rFonts w:asciiTheme="majorHAnsi" w:eastAsiaTheme="majorEastAsia" w:hAnsiTheme="majorHAnsi" w:cstheme="majorBidi"/>
      <w:i/>
      <w:iCs/>
      <w:color w:val="404040" w:themeColor="text1" w:themeTint="BF"/>
      <w:sz w:val="22"/>
    </w:rPr>
  </w:style>
  <w:style w:type="paragraph" w:customStyle="1" w:styleId="Transitional">
    <w:name w:val="Transitional"/>
    <w:aliases w:val="tr"/>
    <w:basedOn w:val="Normal"/>
    <w:next w:val="Normal"/>
    <w:rsid w:val="00A9271A"/>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indent">
    <w:name w:val="note(indent)"/>
    <w:aliases w:val="ni"/>
    <w:basedOn w:val="notetext"/>
    <w:rsid w:val="00943001"/>
    <w:pPr>
      <w:ind w:left="2410" w:hanging="1701"/>
    </w:pPr>
  </w:style>
  <w:style w:type="character" w:customStyle="1" w:styleId="SpecialsChar">
    <w:name w:val="Special s Char"/>
    <w:basedOn w:val="DefaultParagraphFont"/>
    <w:link w:val="Specials"/>
    <w:rsid w:val="00943001"/>
    <w:rPr>
      <w:rFonts w:eastAsia="Times New Roman" w:cs="Times New Roman"/>
      <w:b/>
      <w:bCs/>
      <w:kern w:val="28"/>
      <w:sz w:val="24"/>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2385">
      <w:bodyDiv w:val="1"/>
      <w:marLeft w:val="0"/>
      <w:marRight w:val="0"/>
      <w:marTop w:val="0"/>
      <w:marBottom w:val="0"/>
      <w:divBdr>
        <w:top w:val="none" w:sz="0" w:space="0" w:color="auto"/>
        <w:left w:val="none" w:sz="0" w:space="0" w:color="auto"/>
        <w:bottom w:val="none" w:sz="0" w:space="0" w:color="auto"/>
        <w:right w:val="none" w:sz="0" w:space="0" w:color="auto"/>
      </w:divBdr>
    </w:div>
    <w:div w:id="145391515">
      <w:bodyDiv w:val="1"/>
      <w:marLeft w:val="0"/>
      <w:marRight w:val="0"/>
      <w:marTop w:val="0"/>
      <w:marBottom w:val="0"/>
      <w:divBdr>
        <w:top w:val="none" w:sz="0" w:space="0" w:color="auto"/>
        <w:left w:val="none" w:sz="0" w:space="0" w:color="auto"/>
        <w:bottom w:val="none" w:sz="0" w:space="0" w:color="auto"/>
        <w:right w:val="none" w:sz="0" w:space="0" w:color="auto"/>
      </w:divBdr>
    </w:div>
    <w:div w:id="154418281">
      <w:bodyDiv w:val="1"/>
      <w:marLeft w:val="0"/>
      <w:marRight w:val="0"/>
      <w:marTop w:val="0"/>
      <w:marBottom w:val="0"/>
      <w:divBdr>
        <w:top w:val="none" w:sz="0" w:space="0" w:color="auto"/>
        <w:left w:val="none" w:sz="0" w:space="0" w:color="auto"/>
        <w:bottom w:val="none" w:sz="0" w:space="0" w:color="auto"/>
        <w:right w:val="none" w:sz="0" w:space="0" w:color="auto"/>
      </w:divBdr>
    </w:div>
    <w:div w:id="312104352">
      <w:bodyDiv w:val="1"/>
      <w:marLeft w:val="0"/>
      <w:marRight w:val="0"/>
      <w:marTop w:val="0"/>
      <w:marBottom w:val="0"/>
      <w:divBdr>
        <w:top w:val="none" w:sz="0" w:space="0" w:color="auto"/>
        <w:left w:val="none" w:sz="0" w:space="0" w:color="auto"/>
        <w:bottom w:val="none" w:sz="0" w:space="0" w:color="auto"/>
        <w:right w:val="none" w:sz="0" w:space="0" w:color="auto"/>
      </w:divBdr>
    </w:div>
    <w:div w:id="324862157">
      <w:bodyDiv w:val="1"/>
      <w:marLeft w:val="0"/>
      <w:marRight w:val="0"/>
      <w:marTop w:val="0"/>
      <w:marBottom w:val="0"/>
      <w:divBdr>
        <w:top w:val="none" w:sz="0" w:space="0" w:color="auto"/>
        <w:left w:val="none" w:sz="0" w:space="0" w:color="auto"/>
        <w:bottom w:val="none" w:sz="0" w:space="0" w:color="auto"/>
        <w:right w:val="none" w:sz="0" w:space="0" w:color="auto"/>
      </w:divBdr>
    </w:div>
    <w:div w:id="559562932">
      <w:bodyDiv w:val="1"/>
      <w:marLeft w:val="0"/>
      <w:marRight w:val="0"/>
      <w:marTop w:val="0"/>
      <w:marBottom w:val="0"/>
      <w:divBdr>
        <w:top w:val="none" w:sz="0" w:space="0" w:color="auto"/>
        <w:left w:val="none" w:sz="0" w:space="0" w:color="auto"/>
        <w:bottom w:val="none" w:sz="0" w:space="0" w:color="auto"/>
        <w:right w:val="none" w:sz="0" w:space="0" w:color="auto"/>
      </w:divBdr>
    </w:div>
    <w:div w:id="584531874">
      <w:bodyDiv w:val="1"/>
      <w:marLeft w:val="0"/>
      <w:marRight w:val="0"/>
      <w:marTop w:val="0"/>
      <w:marBottom w:val="0"/>
      <w:divBdr>
        <w:top w:val="none" w:sz="0" w:space="0" w:color="auto"/>
        <w:left w:val="none" w:sz="0" w:space="0" w:color="auto"/>
        <w:bottom w:val="none" w:sz="0" w:space="0" w:color="auto"/>
        <w:right w:val="none" w:sz="0" w:space="0" w:color="auto"/>
      </w:divBdr>
    </w:div>
    <w:div w:id="627661796">
      <w:bodyDiv w:val="1"/>
      <w:marLeft w:val="0"/>
      <w:marRight w:val="0"/>
      <w:marTop w:val="0"/>
      <w:marBottom w:val="0"/>
      <w:divBdr>
        <w:top w:val="none" w:sz="0" w:space="0" w:color="auto"/>
        <w:left w:val="none" w:sz="0" w:space="0" w:color="auto"/>
        <w:bottom w:val="none" w:sz="0" w:space="0" w:color="auto"/>
        <w:right w:val="none" w:sz="0" w:space="0" w:color="auto"/>
      </w:divBdr>
    </w:div>
    <w:div w:id="817259688">
      <w:bodyDiv w:val="1"/>
      <w:marLeft w:val="0"/>
      <w:marRight w:val="0"/>
      <w:marTop w:val="0"/>
      <w:marBottom w:val="0"/>
      <w:divBdr>
        <w:top w:val="none" w:sz="0" w:space="0" w:color="auto"/>
        <w:left w:val="none" w:sz="0" w:space="0" w:color="auto"/>
        <w:bottom w:val="none" w:sz="0" w:space="0" w:color="auto"/>
        <w:right w:val="none" w:sz="0" w:space="0" w:color="auto"/>
      </w:divBdr>
    </w:div>
    <w:div w:id="827210302">
      <w:bodyDiv w:val="1"/>
      <w:marLeft w:val="0"/>
      <w:marRight w:val="0"/>
      <w:marTop w:val="0"/>
      <w:marBottom w:val="0"/>
      <w:divBdr>
        <w:top w:val="none" w:sz="0" w:space="0" w:color="auto"/>
        <w:left w:val="none" w:sz="0" w:space="0" w:color="auto"/>
        <w:bottom w:val="none" w:sz="0" w:space="0" w:color="auto"/>
        <w:right w:val="none" w:sz="0" w:space="0" w:color="auto"/>
      </w:divBdr>
    </w:div>
    <w:div w:id="936133291">
      <w:bodyDiv w:val="1"/>
      <w:marLeft w:val="0"/>
      <w:marRight w:val="0"/>
      <w:marTop w:val="0"/>
      <w:marBottom w:val="0"/>
      <w:divBdr>
        <w:top w:val="none" w:sz="0" w:space="0" w:color="auto"/>
        <w:left w:val="none" w:sz="0" w:space="0" w:color="auto"/>
        <w:bottom w:val="none" w:sz="0" w:space="0" w:color="auto"/>
        <w:right w:val="none" w:sz="0" w:space="0" w:color="auto"/>
      </w:divBdr>
    </w:div>
    <w:div w:id="1011643615">
      <w:bodyDiv w:val="1"/>
      <w:marLeft w:val="0"/>
      <w:marRight w:val="0"/>
      <w:marTop w:val="0"/>
      <w:marBottom w:val="0"/>
      <w:divBdr>
        <w:top w:val="none" w:sz="0" w:space="0" w:color="auto"/>
        <w:left w:val="none" w:sz="0" w:space="0" w:color="auto"/>
        <w:bottom w:val="none" w:sz="0" w:space="0" w:color="auto"/>
        <w:right w:val="none" w:sz="0" w:space="0" w:color="auto"/>
      </w:divBdr>
    </w:div>
    <w:div w:id="1093085795">
      <w:bodyDiv w:val="1"/>
      <w:marLeft w:val="0"/>
      <w:marRight w:val="0"/>
      <w:marTop w:val="0"/>
      <w:marBottom w:val="0"/>
      <w:divBdr>
        <w:top w:val="none" w:sz="0" w:space="0" w:color="auto"/>
        <w:left w:val="none" w:sz="0" w:space="0" w:color="auto"/>
        <w:bottom w:val="none" w:sz="0" w:space="0" w:color="auto"/>
        <w:right w:val="none" w:sz="0" w:space="0" w:color="auto"/>
      </w:divBdr>
    </w:div>
    <w:div w:id="1184713412">
      <w:bodyDiv w:val="1"/>
      <w:marLeft w:val="0"/>
      <w:marRight w:val="0"/>
      <w:marTop w:val="0"/>
      <w:marBottom w:val="0"/>
      <w:divBdr>
        <w:top w:val="none" w:sz="0" w:space="0" w:color="auto"/>
        <w:left w:val="none" w:sz="0" w:space="0" w:color="auto"/>
        <w:bottom w:val="none" w:sz="0" w:space="0" w:color="auto"/>
        <w:right w:val="none" w:sz="0" w:space="0" w:color="auto"/>
      </w:divBdr>
    </w:div>
    <w:div w:id="1231307162">
      <w:bodyDiv w:val="1"/>
      <w:marLeft w:val="0"/>
      <w:marRight w:val="0"/>
      <w:marTop w:val="0"/>
      <w:marBottom w:val="0"/>
      <w:divBdr>
        <w:top w:val="none" w:sz="0" w:space="0" w:color="auto"/>
        <w:left w:val="none" w:sz="0" w:space="0" w:color="auto"/>
        <w:bottom w:val="none" w:sz="0" w:space="0" w:color="auto"/>
        <w:right w:val="none" w:sz="0" w:space="0" w:color="auto"/>
      </w:divBdr>
    </w:div>
    <w:div w:id="1235894562">
      <w:bodyDiv w:val="1"/>
      <w:marLeft w:val="0"/>
      <w:marRight w:val="0"/>
      <w:marTop w:val="0"/>
      <w:marBottom w:val="0"/>
      <w:divBdr>
        <w:top w:val="none" w:sz="0" w:space="0" w:color="auto"/>
        <w:left w:val="none" w:sz="0" w:space="0" w:color="auto"/>
        <w:bottom w:val="none" w:sz="0" w:space="0" w:color="auto"/>
        <w:right w:val="none" w:sz="0" w:space="0" w:color="auto"/>
      </w:divBdr>
    </w:div>
    <w:div w:id="1278751697">
      <w:bodyDiv w:val="1"/>
      <w:marLeft w:val="0"/>
      <w:marRight w:val="0"/>
      <w:marTop w:val="0"/>
      <w:marBottom w:val="0"/>
      <w:divBdr>
        <w:top w:val="none" w:sz="0" w:space="0" w:color="auto"/>
        <w:left w:val="none" w:sz="0" w:space="0" w:color="auto"/>
        <w:bottom w:val="none" w:sz="0" w:space="0" w:color="auto"/>
        <w:right w:val="none" w:sz="0" w:space="0" w:color="auto"/>
      </w:divBdr>
    </w:div>
    <w:div w:id="1492134084">
      <w:bodyDiv w:val="1"/>
      <w:marLeft w:val="0"/>
      <w:marRight w:val="0"/>
      <w:marTop w:val="0"/>
      <w:marBottom w:val="0"/>
      <w:divBdr>
        <w:top w:val="none" w:sz="0" w:space="0" w:color="auto"/>
        <w:left w:val="none" w:sz="0" w:space="0" w:color="auto"/>
        <w:bottom w:val="none" w:sz="0" w:space="0" w:color="auto"/>
        <w:right w:val="none" w:sz="0" w:space="0" w:color="auto"/>
      </w:divBdr>
    </w:div>
    <w:div w:id="1508449146">
      <w:bodyDiv w:val="1"/>
      <w:marLeft w:val="0"/>
      <w:marRight w:val="0"/>
      <w:marTop w:val="0"/>
      <w:marBottom w:val="0"/>
      <w:divBdr>
        <w:top w:val="none" w:sz="0" w:space="0" w:color="auto"/>
        <w:left w:val="none" w:sz="0" w:space="0" w:color="auto"/>
        <w:bottom w:val="none" w:sz="0" w:space="0" w:color="auto"/>
        <w:right w:val="none" w:sz="0" w:space="0" w:color="auto"/>
      </w:divBdr>
    </w:div>
    <w:div w:id="1615476141">
      <w:bodyDiv w:val="1"/>
      <w:marLeft w:val="0"/>
      <w:marRight w:val="0"/>
      <w:marTop w:val="0"/>
      <w:marBottom w:val="0"/>
      <w:divBdr>
        <w:top w:val="none" w:sz="0" w:space="0" w:color="auto"/>
        <w:left w:val="none" w:sz="0" w:space="0" w:color="auto"/>
        <w:bottom w:val="none" w:sz="0" w:space="0" w:color="auto"/>
        <w:right w:val="none" w:sz="0" w:space="0" w:color="auto"/>
      </w:divBdr>
    </w:div>
    <w:div w:id="1671366315">
      <w:bodyDiv w:val="1"/>
      <w:marLeft w:val="0"/>
      <w:marRight w:val="0"/>
      <w:marTop w:val="0"/>
      <w:marBottom w:val="0"/>
      <w:divBdr>
        <w:top w:val="none" w:sz="0" w:space="0" w:color="auto"/>
        <w:left w:val="none" w:sz="0" w:space="0" w:color="auto"/>
        <w:bottom w:val="none" w:sz="0" w:space="0" w:color="auto"/>
        <w:right w:val="none" w:sz="0" w:space="0" w:color="auto"/>
      </w:divBdr>
    </w:div>
    <w:div w:id="1948003613">
      <w:bodyDiv w:val="1"/>
      <w:marLeft w:val="0"/>
      <w:marRight w:val="0"/>
      <w:marTop w:val="0"/>
      <w:marBottom w:val="0"/>
      <w:divBdr>
        <w:top w:val="none" w:sz="0" w:space="0" w:color="auto"/>
        <w:left w:val="none" w:sz="0" w:space="0" w:color="auto"/>
        <w:bottom w:val="none" w:sz="0" w:space="0" w:color="auto"/>
        <w:right w:val="none" w:sz="0" w:space="0" w:color="auto"/>
      </w:divBdr>
    </w:div>
    <w:div w:id="19869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38024-7FC6-443C-A3F8-C76D2F78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30</Pages>
  <Words>12745</Words>
  <Characters>66341</Characters>
  <Application>Microsoft Office Word</Application>
  <DocSecurity>8</DocSecurity>
  <Lines>1165</Lines>
  <Paragraphs>524</Paragraphs>
  <ScaleCrop>false</ScaleCrop>
  <HeadingPairs>
    <vt:vector size="2" baseType="variant">
      <vt:variant>
        <vt:lpstr>Title</vt:lpstr>
      </vt:variant>
      <vt:variant>
        <vt:i4>1</vt:i4>
      </vt:variant>
    </vt:vector>
  </HeadingPairs>
  <TitlesOfParts>
    <vt:vector size="1" baseType="lpstr">
      <vt:lpstr>Drafting Direction No. 3.8 Subordinate legislation</vt:lpstr>
    </vt:vector>
  </TitlesOfParts>
  <Company>Office of Parliamentary Counsel</Company>
  <LinksUpToDate>false</LinksUpToDate>
  <CharactersWithSpaces>78624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3.8 Subordinate legislation</dc:title>
  <dc:subject/>
  <dc:creator>Bevan Hewitt Murray</dc:creator>
  <cp:keywords/>
  <dc:description/>
  <cp:lastModifiedBy>Petrovska, Elena</cp:lastModifiedBy>
  <cp:revision>4</cp:revision>
  <cp:lastPrinted>2019-06-05T23:55:00Z</cp:lastPrinted>
  <dcterms:created xsi:type="dcterms:W3CDTF">2021-12-09T03:25:00Z</dcterms:created>
  <dcterms:modified xsi:type="dcterms:W3CDTF">2021-12-09T03:25:00Z</dcterms:modified>
  <cp:category>For internal use; Other - After EP updates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UNOFFICIAL</vt:lpwstr>
  </property>
  <property fmtid="{D5CDD505-2E9C-101B-9397-08002B2CF9AE}" pid="3" name="DoNotAsk">
    <vt:lpwstr>1</vt:lpwstr>
  </property>
  <property fmtid="{D5CDD505-2E9C-101B-9397-08002B2CF9AE}" pid="4" name="ChangedTitle">
    <vt:lpwstr>DRAFT Drafting Direction No. 3.8 Subordinate legislation</vt:lpwstr>
  </property>
  <property fmtid="{D5CDD505-2E9C-101B-9397-08002B2CF9AE}" pid="5" name="DLM">
    <vt:lpwstr> </vt:lpwstr>
  </property>
</Properties>
</file>