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76B" w:rsidRPr="005576B2" w:rsidRDefault="0085476B" w:rsidP="005576B2">
      <w:pPr>
        <w:pStyle w:val="Head1"/>
      </w:pPr>
      <w:r w:rsidRPr="005576B2">
        <w:t>Drafting Direction No. 3.2</w:t>
      </w:r>
      <w:r w:rsidRPr="005576B2">
        <w:br/>
        <w:t>Taxation</w:t>
      </w:r>
    </w:p>
    <w:p w:rsidR="001D550C" w:rsidRPr="005576B2" w:rsidRDefault="001D550C" w:rsidP="001D550C">
      <w:pPr>
        <w:pStyle w:val="Release"/>
      </w:pPr>
      <w:r w:rsidRPr="005576B2">
        <w:t>Document release</w:t>
      </w:r>
      <w:r w:rsidR="00F218EE" w:rsidRPr="005576B2">
        <w:t xml:space="preserve"> 2.0</w:t>
      </w:r>
    </w:p>
    <w:p w:rsidR="001D550C" w:rsidRPr="005576B2" w:rsidRDefault="00356D51" w:rsidP="00F218EE">
      <w:pPr>
        <w:pStyle w:val="Issued"/>
      </w:pPr>
      <w:r w:rsidRPr="005576B2">
        <w:t>Rei</w:t>
      </w:r>
      <w:r w:rsidR="001D550C" w:rsidRPr="005576B2">
        <w:t xml:space="preserve">ssued </w:t>
      </w:r>
      <w:r w:rsidR="00F218EE" w:rsidRPr="005576B2">
        <w:t>July</w:t>
      </w:r>
      <w:r w:rsidRPr="005576B2">
        <w:t xml:space="preserve"> 201</w:t>
      </w:r>
      <w:r w:rsidR="0043234F" w:rsidRPr="005576B2">
        <w:t>9</w:t>
      </w:r>
    </w:p>
    <w:p w:rsidR="00752F41" w:rsidRPr="005576B2" w:rsidRDefault="00752F41" w:rsidP="001D550C"/>
    <w:p w:rsidR="0085476B" w:rsidRPr="005576B2" w:rsidRDefault="0085476B" w:rsidP="0085476B">
      <w:pPr>
        <w:rPr>
          <w:sz w:val="32"/>
        </w:rPr>
      </w:pPr>
      <w:r w:rsidRPr="005576B2">
        <w:rPr>
          <w:sz w:val="32"/>
        </w:rPr>
        <w:t>Contents</w:t>
      </w:r>
    </w:p>
    <w:p w:rsidR="005576B2" w:rsidRDefault="005F1E7A">
      <w:pPr>
        <w:pStyle w:val="TOC2"/>
        <w:rPr>
          <w:rFonts w:asciiTheme="minorHAnsi" w:eastAsiaTheme="minorEastAsia" w:hAnsiTheme="minorHAnsi" w:cstheme="minorBidi"/>
          <w:b w:val="0"/>
          <w:sz w:val="22"/>
          <w:szCs w:val="22"/>
        </w:rPr>
      </w:pPr>
      <w:r w:rsidRPr="005576B2">
        <w:fldChar w:fldCharType="begin"/>
      </w:r>
      <w:r w:rsidRPr="005576B2">
        <w:instrText xml:space="preserve"> TOC \o "2-9" </w:instrText>
      </w:r>
      <w:r w:rsidRPr="005576B2">
        <w:fldChar w:fldCharType="separate"/>
      </w:r>
      <w:r w:rsidR="005576B2">
        <w:t>Part 1—House of introduction for Bills dealing with taxation or amending Acts that deal with taxation</w:t>
      </w:r>
      <w:r w:rsidR="005576B2" w:rsidRPr="005576B2">
        <w:rPr>
          <w:b w:val="0"/>
          <w:sz w:val="20"/>
        </w:rPr>
        <w:tab/>
      </w:r>
      <w:r w:rsidR="005576B2" w:rsidRPr="005576B2">
        <w:rPr>
          <w:b w:val="0"/>
          <w:sz w:val="20"/>
        </w:rPr>
        <w:fldChar w:fldCharType="begin"/>
      </w:r>
      <w:r w:rsidR="005576B2" w:rsidRPr="005576B2">
        <w:rPr>
          <w:b w:val="0"/>
          <w:sz w:val="20"/>
        </w:rPr>
        <w:instrText xml:space="preserve"> PAGEREF _Toc12953653 \h </w:instrText>
      </w:r>
      <w:r w:rsidR="005576B2" w:rsidRPr="005576B2">
        <w:rPr>
          <w:b w:val="0"/>
          <w:sz w:val="20"/>
        </w:rPr>
      </w:r>
      <w:r w:rsidR="005576B2" w:rsidRPr="005576B2">
        <w:rPr>
          <w:b w:val="0"/>
          <w:sz w:val="20"/>
        </w:rPr>
        <w:fldChar w:fldCharType="separate"/>
      </w:r>
      <w:r w:rsidR="005576B2" w:rsidRPr="005576B2">
        <w:rPr>
          <w:b w:val="0"/>
          <w:sz w:val="20"/>
        </w:rPr>
        <w:t>2</w:t>
      </w:r>
      <w:r w:rsidR="005576B2" w:rsidRPr="005576B2">
        <w:rPr>
          <w:b w:val="0"/>
          <w:sz w:val="20"/>
        </w:rPr>
        <w:fldChar w:fldCharType="end"/>
      </w:r>
    </w:p>
    <w:p w:rsidR="005576B2" w:rsidRDefault="005576B2">
      <w:pPr>
        <w:pStyle w:val="TOC2"/>
        <w:rPr>
          <w:rFonts w:asciiTheme="minorHAnsi" w:eastAsiaTheme="minorEastAsia" w:hAnsiTheme="minorHAnsi" w:cstheme="minorBidi"/>
          <w:b w:val="0"/>
          <w:sz w:val="22"/>
          <w:szCs w:val="22"/>
        </w:rPr>
      </w:pPr>
      <w:r>
        <w:t>Part 2—Obtaining notices for Bills dealing with taxation</w:t>
      </w:r>
      <w:r w:rsidRPr="005576B2">
        <w:rPr>
          <w:b w:val="0"/>
          <w:sz w:val="20"/>
        </w:rPr>
        <w:tab/>
      </w:r>
      <w:r w:rsidRPr="005576B2">
        <w:rPr>
          <w:b w:val="0"/>
          <w:sz w:val="20"/>
        </w:rPr>
        <w:fldChar w:fldCharType="begin"/>
      </w:r>
      <w:r w:rsidRPr="005576B2">
        <w:rPr>
          <w:b w:val="0"/>
          <w:sz w:val="20"/>
        </w:rPr>
        <w:instrText xml:space="preserve"> PAGEREF _Toc12953654 \h </w:instrText>
      </w:r>
      <w:r w:rsidRPr="005576B2">
        <w:rPr>
          <w:b w:val="0"/>
          <w:sz w:val="20"/>
        </w:rPr>
      </w:r>
      <w:r w:rsidRPr="005576B2">
        <w:rPr>
          <w:b w:val="0"/>
          <w:sz w:val="20"/>
        </w:rPr>
        <w:fldChar w:fldCharType="separate"/>
      </w:r>
      <w:r w:rsidRPr="005576B2">
        <w:rPr>
          <w:b w:val="0"/>
          <w:sz w:val="20"/>
        </w:rPr>
        <w:t>2</w:t>
      </w:r>
      <w:r w:rsidRPr="005576B2">
        <w:rPr>
          <w:b w:val="0"/>
          <w:sz w:val="20"/>
        </w:rPr>
        <w:fldChar w:fldCharType="end"/>
      </w:r>
    </w:p>
    <w:p w:rsidR="005576B2" w:rsidRDefault="005576B2">
      <w:pPr>
        <w:pStyle w:val="TOC2"/>
        <w:rPr>
          <w:rFonts w:asciiTheme="minorHAnsi" w:eastAsiaTheme="minorEastAsia" w:hAnsiTheme="minorHAnsi" w:cstheme="minorBidi"/>
          <w:b w:val="0"/>
          <w:sz w:val="22"/>
          <w:szCs w:val="22"/>
        </w:rPr>
      </w:pPr>
      <w:r>
        <w:t>Part 3—Taxation to be imposed by express words</w:t>
      </w:r>
      <w:r w:rsidRPr="005576B2">
        <w:rPr>
          <w:b w:val="0"/>
          <w:sz w:val="20"/>
        </w:rPr>
        <w:tab/>
      </w:r>
      <w:r w:rsidRPr="005576B2">
        <w:rPr>
          <w:b w:val="0"/>
          <w:sz w:val="20"/>
        </w:rPr>
        <w:fldChar w:fldCharType="begin"/>
      </w:r>
      <w:r w:rsidRPr="005576B2">
        <w:rPr>
          <w:b w:val="0"/>
          <w:sz w:val="20"/>
        </w:rPr>
        <w:instrText xml:space="preserve"> PAGEREF _Toc12953655 \h </w:instrText>
      </w:r>
      <w:r w:rsidRPr="005576B2">
        <w:rPr>
          <w:b w:val="0"/>
          <w:sz w:val="20"/>
        </w:rPr>
      </w:r>
      <w:r w:rsidRPr="005576B2">
        <w:rPr>
          <w:b w:val="0"/>
          <w:sz w:val="20"/>
        </w:rPr>
        <w:fldChar w:fldCharType="separate"/>
      </w:r>
      <w:r w:rsidRPr="005576B2">
        <w:rPr>
          <w:b w:val="0"/>
          <w:sz w:val="20"/>
        </w:rPr>
        <w:t>3</w:t>
      </w:r>
      <w:r w:rsidRPr="005576B2">
        <w:rPr>
          <w:b w:val="0"/>
          <w:sz w:val="20"/>
        </w:rPr>
        <w:fldChar w:fldCharType="end"/>
      </w:r>
    </w:p>
    <w:p w:rsidR="005576B2" w:rsidRDefault="005576B2">
      <w:pPr>
        <w:pStyle w:val="TOC2"/>
        <w:rPr>
          <w:rFonts w:asciiTheme="minorHAnsi" w:eastAsiaTheme="minorEastAsia" w:hAnsiTheme="minorHAnsi" w:cstheme="minorBidi"/>
          <w:b w:val="0"/>
          <w:sz w:val="22"/>
          <w:szCs w:val="22"/>
        </w:rPr>
      </w:pPr>
      <w:r>
        <w:t>Part 4—When to structure provisions as provisions imposing tax</w:t>
      </w:r>
      <w:r w:rsidRPr="005576B2">
        <w:rPr>
          <w:b w:val="0"/>
          <w:sz w:val="20"/>
        </w:rPr>
        <w:tab/>
      </w:r>
      <w:r w:rsidRPr="005576B2">
        <w:rPr>
          <w:b w:val="0"/>
          <w:sz w:val="20"/>
        </w:rPr>
        <w:fldChar w:fldCharType="begin"/>
      </w:r>
      <w:r w:rsidRPr="005576B2">
        <w:rPr>
          <w:b w:val="0"/>
          <w:sz w:val="20"/>
        </w:rPr>
        <w:instrText xml:space="preserve"> PAGEREF _Toc12953656 \h </w:instrText>
      </w:r>
      <w:r w:rsidRPr="005576B2">
        <w:rPr>
          <w:b w:val="0"/>
          <w:sz w:val="20"/>
        </w:rPr>
      </w:r>
      <w:r w:rsidRPr="005576B2">
        <w:rPr>
          <w:b w:val="0"/>
          <w:sz w:val="20"/>
        </w:rPr>
        <w:fldChar w:fldCharType="separate"/>
      </w:r>
      <w:r w:rsidRPr="005576B2">
        <w:rPr>
          <w:b w:val="0"/>
          <w:sz w:val="20"/>
        </w:rPr>
        <w:t>3</w:t>
      </w:r>
      <w:r w:rsidRPr="005576B2">
        <w:rPr>
          <w:b w:val="0"/>
          <w:sz w:val="20"/>
        </w:rPr>
        <w:fldChar w:fldCharType="end"/>
      </w:r>
    </w:p>
    <w:p w:rsidR="005576B2" w:rsidRDefault="005576B2" w:rsidP="005576B2">
      <w:pPr>
        <w:pStyle w:val="TOC3"/>
        <w:rPr>
          <w:rFonts w:asciiTheme="minorHAnsi" w:eastAsiaTheme="minorEastAsia" w:hAnsiTheme="minorHAnsi" w:cstheme="minorBidi"/>
          <w:sz w:val="22"/>
          <w:szCs w:val="22"/>
        </w:rPr>
      </w:pPr>
      <w:r>
        <w:t>Background</w:t>
      </w:r>
      <w:r w:rsidRPr="005576B2">
        <w:rPr>
          <w:sz w:val="20"/>
        </w:rPr>
        <w:tab/>
      </w:r>
      <w:r w:rsidRPr="005576B2">
        <w:rPr>
          <w:sz w:val="20"/>
        </w:rPr>
        <w:fldChar w:fldCharType="begin"/>
      </w:r>
      <w:r w:rsidRPr="005576B2">
        <w:rPr>
          <w:sz w:val="20"/>
        </w:rPr>
        <w:instrText xml:space="preserve"> PAGEREF _Toc12953657 \h </w:instrText>
      </w:r>
      <w:r w:rsidRPr="005576B2">
        <w:rPr>
          <w:sz w:val="20"/>
        </w:rPr>
      </w:r>
      <w:r w:rsidRPr="005576B2">
        <w:rPr>
          <w:sz w:val="20"/>
        </w:rPr>
        <w:fldChar w:fldCharType="separate"/>
      </w:r>
      <w:r w:rsidRPr="005576B2">
        <w:rPr>
          <w:sz w:val="20"/>
        </w:rPr>
        <w:t>3</w:t>
      </w:r>
      <w:r w:rsidRPr="005576B2">
        <w:rPr>
          <w:sz w:val="20"/>
        </w:rPr>
        <w:fldChar w:fldCharType="end"/>
      </w:r>
    </w:p>
    <w:p w:rsidR="005576B2" w:rsidRDefault="005576B2">
      <w:pPr>
        <w:pStyle w:val="TOC3"/>
        <w:rPr>
          <w:rFonts w:asciiTheme="minorHAnsi" w:eastAsiaTheme="minorEastAsia" w:hAnsiTheme="minorHAnsi" w:cstheme="minorBidi"/>
          <w:sz w:val="22"/>
          <w:szCs w:val="22"/>
        </w:rPr>
      </w:pPr>
      <w:r>
        <w:t>Provisions dealing with rates</w:t>
      </w:r>
      <w:r w:rsidRPr="005576B2">
        <w:rPr>
          <w:sz w:val="20"/>
        </w:rPr>
        <w:tab/>
      </w:r>
      <w:r w:rsidRPr="005576B2">
        <w:rPr>
          <w:sz w:val="20"/>
        </w:rPr>
        <w:fldChar w:fldCharType="begin"/>
      </w:r>
      <w:r w:rsidRPr="005576B2">
        <w:rPr>
          <w:sz w:val="20"/>
        </w:rPr>
        <w:instrText xml:space="preserve"> PAGEREF _Toc12953658 \h </w:instrText>
      </w:r>
      <w:r w:rsidRPr="005576B2">
        <w:rPr>
          <w:sz w:val="20"/>
        </w:rPr>
      </w:r>
      <w:r w:rsidRPr="005576B2">
        <w:rPr>
          <w:sz w:val="20"/>
        </w:rPr>
        <w:fldChar w:fldCharType="separate"/>
      </w:r>
      <w:r w:rsidRPr="005576B2">
        <w:rPr>
          <w:sz w:val="20"/>
        </w:rPr>
        <w:t>4</w:t>
      </w:r>
      <w:r w:rsidRPr="005576B2">
        <w:rPr>
          <w:sz w:val="20"/>
        </w:rPr>
        <w:fldChar w:fldCharType="end"/>
      </w:r>
    </w:p>
    <w:p w:rsidR="005576B2" w:rsidRDefault="005576B2" w:rsidP="005576B2">
      <w:pPr>
        <w:pStyle w:val="TOC4"/>
        <w:rPr>
          <w:rFonts w:asciiTheme="minorHAnsi" w:eastAsiaTheme="minorEastAsia" w:hAnsiTheme="minorHAnsi" w:cstheme="minorBidi"/>
          <w:sz w:val="22"/>
          <w:szCs w:val="22"/>
        </w:rPr>
      </w:pPr>
      <w:r>
        <w:t>New taxes</w:t>
      </w:r>
      <w:r w:rsidRPr="005576B2">
        <w:rPr>
          <w:sz w:val="20"/>
        </w:rPr>
        <w:tab/>
      </w:r>
      <w:r w:rsidRPr="005576B2">
        <w:rPr>
          <w:sz w:val="20"/>
        </w:rPr>
        <w:fldChar w:fldCharType="begin"/>
      </w:r>
      <w:r w:rsidRPr="005576B2">
        <w:rPr>
          <w:sz w:val="20"/>
        </w:rPr>
        <w:instrText xml:space="preserve"> PAGEREF _Toc12953659 \h </w:instrText>
      </w:r>
      <w:r w:rsidRPr="005576B2">
        <w:rPr>
          <w:sz w:val="20"/>
        </w:rPr>
      </w:r>
      <w:r w:rsidRPr="005576B2">
        <w:rPr>
          <w:sz w:val="20"/>
        </w:rPr>
        <w:fldChar w:fldCharType="separate"/>
      </w:r>
      <w:r w:rsidRPr="005576B2">
        <w:rPr>
          <w:sz w:val="20"/>
        </w:rPr>
        <w:t>4</w:t>
      </w:r>
      <w:r w:rsidRPr="005576B2">
        <w:rPr>
          <w:sz w:val="20"/>
        </w:rPr>
        <w:fldChar w:fldCharType="end"/>
      </w:r>
    </w:p>
    <w:p w:rsidR="005576B2" w:rsidRDefault="005576B2" w:rsidP="005576B2">
      <w:pPr>
        <w:pStyle w:val="TOC4"/>
        <w:rPr>
          <w:rFonts w:asciiTheme="minorHAnsi" w:eastAsiaTheme="minorEastAsia" w:hAnsiTheme="minorHAnsi" w:cstheme="minorBidi"/>
          <w:sz w:val="22"/>
          <w:szCs w:val="22"/>
        </w:rPr>
      </w:pPr>
      <w:r>
        <w:t>Increasing rates</w:t>
      </w:r>
      <w:r w:rsidRPr="005576B2">
        <w:rPr>
          <w:sz w:val="20"/>
        </w:rPr>
        <w:tab/>
      </w:r>
      <w:r w:rsidRPr="005576B2">
        <w:rPr>
          <w:sz w:val="20"/>
        </w:rPr>
        <w:fldChar w:fldCharType="begin"/>
      </w:r>
      <w:r w:rsidRPr="005576B2">
        <w:rPr>
          <w:sz w:val="20"/>
        </w:rPr>
        <w:instrText xml:space="preserve"> PAGEREF _Toc12953660 \h </w:instrText>
      </w:r>
      <w:r w:rsidRPr="005576B2">
        <w:rPr>
          <w:sz w:val="20"/>
        </w:rPr>
      </w:r>
      <w:r w:rsidRPr="005576B2">
        <w:rPr>
          <w:sz w:val="20"/>
        </w:rPr>
        <w:fldChar w:fldCharType="separate"/>
      </w:r>
      <w:r w:rsidRPr="005576B2">
        <w:rPr>
          <w:sz w:val="20"/>
        </w:rPr>
        <w:t>4</w:t>
      </w:r>
      <w:r w:rsidRPr="005576B2">
        <w:rPr>
          <w:sz w:val="20"/>
        </w:rPr>
        <w:fldChar w:fldCharType="end"/>
      </w:r>
    </w:p>
    <w:p w:rsidR="005576B2" w:rsidRDefault="005576B2">
      <w:pPr>
        <w:pStyle w:val="TOC4"/>
        <w:rPr>
          <w:rFonts w:asciiTheme="minorHAnsi" w:eastAsiaTheme="minorEastAsia" w:hAnsiTheme="minorHAnsi" w:cstheme="minorBidi"/>
          <w:sz w:val="22"/>
          <w:szCs w:val="22"/>
        </w:rPr>
      </w:pPr>
      <w:r>
        <w:t>Moving an item from a “low rate” category of taxable items to a “high rate” category of taxable items</w:t>
      </w:r>
      <w:r w:rsidRPr="005576B2">
        <w:rPr>
          <w:sz w:val="20"/>
        </w:rPr>
        <w:tab/>
      </w:r>
      <w:r w:rsidRPr="005576B2">
        <w:rPr>
          <w:sz w:val="20"/>
        </w:rPr>
        <w:fldChar w:fldCharType="begin"/>
      </w:r>
      <w:r w:rsidRPr="005576B2">
        <w:rPr>
          <w:sz w:val="20"/>
        </w:rPr>
        <w:instrText xml:space="preserve"> PAGEREF _Toc12953661 \h </w:instrText>
      </w:r>
      <w:r w:rsidRPr="005576B2">
        <w:rPr>
          <w:sz w:val="20"/>
        </w:rPr>
      </w:r>
      <w:r w:rsidRPr="005576B2">
        <w:rPr>
          <w:sz w:val="20"/>
        </w:rPr>
        <w:fldChar w:fldCharType="separate"/>
      </w:r>
      <w:r w:rsidRPr="005576B2">
        <w:rPr>
          <w:sz w:val="20"/>
        </w:rPr>
        <w:t>5</w:t>
      </w:r>
      <w:r w:rsidRPr="005576B2">
        <w:rPr>
          <w:sz w:val="20"/>
        </w:rPr>
        <w:fldChar w:fldCharType="end"/>
      </w:r>
    </w:p>
    <w:p w:rsidR="005576B2" w:rsidRDefault="005576B2">
      <w:pPr>
        <w:pStyle w:val="TOC4"/>
        <w:rPr>
          <w:rFonts w:asciiTheme="minorHAnsi" w:eastAsiaTheme="minorEastAsia" w:hAnsiTheme="minorHAnsi" w:cstheme="minorBidi"/>
          <w:sz w:val="22"/>
          <w:szCs w:val="22"/>
        </w:rPr>
      </w:pPr>
      <w:r>
        <w:t>Reducing rates of tax</w:t>
      </w:r>
      <w:r w:rsidRPr="005576B2">
        <w:rPr>
          <w:sz w:val="20"/>
        </w:rPr>
        <w:tab/>
      </w:r>
      <w:r w:rsidRPr="005576B2">
        <w:rPr>
          <w:sz w:val="20"/>
        </w:rPr>
        <w:fldChar w:fldCharType="begin"/>
      </w:r>
      <w:r w:rsidRPr="005576B2">
        <w:rPr>
          <w:sz w:val="20"/>
        </w:rPr>
        <w:instrText xml:space="preserve"> PAGEREF _Toc12953662 \h </w:instrText>
      </w:r>
      <w:r w:rsidRPr="005576B2">
        <w:rPr>
          <w:sz w:val="20"/>
        </w:rPr>
      </w:r>
      <w:r w:rsidRPr="005576B2">
        <w:rPr>
          <w:sz w:val="20"/>
        </w:rPr>
        <w:fldChar w:fldCharType="separate"/>
      </w:r>
      <w:r w:rsidRPr="005576B2">
        <w:rPr>
          <w:sz w:val="20"/>
        </w:rPr>
        <w:t>5</w:t>
      </w:r>
      <w:r w:rsidRPr="005576B2">
        <w:rPr>
          <w:sz w:val="20"/>
        </w:rPr>
        <w:fldChar w:fldCharType="end"/>
      </w:r>
    </w:p>
    <w:p w:rsidR="005576B2" w:rsidRDefault="005576B2">
      <w:pPr>
        <w:pStyle w:val="TOC3"/>
        <w:rPr>
          <w:rFonts w:asciiTheme="minorHAnsi" w:eastAsiaTheme="minorEastAsia" w:hAnsiTheme="minorHAnsi" w:cstheme="minorBidi"/>
          <w:sz w:val="22"/>
          <w:szCs w:val="22"/>
        </w:rPr>
      </w:pPr>
      <w:r>
        <w:t>Packages of provisions</w:t>
      </w:r>
      <w:r w:rsidRPr="005576B2">
        <w:rPr>
          <w:sz w:val="20"/>
        </w:rPr>
        <w:tab/>
      </w:r>
      <w:r w:rsidRPr="005576B2">
        <w:rPr>
          <w:sz w:val="20"/>
        </w:rPr>
        <w:fldChar w:fldCharType="begin"/>
      </w:r>
      <w:r w:rsidRPr="005576B2">
        <w:rPr>
          <w:sz w:val="20"/>
        </w:rPr>
        <w:instrText xml:space="preserve"> PAGEREF _Toc12953663 \h </w:instrText>
      </w:r>
      <w:r w:rsidRPr="005576B2">
        <w:rPr>
          <w:sz w:val="20"/>
        </w:rPr>
      </w:r>
      <w:r w:rsidRPr="005576B2">
        <w:rPr>
          <w:sz w:val="20"/>
        </w:rPr>
        <w:fldChar w:fldCharType="separate"/>
      </w:r>
      <w:r w:rsidRPr="005576B2">
        <w:rPr>
          <w:sz w:val="20"/>
        </w:rPr>
        <w:t>5</w:t>
      </w:r>
      <w:r w:rsidRPr="005576B2">
        <w:rPr>
          <w:sz w:val="20"/>
        </w:rPr>
        <w:fldChar w:fldCharType="end"/>
      </w:r>
    </w:p>
    <w:p w:rsidR="005576B2" w:rsidRDefault="005576B2">
      <w:pPr>
        <w:pStyle w:val="TOC3"/>
        <w:rPr>
          <w:rFonts w:asciiTheme="minorHAnsi" w:eastAsiaTheme="minorEastAsia" w:hAnsiTheme="minorHAnsi" w:cstheme="minorBidi"/>
          <w:sz w:val="22"/>
          <w:szCs w:val="22"/>
        </w:rPr>
      </w:pPr>
      <w:r>
        <w:t>Provisions that expand the tax base etc.</w:t>
      </w:r>
      <w:r w:rsidRPr="005576B2">
        <w:rPr>
          <w:sz w:val="20"/>
        </w:rPr>
        <w:tab/>
      </w:r>
      <w:r w:rsidRPr="005576B2">
        <w:rPr>
          <w:sz w:val="20"/>
        </w:rPr>
        <w:fldChar w:fldCharType="begin"/>
      </w:r>
      <w:r w:rsidRPr="005576B2">
        <w:rPr>
          <w:sz w:val="20"/>
        </w:rPr>
        <w:instrText xml:space="preserve"> PAGEREF _Toc12953664 \h </w:instrText>
      </w:r>
      <w:r w:rsidRPr="005576B2">
        <w:rPr>
          <w:sz w:val="20"/>
        </w:rPr>
      </w:r>
      <w:r w:rsidRPr="005576B2">
        <w:rPr>
          <w:sz w:val="20"/>
        </w:rPr>
        <w:fldChar w:fldCharType="separate"/>
      </w:r>
      <w:r w:rsidRPr="005576B2">
        <w:rPr>
          <w:sz w:val="20"/>
        </w:rPr>
        <w:t>5</w:t>
      </w:r>
      <w:r w:rsidRPr="005576B2">
        <w:rPr>
          <w:sz w:val="20"/>
        </w:rPr>
        <w:fldChar w:fldCharType="end"/>
      </w:r>
    </w:p>
    <w:p w:rsidR="005576B2" w:rsidRDefault="005576B2" w:rsidP="005576B2">
      <w:pPr>
        <w:pStyle w:val="TOC3"/>
        <w:rPr>
          <w:rFonts w:asciiTheme="minorHAnsi" w:eastAsiaTheme="minorEastAsia" w:hAnsiTheme="minorHAnsi" w:cstheme="minorBidi"/>
          <w:sz w:val="22"/>
          <w:szCs w:val="22"/>
        </w:rPr>
      </w:pPr>
      <w:r>
        <w:t>General</w:t>
      </w:r>
      <w:r w:rsidRPr="005576B2">
        <w:rPr>
          <w:sz w:val="20"/>
        </w:rPr>
        <w:tab/>
      </w:r>
      <w:r w:rsidRPr="005576B2">
        <w:rPr>
          <w:sz w:val="20"/>
        </w:rPr>
        <w:fldChar w:fldCharType="begin"/>
      </w:r>
      <w:r w:rsidRPr="005576B2">
        <w:rPr>
          <w:sz w:val="20"/>
        </w:rPr>
        <w:instrText xml:space="preserve"> PAGEREF _Toc12953665 \h </w:instrText>
      </w:r>
      <w:r w:rsidRPr="005576B2">
        <w:rPr>
          <w:sz w:val="20"/>
        </w:rPr>
      </w:r>
      <w:r w:rsidRPr="005576B2">
        <w:rPr>
          <w:sz w:val="20"/>
        </w:rPr>
        <w:fldChar w:fldCharType="separate"/>
      </w:r>
      <w:r w:rsidRPr="005576B2">
        <w:rPr>
          <w:sz w:val="20"/>
        </w:rPr>
        <w:t>6</w:t>
      </w:r>
      <w:r w:rsidRPr="005576B2">
        <w:rPr>
          <w:sz w:val="20"/>
        </w:rPr>
        <w:fldChar w:fldCharType="end"/>
      </w:r>
    </w:p>
    <w:p w:rsidR="005576B2" w:rsidRDefault="005576B2">
      <w:pPr>
        <w:pStyle w:val="TOC2"/>
        <w:rPr>
          <w:rFonts w:asciiTheme="minorHAnsi" w:eastAsiaTheme="minorEastAsia" w:hAnsiTheme="minorHAnsi" w:cstheme="minorBidi"/>
          <w:b w:val="0"/>
          <w:sz w:val="22"/>
          <w:szCs w:val="22"/>
        </w:rPr>
      </w:pPr>
      <w:r>
        <w:t>Part 5—Application of amendments relevant to the making of assessments of income tax and fringe benefits tax</w:t>
      </w:r>
      <w:r w:rsidRPr="005576B2">
        <w:rPr>
          <w:b w:val="0"/>
          <w:sz w:val="20"/>
        </w:rPr>
        <w:tab/>
      </w:r>
      <w:r w:rsidRPr="005576B2">
        <w:rPr>
          <w:b w:val="0"/>
          <w:sz w:val="20"/>
        </w:rPr>
        <w:fldChar w:fldCharType="begin"/>
      </w:r>
      <w:r w:rsidRPr="005576B2">
        <w:rPr>
          <w:b w:val="0"/>
          <w:sz w:val="20"/>
        </w:rPr>
        <w:instrText xml:space="preserve"> PAGEREF _Toc12953666 \h </w:instrText>
      </w:r>
      <w:r w:rsidRPr="005576B2">
        <w:rPr>
          <w:b w:val="0"/>
          <w:sz w:val="20"/>
        </w:rPr>
      </w:r>
      <w:r w:rsidRPr="005576B2">
        <w:rPr>
          <w:b w:val="0"/>
          <w:sz w:val="20"/>
        </w:rPr>
        <w:fldChar w:fldCharType="separate"/>
      </w:r>
      <w:r w:rsidRPr="005576B2">
        <w:rPr>
          <w:b w:val="0"/>
          <w:sz w:val="20"/>
        </w:rPr>
        <w:t>6</w:t>
      </w:r>
      <w:r w:rsidRPr="005576B2">
        <w:rPr>
          <w:b w:val="0"/>
          <w:sz w:val="20"/>
        </w:rPr>
        <w:fldChar w:fldCharType="end"/>
      </w:r>
    </w:p>
    <w:p w:rsidR="005576B2" w:rsidRDefault="005576B2" w:rsidP="005576B2">
      <w:pPr>
        <w:pStyle w:val="TOC3"/>
        <w:rPr>
          <w:rFonts w:asciiTheme="minorHAnsi" w:eastAsiaTheme="minorEastAsia" w:hAnsiTheme="minorHAnsi" w:cstheme="minorBidi"/>
          <w:sz w:val="22"/>
          <w:szCs w:val="22"/>
        </w:rPr>
      </w:pPr>
      <w:r>
        <w:t>Object of Part</w:t>
      </w:r>
      <w:r w:rsidRPr="005576B2">
        <w:rPr>
          <w:sz w:val="20"/>
        </w:rPr>
        <w:tab/>
      </w:r>
      <w:r w:rsidRPr="005576B2">
        <w:rPr>
          <w:sz w:val="20"/>
        </w:rPr>
        <w:fldChar w:fldCharType="begin"/>
      </w:r>
      <w:r w:rsidRPr="005576B2">
        <w:rPr>
          <w:sz w:val="20"/>
        </w:rPr>
        <w:instrText xml:space="preserve"> PAGEREF _Toc12953667 \h </w:instrText>
      </w:r>
      <w:r w:rsidRPr="005576B2">
        <w:rPr>
          <w:sz w:val="20"/>
        </w:rPr>
      </w:r>
      <w:r w:rsidRPr="005576B2">
        <w:rPr>
          <w:sz w:val="20"/>
        </w:rPr>
        <w:fldChar w:fldCharType="separate"/>
      </w:r>
      <w:r w:rsidRPr="005576B2">
        <w:rPr>
          <w:sz w:val="20"/>
        </w:rPr>
        <w:t>6</w:t>
      </w:r>
      <w:r w:rsidRPr="005576B2">
        <w:rPr>
          <w:sz w:val="20"/>
        </w:rPr>
        <w:fldChar w:fldCharType="end"/>
      </w:r>
    </w:p>
    <w:p w:rsidR="005576B2" w:rsidRDefault="005576B2">
      <w:pPr>
        <w:pStyle w:val="TOC3"/>
        <w:rPr>
          <w:rFonts w:asciiTheme="minorHAnsi" w:eastAsiaTheme="minorEastAsia" w:hAnsiTheme="minorHAnsi" w:cstheme="minorBidi"/>
          <w:sz w:val="22"/>
          <w:szCs w:val="22"/>
        </w:rPr>
      </w:pPr>
      <w:r>
        <w:t>Why application provisions are needed</w:t>
      </w:r>
      <w:r w:rsidRPr="005576B2">
        <w:rPr>
          <w:sz w:val="20"/>
        </w:rPr>
        <w:tab/>
      </w:r>
      <w:r w:rsidRPr="005576B2">
        <w:rPr>
          <w:sz w:val="20"/>
        </w:rPr>
        <w:fldChar w:fldCharType="begin"/>
      </w:r>
      <w:r w:rsidRPr="005576B2">
        <w:rPr>
          <w:sz w:val="20"/>
        </w:rPr>
        <w:instrText xml:space="preserve"> PAGEREF _Toc12953668 \h </w:instrText>
      </w:r>
      <w:r w:rsidRPr="005576B2">
        <w:rPr>
          <w:sz w:val="20"/>
        </w:rPr>
      </w:r>
      <w:r w:rsidRPr="005576B2">
        <w:rPr>
          <w:sz w:val="20"/>
        </w:rPr>
        <w:fldChar w:fldCharType="separate"/>
      </w:r>
      <w:r w:rsidRPr="005576B2">
        <w:rPr>
          <w:sz w:val="20"/>
        </w:rPr>
        <w:t>6</w:t>
      </w:r>
      <w:r w:rsidRPr="005576B2">
        <w:rPr>
          <w:sz w:val="20"/>
        </w:rPr>
        <w:fldChar w:fldCharType="end"/>
      </w:r>
    </w:p>
    <w:p w:rsidR="005576B2" w:rsidRDefault="005576B2">
      <w:pPr>
        <w:pStyle w:val="TOC3"/>
        <w:rPr>
          <w:rFonts w:asciiTheme="minorHAnsi" w:eastAsiaTheme="minorEastAsia" w:hAnsiTheme="minorHAnsi" w:cstheme="minorBidi"/>
          <w:sz w:val="22"/>
          <w:szCs w:val="22"/>
        </w:rPr>
      </w:pPr>
      <w:r>
        <w:t>Kind of application provisions</w:t>
      </w:r>
      <w:r w:rsidRPr="005576B2">
        <w:rPr>
          <w:sz w:val="20"/>
        </w:rPr>
        <w:tab/>
      </w:r>
      <w:r w:rsidRPr="005576B2">
        <w:rPr>
          <w:sz w:val="20"/>
        </w:rPr>
        <w:fldChar w:fldCharType="begin"/>
      </w:r>
      <w:r w:rsidRPr="005576B2">
        <w:rPr>
          <w:sz w:val="20"/>
        </w:rPr>
        <w:instrText xml:space="preserve"> PAGEREF _Toc12953669 \h </w:instrText>
      </w:r>
      <w:r w:rsidRPr="005576B2">
        <w:rPr>
          <w:sz w:val="20"/>
        </w:rPr>
      </w:r>
      <w:r w:rsidRPr="005576B2">
        <w:rPr>
          <w:sz w:val="20"/>
        </w:rPr>
        <w:fldChar w:fldCharType="separate"/>
      </w:r>
      <w:r w:rsidRPr="005576B2">
        <w:rPr>
          <w:sz w:val="20"/>
        </w:rPr>
        <w:t>7</w:t>
      </w:r>
      <w:r w:rsidRPr="005576B2">
        <w:rPr>
          <w:sz w:val="20"/>
        </w:rPr>
        <w:fldChar w:fldCharType="end"/>
      </w:r>
    </w:p>
    <w:p w:rsidR="005576B2" w:rsidRDefault="005576B2">
      <w:pPr>
        <w:pStyle w:val="TOC3"/>
        <w:rPr>
          <w:rFonts w:asciiTheme="minorHAnsi" w:eastAsiaTheme="minorEastAsia" w:hAnsiTheme="minorHAnsi" w:cstheme="minorBidi"/>
          <w:sz w:val="22"/>
          <w:szCs w:val="22"/>
        </w:rPr>
      </w:pPr>
      <w:r>
        <w:t>When application provisions are not needed</w:t>
      </w:r>
      <w:r w:rsidRPr="005576B2">
        <w:rPr>
          <w:sz w:val="20"/>
        </w:rPr>
        <w:tab/>
      </w:r>
      <w:r w:rsidRPr="005576B2">
        <w:rPr>
          <w:sz w:val="20"/>
        </w:rPr>
        <w:fldChar w:fldCharType="begin"/>
      </w:r>
      <w:r w:rsidRPr="005576B2">
        <w:rPr>
          <w:sz w:val="20"/>
        </w:rPr>
        <w:instrText xml:space="preserve"> PAGEREF _Toc12953670 \h </w:instrText>
      </w:r>
      <w:r w:rsidRPr="005576B2">
        <w:rPr>
          <w:sz w:val="20"/>
        </w:rPr>
      </w:r>
      <w:r w:rsidRPr="005576B2">
        <w:rPr>
          <w:sz w:val="20"/>
        </w:rPr>
        <w:fldChar w:fldCharType="separate"/>
      </w:r>
      <w:r w:rsidRPr="005576B2">
        <w:rPr>
          <w:sz w:val="20"/>
        </w:rPr>
        <w:t>7</w:t>
      </w:r>
      <w:r w:rsidRPr="005576B2">
        <w:rPr>
          <w:sz w:val="20"/>
        </w:rPr>
        <w:fldChar w:fldCharType="end"/>
      </w:r>
    </w:p>
    <w:p w:rsidR="005576B2" w:rsidRDefault="005576B2">
      <w:pPr>
        <w:pStyle w:val="TOC3"/>
        <w:rPr>
          <w:rFonts w:asciiTheme="minorHAnsi" w:eastAsiaTheme="minorEastAsia" w:hAnsiTheme="minorHAnsi" w:cstheme="minorBidi"/>
          <w:sz w:val="22"/>
          <w:szCs w:val="22"/>
        </w:rPr>
      </w:pPr>
      <w:r>
        <w:t>Application provisions—repeal of redundant provisions</w:t>
      </w:r>
      <w:r w:rsidRPr="005576B2">
        <w:rPr>
          <w:sz w:val="20"/>
        </w:rPr>
        <w:tab/>
      </w:r>
      <w:r w:rsidRPr="005576B2">
        <w:rPr>
          <w:sz w:val="20"/>
        </w:rPr>
        <w:fldChar w:fldCharType="begin"/>
      </w:r>
      <w:r w:rsidRPr="005576B2">
        <w:rPr>
          <w:sz w:val="20"/>
        </w:rPr>
        <w:instrText xml:space="preserve"> PAGEREF _Toc12953671 \h </w:instrText>
      </w:r>
      <w:r w:rsidRPr="005576B2">
        <w:rPr>
          <w:sz w:val="20"/>
        </w:rPr>
      </w:r>
      <w:r w:rsidRPr="005576B2">
        <w:rPr>
          <w:sz w:val="20"/>
        </w:rPr>
        <w:fldChar w:fldCharType="separate"/>
      </w:r>
      <w:r w:rsidRPr="005576B2">
        <w:rPr>
          <w:sz w:val="20"/>
        </w:rPr>
        <w:t>7</w:t>
      </w:r>
      <w:r w:rsidRPr="005576B2">
        <w:rPr>
          <w:sz w:val="20"/>
        </w:rPr>
        <w:fldChar w:fldCharType="end"/>
      </w:r>
    </w:p>
    <w:p w:rsidR="005576B2" w:rsidRDefault="005576B2">
      <w:pPr>
        <w:pStyle w:val="TOC3"/>
        <w:rPr>
          <w:rFonts w:asciiTheme="minorHAnsi" w:eastAsiaTheme="minorEastAsia" w:hAnsiTheme="minorHAnsi" w:cstheme="minorBidi"/>
          <w:sz w:val="22"/>
          <w:szCs w:val="22"/>
        </w:rPr>
      </w:pPr>
      <w:r>
        <w:t>Application provisions—insertion of new provisions</w:t>
      </w:r>
      <w:r w:rsidRPr="005576B2">
        <w:rPr>
          <w:sz w:val="20"/>
        </w:rPr>
        <w:tab/>
      </w:r>
      <w:r w:rsidRPr="005576B2">
        <w:rPr>
          <w:sz w:val="20"/>
        </w:rPr>
        <w:fldChar w:fldCharType="begin"/>
      </w:r>
      <w:r w:rsidRPr="005576B2">
        <w:rPr>
          <w:sz w:val="20"/>
        </w:rPr>
        <w:instrText xml:space="preserve"> PAGEREF _Toc12953672 \h </w:instrText>
      </w:r>
      <w:r w:rsidRPr="005576B2">
        <w:rPr>
          <w:sz w:val="20"/>
        </w:rPr>
      </w:r>
      <w:r w:rsidRPr="005576B2">
        <w:rPr>
          <w:sz w:val="20"/>
        </w:rPr>
        <w:fldChar w:fldCharType="separate"/>
      </w:r>
      <w:r w:rsidRPr="005576B2">
        <w:rPr>
          <w:sz w:val="20"/>
        </w:rPr>
        <w:t>7</w:t>
      </w:r>
      <w:r w:rsidRPr="005576B2">
        <w:rPr>
          <w:sz w:val="20"/>
        </w:rPr>
        <w:fldChar w:fldCharType="end"/>
      </w:r>
    </w:p>
    <w:p w:rsidR="005576B2" w:rsidRDefault="005576B2">
      <w:pPr>
        <w:pStyle w:val="TOC3"/>
        <w:rPr>
          <w:rFonts w:asciiTheme="minorHAnsi" w:eastAsiaTheme="minorEastAsia" w:hAnsiTheme="minorHAnsi" w:cstheme="minorBidi"/>
          <w:sz w:val="22"/>
          <w:szCs w:val="22"/>
        </w:rPr>
      </w:pPr>
      <w:r>
        <w:t>Application provisions—repeals/omissions</w:t>
      </w:r>
      <w:r w:rsidRPr="005576B2">
        <w:rPr>
          <w:sz w:val="20"/>
        </w:rPr>
        <w:tab/>
      </w:r>
      <w:r w:rsidRPr="005576B2">
        <w:rPr>
          <w:sz w:val="20"/>
        </w:rPr>
        <w:fldChar w:fldCharType="begin"/>
      </w:r>
      <w:r w:rsidRPr="005576B2">
        <w:rPr>
          <w:sz w:val="20"/>
        </w:rPr>
        <w:instrText xml:space="preserve"> PAGEREF _Toc12953673 \h </w:instrText>
      </w:r>
      <w:r w:rsidRPr="005576B2">
        <w:rPr>
          <w:sz w:val="20"/>
        </w:rPr>
      </w:r>
      <w:r w:rsidRPr="005576B2">
        <w:rPr>
          <w:sz w:val="20"/>
        </w:rPr>
        <w:fldChar w:fldCharType="separate"/>
      </w:r>
      <w:r w:rsidRPr="005576B2">
        <w:rPr>
          <w:sz w:val="20"/>
        </w:rPr>
        <w:t>8</w:t>
      </w:r>
      <w:r w:rsidRPr="005576B2">
        <w:rPr>
          <w:sz w:val="20"/>
        </w:rPr>
        <w:fldChar w:fldCharType="end"/>
      </w:r>
    </w:p>
    <w:p w:rsidR="005576B2" w:rsidRDefault="005576B2">
      <w:pPr>
        <w:pStyle w:val="TOC3"/>
        <w:rPr>
          <w:rFonts w:asciiTheme="minorHAnsi" w:eastAsiaTheme="minorEastAsia" w:hAnsiTheme="minorHAnsi" w:cstheme="minorBidi"/>
          <w:sz w:val="22"/>
          <w:szCs w:val="22"/>
        </w:rPr>
      </w:pPr>
      <w:r>
        <w:t>Application provisions—combinations of repeals/omissions and insertion of new provisions</w:t>
      </w:r>
      <w:r w:rsidRPr="005576B2">
        <w:rPr>
          <w:sz w:val="20"/>
        </w:rPr>
        <w:tab/>
      </w:r>
      <w:r w:rsidRPr="005576B2">
        <w:rPr>
          <w:sz w:val="20"/>
        </w:rPr>
        <w:fldChar w:fldCharType="begin"/>
      </w:r>
      <w:r w:rsidRPr="005576B2">
        <w:rPr>
          <w:sz w:val="20"/>
        </w:rPr>
        <w:instrText xml:space="preserve"> PAGEREF _Toc12953674 \h </w:instrText>
      </w:r>
      <w:r w:rsidRPr="005576B2">
        <w:rPr>
          <w:sz w:val="20"/>
        </w:rPr>
      </w:r>
      <w:r w:rsidRPr="005576B2">
        <w:rPr>
          <w:sz w:val="20"/>
        </w:rPr>
        <w:fldChar w:fldCharType="separate"/>
      </w:r>
      <w:r w:rsidRPr="005576B2">
        <w:rPr>
          <w:sz w:val="20"/>
        </w:rPr>
        <w:t>8</w:t>
      </w:r>
      <w:r w:rsidRPr="005576B2">
        <w:rPr>
          <w:sz w:val="20"/>
        </w:rPr>
        <w:fldChar w:fldCharType="end"/>
      </w:r>
    </w:p>
    <w:p w:rsidR="005576B2" w:rsidRDefault="005576B2">
      <w:pPr>
        <w:pStyle w:val="TOC3"/>
        <w:rPr>
          <w:rFonts w:asciiTheme="minorHAnsi" w:eastAsiaTheme="minorEastAsia" w:hAnsiTheme="minorHAnsi" w:cstheme="minorBidi"/>
          <w:sz w:val="22"/>
          <w:szCs w:val="22"/>
        </w:rPr>
      </w:pPr>
      <w:r>
        <w:t>Income tax—substituted accounting periods</w:t>
      </w:r>
      <w:r w:rsidRPr="005576B2">
        <w:rPr>
          <w:sz w:val="20"/>
        </w:rPr>
        <w:tab/>
      </w:r>
      <w:r w:rsidRPr="005576B2">
        <w:rPr>
          <w:sz w:val="20"/>
        </w:rPr>
        <w:fldChar w:fldCharType="begin"/>
      </w:r>
      <w:r w:rsidRPr="005576B2">
        <w:rPr>
          <w:sz w:val="20"/>
        </w:rPr>
        <w:instrText xml:space="preserve"> PAGEREF _Toc12953675 \h </w:instrText>
      </w:r>
      <w:r w:rsidRPr="005576B2">
        <w:rPr>
          <w:sz w:val="20"/>
        </w:rPr>
      </w:r>
      <w:r w:rsidRPr="005576B2">
        <w:rPr>
          <w:sz w:val="20"/>
        </w:rPr>
        <w:fldChar w:fldCharType="separate"/>
      </w:r>
      <w:r w:rsidRPr="005576B2">
        <w:rPr>
          <w:sz w:val="20"/>
        </w:rPr>
        <w:t>8</w:t>
      </w:r>
      <w:r w:rsidRPr="005576B2">
        <w:rPr>
          <w:sz w:val="20"/>
        </w:rPr>
        <w:fldChar w:fldCharType="end"/>
      </w:r>
    </w:p>
    <w:p w:rsidR="005576B2" w:rsidRDefault="005576B2" w:rsidP="005576B2">
      <w:pPr>
        <w:pStyle w:val="TOC3"/>
        <w:rPr>
          <w:rFonts w:asciiTheme="minorHAnsi" w:eastAsiaTheme="minorEastAsia" w:hAnsiTheme="minorHAnsi" w:cstheme="minorBidi"/>
          <w:sz w:val="22"/>
          <w:szCs w:val="22"/>
        </w:rPr>
      </w:pPr>
      <w:r>
        <w:t>Commencement</w:t>
      </w:r>
      <w:r w:rsidRPr="005576B2">
        <w:rPr>
          <w:sz w:val="20"/>
        </w:rPr>
        <w:tab/>
      </w:r>
      <w:r w:rsidRPr="005576B2">
        <w:rPr>
          <w:sz w:val="20"/>
        </w:rPr>
        <w:fldChar w:fldCharType="begin"/>
      </w:r>
      <w:r w:rsidRPr="005576B2">
        <w:rPr>
          <w:sz w:val="20"/>
        </w:rPr>
        <w:instrText xml:space="preserve"> PAGEREF _Toc12953676 \h </w:instrText>
      </w:r>
      <w:r w:rsidRPr="005576B2">
        <w:rPr>
          <w:sz w:val="20"/>
        </w:rPr>
      </w:r>
      <w:r w:rsidRPr="005576B2">
        <w:rPr>
          <w:sz w:val="20"/>
        </w:rPr>
        <w:fldChar w:fldCharType="separate"/>
      </w:r>
      <w:r w:rsidRPr="005576B2">
        <w:rPr>
          <w:sz w:val="20"/>
        </w:rPr>
        <w:t>8</w:t>
      </w:r>
      <w:r w:rsidRPr="005576B2">
        <w:rPr>
          <w:sz w:val="20"/>
        </w:rPr>
        <w:fldChar w:fldCharType="end"/>
      </w:r>
    </w:p>
    <w:p w:rsidR="005576B2" w:rsidRDefault="005576B2">
      <w:pPr>
        <w:pStyle w:val="TOC2"/>
        <w:rPr>
          <w:rFonts w:asciiTheme="minorHAnsi" w:eastAsiaTheme="minorEastAsia" w:hAnsiTheme="minorHAnsi" w:cstheme="minorBidi"/>
          <w:b w:val="0"/>
          <w:sz w:val="22"/>
          <w:szCs w:val="22"/>
        </w:rPr>
      </w:pPr>
      <w:r>
        <w:t>Part 6—Initiation of taxation proposals</w:t>
      </w:r>
      <w:r w:rsidRPr="005576B2">
        <w:rPr>
          <w:b w:val="0"/>
          <w:sz w:val="20"/>
        </w:rPr>
        <w:tab/>
      </w:r>
      <w:r w:rsidRPr="005576B2">
        <w:rPr>
          <w:b w:val="0"/>
          <w:sz w:val="20"/>
        </w:rPr>
        <w:fldChar w:fldCharType="begin"/>
      </w:r>
      <w:r w:rsidRPr="005576B2">
        <w:rPr>
          <w:b w:val="0"/>
          <w:sz w:val="20"/>
        </w:rPr>
        <w:instrText xml:space="preserve"> PAGEREF _Toc12953677 \h </w:instrText>
      </w:r>
      <w:r w:rsidRPr="005576B2">
        <w:rPr>
          <w:b w:val="0"/>
          <w:sz w:val="20"/>
        </w:rPr>
      </w:r>
      <w:r w:rsidRPr="005576B2">
        <w:rPr>
          <w:b w:val="0"/>
          <w:sz w:val="20"/>
        </w:rPr>
        <w:fldChar w:fldCharType="separate"/>
      </w:r>
      <w:r w:rsidRPr="005576B2">
        <w:rPr>
          <w:b w:val="0"/>
          <w:sz w:val="20"/>
        </w:rPr>
        <w:t>9</w:t>
      </w:r>
      <w:r w:rsidRPr="005576B2">
        <w:rPr>
          <w:b w:val="0"/>
          <w:sz w:val="20"/>
        </w:rPr>
        <w:fldChar w:fldCharType="end"/>
      </w:r>
    </w:p>
    <w:p w:rsidR="005576B2" w:rsidRDefault="005576B2">
      <w:pPr>
        <w:pStyle w:val="TOC2"/>
        <w:rPr>
          <w:rFonts w:asciiTheme="minorHAnsi" w:eastAsiaTheme="minorEastAsia" w:hAnsiTheme="minorHAnsi" w:cstheme="minorBidi"/>
          <w:b w:val="0"/>
          <w:sz w:val="22"/>
          <w:szCs w:val="22"/>
        </w:rPr>
      </w:pPr>
      <w:r>
        <w:t>Part 7—Delegated legislation</w:t>
      </w:r>
      <w:r w:rsidRPr="005576B2">
        <w:rPr>
          <w:b w:val="0"/>
          <w:sz w:val="20"/>
        </w:rPr>
        <w:tab/>
      </w:r>
      <w:r w:rsidRPr="005576B2">
        <w:rPr>
          <w:b w:val="0"/>
          <w:sz w:val="20"/>
        </w:rPr>
        <w:fldChar w:fldCharType="begin"/>
      </w:r>
      <w:r w:rsidRPr="005576B2">
        <w:rPr>
          <w:b w:val="0"/>
          <w:sz w:val="20"/>
        </w:rPr>
        <w:instrText xml:space="preserve"> PAGEREF _Toc12953678 \h </w:instrText>
      </w:r>
      <w:r w:rsidRPr="005576B2">
        <w:rPr>
          <w:b w:val="0"/>
          <w:sz w:val="20"/>
        </w:rPr>
      </w:r>
      <w:r w:rsidRPr="005576B2">
        <w:rPr>
          <w:b w:val="0"/>
          <w:sz w:val="20"/>
        </w:rPr>
        <w:fldChar w:fldCharType="separate"/>
      </w:r>
      <w:r w:rsidRPr="005576B2">
        <w:rPr>
          <w:b w:val="0"/>
          <w:sz w:val="20"/>
        </w:rPr>
        <w:t>9</w:t>
      </w:r>
      <w:r w:rsidRPr="005576B2">
        <w:rPr>
          <w:b w:val="0"/>
          <w:sz w:val="20"/>
        </w:rPr>
        <w:fldChar w:fldCharType="end"/>
      </w:r>
    </w:p>
    <w:p w:rsidR="005576B2" w:rsidRDefault="005576B2">
      <w:pPr>
        <w:pStyle w:val="TOC3"/>
        <w:rPr>
          <w:rFonts w:asciiTheme="minorHAnsi" w:eastAsiaTheme="minorEastAsia" w:hAnsiTheme="minorHAnsi" w:cstheme="minorBidi"/>
          <w:sz w:val="22"/>
          <w:szCs w:val="22"/>
        </w:rPr>
      </w:pPr>
      <w:r>
        <w:t>Setting out rate of tax</w:t>
      </w:r>
      <w:r w:rsidRPr="005576B2">
        <w:rPr>
          <w:sz w:val="20"/>
        </w:rPr>
        <w:tab/>
      </w:r>
      <w:r w:rsidRPr="005576B2">
        <w:rPr>
          <w:sz w:val="20"/>
        </w:rPr>
        <w:fldChar w:fldCharType="begin"/>
      </w:r>
      <w:r w:rsidRPr="005576B2">
        <w:rPr>
          <w:sz w:val="20"/>
        </w:rPr>
        <w:instrText xml:space="preserve"> PAGEREF _Toc12953679 \h </w:instrText>
      </w:r>
      <w:r w:rsidRPr="005576B2">
        <w:rPr>
          <w:sz w:val="20"/>
        </w:rPr>
      </w:r>
      <w:r w:rsidRPr="005576B2">
        <w:rPr>
          <w:sz w:val="20"/>
        </w:rPr>
        <w:fldChar w:fldCharType="separate"/>
      </w:r>
      <w:r w:rsidRPr="005576B2">
        <w:rPr>
          <w:sz w:val="20"/>
        </w:rPr>
        <w:t>9</w:t>
      </w:r>
      <w:r w:rsidRPr="005576B2">
        <w:rPr>
          <w:sz w:val="20"/>
        </w:rPr>
        <w:fldChar w:fldCharType="end"/>
      </w:r>
    </w:p>
    <w:p w:rsidR="005576B2" w:rsidRDefault="005576B2">
      <w:pPr>
        <w:pStyle w:val="TOC4"/>
        <w:rPr>
          <w:rFonts w:asciiTheme="minorHAnsi" w:eastAsiaTheme="minorEastAsia" w:hAnsiTheme="minorHAnsi" w:cstheme="minorBidi"/>
          <w:sz w:val="22"/>
          <w:szCs w:val="22"/>
        </w:rPr>
      </w:pPr>
      <w:r>
        <w:t>Setting out rate of tax in subordinate legislation</w:t>
      </w:r>
      <w:r w:rsidRPr="005576B2">
        <w:rPr>
          <w:sz w:val="20"/>
        </w:rPr>
        <w:tab/>
      </w:r>
      <w:r w:rsidRPr="005576B2">
        <w:rPr>
          <w:sz w:val="20"/>
        </w:rPr>
        <w:fldChar w:fldCharType="begin"/>
      </w:r>
      <w:r w:rsidRPr="005576B2">
        <w:rPr>
          <w:sz w:val="20"/>
        </w:rPr>
        <w:instrText xml:space="preserve"> PAGEREF _Toc12953680 \h </w:instrText>
      </w:r>
      <w:r w:rsidRPr="005576B2">
        <w:rPr>
          <w:sz w:val="20"/>
        </w:rPr>
      </w:r>
      <w:r w:rsidRPr="005576B2">
        <w:rPr>
          <w:sz w:val="20"/>
        </w:rPr>
        <w:fldChar w:fldCharType="separate"/>
      </w:r>
      <w:r w:rsidRPr="005576B2">
        <w:rPr>
          <w:sz w:val="20"/>
        </w:rPr>
        <w:t>9</w:t>
      </w:r>
      <w:r w:rsidRPr="005576B2">
        <w:rPr>
          <w:sz w:val="20"/>
        </w:rPr>
        <w:fldChar w:fldCharType="end"/>
      </w:r>
    </w:p>
    <w:p w:rsidR="005576B2" w:rsidRDefault="005576B2">
      <w:pPr>
        <w:pStyle w:val="TOC4"/>
        <w:rPr>
          <w:rFonts w:asciiTheme="minorHAnsi" w:eastAsiaTheme="minorEastAsia" w:hAnsiTheme="minorHAnsi" w:cstheme="minorBidi"/>
          <w:sz w:val="22"/>
          <w:szCs w:val="22"/>
        </w:rPr>
      </w:pPr>
      <w:r>
        <w:t>Regulations setting rates should not deal with other matters</w:t>
      </w:r>
      <w:r w:rsidRPr="005576B2">
        <w:rPr>
          <w:sz w:val="20"/>
        </w:rPr>
        <w:tab/>
      </w:r>
      <w:r w:rsidRPr="005576B2">
        <w:rPr>
          <w:sz w:val="20"/>
        </w:rPr>
        <w:fldChar w:fldCharType="begin"/>
      </w:r>
      <w:r w:rsidRPr="005576B2">
        <w:rPr>
          <w:sz w:val="20"/>
        </w:rPr>
        <w:instrText xml:space="preserve"> PAGEREF _Toc12953681 \h </w:instrText>
      </w:r>
      <w:r w:rsidRPr="005576B2">
        <w:rPr>
          <w:sz w:val="20"/>
        </w:rPr>
      </w:r>
      <w:r w:rsidRPr="005576B2">
        <w:rPr>
          <w:sz w:val="20"/>
        </w:rPr>
        <w:fldChar w:fldCharType="separate"/>
      </w:r>
      <w:r w:rsidRPr="005576B2">
        <w:rPr>
          <w:sz w:val="20"/>
        </w:rPr>
        <w:t>9</w:t>
      </w:r>
      <w:r w:rsidRPr="005576B2">
        <w:rPr>
          <w:sz w:val="20"/>
        </w:rPr>
        <w:fldChar w:fldCharType="end"/>
      </w:r>
    </w:p>
    <w:p w:rsidR="005576B2" w:rsidRPr="005576B2" w:rsidRDefault="005576B2">
      <w:pPr>
        <w:pStyle w:val="TOC3"/>
        <w:rPr>
          <w:rFonts w:eastAsiaTheme="minorEastAsia"/>
          <w:sz w:val="20"/>
          <w:szCs w:val="22"/>
        </w:rPr>
      </w:pPr>
      <w:r>
        <w:t>Instruments dealing with other matters</w:t>
      </w:r>
      <w:r w:rsidRPr="005576B2">
        <w:rPr>
          <w:sz w:val="20"/>
        </w:rPr>
        <w:tab/>
      </w:r>
      <w:r w:rsidRPr="005576B2">
        <w:rPr>
          <w:sz w:val="20"/>
        </w:rPr>
        <w:fldChar w:fldCharType="begin"/>
      </w:r>
      <w:r w:rsidRPr="005576B2">
        <w:rPr>
          <w:sz w:val="20"/>
        </w:rPr>
        <w:instrText xml:space="preserve"> PAGEREF _Toc12953682 \h </w:instrText>
      </w:r>
      <w:r w:rsidRPr="005576B2">
        <w:rPr>
          <w:sz w:val="20"/>
        </w:rPr>
      </w:r>
      <w:r w:rsidRPr="005576B2">
        <w:rPr>
          <w:sz w:val="20"/>
        </w:rPr>
        <w:fldChar w:fldCharType="separate"/>
      </w:r>
      <w:r w:rsidRPr="005576B2">
        <w:rPr>
          <w:sz w:val="20"/>
        </w:rPr>
        <w:t>10</w:t>
      </w:r>
      <w:r w:rsidRPr="005576B2">
        <w:rPr>
          <w:sz w:val="20"/>
        </w:rPr>
        <w:fldChar w:fldCharType="end"/>
      </w:r>
    </w:p>
    <w:p w:rsidR="0085476B" w:rsidRPr="005576B2" w:rsidRDefault="005F1E7A" w:rsidP="005576B2">
      <w:r w:rsidRPr="005576B2">
        <w:rPr>
          <w:rFonts w:cs="Times New Roman"/>
          <w:sz w:val="20"/>
        </w:rPr>
        <w:fldChar w:fldCharType="end"/>
      </w:r>
    </w:p>
    <w:p w:rsidR="0085476B" w:rsidRPr="005576B2" w:rsidRDefault="0085476B" w:rsidP="005576B2">
      <w:pPr>
        <w:pStyle w:val="Head2"/>
      </w:pPr>
      <w:r w:rsidRPr="005576B2">
        <w:br w:type="page"/>
      </w:r>
      <w:bookmarkStart w:id="0" w:name="_Toc12953653"/>
      <w:r w:rsidRPr="005576B2">
        <w:lastRenderedPageBreak/>
        <w:t>Part 1—House of introduction for Bills dealing with taxation or amending Acts that deal with taxation</w:t>
      </w:r>
      <w:bookmarkEnd w:id="0"/>
    </w:p>
    <w:p w:rsidR="0085476B" w:rsidRPr="005576B2" w:rsidRDefault="0085476B" w:rsidP="00D14AF8">
      <w:pPr>
        <w:pStyle w:val="BodyNum"/>
      </w:pPr>
      <w:r w:rsidRPr="005576B2">
        <w:t xml:space="preserve">In 2004 I had a discussion with the office of the Clerk of the Senate on the issue of the House of introduction for Bills that deal with taxation. </w:t>
      </w:r>
      <w:r w:rsidRPr="005576B2">
        <w:rPr>
          <w:b/>
          <w:i/>
        </w:rPr>
        <w:t>Taxation</w:t>
      </w:r>
      <w:r w:rsidRPr="005576B2">
        <w:t xml:space="preserve"> in this context includes income tax, GST, fringe benefits tax, duties of customs, duties of excise and any other levies or charges that are imposed as taxes.</w:t>
      </w:r>
    </w:p>
    <w:p w:rsidR="0085476B" w:rsidRPr="005576B2" w:rsidRDefault="0085476B" w:rsidP="00D14AF8">
      <w:pPr>
        <w:pStyle w:val="BodyNum"/>
      </w:pPr>
      <w:r w:rsidRPr="005576B2">
        <w:t>As a result of that discussion, all Bills that deal with taxation, or that amend Acts that deal with taxation, should be introduced in the House of Representatives.</w:t>
      </w:r>
    </w:p>
    <w:p w:rsidR="0085476B" w:rsidRPr="005576B2" w:rsidRDefault="0085476B" w:rsidP="00D14AF8">
      <w:pPr>
        <w:pStyle w:val="BodyNum"/>
      </w:pPr>
      <w:r w:rsidRPr="005576B2">
        <w:t>This is to avoid possible difficulties that might arise because of varying interpretations of the prohibition in section 53 of the Constitution that Bills imposing taxation “shall not originate in the Senate”.</w:t>
      </w:r>
    </w:p>
    <w:p w:rsidR="0085476B" w:rsidRPr="005576B2" w:rsidRDefault="0085476B" w:rsidP="00D14AF8">
      <w:pPr>
        <w:pStyle w:val="BodyNum"/>
      </w:pPr>
      <w:r w:rsidRPr="005576B2">
        <w:t>Some Bills will deal with taxation only incidentally, or amend Acts that deal with taxation only incidentally. (For example, a Bill might amend an Act that contains a single provision authorising the collection of a tax by a statutory authority). It is unlikely, on any interpretation, that such a Bill would be regarded as a Bill imposing taxation that should not originate in the Senate. However, because it is difficult to draw a clear distinction between these kinds of Bills and others, please see me if:</w:t>
      </w:r>
    </w:p>
    <w:p w:rsidR="0085476B" w:rsidRPr="005576B2" w:rsidRDefault="0085476B" w:rsidP="00D14AF8">
      <w:pPr>
        <w:pStyle w:val="BodyPara"/>
      </w:pPr>
      <w:r w:rsidRPr="005576B2">
        <w:t>your instructors ask that such a Bill be introduced in the Senate; or</w:t>
      </w:r>
    </w:p>
    <w:p w:rsidR="0085476B" w:rsidRPr="005576B2" w:rsidRDefault="0085476B" w:rsidP="00D14AF8">
      <w:pPr>
        <w:pStyle w:val="BodyPara"/>
      </w:pPr>
      <w:r w:rsidRPr="005576B2">
        <w:t>your instructors ask that any other Bill dealing with taxation, or amending an Act dealing with taxation, be introduced in the Senate.</w:t>
      </w:r>
    </w:p>
    <w:p w:rsidR="0085476B" w:rsidRPr="005576B2" w:rsidRDefault="0085476B" w:rsidP="005576B2">
      <w:pPr>
        <w:pStyle w:val="Head2"/>
      </w:pPr>
      <w:bookmarkStart w:id="1" w:name="_Toc12953654"/>
      <w:r w:rsidRPr="005576B2">
        <w:t>Part 2—Obtaining notices for Bills dealing with taxation</w:t>
      </w:r>
      <w:bookmarkEnd w:id="1"/>
    </w:p>
    <w:p w:rsidR="0085476B" w:rsidRPr="005576B2" w:rsidRDefault="0085476B" w:rsidP="00D14AF8">
      <w:pPr>
        <w:pStyle w:val="BodyNum"/>
      </w:pPr>
      <w:r w:rsidRPr="005576B2">
        <w:t>House of Representatives Standing Order 178 provides that a Minister may present without notice a Bill dealing with taxation. The reason given for the Standing Order in the House of Representatives Practice is “to protect the revenue by not giving advance notice of the Government’s intention”.</w:t>
      </w:r>
    </w:p>
    <w:p w:rsidR="00B25636" w:rsidRPr="005576B2" w:rsidRDefault="0085476B" w:rsidP="006A0861">
      <w:pPr>
        <w:pStyle w:val="BodyNum"/>
      </w:pPr>
      <w:bookmarkStart w:id="2" w:name="_Ref10634305"/>
      <w:r w:rsidRPr="005576B2">
        <w:t xml:space="preserve">You should interpret the Standing Order in such a way that only Bills that deal </w:t>
      </w:r>
      <w:r w:rsidR="00D218B2" w:rsidRPr="005576B2">
        <w:t>predominantly</w:t>
      </w:r>
      <w:r w:rsidRPr="005576B2">
        <w:t xml:space="preserve"> with taxation matters are introduced without notice. Bills dealing incidentally with taxation matters should be introduced on notice. This interpretation is consistent with the approach adopted by the House of Representatives and with the reason given for the Standing Order.</w:t>
      </w:r>
    </w:p>
    <w:p w:rsidR="006A0861" w:rsidRPr="005576B2" w:rsidRDefault="006A0861" w:rsidP="006A0861">
      <w:pPr>
        <w:pStyle w:val="BodyNum"/>
      </w:pPr>
      <w:r w:rsidRPr="005576B2">
        <w:t>For example:</w:t>
      </w:r>
      <w:bookmarkEnd w:id="2"/>
    </w:p>
    <w:p w:rsidR="005F1E85" w:rsidRPr="005576B2" w:rsidRDefault="00BB39A7" w:rsidP="00551690">
      <w:pPr>
        <w:pStyle w:val="BodyPara"/>
      </w:pPr>
      <w:r w:rsidRPr="005576B2">
        <w:t xml:space="preserve">if a Bill (the </w:t>
      </w:r>
      <w:r w:rsidRPr="005576B2">
        <w:rPr>
          <w:b/>
          <w:i/>
        </w:rPr>
        <w:t>main Bill</w:t>
      </w:r>
      <w:r w:rsidRPr="005576B2">
        <w:t xml:space="preserve">) creates a licensing scheme and provides for the collection of a levy </w:t>
      </w:r>
      <w:r w:rsidR="00551690" w:rsidRPr="005576B2">
        <w:t>that</w:t>
      </w:r>
      <w:r w:rsidR="00CD4D4D" w:rsidRPr="005576B2">
        <w:t xml:space="preserve"> a related Bill </w:t>
      </w:r>
      <w:r w:rsidRPr="005576B2">
        <w:t xml:space="preserve">(the </w:t>
      </w:r>
      <w:r w:rsidRPr="005576B2">
        <w:rPr>
          <w:b/>
          <w:i/>
        </w:rPr>
        <w:t>imposition Bill</w:t>
      </w:r>
      <w:r w:rsidRPr="005576B2">
        <w:t>)</w:t>
      </w:r>
      <w:r w:rsidR="00CD4D4D" w:rsidRPr="005576B2">
        <w:t xml:space="preserve"> imposes on licensees</w:t>
      </w:r>
      <w:r w:rsidR="002F422C" w:rsidRPr="005576B2">
        <w:t>—</w:t>
      </w:r>
      <w:r w:rsidRPr="005576B2">
        <w:t>the main Bill requires a notice</w:t>
      </w:r>
      <w:r w:rsidR="002F422C" w:rsidRPr="005576B2">
        <w:t xml:space="preserve"> but </w:t>
      </w:r>
      <w:r w:rsidRPr="005576B2">
        <w:t>the imposition Bill does not; and</w:t>
      </w:r>
    </w:p>
    <w:p w:rsidR="008563FC" w:rsidRPr="005576B2" w:rsidRDefault="006A0861" w:rsidP="006A0861">
      <w:pPr>
        <w:pStyle w:val="BodyPara"/>
      </w:pPr>
      <w:r w:rsidRPr="005576B2">
        <w:t xml:space="preserve">a Treasury Laws Amendment Bill that has items from across the Treasury portfolio </w:t>
      </w:r>
      <w:r w:rsidR="00A673D5" w:rsidRPr="005576B2">
        <w:t xml:space="preserve">does </w:t>
      </w:r>
      <w:r w:rsidRPr="005576B2">
        <w:t xml:space="preserve">not need a </w:t>
      </w:r>
      <w:r w:rsidR="002936C7" w:rsidRPr="005576B2">
        <w:t>notice</w:t>
      </w:r>
      <w:r w:rsidRPr="005576B2">
        <w:t xml:space="preserve"> if the Bill </w:t>
      </w:r>
      <w:r w:rsidR="00EF244C" w:rsidRPr="005576B2">
        <w:t>deal</w:t>
      </w:r>
      <w:r w:rsidR="00A673D5" w:rsidRPr="005576B2">
        <w:t>s</w:t>
      </w:r>
      <w:r w:rsidRPr="005576B2">
        <w:t xml:space="preserve"> </w:t>
      </w:r>
      <w:r w:rsidR="002936C7" w:rsidRPr="005576B2">
        <w:t>predominantly</w:t>
      </w:r>
      <w:r w:rsidRPr="005576B2">
        <w:t xml:space="preserve"> with taxation.</w:t>
      </w:r>
    </w:p>
    <w:p w:rsidR="006A0861" w:rsidRPr="005576B2" w:rsidRDefault="00DF4879" w:rsidP="008563FC">
      <w:pPr>
        <w:pStyle w:val="BodyNum"/>
      </w:pPr>
      <w:bookmarkStart w:id="3" w:name="_Ref10634308"/>
      <w:r w:rsidRPr="005576B2">
        <w:lastRenderedPageBreak/>
        <w:t xml:space="preserve">In determining the whether </w:t>
      </w:r>
      <w:r w:rsidR="008563FC" w:rsidRPr="005576B2">
        <w:t>a</w:t>
      </w:r>
      <w:r w:rsidRPr="005576B2">
        <w:t xml:space="preserve"> Bill is predomina</w:t>
      </w:r>
      <w:r w:rsidR="004449CC" w:rsidRPr="005576B2">
        <w:t>n</w:t>
      </w:r>
      <w:r w:rsidRPr="005576B2">
        <w:t>tly dealing with taxation, l</w:t>
      </w:r>
      <w:r w:rsidR="006A0861" w:rsidRPr="005576B2">
        <w:t>ook at things like the number of Schedules dealing with tax matters, the number of pages dealing with tax matters and the ordering of the Schedules (with early Schedules treated as more important than later ones).</w:t>
      </w:r>
      <w:bookmarkEnd w:id="3"/>
    </w:p>
    <w:p w:rsidR="006A0861" w:rsidRPr="005576B2" w:rsidRDefault="006A0861" w:rsidP="006A0861">
      <w:pPr>
        <w:pStyle w:val="BodyNum"/>
      </w:pPr>
      <w:r w:rsidRPr="005576B2">
        <w:t>If there is any doubt as to whether a notice is required, you should discuss the matter with FPC who, in appropriate cases, will consult the Clerk of the House of Representatives.</w:t>
      </w:r>
    </w:p>
    <w:p w:rsidR="0085476B" w:rsidRPr="005576B2" w:rsidRDefault="0085476B" w:rsidP="005576B2">
      <w:pPr>
        <w:pStyle w:val="Head2"/>
      </w:pPr>
      <w:bookmarkStart w:id="4" w:name="_Toc12953655"/>
      <w:r w:rsidRPr="005576B2">
        <w:t>Part 3—Taxation to be imposed by express words</w:t>
      </w:r>
      <w:bookmarkEnd w:id="4"/>
    </w:p>
    <w:p w:rsidR="0085476B" w:rsidRPr="005576B2" w:rsidRDefault="0085476B" w:rsidP="00D14AF8">
      <w:pPr>
        <w:pStyle w:val="BodyNum"/>
      </w:pPr>
      <w:r w:rsidRPr="005576B2">
        <w:t>Taxation should be imposed by express words, for example:</w:t>
      </w:r>
    </w:p>
    <w:p w:rsidR="0085476B" w:rsidRPr="005576B2" w:rsidRDefault="0085476B" w:rsidP="0024270D">
      <w:pPr>
        <w:pStyle w:val="BodyParaBullet"/>
      </w:pPr>
      <w:r w:rsidRPr="005576B2">
        <w:t>“Tax is imposed in respect of the fringe benefits taxable amount of an employer of a year of tax.”</w:t>
      </w:r>
    </w:p>
    <w:p w:rsidR="0085476B" w:rsidRPr="005576B2" w:rsidRDefault="0085476B" w:rsidP="0024270D">
      <w:pPr>
        <w:pStyle w:val="BodyParaBullet"/>
      </w:pPr>
      <w:r w:rsidRPr="005576B2">
        <w:t>“Levy is imposed on the export of leviable products.”</w:t>
      </w:r>
    </w:p>
    <w:p w:rsidR="0085476B" w:rsidRPr="005576B2" w:rsidRDefault="0085476B" w:rsidP="0024270D">
      <w:pPr>
        <w:pStyle w:val="BodyParaBullet"/>
      </w:pPr>
      <w:r w:rsidRPr="005576B2">
        <w:t>“Charge is imposed on the production of eligible tobacco products.”</w:t>
      </w:r>
    </w:p>
    <w:p w:rsidR="0085476B" w:rsidRPr="005576B2" w:rsidRDefault="0085476B" w:rsidP="00D14AF8">
      <w:pPr>
        <w:pStyle w:val="BodyNum"/>
      </w:pPr>
      <w:r w:rsidRPr="005576B2">
        <w:t>There is no constitutional requirement for taxation to be imposed by express words. This instruction is issued to ensure consistency of approach.</w:t>
      </w:r>
    </w:p>
    <w:p w:rsidR="0085476B" w:rsidRPr="005576B2" w:rsidRDefault="0085476B" w:rsidP="005576B2">
      <w:pPr>
        <w:pStyle w:val="Head2"/>
      </w:pPr>
      <w:bookmarkStart w:id="5" w:name="_Toc12953656"/>
      <w:r w:rsidRPr="005576B2">
        <w:t>Part 4—When to structure provisions as provisions imposing tax</w:t>
      </w:r>
      <w:bookmarkEnd w:id="5"/>
    </w:p>
    <w:p w:rsidR="0085476B" w:rsidRPr="005576B2" w:rsidRDefault="0085476B" w:rsidP="005576B2">
      <w:pPr>
        <w:pStyle w:val="Head3"/>
      </w:pPr>
      <w:bookmarkStart w:id="6" w:name="_Toc12953657"/>
      <w:r w:rsidRPr="005576B2">
        <w:t>Background</w:t>
      </w:r>
      <w:bookmarkEnd w:id="6"/>
    </w:p>
    <w:p w:rsidR="0085476B" w:rsidRPr="005576B2" w:rsidRDefault="0085476B" w:rsidP="00D14AF8">
      <w:pPr>
        <w:pStyle w:val="BodyNum"/>
      </w:pPr>
      <w:r w:rsidRPr="005576B2">
        <w:t>During the Budget Sittings in 1993, the Senate took a close interest in the operation of section 55 of the Constitution and, in particular, in the meaning of the p</w:t>
      </w:r>
      <w:r w:rsidR="00AF389B" w:rsidRPr="005576B2">
        <w:t>hrase “laws imposing taxation”</w:t>
      </w:r>
      <w:r w:rsidRPr="005576B2">
        <w:t>. The Senate Standing Committee on Legal and Constitutional Affairs produced 2 relevant reports.</w:t>
      </w:r>
    </w:p>
    <w:p w:rsidR="0085476B" w:rsidRPr="005576B2" w:rsidRDefault="0085476B" w:rsidP="00D14AF8">
      <w:pPr>
        <w:pStyle w:val="BodyNum"/>
      </w:pPr>
      <w:r w:rsidRPr="005576B2">
        <w:t>In the end, decisions made during the Budget Sittings on the form of the Taxation (Deficit Reduction) Bills were based mainly on parliamentary rat</w:t>
      </w:r>
      <w:r w:rsidR="00AF389B" w:rsidRPr="005576B2">
        <w:t xml:space="preserve">her than legal considerations. </w:t>
      </w:r>
      <w:r w:rsidRPr="005576B2">
        <w:t>Since then Bills have mainly been structured following our pre</w:t>
      </w:r>
      <w:r w:rsidR="00687F28" w:rsidRPr="005576B2">
        <w:noBreakHyphen/>
      </w:r>
      <w:r w:rsidRPr="005576B2">
        <w:t>Budget Sittings practice.</w:t>
      </w:r>
    </w:p>
    <w:p w:rsidR="0085476B" w:rsidRPr="005576B2" w:rsidRDefault="0085476B" w:rsidP="00D14AF8">
      <w:pPr>
        <w:pStyle w:val="BodyNum"/>
      </w:pPr>
      <w:r w:rsidRPr="005576B2">
        <w:t xml:space="preserve">A Deficit Reduction “test Bill” was constructed so as to raise directly </w:t>
      </w:r>
      <w:r w:rsidR="00AF389B" w:rsidRPr="005576B2">
        <w:t>a number of</w:t>
      </w:r>
      <w:r w:rsidRPr="005576B2">
        <w:t xml:space="preserve"> legal issue</w:t>
      </w:r>
      <w:r w:rsidR="00AF389B" w:rsidRPr="005576B2">
        <w:t>s</w:t>
      </w:r>
      <w:r w:rsidRPr="005576B2">
        <w:t>. It was hoped (although not expected) that the Bill, when enacted, would be challenged in the High Court, and that the case would provide a definitive resolution of th</w:t>
      </w:r>
      <w:r w:rsidR="00AF389B" w:rsidRPr="005576B2">
        <w:t>e</w:t>
      </w:r>
      <w:r w:rsidRPr="005576B2">
        <w:t xml:space="preserve"> legal issue</w:t>
      </w:r>
      <w:r w:rsidR="00AF389B" w:rsidRPr="005576B2">
        <w:t>s</w:t>
      </w:r>
      <w:r w:rsidRPr="005576B2">
        <w:t>. No challenge was made. Another Act, which was identified during the Committee proceedings as raising the same legal issue (</w:t>
      </w:r>
      <w:r w:rsidRPr="005576B2">
        <w:rPr>
          <w:i/>
        </w:rPr>
        <w:t>Taxation Laws Amendment (Superannuation) Act 1993</w:t>
      </w:r>
      <w:r w:rsidRPr="005576B2">
        <w:t>), was also not challenged.</w:t>
      </w:r>
    </w:p>
    <w:p w:rsidR="0085476B" w:rsidRPr="005576B2" w:rsidRDefault="0085476B" w:rsidP="00D14AF8">
      <w:pPr>
        <w:pStyle w:val="BodyNum"/>
      </w:pPr>
      <w:r w:rsidRPr="005576B2">
        <w:t xml:space="preserve">In May 1993, the Parliamentary Business Committee considered a memorandum seeking guidance about future approaches to the drafting of taxing legislation. In light of that decision, Drafting Direction No. 9 of 1994 was issued (the content of which is now covered by </w:t>
      </w:r>
      <w:r w:rsidR="009A7F2A" w:rsidRPr="005576B2">
        <w:t>the rest of this Part</w:t>
      </w:r>
      <w:r w:rsidRPr="005576B2">
        <w:t>).</w:t>
      </w:r>
    </w:p>
    <w:p w:rsidR="0085476B" w:rsidRPr="005576B2" w:rsidRDefault="0085476B" w:rsidP="00D14AF8">
      <w:pPr>
        <w:pStyle w:val="BodyNum"/>
      </w:pPr>
      <w:r w:rsidRPr="005576B2">
        <w:t xml:space="preserve">On 12 November 2004, the High Court handed down the decision in </w:t>
      </w:r>
      <w:r w:rsidRPr="005576B2">
        <w:rPr>
          <w:i/>
        </w:rPr>
        <w:t xml:space="preserve">Permanent Trustee Australia Ltd v Commissioner of State Revenue (Victoria) </w:t>
      </w:r>
      <w:r w:rsidRPr="005576B2">
        <w:t xml:space="preserve">[2004] HCA 53. </w:t>
      </w:r>
      <w:r w:rsidR="00AF389B" w:rsidRPr="005576B2">
        <w:t>It is possible</w:t>
      </w:r>
      <w:r w:rsidRPr="005576B2">
        <w:t xml:space="preserve"> that the decision means that section 55 of the Constitution does not prevent the </w:t>
      </w:r>
      <w:r w:rsidRPr="005576B2">
        <w:lastRenderedPageBreak/>
        <w:t>Commonwealth from combining provisions that impose taxation with, at least, provisions for the assessment, collection and recovery of tax.</w:t>
      </w:r>
    </w:p>
    <w:p w:rsidR="0085476B" w:rsidRPr="005576B2" w:rsidRDefault="0085476B" w:rsidP="00D14AF8">
      <w:pPr>
        <w:pStyle w:val="BodyNum"/>
      </w:pPr>
      <w:r w:rsidRPr="005576B2">
        <w:t xml:space="preserve">However, OPC has not </w:t>
      </w:r>
      <w:r w:rsidR="00AF389B" w:rsidRPr="005576B2">
        <w:t>obtained</w:t>
      </w:r>
      <w:r w:rsidRPr="005576B2">
        <w:t xml:space="preserve"> advice on the effect of the decision and my view is that the approaches set out below should continue to be followed. This applies not just to Treasury revenue legislation, but other forms of taxation such as charges imposed on various forms of licences and primary industry levies.</w:t>
      </w:r>
    </w:p>
    <w:p w:rsidR="009F0408" w:rsidRPr="005576B2" w:rsidRDefault="009F0408" w:rsidP="005576B2">
      <w:pPr>
        <w:pStyle w:val="Head3"/>
      </w:pPr>
      <w:bookmarkStart w:id="7" w:name="_Toc12953658"/>
      <w:r w:rsidRPr="005576B2">
        <w:t>Provisions dealing with rates</w:t>
      </w:r>
      <w:bookmarkEnd w:id="7"/>
    </w:p>
    <w:p w:rsidR="00444416" w:rsidRPr="005576B2" w:rsidRDefault="00444416" w:rsidP="005576B2">
      <w:pPr>
        <w:pStyle w:val="Head4"/>
      </w:pPr>
      <w:bookmarkStart w:id="8" w:name="_Toc12953659"/>
      <w:r w:rsidRPr="005576B2">
        <w:t>New taxes</w:t>
      </w:r>
      <w:bookmarkEnd w:id="8"/>
    </w:p>
    <w:p w:rsidR="00444416" w:rsidRPr="005576B2" w:rsidRDefault="00F47FA6" w:rsidP="00444416">
      <w:pPr>
        <w:pStyle w:val="BodyNum"/>
      </w:pPr>
      <w:bookmarkStart w:id="9" w:name="_Ref10802669"/>
      <w:r w:rsidRPr="005576B2">
        <w:t xml:space="preserve">It has been suggested that setting </w:t>
      </w:r>
      <w:r w:rsidR="00444416" w:rsidRPr="005576B2">
        <w:t>rates is an integral part of imposing a tax</w:t>
      </w:r>
      <w:r w:rsidR="00F71FBA" w:rsidRPr="005576B2">
        <w:t>, and so provisions that set rates should be treated, for the purposes of section 55 of the Constitution, as provisions that impose taxation</w:t>
      </w:r>
      <w:r w:rsidR="00444416" w:rsidRPr="005576B2">
        <w:t>. This approach is not the approach preferred by the Government.</w:t>
      </w:r>
      <w:r w:rsidRPr="005576B2">
        <w:t xml:space="preserve"> </w:t>
      </w:r>
      <w:bookmarkStart w:id="10" w:name="_Ref10799311"/>
      <w:r w:rsidR="00444416" w:rsidRPr="005576B2">
        <w:t>However, schemes involving the imposition of a new tax should generally ensure that the rates of tax are set out in the imposition Act or, if appropriate, in a separate rates Act rather than in the assessment or collection Act. The same applies to provisions that:</w:t>
      </w:r>
      <w:bookmarkEnd w:id="10"/>
      <w:bookmarkEnd w:id="9"/>
    </w:p>
    <w:p w:rsidR="00444416" w:rsidRPr="005576B2" w:rsidRDefault="00444416" w:rsidP="00444416">
      <w:pPr>
        <w:pStyle w:val="BodyPara"/>
      </w:pPr>
      <w:r w:rsidRPr="005576B2">
        <w:t>provide for regulations to set out rates of tax, or to set out a method for determining rates of tax; or</w:t>
      </w:r>
    </w:p>
    <w:p w:rsidR="00444416" w:rsidRPr="005576B2" w:rsidRDefault="00444416" w:rsidP="00444416">
      <w:pPr>
        <w:pStyle w:val="BodyPara"/>
      </w:pPr>
      <w:r w:rsidRPr="005576B2">
        <w:t>provide for the maximum rate of tax, where the rates of tax or the method for determining the rates of tax is to be set out in regulations.</w:t>
      </w:r>
    </w:p>
    <w:p w:rsidR="00444416" w:rsidRPr="005576B2" w:rsidRDefault="00444416" w:rsidP="00444416">
      <w:pPr>
        <w:pStyle w:val="BodyNum"/>
      </w:pPr>
      <w:bookmarkStart w:id="11" w:name="_Ref269388890"/>
      <w:r w:rsidRPr="005576B2">
        <w:t>Schemes in which a single Act sets out a rate (or set of rates) applicable to several different taxes (most commonly involving taxes on goods which are imposed as customs, excise and general taxes) should be avoided. If (contrary to the approach preferred by the Government) the setting of rates is part of imposing tax, then such a scheme would involve a single rates Act “imposing” tax on 2 or more different subjects of taxation, resulting in the invalidity of the whole Act.</w:t>
      </w:r>
      <w:bookmarkEnd w:id="11"/>
    </w:p>
    <w:p w:rsidR="006C3AFA" w:rsidRPr="005576B2" w:rsidRDefault="009F0408" w:rsidP="005576B2">
      <w:pPr>
        <w:pStyle w:val="Head4"/>
      </w:pPr>
      <w:bookmarkStart w:id="12" w:name="_Ref269388877"/>
      <w:bookmarkStart w:id="13" w:name="_Toc12953660"/>
      <w:r w:rsidRPr="005576B2">
        <w:t>Increasing</w:t>
      </w:r>
      <w:r w:rsidR="006C3AFA" w:rsidRPr="005576B2">
        <w:t xml:space="preserve"> rates</w:t>
      </w:r>
      <w:bookmarkEnd w:id="13"/>
    </w:p>
    <w:p w:rsidR="00A66EA6" w:rsidRPr="005576B2" w:rsidRDefault="00A66EA6" w:rsidP="00A66EA6">
      <w:pPr>
        <w:pStyle w:val="BodyNum"/>
      </w:pPr>
      <w:bookmarkStart w:id="14" w:name="_Ref10799714"/>
      <w:r w:rsidRPr="005576B2">
        <w:t>Where a Bill contains provisions increasing formal rates of tax (rather than effective rates of tax), the Bill should be structured as if it were a law imposing taxation for the purposes of section 55 of the Constitution and should not contain provisions that would cause it to breach section 55. This applies whether the rates are set out in the imposition Act or in another Act.</w:t>
      </w:r>
      <w:bookmarkEnd w:id="14"/>
    </w:p>
    <w:p w:rsidR="00A66EA6" w:rsidRPr="005576B2" w:rsidRDefault="00A66EA6" w:rsidP="00A66EA6">
      <w:pPr>
        <w:pStyle w:val="BodyNum"/>
      </w:pPr>
      <w:r w:rsidRPr="005576B2">
        <w:t>This approach also applies to:</w:t>
      </w:r>
    </w:p>
    <w:p w:rsidR="00A66EA6" w:rsidRPr="005576B2" w:rsidRDefault="00A66EA6" w:rsidP="0024270D">
      <w:pPr>
        <w:pStyle w:val="BodyPara"/>
      </w:pPr>
      <w:r w:rsidRPr="005576B2">
        <w:t>provisions increasing the maximum rates of taxes (this is likely to be relevant to such things as primary industry levy Acts which often set maximum rates of levy but allow the actual rate of levy to be set from time to time by subordinate instrument); and</w:t>
      </w:r>
    </w:p>
    <w:p w:rsidR="00A66EA6" w:rsidRPr="005576B2" w:rsidRDefault="00A66EA6" w:rsidP="0024270D">
      <w:pPr>
        <w:pStyle w:val="BodyPara"/>
      </w:pPr>
      <w:r w:rsidRPr="005576B2">
        <w:t>provisions abandoning tiered levy rates in favour of a single maximum levy that is greater than at least one of the tiered levy rates.</w:t>
      </w:r>
    </w:p>
    <w:p w:rsidR="0085476B" w:rsidRPr="005576B2" w:rsidRDefault="009F0408" w:rsidP="005576B2">
      <w:pPr>
        <w:pStyle w:val="Head4"/>
      </w:pPr>
      <w:bookmarkStart w:id="15" w:name="_Toc12953661"/>
      <w:bookmarkEnd w:id="12"/>
      <w:r w:rsidRPr="005576B2">
        <w:lastRenderedPageBreak/>
        <w:t>M</w:t>
      </w:r>
      <w:r w:rsidR="00651E60" w:rsidRPr="005576B2">
        <w:t xml:space="preserve">oving </w:t>
      </w:r>
      <w:r w:rsidR="0085476B" w:rsidRPr="005576B2">
        <w:t>an item from a “low rate” category of taxable items to a “high rate” category of taxable items</w:t>
      </w:r>
      <w:bookmarkEnd w:id="15"/>
    </w:p>
    <w:p w:rsidR="0085476B" w:rsidRPr="005576B2" w:rsidRDefault="0085476B" w:rsidP="00D14AF8">
      <w:pPr>
        <w:pStyle w:val="BodyNum"/>
      </w:pPr>
      <w:r w:rsidRPr="005576B2">
        <w:t xml:space="preserve">There is some suggestion that </w:t>
      </w:r>
      <w:r w:rsidR="0043234F" w:rsidRPr="005576B2">
        <w:t xml:space="preserve">it would be possible to view </w:t>
      </w:r>
      <w:r w:rsidRPr="005576B2">
        <w:t>as an imposition of tax an amendment that re</w:t>
      </w:r>
      <w:r w:rsidR="00687F28" w:rsidRPr="005576B2">
        <w:noBreakHyphen/>
      </w:r>
      <w:r w:rsidRPr="005576B2">
        <w:t>categorised an item so that it became subject to a higher rate of tax than before the amendment.</w:t>
      </w:r>
    </w:p>
    <w:p w:rsidR="0085476B" w:rsidRPr="005576B2" w:rsidRDefault="0085476B" w:rsidP="00D14AF8">
      <w:pPr>
        <w:pStyle w:val="BodyNum"/>
      </w:pPr>
      <w:r w:rsidRPr="005576B2">
        <w:t>A drafter who is asked to draft such an amendment should seek advice before including such an amendment in a Bill also dealing with matters other than the imposition of tax. That request for advice should canvass the suggestion mentioned above.</w:t>
      </w:r>
    </w:p>
    <w:p w:rsidR="009F0408" w:rsidRPr="005576B2" w:rsidRDefault="009F0408" w:rsidP="005576B2">
      <w:pPr>
        <w:pStyle w:val="Head4"/>
      </w:pPr>
      <w:bookmarkStart w:id="16" w:name="_Toc12953662"/>
      <w:r w:rsidRPr="005576B2">
        <w:t>Reducing rates of tax</w:t>
      </w:r>
      <w:bookmarkEnd w:id="16"/>
    </w:p>
    <w:p w:rsidR="009F0408" w:rsidRPr="005576B2" w:rsidRDefault="009F0408" w:rsidP="009F0408">
      <w:pPr>
        <w:pStyle w:val="BodyNum"/>
      </w:pPr>
      <w:r w:rsidRPr="005576B2">
        <w:t>In general, provisions that reduce formal rates of tax or effective rates of tax should be treated as not imposing taxation.</w:t>
      </w:r>
    </w:p>
    <w:p w:rsidR="0085476B" w:rsidRPr="005576B2" w:rsidRDefault="0085476B" w:rsidP="005576B2">
      <w:pPr>
        <w:pStyle w:val="Head3"/>
      </w:pPr>
      <w:bookmarkStart w:id="17" w:name="_Toc12953663"/>
      <w:r w:rsidRPr="005576B2">
        <w:t>Packages of provisions</w:t>
      </w:r>
      <w:bookmarkEnd w:id="17"/>
    </w:p>
    <w:p w:rsidR="0085476B" w:rsidRPr="005576B2" w:rsidRDefault="0085476B" w:rsidP="00D14AF8">
      <w:pPr>
        <w:pStyle w:val="BodyNum"/>
      </w:pPr>
      <w:r w:rsidRPr="005576B2">
        <w:t>A package of provisions that resulted in previously exempt income being taxed at a rate lower than non</w:t>
      </w:r>
      <w:r w:rsidR="00687F28" w:rsidRPr="005576B2">
        <w:noBreakHyphen/>
      </w:r>
      <w:r w:rsidRPr="005576B2">
        <w:t>exempt income was challenged in the Parliament during the Budget Sittings of 1993 on the ground that it amounted to an imposition of tax. The package consisted of 2 provisions. The provisions were:</w:t>
      </w:r>
    </w:p>
    <w:p w:rsidR="0085476B" w:rsidRPr="005576B2" w:rsidRDefault="0085476B" w:rsidP="0024270D">
      <w:pPr>
        <w:pStyle w:val="BodyPara"/>
      </w:pPr>
      <w:r w:rsidRPr="005576B2">
        <w:t>a provision removing a tax exemption from certain credit union income, which by itself would have subjected the income to tax at a 33% rate; and</w:t>
      </w:r>
    </w:p>
    <w:p w:rsidR="0085476B" w:rsidRPr="005576B2" w:rsidRDefault="0043234F" w:rsidP="0024270D">
      <w:pPr>
        <w:pStyle w:val="BodyPara"/>
      </w:pPr>
      <w:r w:rsidRPr="005576B2">
        <w:t xml:space="preserve">a </w:t>
      </w:r>
      <w:r w:rsidR="0085476B" w:rsidRPr="005576B2">
        <w:t>provision providing that the tax rate for that income should be 20% instead of 33%.</w:t>
      </w:r>
    </w:p>
    <w:p w:rsidR="0085476B" w:rsidRPr="005576B2" w:rsidRDefault="0085476B" w:rsidP="0085476B">
      <w:pPr>
        <w:pStyle w:val="Body"/>
      </w:pPr>
      <w:r w:rsidRPr="005576B2">
        <w:t>After some complicated procedural manoeuvring, the Bill was passed intact.</w:t>
      </w:r>
    </w:p>
    <w:p w:rsidR="0085476B" w:rsidRPr="005576B2" w:rsidRDefault="0085476B" w:rsidP="00D14AF8">
      <w:pPr>
        <w:pStyle w:val="BodyNum"/>
      </w:pPr>
      <w:r w:rsidRPr="005576B2">
        <w:t>Packages of this type should in general be treated as not imposing tax. However drafters should be aware of this issue, and should take appropriate action if the issue arises in a context which is otherwise sensitive. This action might include raising the issue with instructors and structuring the provisions so as to avoid any similar argument being raised.</w:t>
      </w:r>
    </w:p>
    <w:p w:rsidR="0085476B" w:rsidRPr="005576B2" w:rsidRDefault="0085476B" w:rsidP="005576B2">
      <w:pPr>
        <w:pStyle w:val="Head3"/>
      </w:pPr>
      <w:bookmarkStart w:id="18" w:name="_Toc12953664"/>
      <w:r w:rsidRPr="005576B2">
        <w:t>Provisions that expand the tax base etc.</w:t>
      </w:r>
      <w:bookmarkEnd w:id="18"/>
    </w:p>
    <w:p w:rsidR="0085476B" w:rsidRPr="005576B2" w:rsidRDefault="0085476B" w:rsidP="00D14AF8">
      <w:pPr>
        <w:pStyle w:val="BodyNum"/>
      </w:pPr>
      <w:r w:rsidRPr="005576B2">
        <w:t>Generally, provisions of amending Bills that (without changing formal rates) expand liability for an existing tax should be treated as not imposing taxation (whether they are amendments of an imposition Act or another Act such as an assessmen</w:t>
      </w:r>
      <w:r w:rsidR="005F1E7A" w:rsidRPr="005576B2">
        <w:t xml:space="preserve">t Act or levy collection Act). </w:t>
      </w:r>
      <w:r w:rsidRPr="005576B2">
        <w:t>These provisions will include</w:t>
      </w:r>
      <w:r w:rsidR="0024270D" w:rsidRPr="005576B2">
        <w:t xml:space="preserve"> the following</w:t>
      </w:r>
      <w:r w:rsidRPr="005576B2">
        <w:t>:</w:t>
      </w:r>
    </w:p>
    <w:p w:rsidR="0085476B" w:rsidRPr="005576B2" w:rsidRDefault="0085476B" w:rsidP="0024270D">
      <w:pPr>
        <w:pStyle w:val="BodyPara"/>
      </w:pPr>
      <w:r w:rsidRPr="005576B2">
        <w:t>provisions removing tax exemptions;</w:t>
      </w:r>
    </w:p>
    <w:p w:rsidR="0085476B" w:rsidRPr="005576B2" w:rsidRDefault="0085476B" w:rsidP="0024270D">
      <w:pPr>
        <w:pStyle w:val="BodyPara"/>
      </w:pPr>
      <w:r w:rsidRPr="005576B2">
        <w:t>provisions removing or reducing tax rebates;</w:t>
      </w:r>
    </w:p>
    <w:p w:rsidR="0085476B" w:rsidRPr="005576B2" w:rsidRDefault="0085476B" w:rsidP="0024270D">
      <w:pPr>
        <w:pStyle w:val="BodyPara"/>
      </w:pPr>
      <w:r w:rsidRPr="005576B2">
        <w:t>provisions expanding a taxable amount (eg by extending the range of fringe benefits whose value is to be included in the amount subject to tax).</w:t>
      </w:r>
    </w:p>
    <w:p w:rsidR="0085476B" w:rsidRPr="005576B2" w:rsidRDefault="0085476B" w:rsidP="0085476B">
      <w:pPr>
        <w:pStyle w:val="Body"/>
      </w:pPr>
      <w:r w:rsidRPr="005576B2">
        <w:t>These provisions may be included in Bills other than those that impose a different “subject of taxation”.</w:t>
      </w:r>
    </w:p>
    <w:p w:rsidR="0085476B" w:rsidRPr="005576B2" w:rsidRDefault="0085476B" w:rsidP="00D14AF8">
      <w:pPr>
        <w:pStyle w:val="BodyNum"/>
      </w:pPr>
      <w:r w:rsidRPr="005576B2">
        <w:lastRenderedPageBreak/>
        <w:t xml:space="preserve">It is, however, possible for an amending Bill that expands a tax base to result in an imposition of tax. As a result of the decision in </w:t>
      </w:r>
      <w:r w:rsidRPr="005576B2">
        <w:rPr>
          <w:i/>
        </w:rPr>
        <w:t>Air Caledonie</w:t>
      </w:r>
      <w:r w:rsidRPr="005576B2">
        <w:t xml:space="preserve"> </w:t>
      </w:r>
      <w:r w:rsidRPr="005576B2">
        <w:rPr>
          <w:i/>
        </w:rPr>
        <w:t xml:space="preserve">International v Commonwealth </w:t>
      </w:r>
      <w:r w:rsidRPr="005576B2">
        <w:t>(1988) 165 CLR 462, in applying section 55 the text of the principal Act must be considered as if it had been validly amended by the amending Act. For example, the second paragraph would be contravened if the amending Bill attempted to amend the Income Tax Assessment Act by including in taxable income the price of Australian</w:t>
      </w:r>
      <w:r w:rsidR="00687F28" w:rsidRPr="005576B2">
        <w:noBreakHyphen/>
      </w:r>
      <w:r w:rsidRPr="005576B2">
        <w:t>made goods sold by the taxpayer, because the result would be the imposition of income tax and an excise.</w:t>
      </w:r>
    </w:p>
    <w:p w:rsidR="0085476B" w:rsidRPr="005576B2" w:rsidRDefault="0085476B" w:rsidP="00D14AF8">
      <w:pPr>
        <w:pStyle w:val="BodyNum"/>
      </w:pPr>
      <w:r w:rsidRPr="005576B2">
        <w:t xml:space="preserve">The first paragraph of section 55 may be contravened by amendments expanding the tax base to include matters </w:t>
      </w:r>
      <w:r w:rsidRPr="005576B2">
        <w:rPr>
          <w:i/>
        </w:rPr>
        <w:t>not falling within the general nature or description of the original tax, but not constituting a separate subject of taxation</w:t>
      </w:r>
      <w:r w:rsidRPr="005576B2">
        <w:t>. It appears that the more narrow the description of the tax base, the more it is likely for the amending Bill to result in an imposition of tax. If there is any doubt, advice should be sought.</w:t>
      </w:r>
    </w:p>
    <w:p w:rsidR="0085476B" w:rsidRPr="005576B2" w:rsidRDefault="0085476B" w:rsidP="00D14AF8">
      <w:pPr>
        <w:pStyle w:val="BodyNum"/>
      </w:pPr>
      <w:r w:rsidRPr="005576B2">
        <w:t>If an amending Bill expands a tax base to result in the imposition of tax, the imposition provisions of the imposition Act should also be repealed and re</w:t>
      </w:r>
      <w:r w:rsidR="00687F28" w:rsidRPr="005576B2">
        <w:noBreakHyphen/>
      </w:r>
      <w:r w:rsidRPr="005576B2">
        <w:t>enacted. The re</w:t>
      </w:r>
      <w:r w:rsidR="00687F28" w:rsidRPr="005576B2">
        <w:noBreakHyphen/>
      </w:r>
      <w:r w:rsidRPr="005576B2">
        <w:t>enacting Bill will be a Bill imposing tax.</w:t>
      </w:r>
    </w:p>
    <w:p w:rsidR="0085476B" w:rsidRPr="005576B2" w:rsidRDefault="0085476B" w:rsidP="005576B2">
      <w:pPr>
        <w:pStyle w:val="Head3"/>
      </w:pPr>
      <w:bookmarkStart w:id="19" w:name="_Toc12953665"/>
      <w:r w:rsidRPr="005576B2">
        <w:t>General</w:t>
      </w:r>
      <w:bookmarkEnd w:id="19"/>
    </w:p>
    <w:p w:rsidR="0085476B" w:rsidRPr="005576B2" w:rsidRDefault="0085476B" w:rsidP="00D14AF8">
      <w:pPr>
        <w:pStyle w:val="BodyNum"/>
      </w:pPr>
      <w:r w:rsidRPr="005576B2">
        <w:t xml:space="preserve">The matters dealt with in this Part are complex, and it is not possible to give clear guidance on all the possible cases. Drafters should not hesitate to seek </w:t>
      </w:r>
      <w:r w:rsidR="00AF389B" w:rsidRPr="005576B2">
        <w:t>assistance</w:t>
      </w:r>
      <w:r w:rsidRPr="005576B2">
        <w:t xml:space="preserve">, </w:t>
      </w:r>
      <w:r w:rsidR="00AF389B" w:rsidRPr="005576B2">
        <w:t>including from FPC</w:t>
      </w:r>
      <w:r w:rsidRPr="005576B2">
        <w:t>, on issues that they have trouble resolving on the basis of this Part.</w:t>
      </w:r>
    </w:p>
    <w:p w:rsidR="0085476B" w:rsidRPr="005576B2" w:rsidRDefault="0085476B" w:rsidP="00D14AF8">
      <w:pPr>
        <w:pStyle w:val="BodyNum"/>
      </w:pPr>
      <w:bookmarkStart w:id="20" w:name="_Ref10799717"/>
      <w:r w:rsidRPr="005576B2">
        <w:t>I would be grateful if drafters would draw to my attention to any advice they receive (or become aware of) that takes any of these matters further.</w:t>
      </w:r>
      <w:bookmarkEnd w:id="20"/>
    </w:p>
    <w:p w:rsidR="0085476B" w:rsidRPr="005576B2" w:rsidRDefault="0085476B" w:rsidP="005576B2">
      <w:pPr>
        <w:pStyle w:val="Head2"/>
      </w:pPr>
      <w:bookmarkStart w:id="21" w:name="_Toc12953666"/>
      <w:r w:rsidRPr="005576B2">
        <w:t>Part 5—Application of amendments relevant to the making of assessments of income tax and fringe benefits tax</w:t>
      </w:r>
      <w:bookmarkEnd w:id="21"/>
    </w:p>
    <w:p w:rsidR="0085476B" w:rsidRPr="005576B2" w:rsidRDefault="0085476B" w:rsidP="005576B2">
      <w:pPr>
        <w:pStyle w:val="Head3"/>
      </w:pPr>
      <w:bookmarkStart w:id="22" w:name="_Toc12953667"/>
      <w:r w:rsidRPr="005576B2">
        <w:t>Object of Part</w:t>
      </w:r>
      <w:bookmarkEnd w:id="22"/>
    </w:p>
    <w:p w:rsidR="0085476B" w:rsidRPr="005576B2" w:rsidRDefault="0085476B" w:rsidP="00D14AF8">
      <w:pPr>
        <w:pStyle w:val="BodyNum"/>
        <w:rPr>
          <w:rStyle w:val="BodyNumChar"/>
        </w:rPr>
      </w:pPr>
      <w:r w:rsidRPr="005576B2">
        <w:rPr>
          <w:rStyle w:val="BodyNumChar"/>
        </w:rPr>
        <w:t>The object of this Part is to tell drafters about the need for application provisions for amendments relevant to the making of assessments of income tax and fringe benefits tax (</w:t>
      </w:r>
      <w:r w:rsidRPr="005576B2">
        <w:rPr>
          <w:rStyle w:val="BodyNumChar"/>
          <w:b/>
          <w:i/>
        </w:rPr>
        <w:t>FBT</w:t>
      </w:r>
      <w:r w:rsidR="00D52C87" w:rsidRPr="005576B2">
        <w:rPr>
          <w:rStyle w:val="BodyNumChar"/>
        </w:rPr>
        <w:t>).</w:t>
      </w:r>
    </w:p>
    <w:p w:rsidR="0085476B" w:rsidRPr="005576B2" w:rsidRDefault="0085476B" w:rsidP="005576B2">
      <w:pPr>
        <w:pStyle w:val="Head3"/>
      </w:pPr>
      <w:bookmarkStart w:id="23" w:name="_Toc12953668"/>
      <w:r w:rsidRPr="005576B2">
        <w:t>Why application provisions are needed</w:t>
      </w:r>
      <w:bookmarkEnd w:id="23"/>
    </w:p>
    <w:p w:rsidR="0085476B" w:rsidRPr="005576B2" w:rsidRDefault="0085476B" w:rsidP="00D14AF8">
      <w:pPr>
        <w:pStyle w:val="BodyNum"/>
      </w:pPr>
      <w:r w:rsidRPr="005576B2">
        <w:t>Assessments can be made at any time in relation to any income tax incom</w:t>
      </w:r>
      <w:r w:rsidR="00D52C87" w:rsidRPr="005576B2">
        <w:t>e year or any FBT year of tax.</w:t>
      </w:r>
    </w:p>
    <w:p w:rsidR="0085476B" w:rsidRPr="005576B2" w:rsidRDefault="0085476B" w:rsidP="00D14AF8">
      <w:pPr>
        <w:pStyle w:val="BodyNum"/>
      </w:pPr>
      <w:r w:rsidRPr="005576B2">
        <w:t>Application provisions are the best way of clearly establishing which version of the tax law is</w:t>
      </w:r>
      <w:r w:rsidR="00D52C87" w:rsidRPr="005576B2">
        <w:t xml:space="preserve"> applicable to the assessment.</w:t>
      </w:r>
    </w:p>
    <w:p w:rsidR="0085476B" w:rsidRPr="005576B2" w:rsidRDefault="0085476B" w:rsidP="00D14AF8">
      <w:pPr>
        <w:pStyle w:val="BodyNum"/>
      </w:pPr>
      <w:r w:rsidRPr="005576B2">
        <w:t>Application provisions ensure that the correct “old” version of the law remains in force, and can be applied, in making a “prior year” assessment or in making some other assessment dealing with matters to which the “new” law does not apply.</w:t>
      </w:r>
    </w:p>
    <w:p w:rsidR="0085476B" w:rsidRPr="005576B2" w:rsidRDefault="0085476B" w:rsidP="005576B2">
      <w:pPr>
        <w:pStyle w:val="Head3"/>
      </w:pPr>
      <w:bookmarkStart w:id="24" w:name="_Toc12953669"/>
      <w:r w:rsidRPr="005576B2">
        <w:lastRenderedPageBreak/>
        <w:t>Kind of application provisions</w:t>
      </w:r>
      <w:bookmarkEnd w:id="24"/>
    </w:p>
    <w:p w:rsidR="0085476B" w:rsidRPr="005576B2" w:rsidRDefault="0085476B" w:rsidP="00D14AF8">
      <w:pPr>
        <w:pStyle w:val="BodyNum"/>
      </w:pPr>
      <w:r w:rsidRPr="005576B2">
        <w:t>As a general rule, amendments relevant to the making of assessments of income tax and FBT should be made applicable to specified matters.</w:t>
      </w:r>
    </w:p>
    <w:p w:rsidR="0085476B" w:rsidRPr="005576B2" w:rsidRDefault="0085476B" w:rsidP="00D14AF8">
      <w:pPr>
        <w:pStyle w:val="BodyNum"/>
      </w:pPr>
      <w:r w:rsidRPr="005576B2">
        <w:t>The following are examples of the application of such amendments:</w:t>
      </w:r>
    </w:p>
    <w:p w:rsidR="0085476B" w:rsidRPr="005576B2" w:rsidRDefault="0085476B" w:rsidP="0085476B">
      <w:pPr>
        <w:pStyle w:val="Tabletext"/>
      </w:pPr>
    </w:p>
    <w:tbl>
      <w:tblPr>
        <w:tblW w:w="0" w:type="auto"/>
        <w:jc w:val="center"/>
        <w:tblBorders>
          <w:top w:val="single" w:sz="2" w:space="0" w:color="auto"/>
          <w:bottom w:val="single" w:sz="2" w:space="0" w:color="auto"/>
          <w:insideH w:val="single" w:sz="2" w:space="0" w:color="auto"/>
        </w:tblBorders>
        <w:tblLayout w:type="fixed"/>
        <w:tblCellMar>
          <w:left w:w="120" w:type="dxa"/>
          <w:right w:w="120" w:type="dxa"/>
        </w:tblCellMar>
        <w:tblLook w:val="0000" w:firstRow="0" w:lastRow="0" w:firstColumn="0" w:lastColumn="0" w:noHBand="0" w:noVBand="0"/>
      </w:tblPr>
      <w:tblGrid>
        <w:gridCol w:w="866"/>
        <w:gridCol w:w="3722"/>
        <w:gridCol w:w="4437"/>
      </w:tblGrid>
      <w:tr w:rsidR="0085476B" w:rsidRPr="005576B2" w:rsidTr="00885428">
        <w:trPr>
          <w:jc w:val="center"/>
        </w:trPr>
        <w:tc>
          <w:tcPr>
            <w:tcW w:w="866" w:type="dxa"/>
            <w:tcBorders>
              <w:top w:val="single" w:sz="12" w:space="0" w:color="auto"/>
              <w:bottom w:val="single" w:sz="12" w:space="0" w:color="auto"/>
            </w:tcBorders>
          </w:tcPr>
          <w:p w:rsidR="0085476B" w:rsidRPr="005576B2" w:rsidRDefault="0085476B" w:rsidP="00885428">
            <w:pPr>
              <w:pStyle w:val="Tabletext"/>
              <w:rPr>
                <w:b/>
              </w:rPr>
            </w:pPr>
            <w:r w:rsidRPr="005576B2">
              <w:rPr>
                <w:b/>
              </w:rPr>
              <w:t>Item</w:t>
            </w:r>
          </w:p>
        </w:tc>
        <w:tc>
          <w:tcPr>
            <w:tcW w:w="3722" w:type="dxa"/>
            <w:tcBorders>
              <w:top w:val="single" w:sz="12" w:space="0" w:color="auto"/>
              <w:bottom w:val="single" w:sz="12" w:space="0" w:color="auto"/>
            </w:tcBorders>
          </w:tcPr>
          <w:p w:rsidR="0085476B" w:rsidRPr="005576B2" w:rsidRDefault="0085476B" w:rsidP="00885428">
            <w:pPr>
              <w:pStyle w:val="Tabletext"/>
              <w:rPr>
                <w:b/>
              </w:rPr>
            </w:pPr>
            <w:r w:rsidRPr="005576B2">
              <w:rPr>
                <w:b/>
              </w:rPr>
              <w:t>Topic of amendment:</w:t>
            </w:r>
          </w:p>
        </w:tc>
        <w:tc>
          <w:tcPr>
            <w:tcW w:w="4437" w:type="dxa"/>
            <w:tcBorders>
              <w:top w:val="single" w:sz="12" w:space="0" w:color="auto"/>
              <w:bottom w:val="single" w:sz="12" w:space="0" w:color="auto"/>
            </w:tcBorders>
          </w:tcPr>
          <w:p w:rsidR="0085476B" w:rsidRPr="005576B2" w:rsidRDefault="0085476B" w:rsidP="00885428">
            <w:pPr>
              <w:pStyle w:val="Tabletext"/>
              <w:rPr>
                <w:b/>
              </w:rPr>
            </w:pPr>
            <w:r w:rsidRPr="005576B2">
              <w:rPr>
                <w:b/>
              </w:rPr>
              <w:t>Amendment applies to:</w:t>
            </w:r>
          </w:p>
        </w:tc>
      </w:tr>
      <w:tr w:rsidR="0085476B" w:rsidRPr="005576B2" w:rsidTr="00885428">
        <w:trPr>
          <w:jc w:val="center"/>
        </w:trPr>
        <w:tc>
          <w:tcPr>
            <w:tcW w:w="866" w:type="dxa"/>
            <w:tcBorders>
              <w:top w:val="single" w:sz="12" w:space="0" w:color="auto"/>
            </w:tcBorders>
          </w:tcPr>
          <w:p w:rsidR="0085476B" w:rsidRPr="005576B2" w:rsidRDefault="0085476B" w:rsidP="00885428">
            <w:pPr>
              <w:pStyle w:val="Tabletext"/>
            </w:pPr>
            <w:r w:rsidRPr="005576B2">
              <w:t>1.</w:t>
            </w:r>
          </w:p>
        </w:tc>
        <w:tc>
          <w:tcPr>
            <w:tcW w:w="3722" w:type="dxa"/>
            <w:tcBorders>
              <w:top w:val="single" w:sz="12" w:space="0" w:color="auto"/>
            </w:tcBorders>
          </w:tcPr>
          <w:p w:rsidR="0085476B" w:rsidRPr="005576B2" w:rsidRDefault="0085476B" w:rsidP="00885428">
            <w:pPr>
              <w:pStyle w:val="Tabletext"/>
            </w:pPr>
            <w:r w:rsidRPr="005576B2">
              <w:t>Income tax deduction for expenditure incurred by a taxpayer</w:t>
            </w:r>
          </w:p>
        </w:tc>
        <w:tc>
          <w:tcPr>
            <w:tcW w:w="4437" w:type="dxa"/>
            <w:tcBorders>
              <w:top w:val="single" w:sz="12" w:space="0" w:color="auto"/>
            </w:tcBorders>
          </w:tcPr>
          <w:p w:rsidR="0085476B" w:rsidRPr="005576B2" w:rsidRDefault="0085476B" w:rsidP="00885428">
            <w:pPr>
              <w:pStyle w:val="Tabletext"/>
            </w:pPr>
            <w:r w:rsidRPr="005576B2">
              <w:t>expenditure incurred after 12 March 2006</w:t>
            </w:r>
          </w:p>
        </w:tc>
      </w:tr>
      <w:tr w:rsidR="0085476B" w:rsidRPr="005576B2" w:rsidTr="00885428">
        <w:trPr>
          <w:jc w:val="center"/>
        </w:trPr>
        <w:tc>
          <w:tcPr>
            <w:tcW w:w="866" w:type="dxa"/>
          </w:tcPr>
          <w:p w:rsidR="0085476B" w:rsidRPr="005576B2" w:rsidRDefault="0085476B" w:rsidP="00885428">
            <w:pPr>
              <w:pStyle w:val="Tabletext"/>
            </w:pPr>
            <w:r w:rsidRPr="005576B2">
              <w:t>2.</w:t>
            </w:r>
          </w:p>
        </w:tc>
        <w:tc>
          <w:tcPr>
            <w:tcW w:w="3722" w:type="dxa"/>
          </w:tcPr>
          <w:p w:rsidR="0085476B" w:rsidRPr="005576B2" w:rsidRDefault="0085476B" w:rsidP="00885428">
            <w:pPr>
              <w:pStyle w:val="Tabletext"/>
            </w:pPr>
            <w:r w:rsidRPr="005576B2">
              <w:t>Inclusion of an amount in a taxpayer’s assessable income for income tax purposes</w:t>
            </w:r>
          </w:p>
        </w:tc>
        <w:tc>
          <w:tcPr>
            <w:tcW w:w="4437" w:type="dxa"/>
          </w:tcPr>
          <w:p w:rsidR="0085476B" w:rsidRPr="005576B2" w:rsidRDefault="0085476B" w:rsidP="00885428">
            <w:pPr>
              <w:pStyle w:val="Tabletext"/>
            </w:pPr>
            <w:r w:rsidRPr="005576B2">
              <w:t>assessments for the 2006</w:t>
            </w:r>
            <w:r w:rsidR="00687F28" w:rsidRPr="005576B2">
              <w:noBreakHyphen/>
            </w:r>
            <w:r w:rsidRPr="005576B2">
              <w:t>07 income year and later income years</w:t>
            </w:r>
          </w:p>
        </w:tc>
      </w:tr>
      <w:tr w:rsidR="0085476B" w:rsidRPr="005576B2" w:rsidTr="00885428">
        <w:trPr>
          <w:jc w:val="center"/>
        </w:trPr>
        <w:tc>
          <w:tcPr>
            <w:tcW w:w="866" w:type="dxa"/>
          </w:tcPr>
          <w:p w:rsidR="0085476B" w:rsidRPr="005576B2" w:rsidRDefault="0085476B" w:rsidP="00885428">
            <w:pPr>
              <w:pStyle w:val="Tabletext"/>
            </w:pPr>
            <w:r w:rsidRPr="005576B2">
              <w:t>3.</w:t>
            </w:r>
          </w:p>
        </w:tc>
        <w:tc>
          <w:tcPr>
            <w:tcW w:w="3722" w:type="dxa"/>
          </w:tcPr>
          <w:p w:rsidR="0085476B" w:rsidRPr="005576B2" w:rsidRDefault="0085476B" w:rsidP="00885428">
            <w:pPr>
              <w:pStyle w:val="Tabletext"/>
            </w:pPr>
            <w:r w:rsidRPr="005576B2">
              <w:t>Income tax rebate for dividend payment</w:t>
            </w:r>
          </w:p>
        </w:tc>
        <w:tc>
          <w:tcPr>
            <w:tcW w:w="4437" w:type="dxa"/>
          </w:tcPr>
          <w:p w:rsidR="0085476B" w:rsidRPr="005576B2" w:rsidRDefault="0085476B" w:rsidP="00885428">
            <w:pPr>
              <w:pStyle w:val="Tabletext"/>
            </w:pPr>
            <w:r w:rsidRPr="005576B2">
              <w:t>a dividend paid by a company after 31 December 2006</w:t>
            </w:r>
          </w:p>
        </w:tc>
      </w:tr>
      <w:tr w:rsidR="0085476B" w:rsidRPr="005576B2" w:rsidTr="00885428">
        <w:trPr>
          <w:jc w:val="center"/>
        </w:trPr>
        <w:tc>
          <w:tcPr>
            <w:tcW w:w="866" w:type="dxa"/>
          </w:tcPr>
          <w:p w:rsidR="0085476B" w:rsidRPr="005576B2" w:rsidRDefault="0085476B" w:rsidP="00885428">
            <w:pPr>
              <w:pStyle w:val="Tabletext"/>
            </w:pPr>
            <w:r w:rsidRPr="005576B2">
              <w:t>4.</w:t>
            </w:r>
          </w:p>
        </w:tc>
        <w:tc>
          <w:tcPr>
            <w:tcW w:w="3722" w:type="dxa"/>
          </w:tcPr>
          <w:p w:rsidR="0085476B" w:rsidRPr="005576B2" w:rsidRDefault="0085476B" w:rsidP="00885428">
            <w:pPr>
              <w:pStyle w:val="Tabletext"/>
            </w:pPr>
            <w:r w:rsidRPr="005576B2">
              <w:t>Method of working out depreciation</w:t>
            </w:r>
          </w:p>
        </w:tc>
        <w:tc>
          <w:tcPr>
            <w:tcW w:w="4437" w:type="dxa"/>
          </w:tcPr>
          <w:p w:rsidR="0085476B" w:rsidRPr="005576B2" w:rsidRDefault="0085476B" w:rsidP="00885428">
            <w:pPr>
              <w:pStyle w:val="Tabletext"/>
            </w:pPr>
            <w:r w:rsidRPr="005576B2">
              <w:t>a depreciating asset acquired under a contract entered into after 30 June 2006</w:t>
            </w:r>
          </w:p>
        </w:tc>
      </w:tr>
      <w:tr w:rsidR="0085476B" w:rsidRPr="005576B2" w:rsidTr="00885428">
        <w:trPr>
          <w:jc w:val="center"/>
        </w:trPr>
        <w:tc>
          <w:tcPr>
            <w:tcW w:w="866" w:type="dxa"/>
            <w:tcBorders>
              <w:bottom w:val="single" w:sz="2" w:space="0" w:color="auto"/>
            </w:tcBorders>
          </w:tcPr>
          <w:p w:rsidR="0085476B" w:rsidRPr="005576B2" w:rsidRDefault="0085476B" w:rsidP="00885428">
            <w:pPr>
              <w:pStyle w:val="Tabletext"/>
            </w:pPr>
            <w:r w:rsidRPr="005576B2">
              <w:t>5.</w:t>
            </w:r>
          </w:p>
        </w:tc>
        <w:tc>
          <w:tcPr>
            <w:tcW w:w="3722" w:type="dxa"/>
            <w:tcBorders>
              <w:bottom w:val="single" w:sz="2" w:space="0" w:color="auto"/>
            </w:tcBorders>
          </w:tcPr>
          <w:p w:rsidR="0085476B" w:rsidRPr="005576B2" w:rsidRDefault="0085476B" w:rsidP="00885428">
            <w:pPr>
              <w:pStyle w:val="Tabletext"/>
            </w:pPr>
            <w:r w:rsidRPr="005576B2">
              <w:t>Exemption of income from income tax</w:t>
            </w:r>
          </w:p>
        </w:tc>
        <w:tc>
          <w:tcPr>
            <w:tcW w:w="4437" w:type="dxa"/>
            <w:tcBorders>
              <w:bottom w:val="single" w:sz="2" w:space="0" w:color="auto"/>
            </w:tcBorders>
          </w:tcPr>
          <w:p w:rsidR="0085476B" w:rsidRPr="005576B2" w:rsidRDefault="0085476B" w:rsidP="00885428">
            <w:pPr>
              <w:pStyle w:val="Tabletext"/>
            </w:pPr>
            <w:r w:rsidRPr="005576B2">
              <w:t>income derived on or after 1 July 2006</w:t>
            </w:r>
          </w:p>
        </w:tc>
      </w:tr>
      <w:tr w:rsidR="0085476B" w:rsidRPr="005576B2" w:rsidTr="00885428">
        <w:trPr>
          <w:jc w:val="center"/>
        </w:trPr>
        <w:tc>
          <w:tcPr>
            <w:tcW w:w="866" w:type="dxa"/>
            <w:tcBorders>
              <w:bottom w:val="single" w:sz="12" w:space="0" w:color="auto"/>
            </w:tcBorders>
          </w:tcPr>
          <w:p w:rsidR="0085476B" w:rsidRPr="005576B2" w:rsidRDefault="0085476B" w:rsidP="00885428">
            <w:pPr>
              <w:pStyle w:val="Tabletext"/>
            </w:pPr>
            <w:r w:rsidRPr="005576B2">
              <w:t>6.</w:t>
            </w:r>
          </w:p>
        </w:tc>
        <w:tc>
          <w:tcPr>
            <w:tcW w:w="3722" w:type="dxa"/>
            <w:tcBorders>
              <w:bottom w:val="single" w:sz="12" w:space="0" w:color="auto"/>
            </w:tcBorders>
          </w:tcPr>
          <w:p w:rsidR="0085476B" w:rsidRPr="005576B2" w:rsidRDefault="0085476B" w:rsidP="00885428">
            <w:pPr>
              <w:pStyle w:val="Tabletext"/>
            </w:pPr>
            <w:r w:rsidRPr="005576B2">
              <w:t>Valuation of fringe benefit for FBT purposes</w:t>
            </w:r>
          </w:p>
        </w:tc>
        <w:tc>
          <w:tcPr>
            <w:tcW w:w="4437" w:type="dxa"/>
            <w:tcBorders>
              <w:bottom w:val="single" w:sz="12" w:space="0" w:color="auto"/>
            </w:tcBorders>
          </w:tcPr>
          <w:p w:rsidR="0085476B" w:rsidRPr="005576B2" w:rsidRDefault="0085476B" w:rsidP="00885428">
            <w:pPr>
              <w:pStyle w:val="Tabletext"/>
            </w:pPr>
            <w:r w:rsidRPr="005576B2">
              <w:t>benefits provided on or after 1 April 2006</w:t>
            </w:r>
          </w:p>
        </w:tc>
      </w:tr>
    </w:tbl>
    <w:p w:rsidR="0085476B" w:rsidRPr="005576B2" w:rsidRDefault="0085476B" w:rsidP="00D14AF8">
      <w:pPr>
        <w:pStyle w:val="BodyNum"/>
        <w:rPr>
          <w:rStyle w:val="BodyNumChar"/>
        </w:rPr>
      </w:pPr>
      <w:r w:rsidRPr="005576B2">
        <w:rPr>
          <w:rStyle w:val="BodyNumChar"/>
        </w:rPr>
        <w:t>The matter specified in an application provision should generally not consist solely of a time or date. For example, you should generally not draft an application provision in the form “The amendments made by this Part apply on and after 1 July 2006”. You should discuss with First Parliamentary Counsel any application provision consisting solely of a time or date.</w:t>
      </w:r>
    </w:p>
    <w:p w:rsidR="0085476B" w:rsidRPr="005576B2" w:rsidRDefault="0085476B" w:rsidP="00D14AF8">
      <w:pPr>
        <w:pStyle w:val="BodyNum"/>
        <w:rPr>
          <w:rStyle w:val="BodyNumChar"/>
        </w:rPr>
      </w:pPr>
      <w:r w:rsidRPr="005576B2">
        <w:rPr>
          <w:rStyle w:val="BodyNumChar"/>
        </w:rPr>
        <w:t xml:space="preserve">The issue of application is distinct from that of commencement (see paragraphs </w:t>
      </w:r>
      <w:r w:rsidR="001F1EF9" w:rsidRPr="005576B2">
        <w:rPr>
          <w:rStyle w:val="BodyNumChar"/>
        </w:rPr>
        <w:fldChar w:fldCharType="begin"/>
      </w:r>
      <w:r w:rsidR="001F1EF9" w:rsidRPr="005576B2">
        <w:rPr>
          <w:rStyle w:val="BodyNumChar"/>
        </w:rPr>
        <w:instrText xml:space="preserve"> REF _Ref269388918 \r \h </w:instrText>
      </w:r>
      <w:r w:rsidR="001F1EF9" w:rsidRPr="005576B2">
        <w:rPr>
          <w:rStyle w:val="BodyNumChar"/>
        </w:rPr>
      </w:r>
      <w:r w:rsidR="001F1EF9" w:rsidRPr="005576B2">
        <w:rPr>
          <w:rStyle w:val="BodyNumChar"/>
        </w:rPr>
        <w:fldChar w:fldCharType="separate"/>
      </w:r>
      <w:r w:rsidR="005576B2">
        <w:rPr>
          <w:rStyle w:val="BodyNumChar"/>
        </w:rPr>
        <w:t>51</w:t>
      </w:r>
      <w:r w:rsidR="001F1EF9" w:rsidRPr="005576B2">
        <w:rPr>
          <w:rStyle w:val="BodyNumChar"/>
        </w:rPr>
        <w:fldChar w:fldCharType="end"/>
      </w:r>
      <w:r w:rsidRPr="005576B2">
        <w:rPr>
          <w:rStyle w:val="BodyNumChar"/>
        </w:rPr>
        <w:t xml:space="preserve"> to </w:t>
      </w:r>
      <w:r w:rsidR="001F1EF9" w:rsidRPr="005576B2">
        <w:rPr>
          <w:rStyle w:val="BodyNumChar"/>
        </w:rPr>
        <w:fldChar w:fldCharType="begin"/>
      </w:r>
      <w:r w:rsidR="001F1EF9" w:rsidRPr="005576B2">
        <w:rPr>
          <w:rStyle w:val="BodyNumChar"/>
        </w:rPr>
        <w:instrText xml:space="preserve"> REF _Ref269388923 \r \h </w:instrText>
      </w:r>
      <w:r w:rsidR="001F1EF9" w:rsidRPr="005576B2">
        <w:rPr>
          <w:rStyle w:val="BodyNumChar"/>
        </w:rPr>
      </w:r>
      <w:r w:rsidR="001F1EF9" w:rsidRPr="005576B2">
        <w:rPr>
          <w:rStyle w:val="BodyNumChar"/>
        </w:rPr>
        <w:fldChar w:fldCharType="separate"/>
      </w:r>
      <w:r w:rsidR="005576B2">
        <w:rPr>
          <w:rStyle w:val="BodyNumChar"/>
        </w:rPr>
        <w:t>53</w:t>
      </w:r>
      <w:r w:rsidR="001F1EF9" w:rsidRPr="005576B2">
        <w:rPr>
          <w:rStyle w:val="BodyNumChar"/>
        </w:rPr>
        <w:fldChar w:fldCharType="end"/>
      </w:r>
      <w:r w:rsidRPr="005576B2">
        <w:rPr>
          <w:rStyle w:val="BodyNumChar"/>
        </w:rPr>
        <w:t>).</w:t>
      </w:r>
    </w:p>
    <w:p w:rsidR="0085476B" w:rsidRPr="005576B2" w:rsidRDefault="0085476B" w:rsidP="005576B2">
      <w:pPr>
        <w:pStyle w:val="Head3"/>
      </w:pPr>
      <w:bookmarkStart w:id="25" w:name="_Toc12953670"/>
      <w:r w:rsidRPr="005576B2">
        <w:t>When application provisions are not needed</w:t>
      </w:r>
      <w:bookmarkEnd w:id="25"/>
    </w:p>
    <w:p w:rsidR="0085476B" w:rsidRPr="005576B2" w:rsidRDefault="0085476B" w:rsidP="00D14AF8">
      <w:pPr>
        <w:pStyle w:val="BodyNum"/>
      </w:pPr>
      <w:r w:rsidRPr="005576B2">
        <w:t>Application provisions are not needed if the amendments remove a feature of the tax law that has not been, and never will be, appl</w:t>
      </w:r>
      <w:r w:rsidR="005F1E7A" w:rsidRPr="005576B2">
        <w:t xml:space="preserve">ied in making any assessments. </w:t>
      </w:r>
      <w:r w:rsidRPr="005576B2">
        <w:t>For example, in 1991, the 1995 cut</w:t>
      </w:r>
      <w:r w:rsidR="00687F28" w:rsidRPr="005576B2">
        <w:noBreakHyphen/>
      </w:r>
      <w:r w:rsidRPr="005576B2">
        <w:t>off for the research and development tax concessions was removed so that the concessions became a permanent feature of the income tax law. The 1995 cut</w:t>
      </w:r>
      <w:r w:rsidR="00687F28" w:rsidRPr="005576B2">
        <w:noBreakHyphen/>
      </w:r>
      <w:r w:rsidRPr="005576B2">
        <w:t>off will never be applied in making any assessment.</w:t>
      </w:r>
    </w:p>
    <w:p w:rsidR="0085476B" w:rsidRPr="005576B2" w:rsidRDefault="0085476B" w:rsidP="005576B2">
      <w:pPr>
        <w:pStyle w:val="Head3"/>
      </w:pPr>
      <w:bookmarkStart w:id="26" w:name="_Toc12953671"/>
      <w:r w:rsidRPr="005576B2">
        <w:t>Application provisions—repeal of redundant provisions</w:t>
      </w:r>
      <w:bookmarkEnd w:id="26"/>
    </w:p>
    <w:p w:rsidR="0085476B" w:rsidRPr="005576B2" w:rsidRDefault="0085476B" w:rsidP="00D14AF8">
      <w:pPr>
        <w:pStyle w:val="BodyNum"/>
      </w:pPr>
      <w:r w:rsidRPr="005576B2">
        <w:t>If you repeal a redundant provision, you should discuss with Treasury whether there is a need to include any application or saving provision and, if so, the nature of such a provision.</w:t>
      </w:r>
    </w:p>
    <w:p w:rsidR="0085476B" w:rsidRPr="005576B2" w:rsidRDefault="0085476B" w:rsidP="005576B2">
      <w:pPr>
        <w:pStyle w:val="Head3"/>
      </w:pPr>
      <w:bookmarkStart w:id="27" w:name="_Toc12953672"/>
      <w:r w:rsidRPr="005576B2">
        <w:t>Application provisions—insertion of new provisions</w:t>
      </w:r>
      <w:bookmarkEnd w:id="27"/>
      <w:r w:rsidRPr="005576B2">
        <w:t xml:space="preserve"> </w:t>
      </w:r>
    </w:p>
    <w:p w:rsidR="0085476B" w:rsidRPr="005576B2" w:rsidRDefault="0085476B" w:rsidP="00D14AF8">
      <w:pPr>
        <w:pStyle w:val="BodyNum"/>
      </w:pPr>
      <w:r w:rsidRPr="005576B2">
        <w:t>Every new provision being inserted should normally be covered by an e</w:t>
      </w:r>
      <w:r w:rsidR="00D52C87" w:rsidRPr="005576B2">
        <w:t>xpress application provision.</w:t>
      </w:r>
    </w:p>
    <w:p w:rsidR="0085476B" w:rsidRPr="005576B2" w:rsidRDefault="0085476B" w:rsidP="00D14AF8">
      <w:pPr>
        <w:pStyle w:val="BodyNum"/>
      </w:pPr>
      <w:r w:rsidRPr="005576B2">
        <w:t>The application provision can be:</w:t>
      </w:r>
    </w:p>
    <w:p w:rsidR="0085476B" w:rsidRPr="005576B2" w:rsidRDefault="0085476B" w:rsidP="00D14AF8">
      <w:pPr>
        <w:pStyle w:val="BodyPara"/>
      </w:pPr>
      <w:r w:rsidRPr="005576B2">
        <w:t>“built into” the provision; or</w:t>
      </w:r>
    </w:p>
    <w:p w:rsidR="0085476B" w:rsidRPr="005576B2" w:rsidRDefault="0085476B" w:rsidP="00D14AF8">
      <w:pPr>
        <w:pStyle w:val="BodyPara"/>
      </w:pPr>
      <w:r w:rsidRPr="005576B2">
        <w:lastRenderedPageBreak/>
        <w:t>included in a separate provision of the amending Act eg “The amendments made by this Schedule apply to assessments for the 2006</w:t>
      </w:r>
      <w:r w:rsidR="00687F28" w:rsidRPr="005576B2">
        <w:noBreakHyphen/>
      </w:r>
      <w:r w:rsidRPr="005576B2">
        <w:t>07 income year and later income years”; or</w:t>
      </w:r>
    </w:p>
    <w:p w:rsidR="0085476B" w:rsidRPr="005576B2" w:rsidRDefault="0085476B" w:rsidP="00D14AF8">
      <w:pPr>
        <w:pStyle w:val="BodyPara"/>
      </w:pPr>
      <w:r w:rsidRPr="005576B2">
        <w:t xml:space="preserve">for income tax—included in the </w:t>
      </w:r>
      <w:r w:rsidRPr="005576B2">
        <w:rPr>
          <w:i/>
        </w:rPr>
        <w:t xml:space="preserve">Income Tax (Transitional Provisions) Act 1997 </w:t>
      </w:r>
      <w:r w:rsidRPr="005576B2">
        <w:t>in accordance with Drafting Direction 1.8.</w:t>
      </w:r>
    </w:p>
    <w:p w:rsidR="0085476B" w:rsidRPr="005576B2" w:rsidRDefault="0085476B" w:rsidP="005576B2">
      <w:pPr>
        <w:pStyle w:val="Head3"/>
      </w:pPr>
      <w:bookmarkStart w:id="28" w:name="_Toc12953673"/>
      <w:r w:rsidRPr="005576B2">
        <w:t>Application provisions—repeals/omissions</w:t>
      </w:r>
      <w:bookmarkEnd w:id="28"/>
    </w:p>
    <w:p w:rsidR="0085476B" w:rsidRPr="005576B2" w:rsidRDefault="0085476B" w:rsidP="00D14AF8">
      <w:pPr>
        <w:pStyle w:val="BodyNum"/>
      </w:pPr>
      <w:r w:rsidRPr="005576B2">
        <w:t xml:space="preserve">Every repeal or omission should normally be covered by an express application provision in the amending Act eg “The repeal of section ** of the </w:t>
      </w:r>
      <w:r w:rsidRPr="005576B2">
        <w:rPr>
          <w:i/>
        </w:rPr>
        <w:t>Income Tax Assessment Act 1997</w:t>
      </w:r>
      <w:r w:rsidRPr="005576B2">
        <w:t xml:space="preserve"> by this Part applies in relation to income der</w:t>
      </w:r>
      <w:r w:rsidR="00D52C87" w:rsidRPr="005576B2">
        <w:t>ived on or after 1 July 2006”.</w:t>
      </w:r>
    </w:p>
    <w:p w:rsidR="0085476B" w:rsidRPr="005576B2" w:rsidRDefault="0085476B" w:rsidP="00D14AF8">
      <w:pPr>
        <w:pStyle w:val="BodyNum"/>
      </w:pPr>
      <w:r w:rsidRPr="005576B2">
        <w:t xml:space="preserve">Sometimes, it may be easier to deal with the application of a repeal/omission by using a “savings” form eg “Despite the repeal of sections ** and ** of the </w:t>
      </w:r>
      <w:r w:rsidRPr="005576B2">
        <w:rPr>
          <w:i/>
        </w:rPr>
        <w:t>Income Tax Assessment Act 1997</w:t>
      </w:r>
      <w:r w:rsidRPr="005576B2">
        <w:t xml:space="preserve"> by this Part, those sections continue to apply, in relation to property acquired under a contract entered into before 1 July 2006, as if those repeals had not happened”.</w:t>
      </w:r>
    </w:p>
    <w:p w:rsidR="0085476B" w:rsidRPr="005576B2" w:rsidRDefault="0085476B" w:rsidP="005576B2">
      <w:pPr>
        <w:pStyle w:val="Head3"/>
      </w:pPr>
      <w:bookmarkStart w:id="29" w:name="_Toc12953674"/>
      <w:r w:rsidRPr="005576B2">
        <w:t>Application provisions—combinations of repeals/omissions and insertion of new provisions</w:t>
      </w:r>
      <w:bookmarkEnd w:id="29"/>
    </w:p>
    <w:p w:rsidR="0085476B" w:rsidRPr="005576B2" w:rsidRDefault="0085476B" w:rsidP="00D14AF8">
      <w:pPr>
        <w:pStyle w:val="BodyNum"/>
      </w:pPr>
      <w:r w:rsidRPr="005576B2">
        <w:t>Sometimes, application provisions for repeals/omissions and insertions can be combined eg “The amendments made by items ** and ** apply to expenditure incurred after 20 August 2006”.</w:t>
      </w:r>
    </w:p>
    <w:p w:rsidR="0085476B" w:rsidRPr="005576B2" w:rsidRDefault="0085476B" w:rsidP="005576B2">
      <w:pPr>
        <w:pStyle w:val="Head3"/>
      </w:pPr>
      <w:bookmarkStart w:id="30" w:name="_Toc12953675"/>
      <w:r w:rsidRPr="005576B2">
        <w:t>Income tax—substituted accounting periods</w:t>
      </w:r>
      <w:bookmarkEnd w:id="30"/>
    </w:p>
    <w:p w:rsidR="0085476B" w:rsidRPr="005576B2" w:rsidRDefault="0085476B" w:rsidP="00D14AF8">
      <w:pPr>
        <w:pStyle w:val="BodyNum"/>
      </w:pPr>
      <w:r w:rsidRPr="005576B2">
        <w:t xml:space="preserve">In considering how to draft income tax application provisions, you should be aware that an income year may be either a financial year or a substituted accounting period (see the definition of </w:t>
      </w:r>
      <w:r w:rsidRPr="005576B2">
        <w:rPr>
          <w:b/>
          <w:i/>
        </w:rPr>
        <w:t>income year</w:t>
      </w:r>
      <w:r w:rsidRPr="005576B2">
        <w:t xml:space="preserve"> in section 995</w:t>
      </w:r>
      <w:r w:rsidR="00687F28" w:rsidRPr="005576B2">
        <w:noBreakHyphen/>
      </w:r>
      <w:r w:rsidRPr="005576B2">
        <w:t xml:space="preserve">1 of the </w:t>
      </w:r>
      <w:r w:rsidRPr="005576B2">
        <w:rPr>
          <w:i/>
        </w:rPr>
        <w:t>Income Tax Assessment Act 1997</w:t>
      </w:r>
      <w:r w:rsidR="00D52C87" w:rsidRPr="005576B2">
        <w:t>).</w:t>
      </w:r>
    </w:p>
    <w:p w:rsidR="0085476B" w:rsidRPr="005576B2" w:rsidRDefault="0085476B" w:rsidP="00D14AF8">
      <w:pPr>
        <w:pStyle w:val="BodyNum"/>
      </w:pPr>
      <w:r w:rsidRPr="005576B2">
        <w:t>You should use the “double</w:t>
      </w:r>
      <w:r w:rsidR="00687F28" w:rsidRPr="005576B2">
        <w:noBreakHyphen/>
      </w:r>
      <w:r w:rsidRPr="005576B2">
        <w:t>year” style of referring to an income year eg “2006</w:t>
      </w:r>
      <w:r w:rsidR="00687F28" w:rsidRPr="005576B2">
        <w:noBreakHyphen/>
      </w:r>
      <w:r w:rsidRPr="005576B2">
        <w:t>07 income year”.</w:t>
      </w:r>
    </w:p>
    <w:p w:rsidR="0085476B" w:rsidRPr="005576B2" w:rsidRDefault="0085476B" w:rsidP="00D14AF8">
      <w:pPr>
        <w:pStyle w:val="BodyNum"/>
      </w:pPr>
      <w:r w:rsidRPr="005576B2">
        <w:t>For application provisions that refer to income years, you should discuss with Treasury whether any special provisions are required for persons with substituted accounting periods (both “early balancers” and “late balancers”).</w:t>
      </w:r>
    </w:p>
    <w:p w:rsidR="0085476B" w:rsidRPr="005576B2" w:rsidRDefault="0085476B" w:rsidP="005576B2">
      <w:pPr>
        <w:pStyle w:val="Head3"/>
      </w:pPr>
      <w:bookmarkStart w:id="31" w:name="_Toc12953676"/>
      <w:r w:rsidRPr="005576B2">
        <w:t>Commencement</w:t>
      </w:r>
      <w:bookmarkEnd w:id="31"/>
    </w:p>
    <w:p w:rsidR="0085476B" w:rsidRPr="005576B2" w:rsidRDefault="0085476B" w:rsidP="00D14AF8">
      <w:pPr>
        <w:pStyle w:val="BodyNum"/>
      </w:pPr>
      <w:bookmarkStart w:id="32" w:name="_Ref269388918"/>
      <w:r w:rsidRPr="005576B2">
        <w:t>Generally speaking, the existence of application provisions means that the timing of the formal commencement</w:t>
      </w:r>
      <w:r w:rsidRPr="005576B2">
        <w:rPr>
          <w:i/>
        </w:rPr>
        <w:t xml:space="preserve"> </w:t>
      </w:r>
      <w:r w:rsidRPr="005576B2">
        <w:t>date (ie the date on which the legal text is physically altered) is unimportant.</w:t>
      </w:r>
      <w:bookmarkEnd w:id="32"/>
    </w:p>
    <w:p w:rsidR="0085476B" w:rsidRPr="005576B2" w:rsidRDefault="0085476B" w:rsidP="00D14AF8">
      <w:pPr>
        <w:pStyle w:val="BodyNum"/>
      </w:pPr>
      <w:r w:rsidRPr="005576B2">
        <w:t>However, for reasons of convenience and simplicity, Royal Assent or the day after Royal Assent is the prefe</w:t>
      </w:r>
      <w:r w:rsidR="00D52C87" w:rsidRPr="005576B2">
        <w:t>rred formal commencement date.</w:t>
      </w:r>
    </w:p>
    <w:p w:rsidR="0085476B" w:rsidRPr="005576B2" w:rsidRDefault="0085476B" w:rsidP="00D14AF8">
      <w:pPr>
        <w:pStyle w:val="BodyNum"/>
      </w:pPr>
      <w:bookmarkStart w:id="33" w:name="_Ref269388923"/>
      <w:r w:rsidRPr="005576B2">
        <w:t>A retrospectively applied amendment does not usually require a retrospective formal commencement date.</w:t>
      </w:r>
      <w:bookmarkEnd w:id="33"/>
    </w:p>
    <w:p w:rsidR="00931CE9" w:rsidRPr="005576B2" w:rsidRDefault="00931CE9" w:rsidP="005576B2">
      <w:pPr>
        <w:pStyle w:val="Head2"/>
      </w:pPr>
      <w:bookmarkStart w:id="34" w:name="_Toc12953677"/>
      <w:r w:rsidRPr="005576B2">
        <w:lastRenderedPageBreak/>
        <w:t>Part 6—Initiation of taxation proposals</w:t>
      </w:r>
      <w:bookmarkEnd w:id="34"/>
    </w:p>
    <w:p w:rsidR="00931CE9" w:rsidRPr="005576B2" w:rsidRDefault="00931CE9" w:rsidP="00931CE9">
      <w:pPr>
        <w:pStyle w:val="BodyNum"/>
      </w:pPr>
      <w:r w:rsidRPr="005576B2">
        <w:t>House of Representatives Standing Order 179 provide</w:t>
      </w:r>
      <w:r w:rsidR="00B47B0C" w:rsidRPr="005576B2">
        <w:t>s as follows.</w:t>
      </w:r>
    </w:p>
    <w:p w:rsidR="00931CE9" w:rsidRPr="005576B2" w:rsidRDefault="00931CE9" w:rsidP="00931CE9">
      <w:pPr>
        <w:pStyle w:val="BodyPara"/>
      </w:pPr>
      <w:r w:rsidRPr="005576B2">
        <w:t xml:space="preserve">Only </w:t>
      </w:r>
      <w:r w:rsidRPr="005576B2">
        <w:rPr>
          <w:i/>
        </w:rPr>
        <w:t>a Minister</w:t>
      </w:r>
      <w:r w:rsidRPr="005576B2">
        <w:t xml:space="preserve"> may initiate a proposal to impose, increase, or decrease a tax or duty, or change the scope of any charge.</w:t>
      </w:r>
      <w:r w:rsidR="00B37B4F" w:rsidRPr="005576B2">
        <w:t xml:space="preserve"> (my italics)</w:t>
      </w:r>
    </w:p>
    <w:p w:rsidR="00931CE9" w:rsidRPr="005576B2" w:rsidRDefault="00931CE9" w:rsidP="00931CE9">
      <w:pPr>
        <w:pStyle w:val="BodyPara"/>
      </w:pPr>
      <w:r w:rsidRPr="005576B2">
        <w:t xml:space="preserve">Only </w:t>
      </w:r>
      <w:r w:rsidRPr="005576B2">
        <w:rPr>
          <w:i/>
        </w:rPr>
        <w:t>a Minister</w:t>
      </w:r>
      <w:r w:rsidRPr="005576B2">
        <w:t xml:space="preserve"> may move an amendment to the proposal which increases or extends the scope of the charge proposed beyond the total already existing under any Act of Parliament.</w:t>
      </w:r>
      <w:r w:rsidR="00B37B4F" w:rsidRPr="005576B2">
        <w:t xml:space="preserve"> (my italics)</w:t>
      </w:r>
    </w:p>
    <w:p w:rsidR="00931CE9" w:rsidRPr="005576B2" w:rsidRDefault="00931CE9" w:rsidP="00931CE9">
      <w:pPr>
        <w:pStyle w:val="BodyPara"/>
      </w:pPr>
      <w:r w:rsidRPr="005576B2">
        <w:t xml:space="preserve">A </w:t>
      </w:r>
      <w:r w:rsidRPr="005576B2">
        <w:rPr>
          <w:i/>
        </w:rPr>
        <w:t>Member who is not a Minister</w:t>
      </w:r>
      <w:r w:rsidRPr="005576B2">
        <w:t xml:space="preserve"> may move an amendment to the proposal which does not increase or extend the scope of the charge proposed beyond the total already existing under any Act of Parliament.</w:t>
      </w:r>
      <w:r w:rsidR="00B37B4F" w:rsidRPr="005576B2">
        <w:t xml:space="preserve"> (my italics)</w:t>
      </w:r>
    </w:p>
    <w:p w:rsidR="00931CE9" w:rsidRPr="005576B2" w:rsidRDefault="00B47B0C" w:rsidP="00931CE9">
      <w:pPr>
        <w:pStyle w:val="BodyNum"/>
      </w:pPr>
      <w:r w:rsidRPr="005576B2">
        <w:t xml:space="preserve">If </w:t>
      </w:r>
      <w:r w:rsidR="003D2F51" w:rsidRPr="005576B2">
        <w:t xml:space="preserve">instructors suggest a course of action that </w:t>
      </w:r>
      <w:r w:rsidR="00BF65CF" w:rsidRPr="005576B2">
        <w:t>might offend</w:t>
      </w:r>
      <w:r w:rsidRPr="005576B2">
        <w:t xml:space="preserve"> </w:t>
      </w:r>
      <w:r w:rsidR="00A5093B" w:rsidRPr="005576B2">
        <w:t xml:space="preserve">against </w:t>
      </w:r>
      <w:r w:rsidRPr="005576B2">
        <w:t>the Standing Order</w:t>
      </w:r>
      <w:r w:rsidR="003D2F51" w:rsidRPr="005576B2">
        <w:t xml:space="preserve">, </w:t>
      </w:r>
      <w:r w:rsidR="00BF65CF" w:rsidRPr="005576B2">
        <w:t>you</w:t>
      </w:r>
      <w:r w:rsidRPr="005576B2">
        <w:t xml:space="preserve"> should </w:t>
      </w:r>
      <w:r w:rsidR="000E5177" w:rsidRPr="005576B2">
        <w:t>d</w:t>
      </w:r>
      <w:r w:rsidR="003D2F51" w:rsidRPr="005576B2">
        <w:t>raw their attention to the Standing Order and House of Representatives Practice</w:t>
      </w:r>
      <w:r w:rsidR="007B3F23" w:rsidRPr="005576B2">
        <w:t>.</w:t>
      </w:r>
    </w:p>
    <w:p w:rsidR="003F3781" w:rsidRPr="005576B2" w:rsidRDefault="00E30D43" w:rsidP="005576B2">
      <w:pPr>
        <w:pStyle w:val="Head2"/>
      </w:pPr>
      <w:bookmarkStart w:id="35" w:name="_Toc12953678"/>
      <w:r w:rsidRPr="005576B2">
        <w:t>Part 7—</w:t>
      </w:r>
      <w:r w:rsidR="003F3781" w:rsidRPr="005576B2">
        <w:t>Delegated legislation</w:t>
      </w:r>
      <w:bookmarkEnd w:id="35"/>
    </w:p>
    <w:p w:rsidR="0041073D" w:rsidRPr="005576B2" w:rsidRDefault="00E12C94" w:rsidP="005576B2">
      <w:pPr>
        <w:pStyle w:val="Head3"/>
      </w:pPr>
      <w:bookmarkStart w:id="36" w:name="_Toc12953679"/>
      <w:r w:rsidRPr="005576B2">
        <w:t>S</w:t>
      </w:r>
      <w:r w:rsidR="00901EC3" w:rsidRPr="005576B2">
        <w:t>etting</w:t>
      </w:r>
      <w:r w:rsidR="0041073D" w:rsidRPr="005576B2">
        <w:t xml:space="preserve"> </w:t>
      </w:r>
      <w:r w:rsidR="00E16197" w:rsidRPr="005576B2">
        <w:t xml:space="preserve">out </w:t>
      </w:r>
      <w:r w:rsidR="0041073D" w:rsidRPr="005576B2">
        <w:t>rate of tax</w:t>
      </w:r>
      <w:bookmarkEnd w:id="36"/>
    </w:p>
    <w:p w:rsidR="00976179" w:rsidRPr="005576B2" w:rsidRDefault="00E12C94" w:rsidP="005576B2">
      <w:pPr>
        <w:pStyle w:val="Head4"/>
      </w:pPr>
      <w:bookmarkStart w:id="37" w:name="_Toc12953680"/>
      <w:r w:rsidRPr="005576B2">
        <w:t>Setting out rate of tax in subordinate legislation</w:t>
      </w:r>
      <w:bookmarkEnd w:id="37"/>
    </w:p>
    <w:p w:rsidR="000C1A53" w:rsidRPr="005576B2" w:rsidRDefault="000C1A53" w:rsidP="000C1A53">
      <w:pPr>
        <w:pStyle w:val="BodyNum"/>
      </w:pPr>
      <w:r w:rsidRPr="005576B2">
        <w:t xml:space="preserve">Primary legislation </w:t>
      </w:r>
      <w:r w:rsidR="003A7BBE" w:rsidRPr="005576B2">
        <w:t>should</w:t>
      </w:r>
      <w:r w:rsidRPr="005576B2">
        <w:t xml:space="preserve"> not provide for a rate of tax, or a method for determining a rate of tax, to be set out in any sort of delegated legislation other than regulations.</w:t>
      </w:r>
    </w:p>
    <w:p w:rsidR="003A7BBE" w:rsidRPr="005576B2" w:rsidRDefault="003A7BBE" w:rsidP="003A7BBE">
      <w:pPr>
        <w:pStyle w:val="BodyNum"/>
      </w:pPr>
      <w:r w:rsidRPr="005576B2">
        <w:t xml:space="preserve">If you have been instructed </w:t>
      </w:r>
      <w:r w:rsidR="000C1A53" w:rsidRPr="005576B2">
        <w:t xml:space="preserve">to provide for a rate of tax, or a method for determining a rate of tax, to be set </w:t>
      </w:r>
      <w:r w:rsidR="00E16197" w:rsidRPr="005576B2">
        <w:t>out in</w:t>
      </w:r>
      <w:r w:rsidR="000C1A53" w:rsidRPr="005576B2">
        <w:t xml:space="preserve"> regulations</w:t>
      </w:r>
      <w:r w:rsidRPr="005576B2">
        <w:t xml:space="preserve">, but you have </w:t>
      </w:r>
      <w:r w:rsidR="000C1A53" w:rsidRPr="005576B2">
        <w:t>concerns</w:t>
      </w:r>
      <w:r w:rsidRPr="005576B2">
        <w:t>, in the particular circumstances,</w:t>
      </w:r>
      <w:r w:rsidR="000C1A53" w:rsidRPr="005576B2">
        <w:t xml:space="preserve"> about </w:t>
      </w:r>
      <w:r w:rsidRPr="005576B2">
        <w:t>using regulations rather than primary legislation for this, see FPC.</w:t>
      </w:r>
    </w:p>
    <w:p w:rsidR="003E011C" w:rsidRPr="005576B2" w:rsidRDefault="003E011C" w:rsidP="005576B2">
      <w:pPr>
        <w:pStyle w:val="Head4"/>
      </w:pPr>
      <w:bookmarkStart w:id="38" w:name="_Toc12953681"/>
      <w:r w:rsidRPr="005576B2">
        <w:t>Regulations setting rates should not deal with other matters</w:t>
      </w:r>
      <w:bookmarkEnd w:id="38"/>
    </w:p>
    <w:p w:rsidR="00F47FA6" w:rsidRPr="005576B2" w:rsidRDefault="0024270D" w:rsidP="004846DA">
      <w:pPr>
        <w:pStyle w:val="BodyNum"/>
      </w:pPr>
      <w:bookmarkStart w:id="39" w:name="_Ref10717941"/>
      <w:r w:rsidRPr="005576B2">
        <w:t xml:space="preserve">A single set of principal </w:t>
      </w:r>
      <w:r w:rsidR="00F47FA6" w:rsidRPr="005576B2">
        <w:t>regulations should not deal with both rates of tax and other matters, given that:</w:t>
      </w:r>
    </w:p>
    <w:p w:rsidR="00F47FA6" w:rsidRPr="005576B2" w:rsidRDefault="00F47FA6" w:rsidP="00F47FA6">
      <w:pPr>
        <w:pStyle w:val="BodyPara"/>
      </w:pPr>
      <w:r w:rsidRPr="005576B2">
        <w:t>p</w:t>
      </w:r>
      <w:r w:rsidR="0037797A" w:rsidRPr="005576B2">
        <w:t xml:space="preserve">rovisions that empower regulations to deal with rates of tax should </w:t>
      </w:r>
      <w:r w:rsidR="009154D3" w:rsidRPr="005576B2">
        <w:t xml:space="preserve">generally </w:t>
      </w:r>
      <w:r w:rsidR="0037797A" w:rsidRPr="005576B2">
        <w:t xml:space="preserve">be set out in the imposition Act or, if appropriate, in a separate rates Act rather than in the assessment or collection Act (see paragraph </w:t>
      </w:r>
      <w:r w:rsidR="0037797A" w:rsidRPr="005576B2">
        <w:fldChar w:fldCharType="begin"/>
      </w:r>
      <w:r w:rsidR="0037797A" w:rsidRPr="005576B2">
        <w:instrText xml:space="preserve"> REF _Ref10799311 \r \h </w:instrText>
      </w:r>
      <w:r w:rsidR="0037797A" w:rsidRPr="005576B2">
        <w:fldChar w:fldCharType="separate"/>
      </w:r>
      <w:r w:rsidR="005576B2">
        <w:t>18</w:t>
      </w:r>
      <w:r w:rsidR="0037797A" w:rsidRPr="005576B2">
        <w:fldChar w:fldCharType="end"/>
      </w:r>
      <w:r w:rsidR="0037797A" w:rsidRPr="005576B2">
        <w:t>)</w:t>
      </w:r>
      <w:r w:rsidRPr="005576B2">
        <w:t>; and</w:t>
      </w:r>
    </w:p>
    <w:p w:rsidR="00F47FA6" w:rsidRPr="005576B2" w:rsidRDefault="0037797A" w:rsidP="00F47FA6">
      <w:pPr>
        <w:pStyle w:val="BodyPara"/>
      </w:pPr>
      <w:r w:rsidRPr="005576B2">
        <w:t>a</w:t>
      </w:r>
      <w:r w:rsidR="004846DA" w:rsidRPr="005576B2">
        <w:t xml:space="preserve"> principal instrument </w:t>
      </w:r>
      <w:r w:rsidR="009154D3" w:rsidRPr="005576B2">
        <w:t xml:space="preserve">generally </w:t>
      </w:r>
      <w:r w:rsidR="004846DA" w:rsidRPr="005576B2">
        <w:t>should set out</w:t>
      </w:r>
      <w:r w:rsidR="00866EBF" w:rsidRPr="005576B2">
        <w:t xml:space="preserve"> only</w:t>
      </w:r>
      <w:r w:rsidR="004846DA" w:rsidRPr="005576B2">
        <w:t xml:space="preserve"> one Act as the authority under which the instrument is made</w:t>
      </w:r>
      <w:r w:rsidR="00F47FA6" w:rsidRPr="005576B2">
        <w:t>.</w:t>
      </w:r>
    </w:p>
    <w:p w:rsidR="00E44B25" w:rsidRPr="005576B2" w:rsidRDefault="008951E7" w:rsidP="008951E7">
      <w:pPr>
        <w:pStyle w:val="BodyNum"/>
      </w:pPr>
      <w:bookmarkStart w:id="40" w:name="_Ref10799823"/>
      <w:bookmarkEnd w:id="39"/>
      <w:r w:rsidRPr="005576B2">
        <w:t>A</w:t>
      </w:r>
      <w:r w:rsidR="00F47FA6" w:rsidRPr="005576B2">
        <w:t xml:space="preserve"> single set of a</w:t>
      </w:r>
      <w:r w:rsidR="00E44B25" w:rsidRPr="005576B2">
        <w:t xml:space="preserve">mending regulations should not contain </w:t>
      </w:r>
      <w:r w:rsidR="00F47FA6" w:rsidRPr="005576B2">
        <w:t xml:space="preserve">multiple amendments </w:t>
      </w:r>
      <w:r w:rsidR="00E44B25" w:rsidRPr="005576B2">
        <w:t xml:space="preserve">if those </w:t>
      </w:r>
      <w:r w:rsidR="00F47FA6" w:rsidRPr="005576B2">
        <w:t xml:space="preserve">amendments </w:t>
      </w:r>
      <w:r w:rsidR="00E44B25" w:rsidRPr="005576B2">
        <w:t xml:space="preserve">could not, consistently with paragraphs </w:t>
      </w:r>
      <w:r w:rsidR="00F47FA6" w:rsidRPr="005576B2">
        <w:fldChar w:fldCharType="begin"/>
      </w:r>
      <w:r w:rsidR="00F47FA6" w:rsidRPr="005576B2">
        <w:instrText xml:space="preserve"> REF _Ref10802669 \r \h </w:instrText>
      </w:r>
      <w:r w:rsidR="00F47FA6" w:rsidRPr="005576B2">
        <w:fldChar w:fldCharType="separate"/>
      </w:r>
      <w:r w:rsidR="005576B2">
        <w:t>18</w:t>
      </w:r>
      <w:r w:rsidR="00F47FA6" w:rsidRPr="005576B2">
        <w:fldChar w:fldCharType="end"/>
      </w:r>
      <w:r w:rsidR="00E44B25" w:rsidRPr="005576B2">
        <w:t xml:space="preserve"> to </w:t>
      </w:r>
      <w:r w:rsidR="00E44B25" w:rsidRPr="005576B2">
        <w:fldChar w:fldCharType="begin"/>
      </w:r>
      <w:r w:rsidR="00E44B25" w:rsidRPr="005576B2">
        <w:instrText xml:space="preserve"> REF _Ref10799717 \r \h </w:instrText>
      </w:r>
      <w:r w:rsidR="00E44B25" w:rsidRPr="005576B2">
        <w:fldChar w:fldCharType="separate"/>
      </w:r>
      <w:r w:rsidR="005576B2">
        <w:t>32</w:t>
      </w:r>
      <w:r w:rsidR="00E44B25" w:rsidRPr="005576B2">
        <w:fldChar w:fldCharType="end"/>
      </w:r>
      <w:r w:rsidR="00E44B25" w:rsidRPr="005576B2">
        <w:t xml:space="preserve">, be combined in the same </w:t>
      </w:r>
      <w:r w:rsidR="00F47FA6" w:rsidRPr="005576B2">
        <w:t xml:space="preserve">amending </w:t>
      </w:r>
      <w:r w:rsidR="00E44B25" w:rsidRPr="005576B2">
        <w:t xml:space="preserve">Bill. For example, </w:t>
      </w:r>
      <w:r w:rsidRPr="005576B2">
        <w:t xml:space="preserve">a single set </w:t>
      </w:r>
      <w:r w:rsidR="00E44B25" w:rsidRPr="005576B2">
        <w:t xml:space="preserve">of amending regulations </w:t>
      </w:r>
      <w:r w:rsidRPr="005576B2">
        <w:t xml:space="preserve">should not to do </w:t>
      </w:r>
      <w:r w:rsidR="00E44B25" w:rsidRPr="005576B2">
        <w:t>both of the following:</w:t>
      </w:r>
      <w:bookmarkEnd w:id="40"/>
    </w:p>
    <w:p w:rsidR="00E44B25" w:rsidRPr="005576B2" w:rsidRDefault="00E44B25" w:rsidP="00E44B25">
      <w:pPr>
        <w:pStyle w:val="BodyPara"/>
      </w:pPr>
      <w:r w:rsidRPr="005576B2">
        <w:t>increase a formal rate of tax set out in principal regulations; and</w:t>
      </w:r>
    </w:p>
    <w:p w:rsidR="00E44B25" w:rsidRPr="005576B2" w:rsidRDefault="00E44B25" w:rsidP="00E44B25">
      <w:pPr>
        <w:pStyle w:val="BodyPara"/>
      </w:pPr>
      <w:r w:rsidRPr="005576B2">
        <w:t>amend other regulations that relate to the collection or assessment of the tax.</w:t>
      </w:r>
    </w:p>
    <w:p w:rsidR="00E630C2" w:rsidRPr="005576B2" w:rsidRDefault="008703B2" w:rsidP="008951E7">
      <w:pPr>
        <w:pStyle w:val="BodyNum"/>
      </w:pPr>
      <w:r w:rsidRPr="005576B2">
        <w:lastRenderedPageBreak/>
        <w:t xml:space="preserve">You </w:t>
      </w:r>
      <w:r w:rsidR="008951E7" w:rsidRPr="005576B2">
        <w:t xml:space="preserve">may choose not to apply the </w:t>
      </w:r>
      <w:r w:rsidR="00E44B25" w:rsidRPr="005576B2">
        <w:t xml:space="preserve">rule in paragraph </w:t>
      </w:r>
      <w:r w:rsidR="00E44B25" w:rsidRPr="005576B2">
        <w:fldChar w:fldCharType="begin"/>
      </w:r>
      <w:r w:rsidR="00E44B25" w:rsidRPr="005576B2">
        <w:instrText xml:space="preserve"> REF _Ref10799823 \r \h </w:instrText>
      </w:r>
      <w:r w:rsidR="00E44B25" w:rsidRPr="005576B2">
        <w:fldChar w:fldCharType="separate"/>
      </w:r>
      <w:r w:rsidR="005576B2">
        <w:t>59</w:t>
      </w:r>
      <w:r w:rsidR="00E44B25" w:rsidRPr="005576B2">
        <w:fldChar w:fldCharType="end"/>
      </w:r>
      <w:r w:rsidR="008951E7" w:rsidRPr="005576B2">
        <w:t xml:space="preserve"> when </w:t>
      </w:r>
      <w:r w:rsidR="00E630C2" w:rsidRPr="005576B2">
        <w:t>amending existing principal regulations that (c</w:t>
      </w:r>
      <w:r w:rsidR="003D0DC4" w:rsidRPr="005576B2">
        <w:t xml:space="preserve">ontrary to paragraph </w:t>
      </w:r>
      <w:r w:rsidR="003D0DC4" w:rsidRPr="005576B2">
        <w:fldChar w:fldCharType="begin"/>
      </w:r>
      <w:r w:rsidR="003D0DC4" w:rsidRPr="005576B2">
        <w:instrText xml:space="preserve"> REF _Ref10717941 \r \h </w:instrText>
      </w:r>
      <w:r w:rsidR="003D0DC4" w:rsidRPr="005576B2">
        <w:fldChar w:fldCharType="separate"/>
      </w:r>
      <w:r w:rsidR="005576B2">
        <w:t>58</w:t>
      </w:r>
      <w:r w:rsidR="003D0DC4" w:rsidRPr="005576B2">
        <w:fldChar w:fldCharType="end"/>
      </w:r>
      <w:r w:rsidR="00E630C2" w:rsidRPr="005576B2">
        <w:t>) deal with both rates and other matters</w:t>
      </w:r>
      <w:r w:rsidR="008951E7" w:rsidRPr="005576B2">
        <w:t>, but that rule remains the preferred approach</w:t>
      </w:r>
      <w:r w:rsidR="00E630C2" w:rsidRPr="005576B2">
        <w:t>.</w:t>
      </w:r>
    </w:p>
    <w:p w:rsidR="0041073D" w:rsidRPr="005576B2" w:rsidRDefault="0041073D" w:rsidP="005576B2">
      <w:pPr>
        <w:pStyle w:val="Head3"/>
      </w:pPr>
      <w:bookmarkStart w:id="41" w:name="_Toc12953682"/>
      <w:r w:rsidRPr="005576B2">
        <w:t>Instruments dealing with other matters</w:t>
      </w:r>
      <w:bookmarkEnd w:id="41"/>
    </w:p>
    <w:p w:rsidR="0041073D" w:rsidRPr="005576B2" w:rsidRDefault="0041073D" w:rsidP="003F3781">
      <w:pPr>
        <w:pStyle w:val="BodyNum"/>
      </w:pPr>
      <w:r w:rsidRPr="005576B2">
        <w:t>I</w:t>
      </w:r>
      <w:r w:rsidR="003E011C" w:rsidRPr="005576B2">
        <w:t xml:space="preserve">f a tax scheme is to allow </w:t>
      </w:r>
      <w:r w:rsidRPr="005576B2">
        <w:t xml:space="preserve">for instruments to </w:t>
      </w:r>
      <w:r w:rsidR="003F3781" w:rsidRPr="005576B2">
        <w:t xml:space="preserve">set out things other than rates of tax or methods of determining rates of tax, a range of factors will influence </w:t>
      </w:r>
      <w:r w:rsidRPr="005576B2">
        <w:t xml:space="preserve">the choice of the </w:t>
      </w:r>
      <w:r w:rsidR="003F3781" w:rsidRPr="005576B2">
        <w:t>best legislative vehicle.</w:t>
      </w:r>
      <w:r w:rsidR="003E011C" w:rsidRPr="005576B2">
        <w:t xml:space="preserve"> </w:t>
      </w:r>
      <w:bookmarkStart w:id="42" w:name="_Ref5803843"/>
      <w:r w:rsidRPr="005576B2">
        <w:t>You should not provide for the use of regulations for these things unless:</w:t>
      </w:r>
      <w:bookmarkEnd w:id="42"/>
    </w:p>
    <w:p w:rsidR="0041073D" w:rsidRPr="005576B2" w:rsidRDefault="003F3781" w:rsidP="0041073D">
      <w:pPr>
        <w:pStyle w:val="BodyPara"/>
      </w:pPr>
      <w:r w:rsidRPr="005576B2">
        <w:t xml:space="preserve">Drafting Direction </w:t>
      </w:r>
      <w:r w:rsidR="0041073D" w:rsidRPr="005576B2">
        <w:t xml:space="preserve">No. </w:t>
      </w:r>
      <w:r w:rsidRPr="005576B2">
        <w:t xml:space="preserve">3.8 </w:t>
      </w:r>
      <w:r w:rsidR="0041073D" w:rsidRPr="005576B2">
        <w:t>requires the things to be set out in regulations; or</w:t>
      </w:r>
    </w:p>
    <w:p w:rsidR="0041073D" w:rsidRPr="005576B2" w:rsidRDefault="0041073D" w:rsidP="0041073D">
      <w:pPr>
        <w:pStyle w:val="BodyPara"/>
      </w:pPr>
      <w:r w:rsidRPr="005576B2">
        <w:t>using instruments other than regulations would appear controversial.</w:t>
      </w:r>
    </w:p>
    <w:p w:rsidR="0041073D" w:rsidRPr="005576B2" w:rsidRDefault="0041073D" w:rsidP="0041073D">
      <w:pPr>
        <w:pStyle w:val="BodyNum"/>
      </w:pPr>
      <w:r w:rsidRPr="005576B2">
        <w:t xml:space="preserve">You should </w:t>
      </w:r>
      <w:r w:rsidR="003F3781" w:rsidRPr="005576B2">
        <w:t>see FPC if</w:t>
      </w:r>
      <w:r w:rsidRPr="005576B2">
        <w:t xml:space="preserve"> you </w:t>
      </w:r>
      <w:r w:rsidR="003F3781" w:rsidRPr="005576B2">
        <w:t xml:space="preserve">intend to provide for the use </w:t>
      </w:r>
      <w:r w:rsidRPr="005576B2">
        <w:t>of r</w:t>
      </w:r>
      <w:r w:rsidR="003F3781" w:rsidRPr="005576B2">
        <w:t>egul</w:t>
      </w:r>
      <w:r w:rsidRPr="005576B2">
        <w:t xml:space="preserve">ations for any of these things (and the exception in paragraph </w:t>
      </w:r>
      <w:r w:rsidRPr="005576B2">
        <w:fldChar w:fldCharType="begin"/>
      </w:r>
      <w:r w:rsidRPr="005576B2">
        <w:instrText xml:space="preserve"> REF _Ref5803843 \r \h </w:instrText>
      </w:r>
      <w:r w:rsidRPr="005576B2">
        <w:fldChar w:fldCharType="separate"/>
      </w:r>
      <w:r w:rsidR="005576B2">
        <w:t>61</w:t>
      </w:r>
      <w:r w:rsidRPr="005576B2">
        <w:fldChar w:fldCharType="end"/>
      </w:r>
      <w:r w:rsidRPr="005576B2">
        <w:t>(a) does not apply).</w:t>
      </w:r>
    </w:p>
    <w:p w:rsidR="0085476B" w:rsidRPr="005576B2" w:rsidRDefault="0085476B" w:rsidP="0085476B">
      <w:pPr>
        <w:pStyle w:val="Body"/>
      </w:pPr>
    </w:p>
    <w:p w:rsidR="0041073D" w:rsidRPr="005576B2" w:rsidRDefault="0041073D" w:rsidP="0085476B">
      <w:pPr>
        <w:pStyle w:val="Body"/>
      </w:pPr>
    </w:p>
    <w:p w:rsidR="0085476B" w:rsidRPr="005576B2" w:rsidRDefault="0085476B" w:rsidP="0085476B">
      <w:pPr>
        <w:pStyle w:val="Blocks"/>
      </w:pPr>
      <w:r w:rsidRPr="005576B2">
        <w:t>Peter Quiggin</w:t>
      </w:r>
      <w:r w:rsidR="00AF389B" w:rsidRPr="005576B2">
        <w:t xml:space="preserve"> PSM</w:t>
      </w:r>
    </w:p>
    <w:p w:rsidR="0085476B" w:rsidRPr="005576B2" w:rsidRDefault="0085476B" w:rsidP="0085476B">
      <w:pPr>
        <w:pStyle w:val="Blocks"/>
      </w:pPr>
      <w:r w:rsidRPr="005576B2">
        <w:t>First Parliamentary Counsel</w:t>
      </w:r>
    </w:p>
    <w:p w:rsidR="00356D51" w:rsidRPr="005576B2" w:rsidRDefault="00F218EE" w:rsidP="00F218EE">
      <w:pPr>
        <w:pStyle w:val="Blocks"/>
      </w:pPr>
      <w:r w:rsidRPr="005576B2">
        <w:t>2 July 2019</w:t>
      </w:r>
    </w:p>
    <w:p w:rsidR="001D550C" w:rsidRPr="005576B2" w:rsidRDefault="001D550C" w:rsidP="001D550C">
      <w:pPr>
        <w:pStyle w:val="Body"/>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1D550C" w:rsidRPr="005576B2" w:rsidTr="00F218EE">
        <w:trPr>
          <w:tblHeader/>
        </w:trPr>
        <w:tc>
          <w:tcPr>
            <w:tcW w:w="9027" w:type="dxa"/>
            <w:gridSpan w:val="3"/>
            <w:tcBorders>
              <w:top w:val="single" w:sz="12" w:space="0" w:color="auto"/>
              <w:bottom w:val="single" w:sz="6" w:space="0" w:color="auto"/>
            </w:tcBorders>
            <w:shd w:val="clear" w:color="auto" w:fill="auto"/>
          </w:tcPr>
          <w:p w:rsidR="001D550C" w:rsidRPr="005576B2" w:rsidRDefault="001D550C" w:rsidP="00885428">
            <w:pPr>
              <w:pStyle w:val="Tabletext"/>
              <w:keepNext/>
              <w:rPr>
                <w:b/>
              </w:rPr>
            </w:pPr>
            <w:r w:rsidRPr="005576B2">
              <w:rPr>
                <w:b/>
              </w:rPr>
              <w:t>Document History</w:t>
            </w:r>
          </w:p>
        </w:tc>
      </w:tr>
      <w:tr w:rsidR="001D550C" w:rsidRPr="005576B2" w:rsidTr="00F218EE">
        <w:trPr>
          <w:tblHeader/>
        </w:trPr>
        <w:tc>
          <w:tcPr>
            <w:tcW w:w="3009" w:type="dxa"/>
            <w:tcBorders>
              <w:top w:val="single" w:sz="6" w:space="0" w:color="auto"/>
              <w:bottom w:val="single" w:sz="12" w:space="0" w:color="auto"/>
            </w:tcBorders>
            <w:shd w:val="clear" w:color="auto" w:fill="auto"/>
          </w:tcPr>
          <w:p w:rsidR="001D550C" w:rsidRPr="005576B2" w:rsidRDefault="001D550C" w:rsidP="00885428">
            <w:pPr>
              <w:pStyle w:val="Tabletext"/>
              <w:keepNext/>
              <w:rPr>
                <w:b/>
              </w:rPr>
            </w:pPr>
            <w:r w:rsidRPr="005576B2">
              <w:rPr>
                <w:b/>
              </w:rPr>
              <w:t>Release</w:t>
            </w:r>
          </w:p>
        </w:tc>
        <w:tc>
          <w:tcPr>
            <w:tcW w:w="3009" w:type="dxa"/>
            <w:tcBorders>
              <w:top w:val="single" w:sz="6" w:space="0" w:color="auto"/>
              <w:bottom w:val="single" w:sz="12" w:space="0" w:color="auto"/>
            </w:tcBorders>
            <w:shd w:val="clear" w:color="auto" w:fill="auto"/>
          </w:tcPr>
          <w:p w:rsidR="001D550C" w:rsidRPr="005576B2" w:rsidRDefault="001D550C" w:rsidP="00885428">
            <w:pPr>
              <w:pStyle w:val="Tabletext"/>
              <w:keepNext/>
              <w:rPr>
                <w:b/>
              </w:rPr>
            </w:pPr>
            <w:r w:rsidRPr="005576B2">
              <w:rPr>
                <w:b/>
              </w:rPr>
              <w:t>Release date</w:t>
            </w:r>
          </w:p>
        </w:tc>
        <w:tc>
          <w:tcPr>
            <w:tcW w:w="3009" w:type="dxa"/>
            <w:tcBorders>
              <w:top w:val="single" w:sz="6" w:space="0" w:color="auto"/>
              <w:bottom w:val="single" w:sz="12" w:space="0" w:color="auto"/>
            </w:tcBorders>
            <w:shd w:val="clear" w:color="auto" w:fill="auto"/>
          </w:tcPr>
          <w:p w:rsidR="001D550C" w:rsidRPr="005576B2" w:rsidRDefault="001D550C" w:rsidP="00885428">
            <w:pPr>
              <w:pStyle w:val="Tabletext"/>
              <w:keepNext/>
              <w:rPr>
                <w:b/>
              </w:rPr>
            </w:pPr>
            <w:r w:rsidRPr="005576B2">
              <w:rPr>
                <w:b/>
              </w:rPr>
              <w:t>Document number</w:t>
            </w:r>
          </w:p>
        </w:tc>
      </w:tr>
      <w:tr w:rsidR="001D550C" w:rsidRPr="005576B2" w:rsidTr="00F218EE">
        <w:tc>
          <w:tcPr>
            <w:tcW w:w="3009" w:type="dxa"/>
            <w:tcBorders>
              <w:top w:val="single" w:sz="12" w:space="0" w:color="auto"/>
            </w:tcBorders>
            <w:shd w:val="clear" w:color="auto" w:fill="auto"/>
          </w:tcPr>
          <w:p w:rsidR="001D550C" w:rsidRPr="005576B2" w:rsidRDefault="001D550C" w:rsidP="00885428">
            <w:pPr>
              <w:pStyle w:val="Tabletext"/>
            </w:pPr>
            <w:r w:rsidRPr="005576B2">
              <w:t>1.0</w:t>
            </w:r>
          </w:p>
        </w:tc>
        <w:tc>
          <w:tcPr>
            <w:tcW w:w="3009" w:type="dxa"/>
            <w:tcBorders>
              <w:top w:val="single" w:sz="12" w:space="0" w:color="auto"/>
            </w:tcBorders>
            <w:shd w:val="clear" w:color="auto" w:fill="auto"/>
          </w:tcPr>
          <w:p w:rsidR="001D550C" w:rsidRPr="005576B2" w:rsidRDefault="001D550C" w:rsidP="00885428">
            <w:pPr>
              <w:pStyle w:val="Tabletext"/>
            </w:pPr>
            <w:r w:rsidRPr="005576B2">
              <w:t>1 May 2006</w:t>
            </w:r>
          </w:p>
        </w:tc>
        <w:tc>
          <w:tcPr>
            <w:tcW w:w="3009" w:type="dxa"/>
            <w:tcBorders>
              <w:top w:val="single" w:sz="12" w:space="0" w:color="auto"/>
            </w:tcBorders>
            <w:shd w:val="clear" w:color="auto" w:fill="auto"/>
          </w:tcPr>
          <w:p w:rsidR="001D550C" w:rsidRPr="005576B2" w:rsidRDefault="001D550C" w:rsidP="00885428">
            <w:pPr>
              <w:pStyle w:val="Tabletext"/>
            </w:pPr>
            <w:r w:rsidRPr="005576B2">
              <w:t>s06pf337.v01.doc</w:t>
            </w:r>
          </w:p>
        </w:tc>
      </w:tr>
      <w:tr w:rsidR="00356D51" w:rsidRPr="005576B2" w:rsidTr="00F218EE">
        <w:tc>
          <w:tcPr>
            <w:tcW w:w="3009" w:type="dxa"/>
            <w:tcBorders>
              <w:bottom w:val="single" w:sz="2" w:space="0" w:color="auto"/>
            </w:tcBorders>
            <w:shd w:val="clear" w:color="auto" w:fill="auto"/>
          </w:tcPr>
          <w:p w:rsidR="00356D51" w:rsidRPr="005576B2" w:rsidRDefault="00356D51" w:rsidP="00885428">
            <w:pPr>
              <w:pStyle w:val="Tabletext"/>
            </w:pPr>
            <w:r w:rsidRPr="005576B2">
              <w:t>1.1</w:t>
            </w:r>
          </w:p>
        </w:tc>
        <w:tc>
          <w:tcPr>
            <w:tcW w:w="3009" w:type="dxa"/>
            <w:tcBorders>
              <w:bottom w:val="single" w:sz="2" w:space="0" w:color="auto"/>
            </w:tcBorders>
            <w:shd w:val="clear" w:color="auto" w:fill="auto"/>
          </w:tcPr>
          <w:p w:rsidR="00356D51" w:rsidRPr="005576B2" w:rsidRDefault="005E012E" w:rsidP="00F9613A">
            <w:pPr>
              <w:pStyle w:val="Tabletext"/>
            </w:pPr>
            <w:r w:rsidRPr="005576B2">
              <w:t>1 May 2013</w:t>
            </w:r>
          </w:p>
        </w:tc>
        <w:tc>
          <w:tcPr>
            <w:tcW w:w="3009" w:type="dxa"/>
            <w:tcBorders>
              <w:bottom w:val="single" w:sz="2" w:space="0" w:color="auto"/>
            </w:tcBorders>
            <w:shd w:val="clear" w:color="auto" w:fill="auto"/>
          </w:tcPr>
          <w:p w:rsidR="00356D51" w:rsidRPr="005576B2" w:rsidRDefault="005E012E" w:rsidP="005E012E">
            <w:pPr>
              <w:pStyle w:val="Tabletext"/>
            </w:pPr>
            <w:r w:rsidRPr="005576B2">
              <w:t>s06pf337.v06.doc</w:t>
            </w:r>
          </w:p>
        </w:tc>
      </w:tr>
      <w:tr w:rsidR="00AF389B" w:rsidRPr="005576B2" w:rsidTr="00F218EE">
        <w:tc>
          <w:tcPr>
            <w:tcW w:w="3009" w:type="dxa"/>
            <w:tcBorders>
              <w:top w:val="single" w:sz="2" w:space="0" w:color="auto"/>
              <w:bottom w:val="single" w:sz="12" w:space="0" w:color="auto"/>
            </w:tcBorders>
            <w:shd w:val="clear" w:color="auto" w:fill="auto"/>
          </w:tcPr>
          <w:p w:rsidR="00AF389B" w:rsidRPr="005576B2" w:rsidRDefault="00936516" w:rsidP="00885428">
            <w:pPr>
              <w:pStyle w:val="Tabletext"/>
            </w:pPr>
            <w:r w:rsidRPr="005576B2">
              <w:t>2.0</w:t>
            </w:r>
          </w:p>
        </w:tc>
        <w:tc>
          <w:tcPr>
            <w:tcW w:w="3009" w:type="dxa"/>
            <w:tcBorders>
              <w:top w:val="single" w:sz="2" w:space="0" w:color="auto"/>
              <w:bottom w:val="single" w:sz="12" w:space="0" w:color="auto"/>
            </w:tcBorders>
            <w:shd w:val="clear" w:color="auto" w:fill="auto"/>
          </w:tcPr>
          <w:p w:rsidR="00AF389B" w:rsidRPr="005576B2" w:rsidRDefault="00F218EE" w:rsidP="00F218EE">
            <w:pPr>
              <w:pStyle w:val="Tabletext"/>
            </w:pPr>
            <w:r w:rsidRPr="005576B2">
              <w:t>2 July 2019</w:t>
            </w:r>
          </w:p>
        </w:tc>
        <w:tc>
          <w:tcPr>
            <w:tcW w:w="3009" w:type="dxa"/>
            <w:tcBorders>
              <w:top w:val="single" w:sz="2" w:space="0" w:color="auto"/>
              <w:bottom w:val="single" w:sz="12" w:space="0" w:color="auto"/>
            </w:tcBorders>
            <w:shd w:val="clear" w:color="auto" w:fill="auto"/>
          </w:tcPr>
          <w:p w:rsidR="00AF389B" w:rsidRPr="005576B2" w:rsidRDefault="00AF389B" w:rsidP="00F218EE">
            <w:pPr>
              <w:pStyle w:val="Tabletext"/>
            </w:pPr>
            <w:r w:rsidRPr="005576B2">
              <w:t>s06pf337.v</w:t>
            </w:r>
            <w:r w:rsidR="00F218EE" w:rsidRPr="005576B2">
              <w:t>17</w:t>
            </w:r>
            <w:r w:rsidRPr="005576B2">
              <w:t>.doc</w:t>
            </w:r>
          </w:p>
        </w:tc>
      </w:tr>
    </w:tbl>
    <w:p w:rsidR="001D550C" w:rsidRPr="005576B2" w:rsidRDefault="001D550C" w:rsidP="001D550C">
      <w:pPr>
        <w:pStyle w:val="notemargin"/>
      </w:pPr>
      <w:r w:rsidRPr="005576B2">
        <w:t>Note:</w:t>
      </w:r>
      <w:r w:rsidRPr="005576B2">
        <w:tab/>
        <w:t>Before the issue of the current series of Drafting Directions, this Drafting Direction was known as Drafting Direction No. 18 of 2005 and Drafting Direction No. 14 of 1993.</w:t>
      </w:r>
      <w:bookmarkStart w:id="43" w:name="_GoBack"/>
      <w:bookmarkEnd w:id="43"/>
    </w:p>
    <w:sectPr w:rsidR="001D550C" w:rsidRPr="005576B2" w:rsidSect="00E836FB">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217" w:rsidRDefault="007A3217" w:rsidP="00A34568">
      <w:pPr>
        <w:spacing w:line="240" w:lineRule="auto"/>
      </w:pPr>
      <w:r>
        <w:separator/>
      </w:r>
    </w:p>
  </w:endnote>
  <w:endnote w:type="continuationSeparator" w:id="0">
    <w:p w:rsidR="007A3217" w:rsidRDefault="007A3217"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FB" w:rsidRDefault="00E836FB" w:rsidP="00E836FB">
    <w:pPr>
      <w:pStyle w:val="Footer"/>
      <w:tabs>
        <w:tab w:val="clear" w:pos="4153"/>
        <w:tab w:val="clear" w:pos="8306"/>
        <w:tab w:val="right" w:pos="8930"/>
      </w:tabs>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AA2636">
      <w:rPr>
        <w:rStyle w:val="PageNumber"/>
        <w:noProof/>
        <w:sz w:val="20"/>
      </w:rPr>
      <w:t>10</w:t>
    </w:r>
    <w:r>
      <w:rPr>
        <w:rStyle w:val="PageNumber"/>
        <w:sz w:val="20"/>
      </w:rPr>
      <w:fldChar w:fldCharType="end"/>
    </w:r>
    <w:r>
      <w:rPr>
        <w:sz w:val="16"/>
      </w:rPr>
      <w:tab/>
      <w:t>[</w:t>
    </w:r>
    <w:r w:rsidR="00AA2636">
      <w:rPr>
        <w:noProof/>
        <w:sz w:val="16"/>
      </w:rPr>
      <w:t>s06pf337.v17.docx</w:t>
    </w:r>
    <w:r>
      <w:rPr>
        <w:sz w:val="16"/>
      </w:rPr>
      <w:t>] [</w:t>
    </w:r>
    <w:r w:rsidR="00AA2636">
      <w:rPr>
        <w:noProof/>
        <w:sz w:val="16"/>
      </w:rPr>
      <w:t>2 Jul 2019</w:t>
    </w:r>
    <w:r>
      <w:rPr>
        <w:sz w:val="16"/>
      </w:rPr>
      <w:t>] [</w:t>
    </w:r>
    <w:r w:rsidR="00AA2636">
      <w:rPr>
        <w:noProof/>
        <w:sz w:val="16"/>
      </w:rPr>
      <w:t>9:54 AM</w:t>
    </w:r>
    <w:r>
      <w:rPr>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FB" w:rsidRDefault="00E836FB" w:rsidP="00E836FB">
    <w:pPr>
      <w:tabs>
        <w:tab w:val="right" w:pos="8931"/>
      </w:tabs>
      <w:rPr>
        <w:sz w:val="16"/>
      </w:rPr>
    </w:pPr>
    <w:r>
      <w:rPr>
        <w:sz w:val="16"/>
      </w:rPr>
      <w:t>[</w:t>
    </w:r>
    <w:r w:rsidR="00AA2636">
      <w:rPr>
        <w:noProof/>
        <w:sz w:val="16"/>
      </w:rPr>
      <w:t>s06pf337.v17.docx</w:t>
    </w:r>
    <w:r>
      <w:rPr>
        <w:sz w:val="16"/>
      </w:rPr>
      <w:t>] [</w:t>
    </w:r>
    <w:r w:rsidR="00AA2636">
      <w:rPr>
        <w:noProof/>
        <w:sz w:val="16"/>
      </w:rPr>
      <w:t>2 Jul 2019</w:t>
    </w:r>
    <w:r>
      <w:rPr>
        <w:sz w:val="16"/>
      </w:rPr>
      <w:t>] [</w:t>
    </w:r>
    <w:r w:rsidR="00AA2636">
      <w:rPr>
        <w:noProof/>
        <w:sz w:val="16"/>
      </w:rPr>
      <w:t>9:54 AM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AA2636">
      <w:rPr>
        <w:rStyle w:val="PageNumber"/>
        <w:noProof/>
        <w:sz w:val="20"/>
      </w:rPr>
      <w:t>7</w:t>
    </w:r>
    <w:r>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FB" w:rsidRDefault="00E836FB" w:rsidP="00E836FB">
    <w:pPr>
      <w:tabs>
        <w:tab w:val="right" w:pos="8931"/>
      </w:tabs>
    </w:pPr>
    <w:r>
      <w:rPr>
        <w:sz w:val="16"/>
      </w:rPr>
      <w:t>[</w:t>
    </w:r>
    <w:r w:rsidR="00AA2636">
      <w:rPr>
        <w:noProof/>
        <w:sz w:val="16"/>
      </w:rPr>
      <w:t>s06pf337.v17.docx</w:t>
    </w:r>
    <w:r>
      <w:rPr>
        <w:sz w:val="16"/>
      </w:rPr>
      <w:t>] [</w:t>
    </w:r>
    <w:r w:rsidR="00AA2636">
      <w:rPr>
        <w:noProof/>
        <w:sz w:val="16"/>
      </w:rPr>
      <w:t>2 Jul 2019</w:t>
    </w:r>
    <w:r>
      <w:rPr>
        <w:sz w:val="16"/>
      </w:rPr>
      <w:t>] [</w:t>
    </w:r>
    <w:r w:rsidR="00AA2636">
      <w:rPr>
        <w:noProof/>
        <w:sz w:val="16"/>
      </w:rPr>
      <w:t>9:54 AM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AA2636">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217" w:rsidRDefault="007A3217" w:rsidP="00A34568">
      <w:pPr>
        <w:spacing w:line="240" w:lineRule="auto"/>
      </w:pPr>
      <w:r>
        <w:separator/>
      </w:r>
    </w:p>
  </w:footnote>
  <w:footnote w:type="continuationSeparator" w:id="0">
    <w:p w:rsidR="007A3217" w:rsidRDefault="007A3217" w:rsidP="00A345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FB" w:rsidRDefault="00E836FB" w:rsidP="00E836FB">
    <w:pPr>
      <w:pStyle w:val="Header"/>
    </w:pPr>
    <w:r>
      <w:rPr>
        <w:rStyle w:val="PageNumber"/>
      </w:rPr>
      <w:fldChar w:fldCharType="begin"/>
    </w:r>
    <w:r>
      <w:rPr>
        <w:rStyle w:val="PageNumber"/>
      </w:rPr>
      <w:instrText xml:space="preserve"> STYLEREF "Head 1" </w:instrText>
    </w:r>
    <w:r>
      <w:rPr>
        <w:rStyle w:val="PageNumber"/>
      </w:rPr>
      <w:fldChar w:fldCharType="separate"/>
    </w:r>
    <w:r w:rsidR="005576B2">
      <w:rPr>
        <w:rStyle w:val="PageNumber"/>
        <w:noProof/>
      </w:rPr>
      <w:t>Drafting Direction No. 3.2</w:t>
    </w:r>
    <w:r w:rsidR="005576B2">
      <w:rPr>
        <w:rStyle w:val="PageNumber"/>
        <w:noProof/>
      </w:rPr>
      <w:br/>
      <w:t>Taxation</w:t>
    </w:r>
    <w:r>
      <w:rPr>
        <w:rStyle w:val="PageNumber"/>
      </w:rPr>
      <w:fldChar w:fldCharType="end"/>
    </w:r>
  </w:p>
  <w:p w:rsidR="00E836FB" w:rsidRDefault="00E836FB" w:rsidP="00E836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FB" w:rsidRDefault="00E836FB" w:rsidP="00E836FB">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5576B2">
      <w:rPr>
        <w:rStyle w:val="PageNumber"/>
        <w:noProof/>
      </w:rPr>
      <w:t>Drafting Direction No. 3.2</w:t>
    </w:r>
    <w:r w:rsidR="005576B2">
      <w:rPr>
        <w:rStyle w:val="PageNumber"/>
        <w:noProof/>
      </w:rPr>
      <w:br/>
      <w:t>Taxation</w:t>
    </w:r>
    <w:r>
      <w:rPr>
        <w:rStyle w:val="PageNumber"/>
      </w:rPr>
      <w:fldChar w:fldCharType="end"/>
    </w:r>
  </w:p>
  <w:p w:rsidR="00E836FB" w:rsidRDefault="00E836FB" w:rsidP="00E836F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FB" w:rsidRDefault="00E836FB" w:rsidP="00E836FB">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5576B2">
      <w:rPr>
        <w:rStyle w:val="PageNumber"/>
        <w:noProof/>
      </w:rPr>
      <w:t>Drafting Direction No. 3.2</w:t>
    </w:r>
    <w:r w:rsidR="005576B2">
      <w:rPr>
        <w:rStyle w:val="PageNumber"/>
        <w:noProof/>
      </w:rPr>
      <w:br/>
      <w:t>Taxation</w:t>
    </w:r>
    <w:r>
      <w:rPr>
        <w:rStyle w:val="PageNumber"/>
      </w:rPr>
      <w:fldChar w:fldCharType="end"/>
    </w:r>
  </w:p>
  <w:p w:rsidR="00E836FB" w:rsidRDefault="00E836FB" w:rsidP="00E836FB">
    <w:pPr>
      <w:pStyle w:val="Header"/>
      <w:spacing w:before="240" w:after="600"/>
      <w:jc w:val="center"/>
      <w:rPr>
        <w:b/>
        <w:caps/>
        <w:sz w:val="36"/>
        <w:lang w:val="en-US"/>
      </w:rPr>
    </w:pPr>
    <w:r>
      <w:rPr>
        <w:b/>
        <w:caps/>
        <w:sz w:val="36"/>
        <w:lang w:val="en-US"/>
      </w:rPr>
      <w:t>Parliamentary Counsel</w:t>
    </w:r>
  </w:p>
  <w:p w:rsidR="00E836FB" w:rsidRDefault="00E836FB" w:rsidP="00E836FB">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6CEF80"/>
    <w:lvl w:ilvl="0">
      <w:start w:val="1"/>
      <w:numFmt w:val="decimal"/>
      <w:lvlText w:val="%1."/>
      <w:lvlJc w:val="left"/>
      <w:pPr>
        <w:tabs>
          <w:tab w:val="num" w:pos="1492"/>
        </w:tabs>
        <w:ind w:left="1492" w:hanging="360"/>
      </w:pPr>
    </w:lvl>
  </w:abstractNum>
  <w:abstractNum w:abstractNumId="1">
    <w:nsid w:val="FFFFFF7D"/>
    <w:multiLevelType w:val="singleLevel"/>
    <w:tmpl w:val="0472C198"/>
    <w:lvl w:ilvl="0">
      <w:start w:val="1"/>
      <w:numFmt w:val="decimal"/>
      <w:lvlText w:val="%1."/>
      <w:lvlJc w:val="left"/>
      <w:pPr>
        <w:tabs>
          <w:tab w:val="num" w:pos="1209"/>
        </w:tabs>
        <w:ind w:left="1209" w:hanging="360"/>
      </w:pPr>
    </w:lvl>
  </w:abstractNum>
  <w:abstractNum w:abstractNumId="2">
    <w:nsid w:val="FFFFFF7E"/>
    <w:multiLevelType w:val="singleLevel"/>
    <w:tmpl w:val="AC8851A2"/>
    <w:lvl w:ilvl="0">
      <w:start w:val="1"/>
      <w:numFmt w:val="decimal"/>
      <w:lvlText w:val="%1."/>
      <w:lvlJc w:val="left"/>
      <w:pPr>
        <w:tabs>
          <w:tab w:val="num" w:pos="926"/>
        </w:tabs>
        <w:ind w:left="926" w:hanging="360"/>
      </w:pPr>
    </w:lvl>
  </w:abstractNum>
  <w:abstractNum w:abstractNumId="3">
    <w:nsid w:val="FFFFFF7F"/>
    <w:multiLevelType w:val="singleLevel"/>
    <w:tmpl w:val="296A0F1A"/>
    <w:lvl w:ilvl="0">
      <w:start w:val="1"/>
      <w:numFmt w:val="decimal"/>
      <w:lvlText w:val="%1."/>
      <w:lvlJc w:val="left"/>
      <w:pPr>
        <w:tabs>
          <w:tab w:val="num" w:pos="643"/>
        </w:tabs>
        <w:ind w:left="643" w:hanging="360"/>
      </w:pPr>
    </w:lvl>
  </w:abstractNum>
  <w:abstractNum w:abstractNumId="4">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7C56E0"/>
    <w:lvl w:ilvl="0">
      <w:start w:val="1"/>
      <w:numFmt w:val="decimal"/>
      <w:lvlText w:val="%1."/>
      <w:lvlJc w:val="left"/>
      <w:pPr>
        <w:tabs>
          <w:tab w:val="num" w:pos="360"/>
        </w:tabs>
        <w:ind w:left="360" w:hanging="360"/>
      </w:pPr>
    </w:lvl>
  </w:abstractNum>
  <w:abstractNum w:abstractNumId="9">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76B"/>
    <w:rsid w:val="00001E43"/>
    <w:rsid w:val="00010254"/>
    <w:rsid w:val="000136AF"/>
    <w:rsid w:val="000311D1"/>
    <w:rsid w:val="000378F6"/>
    <w:rsid w:val="00055494"/>
    <w:rsid w:val="00056743"/>
    <w:rsid w:val="00056827"/>
    <w:rsid w:val="000614BF"/>
    <w:rsid w:val="00080000"/>
    <w:rsid w:val="000B21F8"/>
    <w:rsid w:val="000C1A53"/>
    <w:rsid w:val="000C7C3B"/>
    <w:rsid w:val="000D05EF"/>
    <w:rsid w:val="000E1A74"/>
    <w:rsid w:val="000E5177"/>
    <w:rsid w:val="000F0675"/>
    <w:rsid w:val="0010728B"/>
    <w:rsid w:val="0010745C"/>
    <w:rsid w:val="00131094"/>
    <w:rsid w:val="0014453F"/>
    <w:rsid w:val="00150BDD"/>
    <w:rsid w:val="00161916"/>
    <w:rsid w:val="00166C2F"/>
    <w:rsid w:val="0017472A"/>
    <w:rsid w:val="00192CB0"/>
    <w:rsid w:val="001939E1"/>
    <w:rsid w:val="00195382"/>
    <w:rsid w:val="001B78E1"/>
    <w:rsid w:val="001C69C4"/>
    <w:rsid w:val="001D0EC9"/>
    <w:rsid w:val="001D550C"/>
    <w:rsid w:val="001E3590"/>
    <w:rsid w:val="001E7407"/>
    <w:rsid w:val="001F1DC4"/>
    <w:rsid w:val="001F1EF9"/>
    <w:rsid w:val="001F2BC0"/>
    <w:rsid w:val="0022116E"/>
    <w:rsid w:val="00226045"/>
    <w:rsid w:val="0023208B"/>
    <w:rsid w:val="00242193"/>
    <w:rsid w:val="0024270D"/>
    <w:rsid w:val="00244E0E"/>
    <w:rsid w:val="002478F5"/>
    <w:rsid w:val="00253D1B"/>
    <w:rsid w:val="00273BF4"/>
    <w:rsid w:val="002936C7"/>
    <w:rsid w:val="00295FBA"/>
    <w:rsid w:val="002970D7"/>
    <w:rsid w:val="00297ECB"/>
    <w:rsid w:val="002D043A"/>
    <w:rsid w:val="002D2EA7"/>
    <w:rsid w:val="002D6125"/>
    <w:rsid w:val="002F422C"/>
    <w:rsid w:val="00301F67"/>
    <w:rsid w:val="00316C7C"/>
    <w:rsid w:val="00325C2B"/>
    <w:rsid w:val="00352B0F"/>
    <w:rsid w:val="00356D51"/>
    <w:rsid w:val="00360FB0"/>
    <w:rsid w:val="0037797A"/>
    <w:rsid w:val="00382F41"/>
    <w:rsid w:val="00384220"/>
    <w:rsid w:val="00386989"/>
    <w:rsid w:val="00394E18"/>
    <w:rsid w:val="003A7BBE"/>
    <w:rsid w:val="003B3D3D"/>
    <w:rsid w:val="003B5735"/>
    <w:rsid w:val="003C76BD"/>
    <w:rsid w:val="003D0BFE"/>
    <w:rsid w:val="003D0DC4"/>
    <w:rsid w:val="003D2F51"/>
    <w:rsid w:val="003D5700"/>
    <w:rsid w:val="003E011C"/>
    <w:rsid w:val="003E45EA"/>
    <w:rsid w:val="003E51C5"/>
    <w:rsid w:val="003F3781"/>
    <w:rsid w:val="0041073D"/>
    <w:rsid w:val="004116CD"/>
    <w:rsid w:val="00416DD9"/>
    <w:rsid w:val="0042098D"/>
    <w:rsid w:val="00423313"/>
    <w:rsid w:val="00424CA9"/>
    <w:rsid w:val="0043234F"/>
    <w:rsid w:val="0044291A"/>
    <w:rsid w:val="00444416"/>
    <w:rsid w:val="004449CC"/>
    <w:rsid w:val="004515CE"/>
    <w:rsid w:val="004653F8"/>
    <w:rsid w:val="00470913"/>
    <w:rsid w:val="004732A5"/>
    <w:rsid w:val="004846DA"/>
    <w:rsid w:val="00494F12"/>
    <w:rsid w:val="004965BB"/>
    <w:rsid w:val="00496F97"/>
    <w:rsid w:val="004A1FFE"/>
    <w:rsid w:val="004D3254"/>
    <w:rsid w:val="004D6B18"/>
    <w:rsid w:val="004F57D2"/>
    <w:rsid w:val="00516B8D"/>
    <w:rsid w:val="005379F7"/>
    <w:rsid w:val="00537FBC"/>
    <w:rsid w:val="00545829"/>
    <w:rsid w:val="00551690"/>
    <w:rsid w:val="005576B2"/>
    <w:rsid w:val="0056727B"/>
    <w:rsid w:val="00573F99"/>
    <w:rsid w:val="00584811"/>
    <w:rsid w:val="00594161"/>
    <w:rsid w:val="00594749"/>
    <w:rsid w:val="005B40C1"/>
    <w:rsid w:val="005D14A4"/>
    <w:rsid w:val="005D6982"/>
    <w:rsid w:val="005E012E"/>
    <w:rsid w:val="005F1E7A"/>
    <w:rsid w:val="005F1E85"/>
    <w:rsid w:val="005F7099"/>
    <w:rsid w:val="00600219"/>
    <w:rsid w:val="006113A2"/>
    <w:rsid w:val="00613A19"/>
    <w:rsid w:val="006207A3"/>
    <w:rsid w:val="006429D9"/>
    <w:rsid w:val="0064602A"/>
    <w:rsid w:val="00651E60"/>
    <w:rsid w:val="00660D29"/>
    <w:rsid w:val="00677CC2"/>
    <w:rsid w:val="00680F77"/>
    <w:rsid w:val="006850A6"/>
    <w:rsid w:val="00687F28"/>
    <w:rsid w:val="0069207B"/>
    <w:rsid w:val="006920AD"/>
    <w:rsid w:val="00697F09"/>
    <w:rsid w:val="00697FC2"/>
    <w:rsid w:val="006A0861"/>
    <w:rsid w:val="006C3AFA"/>
    <w:rsid w:val="006C7F8C"/>
    <w:rsid w:val="006D4354"/>
    <w:rsid w:val="006E00A7"/>
    <w:rsid w:val="00724C43"/>
    <w:rsid w:val="007276BC"/>
    <w:rsid w:val="00731E00"/>
    <w:rsid w:val="00733990"/>
    <w:rsid w:val="00743BAB"/>
    <w:rsid w:val="00751573"/>
    <w:rsid w:val="00752F41"/>
    <w:rsid w:val="0075761B"/>
    <w:rsid w:val="007715C9"/>
    <w:rsid w:val="00774EDD"/>
    <w:rsid w:val="007757EC"/>
    <w:rsid w:val="007761DF"/>
    <w:rsid w:val="0078592D"/>
    <w:rsid w:val="00791CDB"/>
    <w:rsid w:val="00794EA0"/>
    <w:rsid w:val="007A1865"/>
    <w:rsid w:val="007A3217"/>
    <w:rsid w:val="007B3F23"/>
    <w:rsid w:val="007C3D47"/>
    <w:rsid w:val="007C699A"/>
    <w:rsid w:val="0080270B"/>
    <w:rsid w:val="00813023"/>
    <w:rsid w:val="00852762"/>
    <w:rsid w:val="0085476B"/>
    <w:rsid w:val="008563FC"/>
    <w:rsid w:val="00856A31"/>
    <w:rsid w:val="00866EBF"/>
    <w:rsid w:val="008703B2"/>
    <w:rsid w:val="008754D0"/>
    <w:rsid w:val="008951E7"/>
    <w:rsid w:val="00896C48"/>
    <w:rsid w:val="008D228B"/>
    <w:rsid w:val="008D46B1"/>
    <w:rsid w:val="008E3B8C"/>
    <w:rsid w:val="008E7E3C"/>
    <w:rsid w:val="00901EC3"/>
    <w:rsid w:val="009102C2"/>
    <w:rsid w:val="009154D3"/>
    <w:rsid w:val="00931CE9"/>
    <w:rsid w:val="00935A5F"/>
    <w:rsid w:val="00936516"/>
    <w:rsid w:val="00936ABC"/>
    <w:rsid w:val="0094622F"/>
    <w:rsid w:val="00962EAC"/>
    <w:rsid w:val="00976179"/>
    <w:rsid w:val="009A7F2A"/>
    <w:rsid w:val="009C4612"/>
    <w:rsid w:val="009E08A0"/>
    <w:rsid w:val="009F0408"/>
    <w:rsid w:val="009F3FDF"/>
    <w:rsid w:val="00A177AB"/>
    <w:rsid w:val="00A231E2"/>
    <w:rsid w:val="00A34568"/>
    <w:rsid w:val="00A5043D"/>
    <w:rsid w:val="00A5093B"/>
    <w:rsid w:val="00A64912"/>
    <w:rsid w:val="00A66EA6"/>
    <w:rsid w:val="00A66F0D"/>
    <w:rsid w:val="00A673D5"/>
    <w:rsid w:val="00A70A74"/>
    <w:rsid w:val="00A8389E"/>
    <w:rsid w:val="00AA2636"/>
    <w:rsid w:val="00AA5F38"/>
    <w:rsid w:val="00AA6BB5"/>
    <w:rsid w:val="00AB1389"/>
    <w:rsid w:val="00AD5641"/>
    <w:rsid w:val="00AF389B"/>
    <w:rsid w:val="00B25636"/>
    <w:rsid w:val="00B33B3C"/>
    <w:rsid w:val="00B37B4F"/>
    <w:rsid w:val="00B41341"/>
    <w:rsid w:val="00B47B0C"/>
    <w:rsid w:val="00B51A02"/>
    <w:rsid w:val="00B6471B"/>
    <w:rsid w:val="00B71BA5"/>
    <w:rsid w:val="00B83F7D"/>
    <w:rsid w:val="00BA0BAE"/>
    <w:rsid w:val="00BA24CE"/>
    <w:rsid w:val="00BB39A7"/>
    <w:rsid w:val="00BE0602"/>
    <w:rsid w:val="00BE719A"/>
    <w:rsid w:val="00BE720A"/>
    <w:rsid w:val="00BF65CF"/>
    <w:rsid w:val="00C00D7F"/>
    <w:rsid w:val="00C22E61"/>
    <w:rsid w:val="00C42BF8"/>
    <w:rsid w:val="00C44C38"/>
    <w:rsid w:val="00C50043"/>
    <w:rsid w:val="00C61CDD"/>
    <w:rsid w:val="00C7573B"/>
    <w:rsid w:val="00C93A37"/>
    <w:rsid w:val="00CD4D4D"/>
    <w:rsid w:val="00CF0BB2"/>
    <w:rsid w:val="00D13441"/>
    <w:rsid w:val="00D14AF8"/>
    <w:rsid w:val="00D218B2"/>
    <w:rsid w:val="00D327F1"/>
    <w:rsid w:val="00D34B35"/>
    <w:rsid w:val="00D506CB"/>
    <w:rsid w:val="00D52C87"/>
    <w:rsid w:val="00D60D4A"/>
    <w:rsid w:val="00D70DFB"/>
    <w:rsid w:val="00D72DBB"/>
    <w:rsid w:val="00D766DF"/>
    <w:rsid w:val="00D81D88"/>
    <w:rsid w:val="00D956B7"/>
    <w:rsid w:val="00D97044"/>
    <w:rsid w:val="00DA3F33"/>
    <w:rsid w:val="00DB2C2F"/>
    <w:rsid w:val="00DB7506"/>
    <w:rsid w:val="00DC2016"/>
    <w:rsid w:val="00DF4879"/>
    <w:rsid w:val="00E12C94"/>
    <w:rsid w:val="00E16197"/>
    <w:rsid w:val="00E2167C"/>
    <w:rsid w:val="00E237A4"/>
    <w:rsid w:val="00E30D43"/>
    <w:rsid w:val="00E44B25"/>
    <w:rsid w:val="00E508A2"/>
    <w:rsid w:val="00E630C2"/>
    <w:rsid w:val="00E65638"/>
    <w:rsid w:val="00E74DC7"/>
    <w:rsid w:val="00E836FB"/>
    <w:rsid w:val="00E837DF"/>
    <w:rsid w:val="00EC0EFB"/>
    <w:rsid w:val="00EC2FEA"/>
    <w:rsid w:val="00EC3E52"/>
    <w:rsid w:val="00EF244C"/>
    <w:rsid w:val="00EF2E3A"/>
    <w:rsid w:val="00EF3D44"/>
    <w:rsid w:val="00EF50C1"/>
    <w:rsid w:val="00F04811"/>
    <w:rsid w:val="00F078DC"/>
    <w:rsid w:val="00F16580"/>
    <w:rsid w:val="00F218EE"/>
    <w:rsid w:val="00F23E5F"/>
    <w:rsid w:val="00F32E50"/>
    <w:rsid w:val="00F47FA6"/>
    <w:rsid w:val="00F51269"/>
    <w:rsid w:val="00F61278"/>
    <w:rsid w:val="00F71FBA"/>
    <w:rsid w:val="00F85131"/>
    <w:rsid w:val="00F927E0"/>
    <w:rsid w:val="00F9745F"/>
    <w:rsid w:val="00FA2740"/>
    <w:rsid w:val="00FD6F0A"/>
    <w:rsid w:val="00FF3C1E"/>
    <w:rsid w:val="00FF6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76B2"/>
    <w:pPr>
      <w:spacing w:line="260" w:lineRule="atLeast"/>
    </w:pPr>
    <w:rPr>
      <w:sz w:val="22"/>
    </w:rPr>
  </w:style>
  <w:style w:type="character" w:default="1" w:styleId="DefaultParagraphFont">
    <w:name w:val="Default Paragraph Font"/>
    <w:uiPriority w:val="1"/>
    <w:unhideWhenUsed/>
    <w:rsid w:val="005576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76B2"/>
  </w:style>
  <w:style w:type="character" w:customStyle="1" w:styleId="OPCCharBase">
    <w:name w:val="OPCCharBase"/>
    <w:uiPriority w:val="1"/>
    <w:qFormat/>
    <w:rsid w:val="005576B2"/>
  </w:style>
  <w:style w:type="paragraph" w:customStyle="1" w:styleId="OPCParaBase">
    <w:name w:val="OPCParaBase"/>
    <w:qFormat/>
    <w:rsid w:val="005576B2"/>
    <w:pPr>
      <w:spacing w:line="260" w:lineRule="atLeast"/>
    </w:pPr>
    <w:rPr>
      <w:rFonts w:eastAsia="Times New Roman" w:cs="Times New Roman"/>
      <w:sz w:val="22"/>
      <w:lang w:eastAsia="en-AU"/>
    </w:rPr>
  </w:style>
  <w:style w:type="paragraph" w:customStyle="1" w:styleId="ShortT">
    <w:name w:val="ShortT"/>
    <w:basedOn w:val="OPCParaBase"/>
    <w:next w:val="Normal"/>
    <w:qFormat/>
    <w:rsid w:val="005576B2"/>
    <w:pPr>
      <w:spacing w:line="240" w:lineRule="auto"/>
    </w:pPr>
    <w:rPr>
      <w:b/>
      <w:sz w:val="40"/>
    </w:rPr>
  </w:style>
  <w:style w:type="paragraph" w:customStyle="1" w:styleId="ActHead1">
    <w:name w:val="ActHead 1"/>
    <w:aliases w:val="c"/>
    <w:basedOn w:val="OPCParaBase"/>
    <w:next w:val="Normal"/>
    <w:qFormat/>
    <w:rsid w:val="005576B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576B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576B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576B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576B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576B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576B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576B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576B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576B2"/>
  </w:style>
  <w:style w:type="paragraph" w:customStyle="1" w:styleId="Blocks">
    <w:name w:val="Blocks"/>
    <w:aliases w:val="bb"/>
    <w:basedOn w:val="OPCParaBase"/>
    <w:qFormat/>
    <w:rsid w:val="005576B2"/>
    <w:pPr>
      <w:spacing w:line="240" w:lineRule="auto"/>
    </w:pPr>
    <w:rPr>
      <w:sz w:val="24"/>
    </w:rPr>
  </w:style>
  <w:style w:type="paragraph" w:customStyle="1" w:styleId="BoxText">
    <w:name w:val="BoxText"/>
    <w:aliases w:val="bt"/>
    <w:basedOn w:val="OPCParaBase"/>
    <w:rsid w:val="005576B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576B2"/>
    <w:rPr>
      <w:b/>
    </w:rPr>
  </w:style>
  <w:style w:type="paragraph" w:customStyle="1" w:styleId="BoxHeadItalic">
    <w:name w:val="BoxHeadItalic"/>
    <w:aliases w:val="bhi"/>
    <w:basedOn w:val="BoxText"/>
    <w:next w:val="Normal"/>
    <w:qFormat/>
    <w:rsid w:val="005576B2"/>
    <w:rPr>
      <w:i/>
    </w:rPr>
  </w:style>
  <w:style w:type="paragraph" w:customStyle="1" w:styleId="BoxList">
    <w:name w:val="BoxList"/>
    <w:aliases w:val="bl"/>
    <w:basedOn w:val="BoxText"/>
    <w:qFormat/>
    <w:rsid w:val="005576B2"/>
    <w:pPr>
      <w:ind w:left="1559" w:hanging="425"/>
    </w:pPr>
  </w:style>
  <w:style w:type="paragraph" w:customStyle="1" w:styleId="BoxNote">
    <w:name w:val="BoxNote"/>
    <w:aliases w:val="bn"/>
    <w:basedOn w:val="BoxText"/>
    <w:qFormat/>
    <w:rsid w:val="005576B2"/>
    <w:pPr>
      <w:tabs>
        <w:tab w:val="left" w:pos="1985"/>
      </w:tabs>
      <w:spacing w:before="122" w:line="198" w:lineRule="exact"/>
      <w:ind w:left="2948" w:hanging="1814"/>
    </w:pPr>
    <w:rPr>
      <w:sz w:val="18"/>
    </w:rPr>
  </w:style>
  <w:style w:type="paragraph" w:customStyle="1" w:styleId="BoxPara">
    <w:name w:val="BoxPara"/>
    <w:aliases w:val="bp"/>
    <w:basedOn w:val="BoxText"/>
    <w:qFormat/>
    <w:rsid w:val="005576B2"/>
    <w:pPr>
      <w:tabs>
        <w:tab w:val="right" w:pos="2268"/>
      </w:tabs>
      <w:ind w:left="2552" w:hanging="1418"/>
    </w:pPr>
  </w:style>
  <w:style w:type="paragraph" w:customStyle="1" w:styleId="BoxStep">
    <w:name w:val="BoxStep"/>
    <w:aliases w:val="bs"/>
    <w:basedOn w:val="BoxText"/>
    <w:qFormat/>
    <w:rsid w:val="005576B2"/>
    <w:pPr>
      <w:ind w:left="1985" w:hanging="851"/>
    </w:pPr>
  </w:style>
  <w:style w:type="character" w:customStyle="1" w:styleId="CharAmPartNo">
    <w:name w:val="CharAmPartNo"/>
    <w:basedOn w:val="OPCCharBase"/>
    <w:uiPriority w:val="1"/>
    <w:qFormat/>
    <w:rsid w:val="005576B2"/>
  </w:style>
  <w:style w:type="character" w:customStyle="1" w:styleId="CharAmPartText">
    <w:name w:val="CharAmPartText"/>
    <w:basedOn w:val="OPCCharBase"/>
    <w:uiPriority w:val="1"/>
    <w:qFormat/>
    <w:rsid w:val="005576B2"/>
  </w:style>
  <w:style w:type="character" w:customStyle="1" w:styleId="CharAmSchNo">
    <w:name w:val="CharAmSchNo"/>
    <w:basedOn w:val="OPCCharBase"/>
    <w:uiPriority w:val="1"/>
    <w:qFormat/>
    <w:rsid w:val="005576B2"/>
  </w:style>
  <w:style w:type="character" w:customStyle="1" w:styleId="CharAmSchText">
    <w:name w:val="CharAmSchText"/>
    <w:basedOn w:val="OPCCharBase"/>
    <w:uiPriority w:val="1"/>
    <w:qFormat/>
    <w:rsid w:val="005576B2"/>
  </w:style>
  <w:style w:type="character" w:customStyle="1" w:styleId="CharBoldItalic">
    <w:name w:val="CharBoldItalic"/>
    <w:basedOn w:val="OPCCharBase"/>
    <w:uiPriority w:val="1"/>
    <w:qFormat/>
    <w:rsid w:val="005576B2"/>
    <w:rPr>
      <w:b/>
      <w:i/>
    </w:rPr>
  </w:style>
  <w:style w:type="character" w:customStyle="1" w:styleId="CharChapNo">
    <w:name w:val="CharChapNo"/>
    <w:basedOn w:val="OPCCharBase"/>
    <w:uiPriority w:val="1"/>
    <w:qFormat/>
    <w:rsid w:val="005576B2"/>
  </w:style>
  <w:style w:type="character" w:customStyle="1" w:styleId="CharChapText">
    <w:name w:val="CharChapText"/>
    <w:basedOn w:val="OPCCharBase"/>
    <w:uiPriority w:val="1"/>
    <w:qFormat/>
    <w:rsid w:val="005576B2"/>
  </w:style>
  <w:style w:type="character" w:customStyle="1" w:styleId="CharDivNo">
    <w:name w:val="CharDivNo"/>
    <w:basedOn w:val="OPCCharBase"/>
    <w:uiPriority w:val="1"/>
    <w:qFormat/>
    <w:rsid w:val="005576B2"/>
  </w:style>
  <w:style w:type="character" w:customStyle="1" w:styleId="CharDivText">
    <w:name w:val="CharDivText"/>
    <w:basedOn w:val="OPCCharBase"/>
    <w:uiPriority w:val="1"/>
    <w:qFormat/>
    <w:rsid w:val="005576B2"/>
  </w:style>
  <w:style w:type="character" w:customStyle="1" w:styleId="CharItalic">
    <w:name w:val="CharItalic"/>
    <w:basedOn w:val="OPCCharBase"/>
    <w:uiPriority w:val="1"/>
    <w:qFormat/>
    <w:rsid w:val="005576B2"/>
    <w:rPr>
      <w:i/>
    </w:rPr>
  </w:style>
  <w:style w:type="character" w:customStyle="1" w:styleId="CharPartNo">
    <w:name w:val="CharPartNo"/>
    <w:basedOn w:val="OPCCharBase"/>
    <w:uiPriority w:val="1"/>
    <w:qFormat/>
    <w:rsid w:val="005576B2"/>
  </w:style>
  <w:style w:type="character" w:customStyle="1" w:styleId="CharPartText">
    <w:name w:val="CharPartText"/>
    <w:basedOn w:val="OPCCharBase"/>
    <w:uiPriority w:val="1"/>
    <w:qFormat/>
    <w:rsid w:val="005576B2"/>
  </w:style>
  <w:style w:type="character" w:customStyle="1" w:styleId="CharSectno">
    <w:name w:val="CharSectno"/>
    <w:basedOn w:val="OPCCharBase"/>
    <w:uiPriority w:val="1"/>
    <w:qFormat/>
    <w:rsid w:val="005576B2"/>
  </w:style>
  <w:style w:type="character" w:customStyle="1" w:styleId="CharSubdNo">
    <w:name w:val="CharSubdNo"/>
    <w:basedOn w:val="OPCCharBase"/>
    <w:uiPriority w:val="1"/>
    <w:qFormat/>
    <w:rsid w:val="005576B2"/>
  </w:style>
  <w:style w:type="character" w:customStyle="1" w:styleId="CharSubdText">
    <w:name w:val="CharSubdText"/>
    <w:basedOn w:val="OPCCharBase"/>
    <w:uiPriority w:val="1"/>
    <w:qFormat/>
    <w:rsid w:val="005576B2"/>
  </w:style>
  <w:style w:type="paragraph" w:customStyle="1" w:styleId="CTA--">
    <w:name w:val="CTA --"/>
    <w:basedOn w:val="OPCParaBase"/>
    <w:next w:val="Normal"/>
    <w:rsid w:val="005576B2"/>
    <w:pPr>
      <w:spacing w:before="60" w:line="240" w:lineRule="atLeast"/>
      <w:ind w:left="142" w:hanging="142"/>
    </w:pPr>
    <w:rPr>
      <w:sz w:val="20"/>
    </w:rPr>
  </w:style>
  <w:style w:type="paragraph" w:customStyle="1" w:styleId="CTA-">
    <w:name w:val="CTA -"/>
    <w:basedOn w:val="OPCParaBase"/>
    <w:rsid w:val="005576B2"/>
    <w:pPr>
      <w:spacing w:before="60" w:line="240" w:lineRule="atLeast"/>
      <w:ind w:left="85" w:hanging="85"/>
    </w:pPr>
    <w:rPr>
      <w:sz w:val="20"/>
    </w:rPr>
  </w:style>
  <w:style w:type="paragraph" w:customStyle="1" w:styleId="CTA---">
    <w:name w:val="CTA ---"/>
    <w:basedOn w:val="OPCParaBase"/>
    <w:next w:val="Normal"/>
    <w:rsid w:val="005576B2"/>
    <w:pPr>
      <w:spacing w:before="60" w:line="240" w:lineRule="atLeast"/>
      <w:ind w:left="198" w:hanging="198"/>
    </w:pPr>
    <w:rPr>
      <w:sz w:val="20"/>
    </w:rPr>
  </w:style>
  <w:style w:type="paragraph" w:customStyle="1" w:styleId="CTA----">
    <w:name w:val="CTA ----"/>
    <w:basedOn w:val="OPCParaBase"/>
    <w:next w:val="Normal"/>
    <w:rsid w:val="005576B2"/>
    <w:pPr>
      <w:spacing w:before="60" w:line="240" w:lineRule="atLeast"/>
      <w:ind w:left="255" w:hanging="255"/>
    </w:pPr>
    <w:rPr>
      <w:sz w:val="20"/>
    </w:rPr>
  </w:style>
  <w:style w:type="paragraph" w:customStyle="1" w:styleId="CTA1a">
    <w:name w:val="CTA 1(a)"/>
    <w:basedOn w:val="OPCParaBase"/>
    <w:rsid w:val="005576B2"/>
    <w:pPr>
      <w:tabs>
        <w:tab w:val="right" w:pos="414"/>
      </w:tabs>
      <w:spacing w:before="40" w:line="240" w:lineRule="atLeast"/>
      <w:ind w:left="675" w:hanging="675"/>
    </w:pPr>
    <w:rPr>
      <w:sz w:val="20"/>
    </w:rPr>
  </w:style>
  <w:style w:type="paragraph" w:customStyle="1" w:styleId="CTA1ai">
    <w:name w:val="CTA 1(a)(i)"/>
    <w:basedOn w:val="OPCParaBase"/>
    <w:rsid w:val="005576B2"/>
    <w:pPr>
      <w:tabs>
        <w:tab w:val="right" w:pos="1004"/>
      </w:tabs>
      <w:spacing w:before="40" w:line="240" w:lineRule="atLeast"/>
      <w:ind w:left="1253" w:hanging="1253"/>
    </w:pPr>
    <w:rPr>
      <w:sz w:val="20"/>
    </w:rPr>
  </w:style>
  <w:style w:type="paragraph" w:customStyle="1" w:styleId="CTA2a">
    <w:name w:val="CTA 2(a)"/>
    <w:basedOn w:val="OPCParaBase"/>
    <w:rsid w:val="005576B2"/>
    <w:pPr>
      <w:tabs>
        <w:tab w:val="right" w:pos="482"/>
      </w:tabs>
      <w:spacing w:before="40" w:line="240" w:lineRule="atLeast"/>
      <w:ind w:left="748" w:hanging="748"/>
    </w:pPr>
    <w:rPr>
      <w:sz w:val="20"/>
    </w:rPr>
  </w:style>
  <w:style w:type="paragraph" w:customStyle="1" w:styleId="CTA2ai">
    <w:name w:val="CTA 2(a)(i)"/>
    <w:basedOn w:val="OPCParaBase"/>
    <w:rsid w:val="005576B2"/>
    <w:pPr>
      <w:tabs>
        <w:tab w:val="right" w:pos="1089"/>
      </w:tabs>
      <w:spacing w:before="40" w:line="240" w:lineRule="atLeast"/>
      <w:ind w:left="1327" w:hanging="1327"/>
    </w:pPr>
    <w:rPr>
      <w:sz w:val="20"/>
    </w:rPr>
  </w:style>
  <w:style w:type="paragraph" w:customStyle="1" w:styleId="CTA3a">
    <w:name w:val="CTA 3(a)"/>
    <w:basedOn w:val="OPCParaBase"/>
    <w:rsid w:val="005576B2"/>
    <w:pPr>
      <w:tabs>
        <w:tab w:val="right" w:pos="556"/>
      </w:tabs>
      <w:spacing w:before="40" w:line="240" w:lineRule="atLeast"/>
      <w:ind w:left="805" w:hanging="805"/>
    </w:pPr>
    <w:rPr>
      <w:sz w:val="20"/>
    </w:rPr>
  </w:style>
  <w:style w:type="paragraph" w:customStyle="1" w:styleId="CTA3ai">
    <w:name w:val="CTA 3(a)(i)"/>
    <w:basedOn w:val="OPCParaBase"/>
    <w:rsid w:val="005576B2"/>
    <w:pPr>
      <w:tabs>
        <w:tab w:val="right" w:pos="1140"/>
      </w:tabs>
      <w:spacing w:before="40" w:line="240" w:lineRule="atLeast"/>
      <w:ind w:left="1361" w:hanging="1361"/>
    </w:pPr>
    <w:rPr>
      <w:sz w:val="20"/>
    </w:rPr>
  </w:style>
  <w:style w:type="paragraph" w:customStyle="1" w:styleId="CTA4a">
    <w:name w:val="CTA 4(a)"/>
    <w:basedOn w:val="OPCParaBase"/>
    <w:rsid w:val="005576B2"/>
    <w:pPr>
      <w:tabs>
        <w:tab w:val="right" w:pos="624"/>
      </w:tabs>
      <w:spacing w:before="40" w:line="240" w:lineRule="atLeast"/>
      <w:ind w:left="873" w:hanging="873"/>
    </w:pPr>
    <w:rPr>
      <w:sz w:val="20"/>
    </w:rPr>
  </w:style>
  <w:style w:type="paragraph" w:customStyle="1" w:styleId="CTA4ai">
    <w:name w:val="CTA 4(a)(i)"/>
    <w:basedOn w:val="OPCParaBase"/>
    <w:rsid w:val="005576B2"/>
    <w:pPr>
      <w:tabs>
        <w:tab w:val="right" w:pos="1213"/>
      </w:tabs>
      <w:spacing w:before="40" w:line="240" w:lineRule="atLeast"/>
      <w:ind w:left="1452" w:hanging="1452"/>
    </w:pPr>
    <w:rPr>
      <w:sz w:val="20"/>
    </w:rPr>
  </w:style>
  <w:style w:type="paragraph" w:customStyle="1" w:styleId="CTACAPS">
    <w:name w:val="CTA CAPS"/>
    <w:basedOn w:val="OPCParaBase"/>
    <w:rsid w:val="005576B2"/>
    <w:pPr>
      <w:spacing w:before="60" w:line="240" w:lineRule="atLeast"/>
    </w:pPr>
    <w:rPr>
      <w:sz w:val="20"/>
    </w:rPr>
  </w:style>
  <w:style w:type="paragraph" w:customStyle="1" w:styleId="CTAright">
    <w:name w:val="CTA right"/>
    <w:basedOn w:val="OPCParaBase"/>
    <w:rsid w:val="005576B2"/>
    <w:pPr>
      <w:spacing w:before="60" w:line="240" w:lineRule="auto"/>
      <w:jc w:val="right"/>
    </w:pPr>
    <w:rPr>
      <w:sz w:val="20"/>
    </w:rPr>
  </w:style>
  <w:style w:type="paragraph" w:customStyle="1" w:styleId="subsection">
    <w:name w:val="subsection"/>
    <w:aliases w:val="ss"/>
    <w:basedOn w:val="OPCParaBase"/>
    <w:rsid w:val="005576B2"/>
    <w:pPr>
      <w:tabs>
        <w:tab w:val="right" w:pos="1021"/>
      </w:tabs>
      <w:spacing w:before="180" w:line="240" w:lineRule="auto"/>
      <w:ind w:left="1134" w:hanging="1134"/>
    </w:pPr>
  </w:style>
  <w:style w:type="paragraph" w:customStyle="1" w:styleId="Definition">
    <w:name w:val="Definition"/>
    <w:aliases w:val="dd"/>
    <w:basedOn w:val="OPCParaBase"/>
    <w:rsid w:val="005576B2"/>
    <w:pPr>
      <w:spacing w:before="180" w:line="240" w:lineRule="auto"/>
      <w:ind w:left="1134"/>
    </w:pPr>
  </w:style>
  <w:style w:type="paragraph" w:customStyle="1" w:styleId="ETAsubitem">
    <w:name w:val="ETA(subitem)"/>
    <w:basedOn w:val="OPCParaBase"/>
    <w:rsid w:val="005576B2"/>
    <w:pPr>
      <w:tabs>
        <w:tab w:val="right" w:pos="340"/>
      </w:tabs>
      <w:spacing w:before="60" w:line="240" w:lineRule="auto"/>
      <w:ind w:left="454" w:hanging="454"/>
    </w:pPr>
    <w:rPr>
      <w:sz w:val="20"/>
    </w:rPr>
  </w:style>
  <w:style w:type="paragraph" w:customStyle="1" w:styleId="ETApara">
    <w:name w:val="ETA(para)"/>
    <w:basedOn w:val="OPCParaBase"/>
    <w:rsid w:val="005576B2"/>
    <w:pPr>
      <w:tabs>
        <w:tab w:val="right" w:pos="754"/>
      </w:tabs>
      <w:spacing w:before="60" w:line="240" w:lineRule="auto"/>
      <w:ind w:left="828" w:hanging="828"/>
    </w:pPr>
    <w:rPr>
      <w:sz w:val="20"/>
    </w:rPr>
  </w:style>
  <w:style w:type="paragraph" w:customStyle="1" w:styleId="ETAsubpara">
    <w:name w:val="ETA(subpara)"/>
    <w:basedOn w:val="OPCParaBase"/>
    <w:rsid w:val="005576B2"/>
    <w:pPr>
      <w:tabs>
        <w:tab w:val="right" w:pos="1083"/>
      </w:tabs>
      <w:spacing w:before="60" w:line="240" w:lineRule="auto"/>
      <w:ind w:left="1191" w:hanging="1191"/>
    </w:pPr>
    <w:rPr>
      <w:sz w:val="20"/>
    </w:rPr>
  </w:style>
  <w:style w:type="paragraph" w:customStyle="1" w:styleId="ETAsub-subpara">
    <w:name w:val="ETA(sub-subpara)"/>
    <w:basedOn w:val="OPCParaBase"/>
    <w:rsid w:val="005576B2"/>
    <w:pPr>
      <w:tabs>
        <w:tab w:val="right" w:pos="1412"/>
      </w:tabs>
      <w:spacing w:before="60" w:line="240" w:lineRule="auto"/>
      <w:ind w:left="1525" w:hanging="1525"/>
    </w:pPr>
    <w:rPr>
      <w:sz w:val="20"/>
    </w:rPr>
  </w:style>
  <w:style w:type="paragraph" w:customStyle="1" w:styleId="Formula">
    <w:name w:val="Formula"/>
    <w:basedOn w:val="OPCParaBase"/>
    <w:rsid w:val="005576B2"/>
    <w:pPr>
      <w:spacing w:line="240" w:lineRule="auto"/>
      <w:ind w:left="1134"/>
    </w:pPr>
    <w:rPr>
      <w:sz w:val="20"/>
    </w:rPr>
  </w:style>
  <w:style w:type="paragraph" w:styleId="Header">
    <w:name w:val="header"/>
    <w:basedOn w:val="OPCParaBase"/>
    <w:link w:val="HeaderChar"/>
    <w:unhideWhenUsed/>
    <w:rsid w:val="005576B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576B2"/>
    <w:rPr>
      <w:rFonts w:eastAsia="Times New Roman" w:cs="Times New Roman"/>
      <w:sz w:val="16"/>
      <w:lang w:eastAsia="en-AU"/>
    </w:rPr>
  </w:style>
  <w:style w:type="paragraph" w:customStyle="1" w:styleId="House">
    <w:name w:val="House"/>
    <w:basedOn w:val="OPCParaBase"/>
    <w:rsid w:val="005576B2"/>
    <w:pPr>
      <w:spacing w:line="240" w:lineRule="auto"/>
    </w:pPr>
    <w:rPr>
      <w:sz w:val="28"/>
    </w:rPr>
  </w:style>
  <w:style w:type="paragraph" w:customStyle="1" w:styleId="Item">
    <w:name w:val="Item"/>
    <w:aliases w:val="i"/>
    <w:basedOn w:val="OPCParaBase"/>
    <w:next w:val="ItemHead"/>
    <w:rsid w:val="005576B2"/>
    <w:pPr>
      <w:keepLines/>
      <w:spacing w:before="80" w:line="240" w:lineRule="auto"/>
      <w:ind w:left="709"/>
    </w:pPr>
  </w:style>
  <w:style w:type="paragraph" w:customStyle="1" w:styleId="ItemHead">
    <w:name w:val="ItemHead"/>
    <w:aliases w:val="ih"/>
    <w:basedOn w:val="OPCParaBase"/>
    <w:next w:val="Item"/>
    <w:rsid w:val="005576B2"/>
    <w:pPr>
      <w:keepLines/>
      <w:spacing w:before="220" w:line="240" w:lineRule="auto"/>
      <w:ind w:left="709" w:hanging="709"/>
    </w:pPr>
    <w:rPr>
      <w:rFonts w:ascii="Arial" w:hAnsi="Arial"/>
      <w:b/>
      <w:kern w:val="28"/>
      <w:sz w:val="24"/>
    </w:rPr>
  </w:style>
  <w:style w:type="paragraph" w:customStyle="1" w:styleId="LongT">
    <w:name w:val="LongT"/>
    <w:basedOn w:val="OPCParaBase"/>
    <w:rsid w:val="005576B2"/>
    <w:pPr>
      <w:spacing w:line="240" w:lineRule="auto"/>
    </w:pPr>
    <w:rPr>
      <w:b/>
      <w:sz w:val="32"/>
    </w:rPr>
  </w:style>
  <w:style w:type="paragraph" w:customStyle="1" w:styleId="notedraft">
    <w:name w:val="note(draft)"/>
    <w:aliases w:val="nd"/>
    <w:basedOn w:val="OPCParaBase"/>
    <w:rsid w:val="005576B2"/>
    <w:pPr>
      <w:spacing w:before="240" w:line="240" w:lineRule="auto"/>
      <w:ind w:left="284" w:hanging="284"/>
    </w:pPr>
    <w:rPr>
      <w:i/>
      <w:sz w:val="24"/>
    </w:rPr>
  </w:style>
  <w:style w:type="paragraph" w:customStyle="1" w:styleId="notemargin">
    <w:name w:val="note(margin)"/>
    <w:aliases w:val="nm"/>
    <w:basedOn w:val="OPCParaBase"/>
    <w:rsid w:val="005576B2"/>
    <w:pPr>
      <w:tabs>
        <w:tab w:val="left" w:pos="709"/>
      </w:tabs>
      <w:spacing w:before="122" w:line="198" w:lineRule="exact"/>
      <w:ind w:left="709" w:hanging="709"/>
    </w:pPr>
    <w:rPr>
      <w:sz w:val="18"/>
    </w:rPr>
  </w:style>
  <w:style w:type="paragraph" w:customStyle="1" w:styleId="notepara">
    <w:name w:val="note(para)"/>
    <w:aliases w:val="na"/>
    <w:basedOn w:val="OPCParaBase"/>
    <w:rsid w:val="005576B2"/>
    <w:pPr>
      <w:spacing w:before="40" w:line="198" w:lineRule="exact"/>
      <w:ind w:left="2354" w:hanging="369"/>
    </w:pPr>
    <w:rPr>
      <w:sz w:val="18"/>
    </w:rPr>
  </w:style>
  <w:style w:type="paragraph" w:customStyle="1" w:styleId="noteParlAmend">
    <w:name w:val="note(ParlAmend)"/>
    <w:aliases w:val="npp"/>
    <w:basedOn w:val="OPCParaBase"/>
    <w:next w:val="ParlAmend"/>
    <w:rsid w:val="005576B2"/>
    <w:pPr>
      <w:spacing w:line="240" w:lineRule="auto"/>
      <w:jc w:val="right"/>
    </w:pPr>
    <w:rPr>
      <w:rFonts w:ascii="Arial" w:hAnsi="Arial"/>
      <w:b/>
      <w:i/>
    </w:rPr>
  </w:style>
  <w:style w:type="paragraph" w:customStyle="1" w:styleId="notetext">
    <w:name w:val="note(text)"/>
    <w:aliases w:val="n"/>
    <w:basedOn w:val="OPCParaBase"/>
    <w:rsid w:val="005576B2"/>
    <w:pPr>
      <w:spacing w:before="122" w:line="198" w:lineRule="exact"/>
      <w:ind w:left="1985" w:hanging="851"/>
    </w:pPr>
    <w:rPr>
      <w:sz w:val="18"/>
    </w:rPr>
  </w:style>
  <w:style w:type="paragraph" w:customStyle="1" w:styleId="Page1">
    <w:name w:val="Page1"/>
    <w:basedOn w:val="OPCParaBase"/>
    <w:rsid w:val="005576B2"/>
    <w:pPr>
      <w:spacing w:before="5600" w:line="240" w:lineRule="auto"/>
    </w:pPr>
    <w:rPr>
      <w:b/>
      <w:sz w:val="32"/>
    </w:rPr>
  </w:style>
  <w:style w:type="paragraph" w:customStyle="1" w:styleId="PageBreak">
    <w:name w:val="PageBreak"/>
    <w:aliases w:val="pb"/>
    <w:basedOn w:val="OPCParaBase"/>
    <w:rsid w:val="005576B2"/>
    <w:pPr>
      <w:spacing w:line="240" w:lineRule="auto"/>
    </w:pPr>
    <w:rPr>
      <w:sz w:val="10"/>
    </w:rPr>
  </w:style>
  <w:style w:type="paragraph" w:customStyle="1" w:styleId="paragraphsub">
    <w:name w:val="paragraph(sub)"/>
    <w:aliases w:val="aa"/>
    <w:basedOn w:val="OPCParaBase"/>
    <w:rsid w:val="005576B2"/>
    <w:pPr>
      <w:tabs>
        <w:tab w:val="right" w:pos="1985"/>
      </w:tabs>
      <w:spacing w:before="40" w:line="240" w:lineRule="auto"/>
      <w:ind w:left="2098" w:hanging="2098"/>
    </w:pPr>
  </w:style>
  <w:style w:type="paragraph" w:customStyle="1" w:styleId="paragraphsub-sub">
    <w:name w:val="paragraph(sub-sub)"/>
    <w:aliases w:val="aaa"/>
    <w:basedOn w:val="OPCParaBase"/>
    <w:rsid w:val="005576B2"/>
    <w:pPr>
      <w:tabs>
        <w:tab w:val="right" w:pos="2722"/>
      </w:tabs>
      <w:spacing w:before="40" w:line="240" w:lineRule="auto"/>
      <w:ind w:left="2835" w:hanging="2835"/>
    </w:pPr>
  </w:style>
  <w:style w:type="paragraph" w:customStyle="1" w:styleId="paragraph">
    <w:name w:val="paragraph"/>
    <w:aliases w:val="a"/>
    <w:basedOn w:val="OPCParaBase"/>
    <w:rsid w:val="005576B2"/>
    <w:pPr>
      <w:tabs>
        <w:tab w:val="right" w:pos="1531"/>
      </w:tabs>
      <w:spacing w:before="40" w:line="240" w:lineRule="auto"/>
      <w:ind w:left="1644" w:hanging="1644"/>
    </w:pPr>
  </w:style>
  <w:style w:type="paragraph" w:customStyle="1" w:styleId="ParlAmend">
    <w:name w:val="ParlAmend"/>
    <w:aliases w:val="pp"/>
    <w:basedOn w:val="OPCParaBase"/>
    <w:rsid w:val="005576B2"/>
    <w:pPr>
      <w:spacing w:before="240" w:line="240" w:lineRule="atLeast"/>
      <w:ind w:hanging="567"/>
    </w:pPr>
    <w:rPr>
      <w:sz w:val="24"/>
    </w:rPr>
  </w:style>
  <w:style w:type="paragraph" w:customStyle="1" w:styleId="Penalty">
    <w:name w:val="Penalty"/>
    <w:basedOn w:val="OPCParaBase"/>
    <w:rsid w:val="005576B2"/>
    <w:pPr>
      <w:tabs>
        <w:tab w:val="left" w:pos="2977"/>
      </w:tabs>
      <w:spacing w:before="180" w:line="240" w:lineRule="auto"/>
      <w:ind w:left="1985" w:hanging="851"/>
    </w:pPr>
  </w:style>
  <w:style w:type="paragraph" w:customStyle="1" w:styleId="Portfolio">
    <w:name w:val="Portfolio"/>
    <w:basedOn w:val="OPCParaBase"/>
    <w:rsid w:val="005576B2"/>
    <w:pPr>
      <w:spacing w:line="240" w:lineRule="auto"/>
    </w:pPr>
    <w:rPr>
      <w:i/>
      <w:sz w:val="20"/>
    </w:rPr>
  </w:style>
  <w:style w:type="paragraph" w:customStyle="1" w:styleId="Preamble">
    <w:name w:val="Preamble"/>
    <w:basedOn w:val="OPCParaBase"/>
    <w:next w:val="Normal"/>
    <w:rsid w:val="005576B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576B2"/>
    <w:pPr>
      <w:spacing w:line="240" w:lineRule="auto"/>
    </w:pPr>
    <w:rPr>
      <w:i/>
      <w:sz w:val="20"/>
    </w:rPr>
  </w:style>
  <w:style w:type="paragraph" w:customStyle="1" w:styleId="Session">
    <w:name w:val="Session"/>
    <w:basedOn w:val="OPCParaBase"/>
    <w:rsid w:val="005576B2"/>
    <w:pPr>
      <w:spacing w:line="240" w:lineRule="auto"/>
    </w:pPr>
    <w:rPr>
      <w:sz w:val="28"/>
    </w:rPr>
  </w:style>
  <w:style w:type="paragraph" w:customStyle="1" w:styleId="Sponsor">
    <w:name w:val="Sponsor"/>
    <w:basedOn w:val="OPCParaBase"/>
    <w:rsid w:val="005576B2"/>
    <w:pPr>
      <w:spacing w:line="240" w:lineRule="auto"/>
    </w:pPr>
    <w:rPr>
      <w:i/>
    </w:rPr>
  </w:style>
  <w:style w:type="paragraph" w:customStyle="1" w:styleId="Subitem">
    <w:name w:val="Subitem"/>
    <w:aliases w:val="iss"/>
    <w:basedOn w:val="OPCParaBase"/>
    <w:rsid w:val="005576B2"/>
    <w:pPr>
      <w:spacing w:before="180" w:line="240" w:lineRule="auto"/>
      <w:ind w:left="709" w:hanging="709"/>
    </w:pPr>
  </w:style>
  <w:style w:type="paragraph" w:customStyle="1" w:styleId="SubitemHead">
    <w:name w:val="SubitemHead"/>
    <w:aliases w:val="issh"/>
    <w:basedOn w:val="OPCParaBase"/>
    <w:rsid w:val="005576B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576B2"/>
    <w:pPr>
      <w:spacing w:before="40" w:line="240" w:lineRule="auto"/>
      <w:ind w:left="1134"/>
    </w:pPr>
  </w:style>
  <w:style w:type="paragraph" w:customStyle="1" w:styleId="SubsectionHead">
    <w:name w:val="SubsectionHead"/>
    <w:aliases w:val="ssh"/>
    <w:basedOn w:val="OPCParaBase"/>
    <w:next w:val="subsection"/>
    <w:rsid w:val="005576B2"/>
    <w:pPr>
      <w:keepNext/>
      <w:keepLines/>
      <w:spacing w:before="240" w:line="240" w:lineRule="auto"/>
      <w:ind w:left="1134"/>
    </w:pPr>
    <w:rPr>
      <w:i/>
    </w:rPr>
  </w:style>
  <w:style w:type="paragraph" w:customStyle="1" w:styleId="Tablea">
    <w:name w:val="Table(a)"/>
    <w:aliases w:val="ta"/>
    <w:basedOn w:val="OPCParaBase"/>
    <w:rsid w:val="005576B2"/>
    <w:pPr>
      <w:spacing w:before="60" w:line="240" w:lineRule="auto"/>
      <w:ind w:left="284" w:hanging="284"/>
    </w:pPr>
    <w:rPr>
      <w:sz w:val="20"/>
    </w:rPr>
  </w:style>
  <w:style w:type="paragraph" w:customStyle="1" w:styleId="TableAA">
    <w:name w:val="Table(AA)"/>
    <w:aliases w:val="taaa"/>
    <w:basedOn w:val="OPCParaBase"/>
    <w:rsid w:val="005576B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576B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576B2"/>
    <w:pPr>
      <w:spacing w:before="60" w:line="240" w:lineRule="atLeast"/>
    </w:pPr>
    <w:rPr>
      <w:sz w:val="20"/>
    </w:rPr>
  </w:style>
  <w:style w:type="paragraph" w:customStyle="1" w:styleId="TLPBoxTextnote">
    <w:name w:val="TLPBoxText(note"/>
    <w:aliases w:val="right)"/>
    <w:basedOn w:val="OPCParaBase"/>
    <w:rsid w:val="005576B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576B2"/>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576B2"/>
    <w:pPr>
      <w:spacing w:before="122" w:line="198" w:lineRule="exact"/>
      <w:ind w:left="1985" w:hanging="851"/>
      <w:jc w:val="right"/>
    </w:pPr>
    <w:rPr>
      <w:sz w:val="18"/>
    </w:rPr>
  </w:style>
  <w:style w:type="paragraph" w:customStyle="1" w:styleId="TLPTableBullet">
    <w:name w:val="TLPTableBullet"/>
    <w:aliases w:val="ttb"/>
    <w:basedOn w:val="OPCParaBase"/>
    <w:rsid w:val="005576B2"/>
    <w:pPr>
      <w:spacing w:line="240" w:lineRule="exact"/>
      <w:ind w:left="284" w:hanging="284"/>
    </w:pPr>
    <w:rPr>
      <w:sz w:val="20"/>
    </w:rPr>
  </w:style>
  <w:style w:type="paragraph" w:styleId="TOC1">
    <w:name w:val="toc 1"/>
    <w:basedOn w:val="OPCParaBase"/>
    <w:next w:val="Normal"/>
    <w:uiPriority w:val="39"/>
    <w:unhideWhenUsed/>
    <w:rsid w:val="005576B2"/>
    <w:pPr>
      <w:spacing w:line="240" w:lineRule="auto"/>
    </w:pPr>
    <w:rPr>
      <w:sz w:val="24"/>
    </w:rPr>
  </w:style>
  <w:style w:type="paragraph" w:styleId="TOC2">
    <w:name w:val="toc 2"/>
    <w:basedOn w:val="OPCParaBase"/>
    <w:next w:val="Normal"/>
    <w:uiPriority w:val="39"/>
    <w:unhideWhenUsed/>
    <w:rsid w:val="005576B2"/>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5576B2"/>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5576B2"/>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5576B2"/>
    <w:pPr>
      <w:spacing w:line="240" w:lineRule="auto"/>
      <w:ind w:left="958"/>
    </w:pPr>
    <w:rPr>
      <w:sz w:val="24"/>
    </w:rPr>
  </w:style>
  <w:style w:type="paragraph" w:styleId="TOC6">
    <w:name w:val="toc 6"/>
    <w:basedOn w:val="OPCParaBase"/>
    <w:next w:val="Normal"/>
    <w:uiPriority w:val="39"/>
    <w:semiHidden/>
    <w:unhideWhenUsed/>
    <w:rsid w:val="005576B2"/>
    <w:pPr>
      <w:spacing w:line="240" w:lineRule="auto"/>
      <w:ind w:left="1202"/>
    </w:pPr>
    <w:rPr>
      <w:sz w:val="24"/>
    </w:rPr>
  </w:style>
  <w:style w:type="paragraph" w:styleId="TOC7">
    <w:name w:val="toc 7"/>
    <w:basedOn w:val="OPCParaBase"/>
    <w:next w:val="Normal"/>
    <w:uiPriority w:val="39"/>
    <w:semiHidden/>
    <w:unhideWhenUsed/>
    <w:rsid w:val="005576B2"/>
    <w:pPr>
      <w:spacing w:line="240" w:lineRule="auto"/>
      <w:ind w:left="1440"/>
    </w:pPr>
    <w:rPr>
      <w:sz w:val="24"/>
    </w:rPr>
  </w:style>
  <w:style w:type="paragraph" w:styleId="TOC8">
    <w:name w:val="toc 8"/>
    <w:basedOn w:val="OPCParaBase"/>
    <w:next w:val="Normal"/>
    <w:uiPriority w:val="39"/>
    <w:semiHidden/>
    <w:unhideWhenUsed/>
    <w:rsid w:val="005576B2"/>
    <w:pPr>
      <w:spacing w:line="240" w:lineRule="auto"/>
      <w:ind w:left="1678"/>
    </w:pPr>
    <w:rPr>
      <w:sz w:val="24"/>
    </w:rPr>
  </w:style>
  <w:style w:type="paragraph" w:styleId="TOC9">
    <w:name w:val="toc 9"/>
    <w:basedOn w:val="OPCParaBase"/>
    <w:next w:val="Normal"/>
    <w:uiPriority w:val="39"/>
    <w:unhideWhenUsed/>
    <w:rsid w:val="005576B2"/>
    <w:pPr>
      <w:spacing w:line="240" w:lineRule="auto"/>
      <w:ind w:left="1922"/>
    </w:pPr>
    <w:rPr>
      <w:sz w:val="24"/>
    </w:rPr>
  </w:style>
  <w:style w:type="paragraph" w:customStyle="1" w:styleId="TofSectsGroupHeading">
    <w:name w:val="TofSects(GroupHeading)"/>
    <w:basedOn w:val="OPCParaBase"/>
    <w:next w:val="TofSectsSection"/>
    <w:rsid w:val="005576B2"/>
    <w:pPr>
      <w:keepLines/>
      <w:spacing w:before="240" w:after="120" w:line="240" w:lineRule="auto"/>
      <w:ind w:left="794"/>
    </w:pPr>
    <w:rPr>
      <w:b/>
      <w:kern w:val="28"/>
      <w:sz w:val="20"/>
    </w:rPr>
  </w:style>
  <w:style w:type="paragraph" w:customStyle="1" w:styleId="TofSectsHeading">
    <w:name w:val="TofSects(Heading)"/>
    <w:basedOn w:val="OPCParaBase"/>
    <w:rsid w:val="005576B2"/>
    <w:pPr>
      <w:spacing w:before="240" w:after="120" w:line="240" w:lineRule="auto"/>
    </w:pPr>
    <w:rPr>
      <w:b/>
      <w:sz w:val="24"/>
    </w:rPr>
  </w:style>
  <w:style w:type="paragraph" w:customStyle="1" w:styleId="TofSectsSection">
    <w:name w:val="TofSects(Section)"/>
    <w:basedOn w:val="OPCParaBase"/>
    <w:rsid w:val="005576B2"/>
    <w:pPr>
      <w:keepLines/>
      <w:spacing w:before="40" w:line="240" w:lineRule="auto"/>
      <w:ind w:left="1588" w:hanging="794"/>
    </w:pPr>
    <w:rPr>
      <w:kern w:val="28"/>
      <w:sz w:val="18"/>
    </w:rPr>
  </w:style>
  <w:style w:type="paragraph" w:customStyle="1" w:styleId="TofSectsSubdiv">
    <w:name w:val="TofSects(Subdiv)"/>
    <w:basedOn w:val="OPCParaBase"/>
    <w:rsid w:val="005576B2"/>
    <w:pPr>
      <w:keepLines/>
      <w:spacing w:before="80" w:line="240" w:lineRule="auto"/>
      <w:ind w:left="1588" w:hanging="794"/>
    </w:pPr>
    <w:rPr>
      <w:kern w:val="28"/>
    </w:rPr>
  </w:style>
  <w:style w:type="paragraph" w:customStyle="1" w:styleId="WRStyle">
    <w:name w:val="WR Style"/>
    <w:aliases w:val="WR"/>
    <w:basedOn w:val="OPCParaBase"/>
    <w:rsid w:val="005576B2"/>
    <w:pPr>
      <w:spacing w:before="240" w:line="240" w:lineRule="auto"/>
      <w:ind w:left="284" w:hanging="284"/>
    </w:pPr>
    <w:rPr>
      <w:b/>
      <w:i/>
      <w:kern w:val="28"/>
      <w:sz w:val="24"/>
    </w:rPr>
  </w:style>
  <w:style w:type="paragraph" w:customStyle="1" w:styleId="Body">
    <w:name w:val="Body"/>
    <w:aliases w:val="b"/>
    <w:basedOn w:val="OPCParaBase"/>
    <w:rsid w:val="005576B2"/>
    <w:pPr>
      <w:spacing w:before="240" w:line="240" w:lineRule="auto"/>
    </w:pPr>
    <w:rPr>
      <w:sz w:val="24"/>
    </w:rPr>
  </w:style>
  <w:style w:type="paragraph" w:customStyle="1" w:styleId="BodyNum">
    <w:name w:val="BodyNum"/>
    <w:aliases w:val="b1"/>
    <w:basedOn w:val="OPCParaBase"/>
    <w:link w:val="BodyNumChar"/>
    <w:rsid w:val="005576B2"/>
    <w:pPr>
      <w:numPr>
        <w:numId w:val="13"/>
      </w:numPr>
      <w:spacing w:before="240" w:line="240" w:lineRule="auto"/>
    </w:pPr>
    <w:rPr>
      <w:sz w:val="24"/>
    </w:rPr>
  </w:style>
  <w:style w:type="paragraph" w:customStyle="1" w:styleId="BodyPara">
    <w:name w:val="BodyPara"/>
    <w:aliases w:val="ba"/>
    <w:basedOn w:val="OPCParaBase"/>
    <w:rsid w:val="005576B2"/>
    <w:pPr>
      <w:numPr>
        <w:ilvl w:val="1"/>
        <w:numId w:val="13"/>
      </w:numPr>
      <w:spacing w:before="240" w:line="240" w:lineRule="auto"/>
    </w:pPr>
    <w:rPr>
      <w:sz w:val="24"/>
    </w:rPr>
  </w:style>
  <w:style w:type="paragraph" w:customStyle="1" w:styleId="BodyParaBullet">
    <w:name w:val="BodyParaBullet"/>
    <w:aliases w:val="bpb"/>
    <w:basedOn w:val="OPCParaBase"/>
    <w:rsid w:val="005576B2"/>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5576B2"/>
    <w:pPr>
      <w:numPr>
        <w:ilvl w:val="3"/>
        <w:numId w:val="13"/>
      </w:numPr>
      <w:spacing w:before="240" w:line="240" w:lineRule="auto"/>
    </w:pPr>
    <w:rPr>
      <w:sz w:val="24"/>
    </w:rPr>
  </w:style>
  <w:style w:type="numbering" w:customStyle="1" w:styleId="OPCBodyList">
    <w:name w:val="OPCBodyList"/>
    <w:uiPriority w:val="99"/>
    <w:rsid w:val="005576B2"/>
    <w:pPr>
      <w:numPr>
        <w:numId w:val="13"/>
      </w:numPr>
    </w:pPr>
  </w:style>
  <w:style w:type="paragraph" w:customStyle="1" w:styleId="Head1">
    <w:name w:val="Head 1"/>
    <w:aliases w:val="1"/>
    <w:basedOn w:val="OPCParaBase"/>
    <w:next w:val="BodyNum"/>
    <w:rsid w:val="005576B2"/>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5576B2"/>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5576B2"/>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5576B2"/>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5576B2"/>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5576B2"/>
    <w:pPr>
      <w:spacing w:before="122" w:line="198" w:lineRule="exact"/>
      <w:ind w:left="2353" w:hanging="709"/>
    </w:pPr>
    <w:rPr>
      <w:sz w:val="18"/>
    </w:rPr>
  </w:style>
  <w:style w:type="paragraph" w:styleId="Footer">
    <w:name w:val="footer"/>
    <w:link w:val="FooterChar"/>
    <w:rsid w:val="005576B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576B2"/>
    <w:rPr>
      <w:rFonts w:eastAsia="Times New Roman" w:cs="Times New Roman"/>
      <w:sz w:val="22"/>
      <w:szCs w:val="24"/>
      <w:lang w:eastAsia="en-AU"/>
    </w:rPr>
  </w:style>
  <w:style w:type="character" w:styleId="PageNumber">
    <w:name w:val="page number"/>
    <w:basedOn w:val="DefaultParagraphFont"/>
    <w:rsid w:val="005576B2"/>
  </w:style>
  <w:style w:type="paragraph" w:styleId="BalloonText">
    <w:name w:val="Balloon Text"/>
    <w:basedOn w:val="Normal"/>
    <w:link w:val="BalloonTextChar"/>
    <w:uiPriority w:val="99"/>
    <w:semiHidden/>
    <w:unhideWhenUsed/>
    <w:rsid w:val="005576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6B2"/>
    <w:rPr>
      <w:rFonts w:ascii="Tahoma" w:hAnsi="Tahoma" w:cs="Tahoma"/>
      <w:sz w:val="16"/>
      <w:szCs w:val="16"/>
    </w:rPr>
  </w:style>
  <w:style w:type="paragraph" w:customStyle="1" w:styleId="Issued">
    <w:name w:val="Issued"/>
    <w:basedOn w:val="Body"/>
    <w:rsid w:val="005576B2"/>
    <w:pPr>
      <w:spacing w:before="120"/>
    </w:pPr>
    <w:rPr>
      <w:b/>
      <w:sz w:val="28"/>
    </w:rPr>
  </w:style>
  <w:style w:type="paragraph" w:customStyle="1" w:styleId="Release">
    <w:name w:val="Release"/>
    <w:basedOn w:val="Body"/>
    <w:rsid w:val="005576B2"/>
    <w:rPr>
      <w:b/>
    </w:rPr>
  </w:style>
  <w:style w:type="character" w:customStyle="1" w:styleId="BodyNumChar">
    <w:name w:val="BodyNum Char"/>
    <w:aliases w:val="b1 Char"/>
    <w:basedOn w:val="DefaultParagraphFont"/>
    <w:link w:val="BodyNum"/>
    <w:rsid w:val="0085476B"/>
    <w:rPr>
      <w:rFonts w:eastAsia="Times New Roman" w:cs="Times New Roman"/>
      <w:sz w:val="24"/>
      <w:lang w:eastAsia="en-AU"/>
    </w:rPr>
  </w:style>
  <w:style w:type="paragraph" w:customStyle="1" w:styleId="FileName">
    <w:name w:val="FileName"/>
    <w:basedOn w:val="Normal"/>
    <w:link w:val="FileNameChar"/>
    <w:rsid w:val="005576B2"/>
  </w:style>
  <w:style w:type="character" w:customStyle="1" w:styleId="FileNameChar">
    <w:name w:val="FileName Char"/>
    <w:basedOn w:val="DefaultParagraphFont"/>
    <w:link w:val="FileName"/>
    <w:rsid w:val="00687F28"/>
    <w:rPr>
      <w:sz w:val="22"/>
    </w:rPr>
  </w:style>
  <w:style w:type="paragraph" w:customStyle="1" w:styleId="NoteDraftingDirection">
    <w:name w:val="Note Drafting Direction"/>
    <w:basedOn w:val="OPCParaBase"/>
    <w:rsid w:val="005576B2"/>
    <w:pPr>
      <w:spacing w:before="120"/>
      <w:ind w:left="1134" w:hanging="1134"/>
    </w:pPr>
    <w:rPr>
      <w:sz w:val="18"/>
    </w:rPr>
  </w:style>
  <w:style w:type="paragraph" w:customStyle="1" w:styleId="SOText">
    <w:name w:val="SO Text"/>
    <w:aliases w:val="sot"/>
    <w:link w:val="SOTextChar"/>
    <w:rsid w:val="005576B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576B2"/>
    <w:rPr>
      <w:sz w:val="22"/>
    </w:rPr>
  </w:style>
  <w:style w:type="paragraph" w:customStyle="1" w:styleId="SOTextNote">
    <w:name w:val="SO TextNote"/>
    <w:aliases w:val="sont"/>
    <w:basedOn w:val="SOText"/>
    <w:qFormat/>
    <w:rsid w:val="005576B2"/>
    <w:pPr>
      <w:spacing w:before="122" w:line="198" w:lineRule="exact"/>
      <w:ind w:left="1843" w:hanging="709"/>
    </w:pPr>
    <w:rPr>
      <w:sz w:val="18"/>
    </w:rPr>
  </w:style>
  <w:style w:type="paragraph" w:customStyle="1" w:styleId="SOPara">
    <w:name w:val="SO Para"/>
    <w:aliases w:val="soa"/>
    <w:basedOn w:val="SOText"/>
    <w:link w:val="SOParaChar"/>
    <w:qFormat/>
    <w:rsid w:val="005576B2"/>
    <w:pPr>
      <w:tabs>
        <w:tab w:val="right" w:pos="1786"/>
      </w:tabs>
      <w:spacing w:before="40"/>
      <w:ind w:left="2070" w:hanging="936"/>
    </w:pPr>
  </w:style>
  <w:style w:type="character" w:customStyle="1" w:styleId="SOParaChar">
    <w:name w:val="SO Para Char"/>
    <w:aliases w:val="soa Char"/>
    <w:basedOn w:val="DefaultParagraphFont"/>
    <w:link w:val="SOPara"/>
    <w:rsid w:val="005576B2"/>
    <w:rPr>
      <w:sz w:val="22"/>
    </w:rPr>
  </w:style>
  <w:style w:type="paragraph" w:customStyle="1" w:styleId="TableHeading">
    <w:name w:val="TableHeading"/>
    <w:aliases w:val="th"/>
    <w:basedOn w:val="OPCParaBase"/>
    <w:next w:val="Tabletext"/>
    <w:rsid w:val="005576B2"/>
    <w:pPr>
      <w:keepNext/>
      <w:spacing w:before="60" w:line="240" w:lineRule="atLeast"/>
    </w:pPr>
    <w:rPr>
      <w:b/>
      <w:sz w:val="20"/>
    </w:rPr>
  </w:style>
  <w:style w:type="paragraph" w:customStyle="1" w:styleId="SOHeadBold">
    <w:name w:val="SO HeadBold"/>
    <w:aliases w:val="sohb"/>
    <w:basedOn w:val="SOText"/>
    <w:next w:val="SOText"/>
    <w:link w:val="SOHeadBoldChar"/>
    <w:qFormat/>
    <w:rsid w:val="005576B2"/>
    <w:rPr>
      <w:b/>
    </w:rPr>
  </w:style>
  <w:style w:type="character" w:customStyle="1" w:styleId="SOHeadBoldChar">
    <w:name w:val="SO HeadBold Char"/>
    <w:aliases w:val="sohb Char"/>
    <w:basedOn w:val="DefaultParagraphFont"/>
    <w:link w:val="SOHeadBold"/>
    <w:rsid w:val="005576B2"/>
    <w:rPr>
      <w:b/>
      <w:sz w:val="22"/>
    </w:rPr>
  </w:style>
  <w:style w:type="paragraph" w:customStyle="1" w:styleId="SOHeadItalic">
    <w:name w:val="SO HeadItalic"/>
    <w:aliases w:val="sohi"/>
    <w:basedOn w:val="SOText"/>
    <w:next w:val="SOText"/>
    <w:link w:val="SOHeadItalicChar"/>
    <w:qFormat/>
    <w:rsid w:val="005576B2"/>
    <w:rPr>
      <w:i/>
    </w:rPr>
  </w:style>
  <w:style w:type="character" w:customStyle="1" w:styleId="SOHeadItalicChar">
    <w:name w:val="SO HeadItalic Char"/>
    <w:aliases w:val="sohi Char"/>
    <w:basedOn w:val="DefaultParagraphFont"/>
    <w:link w:val="SOHeadItalic"/>
    <w:rsid w:val="005576B2"/>
    <w:rPr>
      <w:i/>
      <w:sz w:val="22"/>
    </w:rPr>
  </w:style>
  <w:style w:type="paragraph" w:customStyle="1" w:styleId="SOBullet">
    <w:name w:val="SO Bullet"/>
    <w:aliases w:val="sotb"/>
    <w:basedOn w:val="SOText"/>
    <w:link w:val="SOBulletChar"/>
    <w:qFormat/>
    <w:rsid w:val="005576B2"/>
    <w:pPr>
      <w:ind w:left="1559" w:hanging="425"/>
    </w:pPr>
  </w:style>
  <w:style w:type="character" w:customStyle="1" w:styleId="SOBulletChar">
    <w:name w:val="SO Bullet Char"/>
    <w:aliases w:val="sotb Char"/>
    <w:basedOn w:val="DefaultParagraphFont"/>
    <w:link w:val="SOBullet"/>
    <w:rsid w:val="005576B2"/>
    <w:rPr>
      <w:sz w:val="22"/>
    </w:rPr>
  </w:style>
  <w:style w:type="paragraph" w:customStyle="1" w:styleId="SOBulletNote">
    <w:name w:val="SO BulletNote"/>
    <w:aliases w:val="sonb"/>
    <w:basedOn w:val="SOTextNote"/>
    <w:link w:val="SOBulletNoteChar"/>
    <w:qFormat/>
    <w:rsid w:val="005576B2"/>
    <w:pPr>
      <w:tabs>
        <w:tab w:val="left" w:pos="1560"/>
      </w:tabs>
      <w:ind w:left="2268" w:hanging="1134"/>
    </w:pPr>
  </w:style>
  <w:style w:type="character" w:customStyle="1" w:styleId="SOBulletNoteChar">
    <w:name w:val="SO BulletNote Char"/>
    <w:aliases w:val="sonb Char"/>
    <w:basedOn w:val="DefaultParagraphFont"/>
    <w:link w:val="SOBulletNote"/>
    <w:rsid w:val="005576B2"/>
    <w:rPr>
      <w:sz w:val="18"/>
    </w:rPr>
  </w:style>
  <w:style w:type="paragraph" w:customStyle="1" w:styleId="SubPartCASA">
    <w:name w:val="SubPart(CASA)"/>
    <w:aliases w:val="csp"/>
    <w:basedOn w:val="OPCParaBase"/>
    <w:next w:val="ActHead3"/>
    <w:rsid w:val="005576B2"/>
    <w:pPr>
      <w:keepNext/>
      <w:keepLines/>
      <w:spacing w:before="280"/>
      <w:ind w:left="1134" w:hanging="1134"/>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76B2"/>
    <w:pPr>
      <w:spacing w:line="260" w:lineRule="atLeast"/>
    </w:pPr>
    <w:rPr>
      <w:sz w:val="22"/>
    </w:rPr>
  </w:style>
  <w:style w:type="character" w:default="1" w:styleId="DefaultParagraphFont">
    <w:name w:val="Default Paragraph Font"/>
    <w:uiPriority w:val="1"/>
    <w:unhideWhenUsed/>
    <w:rsid w:val="005576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76B2"/>
  </w:style>
  <w:style w:type="character" w:customStyle="1" w:styleId="OPCCharBase">
    <w:name w:val="OPCCharBase"/>
    <w:uiPriority w:val="1"/>
    <w:qFormat/>
    <w:rsid w:val="005576B2"/>
  </w:style>
  <w:style w:type="paragraph" w:customStyle="1" w:styleId="OPCParaBase">
    <w:name w:val="OPCParaBase"/>
    <w:qFormat/>
    <w:rsid w:val="005576B2"/>
    <w:pPr>
      <w:spacing w:line="260" w:lineRule="atLeast"/>
    </w:pPr>
    <w:rPr>
      <w:rFonts w:eastAsia="Times New Roman" w:cs="Times New Roman"/>
      <w:sz w:val="22"/>
      <w:lang w:eastAsia="en-AU"/>
    </w:rPr>
  </w:style>
  <w:style w:type="paragraph" w:customStyle="1" w:styleId="ShortT">
    <w:name w:val="ShortT"/>
    <w:basedOn w:val="OPCParaBase"/>
    <w:next w:val="Normal"/>
    <w:qFormat/>
    <w:rsid w:val="005576B2"/>
    <w:pPr>
      <w:spacing w:line="240" w:lineRule="auto"/>
    </w:pPr>
    <w:rPr>
      <w:b/>
      <w:sz w:val="40"/>
    </w:rPr>
  </w:style>
  <w:style w:type="paragraph" w:customStyle="1" w:styleId="ActHead1">
    <w:name w:val="ActHead 1"/>
    <w:aliases w:val="c"/>
    <w:basedOn w:val="OPCParaBase"/>
    <w:next w:val="Normal"/>
    <w:qFormat/>
    <w:rsid w:val="005576B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576B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576B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576B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576B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576B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576B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576B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576B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576B2"/>
  </w:style>
  <w:style w:type="paragraph" w:customStyle="1" w:styleId="Blocks">
    <w:name w:val="Blocks"/>
    <w:aliases w:val="bb"/>
    <w:basedOn w:val="OPCParaBase"/>
    <w:qFormat/>
    <w:rsid w:val="005576B2"/>
    <w:pPr>
      <w:spacing w:line="240" w:lineRule="auto"/>
    </w:pPr>
    <w:rPr>
      <w:sz w:val="24"/>
    </w:rPr>
  </w:style>
  <w:style w:type="paragraph" w:customStyle="1" w:styleId="BoxText">
    <w:name w:val="BoxText"/>
    <w:aliases w:val="bt"/>
    <w:basedOn w:val="OPCParaBase"/>
    <w:rsid w:val="005576B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576B2"/>
    <w:rPr>
      <w:b/>
    </w:rPr>
  </w:style>
  <w:style w:type="paragraph" w:customStyle="1" w:styleId="BoxHeadItalic">
    <w:name w:val="BoxHeadItalic"/>
    <w:aliases w:val="bhi"/>
    <w:basedOn w:val="BoxText"/>
    <w:next w:val="Normal"/>
    <w:qFormat/>
    <w:rsid w:val="005576B2"/>
    <w:rPr>
      <w:i/>
    </w:rPr>
  </w:style>
  <w:style w:type="paragraph" w:customStyle="1" w:styleId="BoxList">
    <w:name w:val="BoxList"/>
    <w:aliases w:val="bl"/>
    <w:basedOn w:val="BoxText"/>
    <w:qFormat/>
    <w:rsid w:val="005576B2"/>
    <w:pPr>
      <w:ind w:left="1559" w:hanging="425"/>
    </w:pPr>
  </w:style>
  <w:style w:type="paragraph" w:customStyle="1" w:styleId="BoxNote">
    <w:name w:val="BoxNote"/>
    <w:aliases w:val="bn"/>
    <w:basedOn w:val="BoxText"/>
    <w:qFormat/>
    <w:rsid w:val="005576B2"/>
    <w:pPr>
      <w:tabs>
        <w:tab w:val="left" w:pos="1985"/>
      </w:tabs>
      <w:spacing w:before="122" w:line="198" w:lineRule="exact"/>
      <w:ind w:left="2948" w:hanging="1814"/>
    </w:pPr>
    <w:rPr>
      <w:sz w:val="18"/>
    </w:rPr>
  </w:style>
  <w:style w:type="paragraph" w:customStyle="1" w:styleId="BoxPara">
    <w:name w:val="BoxPara"/>
    <w:aliases w:val="bp"/>
    <w:basedOn w:val="BoxText"/>
    <w:qFormat/>
    <w:rsid w:val="005576B2"/>
    <w:pPr>
      <w:tabs>
        <w:tab w:val="right" w:pos="2268"/>
      </w:tabs>
      <w:ind w:left="2552" w:hanging="1418"/>
    </w:pPr>
  </w:style>
  <w:style w:type="paragraph" w:customStyle="1" w:styleId="BoxStep">
    <w:name w:val="BoxStep"/>
    <w:aliases w:val="bs"/>
    <w:basedOn w:val="BoxText"/>
    <w:qFormat/>
    <w:rsid w:val="005576B2"/>
    <w:pPr>
      <w:ind w:left="1985" w:hanging="851"/>
    </w:pPr>
  </w:style>
  <w:style w:type="character" w:customStyle="1" w:styleId="CharAmPartNo">
    <w:name w:val="CharAmPartNo"/>
    <w:basedOn w:val="OPCCharBase"/>
    <w:uiPriority w:val="1"/>
    <w:qFormat/>
    <w:rsid w:val="005576B2"/>
  </w:style>
  <w:style w:type="character" w:customStyle="1" w:styleId="CharAmPartText">
    <w:name w:val="CharAmPartText"/>
    <w:basedOn w:val="OPCCharBase"/>
    <w:uiPriority w:val="1"/>
    <w:qFormat/>
    <w:rsid w:val="005576B2"/>
  </w:style>
  <w:style w:type="character" w:customStyle="1" w:styleId="CharAmSchNo">
    <w:name w:val="CharAmSchNo"/>
    <w:basedOn w:val="OPCCharBase"/>
    <w:uiPriority w:val="1"/>
    <w:qFormat/>
    <w:rsid w:val="005576B2"/>
  </w:style>
  <w:style w:type="character" w:customStyle="1" w:styleId="CharAmSchText">
    <w:name w:val="CharAmSchText"/>
    <w:basedOn w:val="OPCCharBase"/>
    <w:uiPriority w:val="1"/>
    <w:qFormat/>
    <w:rsid w:val="005576B2"/>
  </w:style>
  <w:style w:type="character" w:customStyle="1" w:styleId="CharBoldItalic">
    <w:name w:val="CharBoldItalic"/>
    <w:basedOn w:val="OPCCharBase"/>
    <w:uiPriority w:val="1"/>
    <w:qFormat/>
    <w:rsid w:val="005576B2"/>
    <w:rPr>
      <w:b/>
      <w:i/>
    </w:rPr>
  </w:style>
  <w:style w:type="character" w:customStyle="1" w:styleId="CharChapNo">
    <w:name w:val="CharChapNo"/>
    <w:basedOn w:val="OPCCharBase"/>
    <w:uiPriority w:val="1"/>
    <w:qFormat/>
    <w:rsid w:val="005576B2"/>
  </w:style>
  <w:style w:type="character" w:customStyle="1" w:styleId="CharChapText">
    <w:name w:val="CharChapText"/>
    <w:basedOn w:val="OPCCharBase"/>
    <w:uiPriority w:val="1"/>
    <w:qFormat/>
    <w:rsid w:val="005576B2"/>
  </w:style>
  <w:style w:type="character" w:customStyle="1" w:styleId="CharDivNo">
    <w:name w:val="CharDivNo"/>
    <w:basedOn w:val="OPCCharBase"/>
    <w:uiPriority w:val="1"/>
    <w:qFormat/>
    <w:rsid w:val="005576B2"/>
  </w:style>
  <w:style w:type="character" w:customStyle="1" w:styleId="CharDivText">
    <w:name w:val="CharDivText"/>
    <w:basedOn w:val="OPCCharBase"/>
    <w:uiPriority w:val="1"/>
    <w:qFormat/>
    <w:rsid w:val="005576B2"/>
  </w:style>
  <w:style w:type="character" w:customStyle="1" w:styleId="CharItalic">
    <w:name w:val="CharItalic"/>
    <w:basedOn w:val="OPCCharBase"/>
    <w:uiPriority w:val="1"/>
    <w:qFormat/>
    <w:rsid w:val="005576B2"/>
    <w:rPr>
      <w:i/>
    </w:rPr>
  </w:style>
  <w:style w:type="character" w:customStyle="1" w:styleId="CharPartNo">
    <w:name w:val="CharPartNo"/>
    <w:basedOn w:val="OPCCharBase"/>
    <w:uiPriority w:val="1"/>
    <w:qFormat/>
    <w:rsid w:val="005576B2"/>
  </w:style>
  <w:style w:type="character" w:customStyle="1" w:styleId="CharPartText">
    <w:name w:val="CharPartText"/>
    <w:basedOn w:val="OPCCharBase"/>
    <w:uiPriority w:val="1"/>
    <w:qFormat/>
    <w:rsid w:val="005576B2"/>
  </w:style>
  <w:style w:type="character" w:customStyle="1" w:styleId="CharSectno">
    <w:name w:val="CharSectno"/>
    <w:basedOn w:val="OPCCharBase"/>
    <w:uiPriority w:val="1"/>
    <w:qFormat/>
    <w:rsid w:val="005576B2"/>
  </w:style>
  <w:style w:type="character" w:customStyle="1" w:styleId="CharSubdNo">
    <w:name w:val="CharSubdNo"/>
    <w:basedOn w:val="OPCCharBase"/>
    <w:uiPriority w:val="1"/>
    <w:qFormat/>
    <w:rsid w:val="005576B2"/>
  </w:style>
  <w:style w:type="character" w:customStyle="1" w:styleId="CharSubdText">
    <w:name w:val="CharSubdText"/>
    <w:basedOn w:val="OPCCharBase"/>
    <w:uiPriority w:val="1"/>
    <w:qFormat/>
    <w:rsid w:val="005576B2"/>
  </w:style>
  <w:style w:type="paragraph" w:customStyle="1" w:styleId="CTA--">
    <w:name w:val="CTA --"/>
    <w:basedOn w:val="OPCParaBase"/>
    <w:next w:val="Normal"/>
    <w:rsid w:val="005576B2"/>
    <w:pPr>
      <w:spacing w:before="60" w:line="240" w:lineRule="atLeast"/>
      <w:ind w:left="142" w:hanging="142"/>
    </w:pPr>
    <w:rPr>
      <w:sz w:val="20"/>
    </w:rPr>
  </w:style>
  <w:style w:type="paragraph" w:customStyle="1" w:styleId="CTA-">
    <w:name w:val="CTA -"/>
    <w:basedOn w:val="OPCParaBase"/>
    <w:rsid w:val="005576B2"/>
    <w:pPr>
      <w:spacing w:before="60" w:line="240" w:lineRule="atLeast"/>
      <w:ind w:left="85" w:hanging="85"/>
    </w:pPr>
    <w:rPr>
      <w:sz w:val="20"/>
    </w:rPr>
  </w:style>
  <w:style w:type="paragraph" w:customStyle="1" w:styleId="CTA---">
    <w:name w:val="CTA ---"/>
    <w:basedOn w:val="OPCParaBase"/>
    <w:next w:val="Normal"/>
    <w:rsid w:val="005576B2"/>
    <w:pPr>
      <w:spacing w:before="60" w:line="240" w:lineRule="atLeast"/>
      <w:ind w:left="198" w:hanging="198"/>
    </w:pPr>
    <w:rPr>
      <w:sz w:val="20"/>
    </w:rPr>
  </w:style>
  <w:style w:type="paragraph" w:customStyle="1" w:styleId="CTA----">
    <w:name w:val="CTA ----"/>
    <w:basedOn w:val="OPCParaBase"/>
    <w:next w:val="Normal"/>
    <w:rsid w:val="005576B2"/>
    <w:pPr>
      <w:spacing w:before="60" w:line="240" w:lineRule="atLeast"/>
      <w:ind w:left="255" w:hanging="255"/>
    </w:pPr>
    <w:rPr>
      <w:sz w:val="20"/>
    </w:rPr>
  </w:style>
  <w:style w:type="paragraph" w:customStyle="1" w:styleId="CTA1a">
    <w:name w:val="CTA 1(a)"/>
    <w:basedOn w:val="OPCParaBase"/>
    <w:rsid w:val="005576B2"/>
    <w:pPr>
      <w:tabs>
        <w:tab w:val="right" w:pos="414"/>
      </w:tabs>
      <w:spacing w:before="40" w:line="240" w:lineRule="atLeast"/>
      <w:ind w:left="675" w:hanging="675"/>
    </w:pPr>
    <w:rPr>
      <w:sz w:val="20"/>
    </w:rPr>
  </w:style>
  <w:style w:type="paragraph" w:customStyle="1" w:styleId="CTA1ai">
    <w:name w:val="CTA 1(a)(i)"/>
    <w:basedOn w:val="OPCParaBase"/>
    <w:rsid w:val="005576B2"/>
    <w:pPr>
      <w:tabs>
        <w:tab w:val="right" w:pos="1004"/>
      </w:tabs>
      <w:spacing w:before="40" w:line="240" w:lineRule="atLeast"/>
      <w:ind w:left="1253" w:hanging="1253"/>
    </w:pPr>
    <w:rPr>
      <w:sz w:val="20"/>
    </w:rPr>
  </w:style>
  <w:style w:type="paragraph" w:customStyle="1" w:styleId="CTA2a">
    <w:name w:val="CTA 2(a)"/>
    <w:basedOn w:val="OPCParaBase"/>
    <w:rsid w:val="005576B2"/>
    <w:pPr>
      <w:tabs>
        <w:tab w:val="right" w:pos="482"/>
      </w:tabs>
      <w:spacing w:before="40" w:line="240" w:lineRule="atLeast"/>
      <w:ind w:left="748" w:hanging="748"/>
    </w:pPr>
    <w:rPr>
      <w:sz w:val="20"/>
    </w:rPr>
  </w:style>
  <w:style w:type="paragraph" w:customStyle="1" w:styleId="CTA2ai">
    <w:name w:val="CTA 2(a)(i)"/>
    <w:basedOn w:val="OPCParaBase"/>
    <w:rsid w:val="005576B2"/>
    <w:pPr>
      <w:tabs>
        <w:tab w:val="right" w:pos="1089"/>
      </w:tabs>
      <w:spacing w:before="40" w:line="240" w:lineRule="atLeast"/>
      <w:ind w:left="1327" w:hanging="1327"/>
    </w:pPr>
    <w:rPr>
      <w:sz w:val="20"/>
    </w:rPr>
  </w:style>
  <w:style w:type="paragraph" w:customStyle="1" w:styleId="CTA3a">
    <w:name w:val="CTA 3(a)"/>
    <w:basedOn w:val="OPCParaBase"/>
    <w:rsid w:val="005576B2"/>
    <w:pPr>
      <w:tabs>
        <w:tab w:val="right" w:pos="556"/>
      </w:tabs>
      <w:spacing w:before="40" w:line="240" w:lineRule="atLeast"/>
      <w:ind w:left="805" w:hanging="805"/>
    </w:pPr>
    <w:rPr>
      <w:sz w:val="20"/>
    </w:rPr>
  </w:style>
  <w:style w:type="paragraph" w:customStyle="1" w:styleId="CTA3ai">
    <w:name w:val="CTA 3(a)(i)"/>
    <w:basedOn w:val="OPCParaBase"/>
    <w:rsid w:val="005576B2"/>
    <w:pPr>
      <w:tabs>
        <w:tab w:val="right" w:pos="1140"/>
      </w:tabs>
      <w:spacing w:before="40" w:line="240" w:lineRule="atLeast"/>
      <w:ind w:left="1361" w:hanging="1361"/>
    </w:pPr>
    <w:rPr>
      <w:sz w:val="20"/>
    </w:rPr>
  </w:style>
  <w:style w:type="paragraph" w:customStyle="1" w:styleId="CTA4a">
    <w:name w:val="CTA 4(a)"/>
    <w:basedOn w:val="OPCParaBase"/>
    <w:rsid w:val="005576B2"/>
    <w:pPr>
      <w:tabs>
        <w:tab w:val="right" w:pos="624"/>
      </w:tabs>
      <w:spacing w:before="40" w:line="240" w:lineRule="atLeast"/>
      <w:ind w:left="873" w:hanging="873"/>
    </w:pPr>
    <w:rPr>
      <w:sz w:val="20"/>
    </w:rPr>
  </w:style>
  <w:style w:type="paragraph" w:customStyle="1" w:styleId="CTA4ai">
    <w:name w:val="CTA 4(a)(i)"/>
    <w:basedOn w:val="OPCParaBase"/>
    <w:rsid w:val="005576B2"/>
    <w:pPr>
      <w:tabs>
        <w:tab w:val="right" w:pos="1213"/>
      </w:tabs>
      <w:spacing w:before="40" w:line="240" w:lineRule="atLeast"/>
      <w:ind w:left="1452" w:hanging="1452"/>
    </w:pPr>
    <w:rPr>
      <w:sz w:val="20"/>
    </w:rPr>
  </w:style>
  <w:style w:type="paragraph" w:customStyle="1" w:styleId="CTACAPS">
    <w:name w:val="CTA CAPS"/>
    <w:basedOn w:val="OPCParaBase"/>
    <w:rsid w:val="005576B2"/>
    <w:pPr>
      <w:spacing w:before="60" w:line="240" w:lineRule="atLeast"/>
    </w:pPr>
    <w:rPr>
      <w:sz w:val="20"/>
    </w:rPr>
  </w:style>
  <w:style w:type="paragraph" w:customStyle="1" w:styleId="CTAright">
    <w:name w:val="CTA right"/>
    <w:basedOn w:val="OPCParaBase"/>
    <w:rsid w:val="005576B2"/>
    <w:pPr>
      <w:spacing w:before="60" w:line="240" w:lineRule="auto"/>
      <w:jc w:val="right"/>
    </w:pPr>
    <w:rPr>
      <w:sz w:val="20"/>
    </w:rPr>
  </w:style>
  <w:style w:type="paragraph" w:customStyle="1" w:styleId="subsection">
    <w:name w:val="subsection"/>
    <w:aliases w:val="ss"/>
    <w:basedOn w:val="OPCParaBase"/>
    <w:rsid w:val="005576B2"/>
    <w:pPr>
      <w:tabs>
        <w:tab w:val="right" w:pos="1021"/>
      </w:tabs>
      <w:spacing w:before="180" w:line="240" w:lineRule="auto"/>
      <w:ind w:left="1134" w:hanging="1134"/>
    </w:pPr>
  </w:style>
  <w:style w:type="paragraph" w:customStyle="1" w:styleId="Definition">
    <w:name w:val="Definition"/>
    <w:aliases w:val="dd"/>
    <w:basedOn w:val="OPCParaBase"/>
    <w:rsid w:val="005576B2"/>
    <w:pPr>
      <w:spacing w:before="180" w:line="240" w:lineRule="auto"/>
      <w:ind w:left="1134"/>
    </w:pPr>
  </w:style>
  <w:style w:type="paragraph" w:customStyle="1" w:styleId="ETAsubitem">
    <w:name w:val="ETA(subitem)"/>
    <w:basedOn w:val="OPCParaBase"/>
    <w:rsid w:val="005576B2"/>
    <w:pPr>
      <w:tabs>
        <w:tab w:val="right" w:pos="340"/>
      </w:tabs>
      <w:spacing w:before="60" w:line="240" w:lineRule="auto"/>
      <w:ind w:left="454" w:hanging="454"/>
    </w:pPr>
    <w:rPr>
      <w:sz w:val="20"/>
    </w:rPr>
  </w:style>
  <w:style w:type="paragraph" w:customStyle="1" w:styleId="ETApara">
    <w:name w:val="ETA(para)"/>
    <w:basedOn w:val="OPCParaBase"/>
    <w:rsid w:val="005576B2"/>
    <w:pPr>
      <w:tabs>
        <w:tab w:val="right" w:pos="754"/>
      </w:tabs>
      <w:spacing w:before="60" w:line="240" w:lineRule="auto"/>
      <w:ind w:left="828" w:hanging="828"/>
    </w:pPr>
    <w:rPr>
      <w:sz w:val="20"/>
    </w:rPr>
  </w:style>
  <w:style w:type="paragraph" w:customStyle="1" w:styleId="ETAsubpara">
    <w:name w:val="ETA(subpara)"/>
    <w:basedOn w:val="OPCParaBase"/>
    <w:rsid w:val="005576B2"/>
    <w:pPr>
      <w:tabs>
        <w:tab w:val="right" w:pos="1083"/>
      </w:tabs>
      <w:spacing w:before="60" w:line="240" w:lineRule="auto"/>
      <w:ind w:left="1191" w:hanging="1191"/>
    </w:pPr>
    <w:rPr>
      <w:sz w:val="20"/>
    </w:rPr>
  </w:style>
  <w:style w:type="paragraph" w:customStyle="1" w:styleId="ETAsub-subpara">
    <w:name w:val="ETA(sub-subpara)"/>
    <w:basedOn w:val="OPCParaBase"/>
    <w:rsid w:val="005576B2"/>
    <w:pPr>
      <w:tabs>
        <w:tab w:val="right" w:pos="1412"/>
      </w:tabs>
      <w:spacing w:before="60" w:line="240" w:lineRule="auto"/>
      <w:ind w:left="1525" w:hanging="1525"/>
    </w:pPr>
    <w:rPr>
      <w:sz w:val="20"/>
    </w:rPr>
  </w:style>
  <w:style w:type="paragraph" w:customStyle="1" w:styleId="Formula">
    <w:name w:val="Formula"/>
    <w:basedOn w:val="OPCParaBase"/>
    <w:rsid w:val="005576B2"/>
    <w:pPr>
      <w:spacing w:line="240" w:lineRule="auto"/>
      <w:ind w:left="1134"/>
    </w:pPr>
    <w:rPr>
      <w:sz w:val="20"/>
    </w:rPr>
  </w:style>
  <w:style w:type="paragraph" w:styleId="Header">
    <w:name w:val="header"/>
    <w:basedOn w:val="OPCParaBase"/>
    <w:link w:val="HeaderChar"/>
    <w:unhideWhenUsed/>
    <w:rsid w:val="005576B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576B2"/>
    <w:rPr>
      <w:rFonts w:eastAsia="Times New Roman" w:cs="Times New Roman"/>
      <w:sz w:val="16"/>
      <w:lang w:eastAsia="en-AU"/>
    </w:rPr>
  </w:style>
  <w:style w:type="paragraph" w:customStyle="1" w:styleId="House">
    <w:name w:val="House"/>
    <w:basedOn w:val="OPCParaBase"/>
    <w:rsid w:val="005576B2"/>
    <w:pPr>
      <w:spacing w:line="240" w:lineRule="auto"/>
    </w:pPr>
    <w:rPr>
      <w:sz w:val="28"/>
    </w:rPr>
  </w:style>
  <w:style w:type="paragraph" w:customStyle="1" w:styleId="Item">
    <w:name w:val="Item"/>
    <w:aliases w:val="i"/>
    <w:basedOn w:val="OPCParaBase"/>
    <w:next w:val="ItemHead"/>
    <w:rsid w:val="005576B2"/>
    <w:pPr>
      <w:keepLines/>
      <w:spacing w:before="80" w:line="240" w:lineRule="auto"/>
      <w:ind w:left="709"/>
    </w:pPr>
  </w:style>
  <w:style w:type="paragraph" w:customStyle="1" w:styleId="ItemHead">
    <w:name w:val="ItemHead"/>
    <w:aliases w:val="ih"/>
    <w:basedOn w:val="OPCParaBase"/>
    <w:next w:val="Item"/>
    <w:rsid w:val="005576B2"/>
    <w:pPr>
      <w:keepLines/>
      <w:spacing w:before="220" w:line="240" w:lineRule="auto"/>
      <w:ind w:left="709" w:hanging="709"/>
    </w:pPr>
    <w:rPr>
      <w:rFonts w:ascii="Arial" w:hAnsi="Arial"/>
      <w:b/>
      <w:kern w:val="28"/>
      <w:sz w:val="24"/>
    </w:rPr>
  </w:style>
  <w:style w:type="paragraph" w:customStyle="1" w:styleId="LongT">
    <w:name w:val="LongT"/>
    <w:basedOn w:val="OPCParaBase"/>
    <w:rsid w:val="005576B2"/>
    <w:pPr>
      <w:spacing w:line="240" w:lineRule="auto"/>
    </w:pPr>
    <w:rPr>
      <w:b/>
      <w:sz w:val="32"/>
    </w:rPr>
  </w:style>
  <w:style w:type="paragraph" w:customStyle="1" w:styleId="notedraft">
    <w:name w:val="note(draft)"/>
    <w:aliases w:val="nd"/>
    <w:basedOn w:val="OPCParaBase"/>
    <w:rsid w:val="005576B2"/>
    <w:pPr>
      <w:spacing w:before="240" w:line="240" w:lineRule="auto"/>
      <w:ind w:left="284" w:hanging="284"/>
    </w:pPr>
    <w:rPr>
      <w:i/>
      <w:sz w:val="24"/>
    </w:rPr>
  </w:style>
  <w:style w:type="paragraph" w:customStyle="1" w:styleId="notemargin">
    <w:name w:val="note(margin)"/>
    <w:aliases w:val="nm"/>
    <w:basedOn w:val="OPCParaBase"/>
    <w:rsid w:val="005576B2"/>
    <w:pPr>
      <w:tabs>
        <w:tab w:val="left" w:pos="709"/>
      </w:tabs>
      <w:spacing w:before="122" w:line="198" w:lineRule="exact"/>
      <w:ind w:left="709" w:hanging="709"/>
    </w:pPr>
    <w:rPr>
      <w:sz w:val="18"/>
    </w:rPr>
  </w:style>
  <w:style w:type="paragraph" w:customStyle="1" w:styleId="notepara">
    <w:name w:val="note(para)"/>
    <w:aliases w:val="na"/>
    <w:basedOn w:val="OPCParaBase"/>
    <w:rsid w:val="005576B2"/>
    <w:pPr>
      <w:spacing w:before="40" w:line="198" w:lineRule="exact"/>
      <w:ind w:left="2354" w:hanging="369"/>
    </w:pPr>
    <w:rPr>
      <w:sz w:val="18"/>
    </w:rPr>
  </w:style>
  <w:style w:type="paragraph" w:customStyle="1" w:styleId="noteParlAmend">
    <w:name w:val="note(ParlAmend)"/>
    <w:aliases w:val="npp"/>
    <w:basedOn w:val="OPCParaBase"/>
    <w:next w:val="ParlAmend"/>
    <w:rsid w:val="005576B2"/>
    <w:pPr>
      <w:spacing w:line="240" w:lineRule="auto"/>
      <w:jc w:val="right"/>
    </w:pPr>
    <w:rPr>
      <w:rFonts w:ascii="Arial" w:hAnsi="Arial"/>
      <w:b/>
      <w:i/>
    </w:rPr>
  </w:style>
  <w:style w:type="paragraph" w:customStyle="1" w:styleId="notetext">
    <w:name w:val="note(text)"/>
    <w:aliases w:val="n"/>
    <w:basedOn w:val="OPCParaBase"/>
    <w:rsid w:val="005576B2"/>
    <w:pPr>
      <w:spacing w:before="122" w:line="198" w:lineRule="exact"/>
      <w:ind w:left="1985" w:hanging="851"/>
    </w:pPr>
    <w:rPr>
      <w:sz w:val="18"/>
    </w:rPr>
  </w:style>
  <w:style w:type="paragraph" w:customStyle="1" w:styleId="Page1">
    <w:name w:val="Page1"/>
    <w:basedOn w:val="OPCParaBase"/>
    <w:rsid w:val="005576B2"/>
    <w:pPr>
      <w:spacing w:before="5600" w:line="240" w:lineRule="auto"/>
    </w:pPr>
    <w:rPr>
      <w:b/>
      <w:sz w:val="32"/>
    </w:rPr>
  </w:style>
  <w:style w:type="paragraph" w:customStyle="1" w:styleId="PageBreak">
    <w:name w:val="PageBreak"/>
    <w:aliases w:val="pb"/>
    <w:basedOn w:val="OPCParaBase"/>
    <w:rsid w:val="005576B2"/>
    <w:pPr>
      <w:spacing w:line="240" w:lineRule="auto"/>
    </w:pPr>
    <w:rPr>
      <w:sz w:val="10"/>
    </w:rPr>
  </w:style>
  <w:style w:type="paragraph" w:customStyle="1" w:styleId="paragraphsub">
    <w:name w:val="paragraph(sub)"/>
    <w:aliases w:val="aa"/>
    <w:basedOn w:val="OPCParaBase"/>
    <w:rsid w:val="005576B2"/>
    <w:pPr>
      <w:tabs>
        <w:tab w:val="right" w:pos="1985"/>
      </w:tabs>
      <w:spacing w:before="40" w:line="240" w:lineRule="auto"/>
      <w:ind w:left="2098" w:hanging="2098"/>
    </w:pPr>
  </w:style>
  <w:style w:type="paragraph" w:customStyle="1" w:styleId="paragraphsub-sub">
    <w:name w:val="paragraph(sub-sub)"/>
    <w:aliases w:val="aaa"/>
    <w:basedOn w:val="OPCParaBase"/>
    <w:rsid w:val="005576B2"/>
    <w:pPr>
      <w:tabs>
        <w:tab w:val="right" w:pos="2722"/>
      </w:tabs>
      <w:spacing w:before="40" w:line="240" w:lineRule="auto"/>
      <w:ind w:left="2835" w:hanging="2835"/>
    </w:pPr>
  </w:style>
  <w:style w:type="paragraph" w:customStyle="1" w:styleId="paragraph">
    <w:name w:val="paragraph"/>
    <w:aliases w:val="a"/>
    <w:basedOn w:val="OPCParaBase"/>
    <w:rsid w:val="005576B2"/>
    <w:pPr>
      <w:tabs>
        <w:tab w:val="right" w:pos="1531"/>
      </w:tabs>
      <w:spacing w:before="40" w:line="240" w:lineRule="auto"/>
      <w:ind w:left="1644" w:hanging="1644"/>
    </w:pPr>
  </w:style>
  <w:style w:type="paragraph" w:customStyle="1" w:styleId="ParlAmend">
    <w:name w:val="ParlAmend"/>
    <w:aliases w:val="pp"/>
    <w:basedOn w:val="OPCParaBase"/>
    <w:rsid w:val="005576B2"/>
    <w:pPr>
      <w:spacing w:before="240" w:line="240" w:lineRule="atLeast"/>
      <w:ind w:hanging="567"/>
    </w:pPr>
    <w:rPr>
      <w:sz w:val="24"/>
    </w:rPr>
  </w:style>
  <w:style w:type="paragraph" w:customStyle="1" w:styleId="Penalty">
    <w:name w:val="Penalty"/>
    <w:basedOn w:val="OPCParaBase"/>
    <w:rsid w:val="005576B2"/>
    <w:pPr>
      <w:tabs>
        <w:tab w:val="left" w:pos="2977"/>
      </w:tabs>
      <w:spacing w:before="180" w:line="240" w:lineRule="auto"/>
      <w:ind w:left="1985" w:hanging="851"/>
    </w:pPr>
  </w:style>
  <w:style w:type="paragraph" w:customStyle="1" w:styleId="Portfolio">
    <w:name w:val="Portfolio"/>
    <w:basedOn w:val="OPCParaBase"/>
    <w:rsid w:val="005576B2"/>
    <w:pPr>
      <w:spacing w:line="240" w:lineRule="auto"/>
    </w:pPr>
    <w:rPr>
      <w:i/>
      <w:sz w:val="20"/>
    </w:rPr>
  </w:style>
  <w:style w:type="paragraph" w:customStyle="1" w:styleId="Preamble">
    <w:name w:val="Preamble"/>
    <w:basedOn w:val="OPCParaBase"/>
    <w:next w:val="Normal"/>
    <w:rsid w:val="005576B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576B2"/>
    <w:pPr>
      <w:spacing w:line="240" w:lineRule="auto"/>
    </w:pPr>
    <w:rPr>
      <w:i/>
      <w:sz w:val="20"/>
    </w:rPr>
  </w:style>
  <w:style w:type="paragraph" w:customStyle="1" w:styleId="Session">
    <w:name w:val="Session"/>
    <w:basedOn w:val="OPCParaBase"/>
    <w:rsid w:val="005576B2"/>
    <w:pPr>
      <w:spacing w:line="240" w:lineRule="auto"/>
    </w:pPr>
    <w:rPr>
      <w:sz w:val="28"/>
    </w:rPr>
  </w:style>
  <w:style w:type="paragraph" w:customStyle="1" w:styleId="Sponsor">
    <w:name w:val="Sponsor"/>
    <w:basedOn w:val="OPCParaBase"/>
    <w:rsid w:val="005576B2"/>
    <w:pPr>
      <w:spacing w:line="240" w:lineRule="auto"/>
    </w:pPr>
    <w:rPr>
      <w:i/>
    </w:rPr>
  </w:style>
  <w:style w:type="paragraph" w:customStyle="1" w:styleId="Subitem">
    <w:name w:val="Subitem"/>
    <w:aliases w:val="iss"/>
    <w:basedOn w:val="OPCParaBase"/>
    <w:rsid w:val="005576B2"/>
    <w:pPr>
      <w:spacing w:before="180" w:line="240" w:lineRule="auto"/>
      <w:ind w:left="709" w:hanging="709"/>
    </w:pPr>
  </w:style>
  <w:style w:type="paragraph" w:customStyle="1" w:styleId="SubitemHead">
    <w:name w:val="SubitemHead"/>
    <w:aliases w:val="issh"/>
    <w:basedOn w:val="OPCParaBase"/>
    <w:rsid w:val="005576B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576B2"/>
    <w:pPr>
      <w:spacing w:before="40" w:line="240" w:lineRule="auto"/>
      <w:ind w:left="1134"/>
    </w:pPr>
  </w:style>
  <w:style w:type="paragraph" w:customStyle="1" w:styleId="SubsectionHead">
    <w:name w:val="SubsectionHead"/>
    <w:aliases w:val="ssh"/>
    <w:basedOn w:val="OPCParaBase"/>
    <w:next w:val="subsection"/>
    <w:rsid w:val="005576B2"/>
    <w:pPr>
      <w:keepNext/>
      <w:keepLines/>
      <w:spacing w:before="240" w:line="240" w:lineRule="auto"/>
      <w:ind w:left="1134"/>
    </w:pPr>
    <w:rPr>
      <w:i/>
    </w:rPr>
  </w:style>
  <w:style w:type="paragraph" w:customStyle="1" w:styleId="Tablea">
    <w:name w:val="Table(a)"/>
    <w:aliases w:val="ta"/>
    <w:basedOn w:val="OPCParaBase"/>
    <w:rsid w:val="005576B2"/>
    <w:pPr>
      <w:spacing w:before="60" w:line="240" w:lineRule="auto"/>
      <w:ind w:left="284" w:hanging="284"/>
    </w:pPr>
    <w:rPr>
      <w:sz w:val="20"/>
    </w:rPr>
  </w:style>
  <w:style w:type="paragraph" w:customStyle="1" w:styleId="TableAA">
    <w:name w:val="Table(AA)"/>
    <w:aliases w:val="taaa"/>
    <w:basedOn w:val="OPCParaBase"/>
    <w:rsid w:val="005576B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576B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576B2"/>
    <w:pPr>
      <w:spacing w:before="60" w:line="240" w:lineRule="atLeast"/>
    </w:pPr>
    <w:rPr>
      <w:sz w:val="20"/>
    </w:rPr>
  </w:style>
  <w:style w:type="paragraph" w:customStyle="1" w:styleId="TLPBoxTextnote">
    <w:name w:val="TLPBoxText(note"/>
    <w:aliases w:val="right)"/>
    <w:basedOn w:val="OPCParaBase"/>
    <w:rsid w:val="005576B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576B2"/>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576B2"/>
    <w:pPr>
      <w:spacing w:before="122" w:line="198" w:lineRule="exact"/>
      <w:ind w:left="1985" w:hanging="851"/>
      <w:jc w:val="right"/>
    </w:pPr>
    <w:rPr>
      <w:sz w:val="18"/>
    </w:rPr>
  </w:style>
  <w:style w:type="paragraph" w:customStyle="1" w:styleId="TLPTableBullet">
    <w:name w:val="TLPTableBullet"/>
    <w:aliases w:val="ttb"/>
    <w:basedOn w:val="OPCParaBase"/>
    <w:rsid w:val="005576B2"/>
    <w:pPr>
      <w:spacing w:line="240" w:lineRule="exact"/>
      <w:ind w:left="284" w:hanging="284"/>
    </w:pPr>
    <w:rPr>
      <w:sz w:val="20"/>
    </w:rPr>
  </w:style>
  <w:style w:type="paragraph" w:styleId="TOC1">
    <w:name w:val="toc 1"/>
    <w:basedOn w:val="OPCParaBase"/>
    <w:next w:val="Normal"/>
    <w:uiPriority w:val="39"/>
    <w:unhideWhenUsed/>
    <w:rsid w:val="005576B2"/>
    <w:pPr>
      <w:spacing w:line="240" w:lineRule="auto"/>
    </w:pPr>
    <w:rPr>
      <w:sz w:val="24"/>
    </w:rPr>
  </w:style>
  <w:style w:type="paragraph" w:styleId="TOC2">
    <w:name w:val="toc 2"/>
    <w:basedOn w:val="OPCParaBase"/>
    <w:next w:val="Normal"/>
    <w:uiPriority w:val="39"/>
    <w:unhideWhenUsed/>
    <w:rsid w:val="005576B2"/>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5576B2"/>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5576B2"/>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5576B2"/>
    <w:pPr>
      <w:spacing w:line="240" w:lineRule="auto"/>
      <w:ind w:left="958"/>
    </w:pPr>
    <w:rPr>
      <w:sz w:val="24"/>
    </w:rPr>
  </w:style>
  <w:style w:type="paragraph" w:styleId="TOC6">
    <w:name w:val="toc 6"/>
    <w:basedOn w:val="OPCParaBase"/>
    <w:next w:val="Normal"/>
    <w:uiPriority w:val="39"/>
    <w:semiHidden/>
    <w:unhideWhenUsed/>
    <w:rsid w:val="005576B2"/>
    <w:pPr>
      <w:spacing w:line="240" w:lineRule="auto"/>
      <w:ind w:left="1202"/>
    </w:pPr>
    <w:rPr>
      <w:sz w:val="24"/>
    </w:rPr>
  </w:style>
  <w:style w:type="paragraph" w:styleId="TOC7">
    <w:name w:val="toc 7"/>
    <w:basedOn w:val="OPCParaBase"/>
    <w:next w:val="Normal"/>
    <w:uiPriority w:val="39"/>
    <w:semiHidden/>
    <w:unhideWhenUsed/>
    <w:rsid w:val="005576B2"/>
    <w:pPr>
      <w:spacing w:line="240" w:lineRule="auto"/>
      <w:ind w:left="1440"/>
    </w:pPr>
    <w:rPr>
      <w:sz w:val="24"/>
    </w:rPr>
  </w:style>
  <w:style w:type="paragraph" w:styleId="TOC8">
    <w:name w:val="toc 8"/>
    <w:basedOn w:val="OPCParaBase"/>
    <w:next w:val="Normal"/>
    <w:uiPriority w:val="39"/>
    <w:semiHidden/>
    <w:unhideWhenUsed/>
    <w:rsid w:val="005576B2"/>
    <w:pPr>
      <w:spacing w:line="240" w:lineRule="auto"/>
      <w:ind w:left="1678"/>
    </w:pPr>
    <w:rPr>
      <w:sz w:val="24"/>
    </w:rPr>
  </w:style>
  <w:style w:type="paragraph" w:styleId="TOC9">
    <w:name w:val="toc 9"/>
    <w:basedOn w:val="OPCParaBase"/>
    <w:next w:val="Normal"/>
    <w:uiPriority w:val="39"/>
    <w:unhideWhenUsed/>
    <w:rsid w:val="005576B2"/>
    <w:pPr>
      <w:spacing w:line="240" w:lineRule="auto"/>
      <w:ind w:left="1922"/>
    </w:pPr>
    <w:rPr>
      <w:sz w:val="24"/>
    </w:rPr>
  </w:style>
  <w:style w:type="paragraph" w:customStyle="1" w:styleId="TofSectsGroupHeading">
    <w:name w:val="TofSects(GroupHeading)"/>
    <w:basedOn w:val="OPCParaBase"/>
    <w:next w:val="TofSectsSection"/>
    <w:rsid w:val="005576B2"/>
    <w:pPr>
      <w:keepLines/>
      <w:spacing w:before="240" w:after="120" w:line="240" w:lineRule="auto"/>
      <w:ind w:left="794"/>
    </w:pPr>
    <w:rPr>
      <w:b/>
      <w:kern w:val="28"/>
      <w:sz w:val="20"/>
    </w:rPr>
  </w:style>
  <w:style w:type="paragraph" w:customStyle="1" w:styleId="TofSectsHeading">
    <w:name w:val="TofSects(Heading)"/>
    <w:basedOn w:val="OPCParaBase"/>
    <w:rsid w:val="005576B2"/>
    <w:pPr>
      <w:spacing w:before="240" w:after="120" w:line="240" w:lineRule="auto"/>
    </w:pPr>
    <w:rPr>
      <w:b/>
      <w:sz w:val="24"/>
    </w:rPr>
  </w:style>
  <w:style w:type="paragraph" w:customStyle="1" w:styleId="TofSectsSection">
    <w:name w:val="TofSects(Section)"/>
    <w:basedOn w:val="OPCParaBase"/>
    <w:rsid w:val="005576B2"/>
    <w:pPr>
      <w:keepLines/>
      <w:spacing w:before="40" w:line="240" w:lineRule="auto"/>
      <w:ind w:left="1588" w:hanging="794"/>
    </w:pPr>
    <w:rPr>
      <w:kern w:val="28"/>
      <w:sz w:val="18"/>
    </w:rPr>
  </w:style>
  <w:style w:type="paragraph" w:customStyle="1" w:styleId="TofSectsSubdiv">
    <w:name w:val="TofSects(Subdiv)"/>
    <w:basedOn w:val="OPCParaBase"/>
    <w:rsid w:val="005576B2"/>
    <w:pPr>
      <w:keepLines/>
      <w:spacing w:before="80" w:line="240" w:lineRule="auto"/>
      <w:ind w:left="1588" w:hanging="794"/>
    </w:pPr>
    <w:rPr>
      <w:kern w:val="28"/>
    </w:rPr>
  </w:style>
  <w:style w:type="paragraph" w:customStyle="1" w:styleId="WRStyle">
    <w:name w:val="WR Style"/>
    <w:aliases w:val="WR"/>
    <w:basedOn w:val="OPCParaBase"/>
    <w:rsid w:val="005576B2"/>
    <w:pPr>
      <w:spacing w:before="240" w:line="240" w:lineRule="auto"/>
      <w:ind w:left="284" w:hanging="284"/>
    </w:pPr>
    <w:rPr>
      <w:b/>
      <w:i/>
      <w:kern w:val="28"/>
      <w:sz w:val="24"/>
    </w:rPr>
  </w:style>
  <w:style w:type="paragraph" w:customStyle="1" w:styleId="Body">
    <w:name w:val="Body"/>
    <w:aliases w:val="b"/>
    <w:basedOn w:val="OPCParaBase"/>
    <w:rsid w:val="005576B2"/>
    <w:pPr>
      <w:spacing w:before="240" w:line="240" w:lineRule="auto"/>
    </w:pPr>
    <w:rPr>
      <w:sz w:val="24"/>
    </w:rPr>
  </w:style>
  <w:style w:type="paragraph" w:customStyle="1" w:styleId="BodyNum">
    <w:name w:val="BodyNum"/>
    <w:aliases w:val="b1"/>
    <w:basedOn w:val="OPCParaBase"/>
    <w:link w:val="BodyNumChar"/>
    <w:rsid w:val="005576B2"/>
    <w:pPr>
      <w:numPr>
        <w:numId w:val="13"/>
      </w:numPr>
      <w:spacing w:before="240" w:line="240" w:lineRule="auto"/>
    </w:pPr>
    <w:rPr>
      <w:sz w:val="24"/>
    </w:rPr>
  </w:style>
  <w:style w:type="paragraph" w:customStyle="1" w:styleId="BodyPara">
    <w:name w:val="BodyPara"/>
    <w:aliases w:val="ba"/>
    <w:basedOn w:val="OPCParaBase"/>
    <w:rsid w:val="005576B2"/>
    <w:pPr>
      <w:numPr>
        <w:ilvl w:val="1"/>
        <w:numId w:val="13"/>
      </w:numPr>
      <w:spacing w:before="240" w:line="240" w:lineRule="auto"/>
    </w:pPr>
    <w:rPr>
      <w:sz w:val="24"/>
    </w:rPr>
  </w:style>
  <w:style w:type="paragraph" w:customStyle="1" w:styleId="BodyParaBullet">
    <w:name w:val="BodyParaBullet"/>
    <w:aliases w:val="bpb"/>
    <w:basedOn w:val="OPCParaBase"/>
    <w:rsid w:val="005576B2"/>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5576B2"/>
    <w:pPr>
      <w:numPr>
        <w:ilvl w:val="3"/>
        <w:numId w:val="13"/>
      </w:numPr>
      <w:spacing w:before="240" w:line="240" w:lineRule="auto"/>
    </w:pPr>
    <w:rPr>
      <w:sz w:val="24"/>
    </w:rPr>
  </w:style>
  <w:style w:type="numbering" w:customStyle="1" w:styleId="OPCBodyList">
    <w:name w:val="OPCBodyList"/>
    <w:uiPriority w:val="99"/>
    <w:rsid w:val="005576B2"/>
    <w:pPr>
      <w:numPr>
        <w:numId w:val="13"/>
      </w:numPr>
    </w:pPr>
  </w:style>
  <w:style w:type="paragraph" w:customStyle="1" w:styleId="Head1">
    <w:name w:val="Head 1"/>
    <w:aliases w:val="1"/>
    <w:basedOn w:val="OPCParaBase"/>
    <w:next w:val="BodyNum"/>
    <w:rsid w:val="005576B2"/>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5576B2"/>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5576B2"/>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5576B2"/>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5576B2"/>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5576B2"/>
    <w:pPr>
      <w:spacing w:before="122" w:line="198" w:lineRule="exact"/>
      <w:ind w:left="2353" w:hanging="709"/>
    </w:pPr>
    <w:rPr>
      <w:sz w:val="18"/>
    </w:rPr>
  </w:style>
  <w:style w:type="paragraph" w:styleId="Footer">
    <w:name w:val="footer"/>
    <w:link w:val="FooterChar"/>
    <w:rsid w:val="005576B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576B2"/>
    <w:rPr>
      <w:rFonts w:eastAsia="Times New Roman" w:cs="Times New Roman"/>
      <w:sz w:val="22"/>
      <w:szCs w:val="24"/>
      <w:lang w:eastAsia="en-AU"/>
    </w:rPr>
  </w:style>
  <w:style w:type="character" w:styleId="PageNumber">
    <w:name w:val="page number"/>
    <w:basedOn w:val="DefaultParagraphFont"/>
    <w:rsid w:val="005576B2"/>
  </w:style>
  <w:style w:type="paragraph" w:styleId="BalloonText">
    <w:name w:val="Balloon Text"/>
    <w:basedOn w:val="Normal"/>
    <w:link w:val="BalloonTextChar"/>
    <w:uiPriority w:val="99"/>
    <w:semiHidden/>
    <w:unhideWhenUsed/>
    <w:rsid w:val="005576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6B2"/>
    <w:rPr>
      <w:rFonts w:ascii="Tahoma" w:hAnsi="Tahoma" w:cs="Tahoma"/>
      <w:sz w:val="16"/>
      <w:szCs w:val="16"/>
    </w:rPr>
  </w:style>
  <w:style w:type="paragraph" w:customStyle="1" w:styleId="Issued">
    <w:name w:val="Issued"/>
    <w:basedOn w:val="Body"/>
    <w:rsid w:val="005576B2"/>
    <w:pPr>
      <w:spacing w:before="120"/>
    </w:pPr>
    <w:rPr>
      <w:b/>
      <w:sz w:val="28"/>
    </w:rPr>
  </w:style>
  <w:style w:type="paragraph" w:customStyle="1" w:styleId="Release">
    <w:name w:val="Release"/>
    <w:basedOn w:val="Body"/>
    <w:rsid w:val="005576B2"/>
    <w:rPr>
      <w:b/>
    </w:rPr>
  </w:style>
  <w:style w:type="character" w:customStyle="1" w:styleId="BodyNumChar">
    <w:name w:val="BodyNum Char"/>
    <w:aliases w:val="b1 Char"/>
    <w:basedOn w:val="DefaultParagraphFont"/>
    <w:link w:val="BodyNum"/>
    <w:rsid w:val="0085476B"/>
    <w:rPr>
      <w:rFonts w:eastAsia="Times New Roman" w:cs="Times New Roman"/>
      <w:sz w:val="24"/>
      <w:lang w:eastAsia="en-AU"/>
    </w:rPr>
  </w:style>
  <w:style w:type="paragraph" w:customStyle="1" w:styleId="FileName">
    <w:name w:val="FileName"/>
    <w:basedOn w:val="Normal"/>
    <w:link w:val="FileNameChar"/>
    <w:rsid w:val="005576B2"/>
  </w:style>
  <w:style w:type="character" w:customStyle="1" w:styleId="FileNameChar">
    <w:name w:val="FileName Char"/>
    <w:basedOn w:val="DefaultParagraphFont"/>
    <w:link w:val="FileName"/>
    <w:rsid w:val="00687F28"/>
    <w:rPr>
      <w:sz w:val="22"/>
    </w:rPr>
  </w:style>
  <w:style w:type="paragraph" w:customStyle="1" w:styleId="NoteDraftingDirection">
    <w:name w:val="Note Drafting Direction"/>
    <w:basedOn w:val="OPCParaBase"/>
    <w:rsid w:val="005576B2"/>
    <w:pPr>
      <w:spacing w:before="120"/>
      <w:ind w:left="1134" w:hanging="1134"/>
    </w:pPr>
    <w:rPr>
      <w:sz w:val="18"/>
    </w:rPr>
  </w:style>
  <w:style w:type="paragraph" w:customStyle="1" w:styleId="SOText">
    <w:name w:val="SO Text"/>
    <w:aliases w:val="sot"/>
    <w:link w:val="SOTextChar"/>
    <w:rsid w:val="005576B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576B2"/>
    <w:rPr>
      <w:sz w:val="22"/>
    </w:rPr>
  </w:style>
  <w:style w:type="paragraph" w:customStyle="1" w:styleId="SOTextNote">
    <w:name w:val="SO TextNote"/>
    <w:aliases w:val="sont"/>
    <w:basedOn w:val="SOText"/>
    <w:qFormat/>
    <w:rsid w:val="005576B2"/>
    <w:pPr>
      <w:spacing w:before="122" w:line="198" w:lineRule="exact"/>
      <w:ind w:left="1843" w:hanging="709"/>
    </w:pPr>
    <w:rPr>
      <w:sz w:val="18"/>
    </w:rPr>
  </w:style>
  <w:style w:type="paragraph" w:customStyle="1" w:styleId="SOPara">
    <w:name w:val="SO Para"/>
    <w:aliases w:val="soa"/>
    <w:basedOn w:val="SOText"/>
    <w:link w:val="SOParaChar"/>
    <w:qFormat/>
    <w:rsid w:val="005576B2"/>
    <w:pPr>
      <w:tabs>
        <w:tab w:val="right" w:pos="1786"/>
      </w:tabs>
      <w:spacing w:before="40"/>
      <w:ind w:left="2070" w:hanging="936"/>
    </w:pPr>
  </w:style>
  <w:style w:type="character" w:customStyle="1" w:styleId="SOParaChar">
    <w:name w:val="SO Para Char"/>
    <w:aliases w:val="soa Char"/>
    <w:basedOn w:val="DefaultParagraphFont"/>
    <w:link w:val="SOPara"/>
    <w:rsid w:val="005576B2"/>
    <w:rPr>
      <w:sz w:val="22"/>
    </w:rPr>
  </w:style>
  <w:style w:type="paragraph" w:customStyle="1" w:styleId="TableHeading">
    <w:name w:val="TableHeading"/>
    <w:aliases w:val="th"/>
    <w:basedOn w:val="OPCParaBase"/>
    <w:next w:val="Tabletext"/>
    <w:rsid w:val="005576B2"/>
    <w:pPr>
      <w:keepNext/>
      <w:spacing w:before="60" w:line="240" w:lineRule="atLeast"/>
    </w:pPr>
    <w:rPr>
      <w:b/>
      <w:sz w:val="20"/>
    </w:rPr>
  </w:style>
  <w:style w:type="paragraph" w:customStyle="1" w:styleId="SOHeadBold">
    <w:name w:val="SO HeadBold"/>
    <w:aliases w:val="sohb"/>
    <w:basedOn w:val="SOText"/>
    <w:next w:val="SOText"/>
    <w:link w:val="SOHeadBoldChar"/>
    <w:qFormat/>
    <w:rsid w:val="005576B2"/>
    <w:rPr>
      <w:b/>
    </w:rPr>
  </w:style>
  <w:style w:type="character" w:customStyle="1" w:styleId="SOHeadBoldChar">
    <w:name w:val="SO HeadBold Char"/>
    <w:aliases w:val="sohb Char"/>
    <w:basedOn w:val="DefaultParagraphFont"/>
    <w:link w:val="SOHeadBold"/>
    <w:rsid w:val="005576B2"/>
    <w:rPr>
      <w:b/>
      <w:sz w:val="22"/>
    </w:rPr>
  </w:style>
  <w:style w:type="paragraph" w:customStyle="1" w:styleId="SOHeadItalic">
    <w:name w:val="SO HeadItalic"/>
    <w:aliases w:val="sohi"/>
    <w:basedOn w:val="SOText"/>
    <w:next w:val="SOText"/>
    <w:link w:val="SOHeadItalicChar"/>
    <w:qFormat/>
    <w:rsid w:val="005576B2"/>
    <w:rPr>
      <w:i/>
    </w:rPr>
  </w:style>
  <w:style w:type="character" w:customStyle="1" w:styleId="SOHeadItalicChar">
    <w:name w:val="SO HeadItalic Char"/>
    <w:aliases w:val="sohi Char"/>
    <w:basedOn w:val="DefaultParagraphFont"/>
    <w:link w:val="SOHeadItalic"/>
    <w:rsid w:val="005576B2"/>
    <w:rPr>
      <w:i/>
      <w:sz w:val="22"/>
    </w:rPr>
  </w:style>
  <w:style w:type="paragraph" w:customStyle="1" w:styleId="SOBullet">
    <w:name w:val="SO Bullet"/>
    <w:aliases w:val="sotb"/>
    <w:basedOn w:val="SOText"/>
    <w:link w:val="SOBulletChar"/>
    <w:qFormat/>
    <w:rsid w:val="005576B2"/>
    <w:pPr>
      <w:ind w:left="1559" w:hanging="425"/>
    </w:pPr>
  </w:style>
  <w:style w:type="character" w:customStyle="1" w:styleId="SOBulletChar">
    <w:name w:val="SO Bullet Char"/>
    <w:aliases w:val="sotb Char"/>
    <w:basedOn w:val="DefaultParagraphFont"/>
    <w:link w:val="SOBullet"/>
    <w:rsid w:val="005576B2"/>
    <w:rPr>
      <w:sz w:val="22"/>
    </w:rPr>
  </w:style>
  <w:style w:type="paragraph" w:customStyle="1" w:styleId="SOBulletNote">
    <w:name w:val="SO BulletNote"/>
    <w:aliases w:val="sonb"/>
    <w:basedOn w:val="SOTextNote"/>
    <w:link w:val="SOBulletNoteChar"/>
    <w:qFormat/>
    <w:rsid w:val="005576B2"/>
    <w:pPr>
      <w:tabs>
        <w:tab w:val="left" w:pos="1560"/>
      </w:tabs>
      <w:ind w:left="2268" w:hanging="1134"/>
    </w:pPr>
  </w:style>
  <w:style w:type="character" w:customStyle="1" w:styleId="SOBulletNoteChar">
    <w:name w:val="SO BulletNote Char"/>
    <w:aliases w:val="sonb Char"/>
    <w:basedOn w:val="DefaultParagraphFont"/>
    <w:link w:val="SOBulletNote"/>
    <w:rsid w:val="005576B2"/>
    <w:rPr>
      <w:sz w:val="18"/>
    </w:rPr>
  </w:style>
  <w:style w:type="paragraph" w:customStyle="1" w:styleId="SubPartCASA">
    <w:name w:val="SubPart(CASA)"/>
    <w:aliases w:val="csp"/>
    <w:basedOn w:val="OPCParaBase"/>
    <w:next w:val="ActHead3"/>
    <w:rsid w:val="005576B2"/>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473D6-B489-4651-B495-A2201D58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0</TotalTime>
  <Pages>10</Pages>
  <Words>3762</Words>
  <Characters>18719</Characters>
  <Application>Microsoft Office Word</Application>
  <DocSecurity>0</DocSecurity>
  <Lines>378</Lines>
  <Paragraphs>194</Paragraphs>
  <ScaleCrop>false</ScaleCrop>
  <HeadingPairs>
    <vt:vector size="2" baseType="variant">
      <vt:variant>
        <vt:lpstr>Title</vt:lpstr>
      </vt:variant>
      <vt:variant>
        <vt:i4>1</vt:i4>
      </vt:variant>
    </vt:vector>
  </HeadingPairs>
  <TitlesOfParts>
    <vt:vector size="1" baseType="lpstr">
      <vt:lpstr>DRAFT Drafting Direction No. 3.2 Taxation</vt:lpstr>
    </vt:vector>
  </TitlesOfParts>
  <Company>Office of Parliamentary Counsel</Company>
  <LinksUpToDate>false</LinksUpToDate>
  <CharactersWithSpaces>22265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3.2 Taxation</dc:title>
  <dc:subject/>
  <dc:creator>Bevan Hewitt Murray</dc:creator>
  <cp:keywords/>
  <dc:description/>
  <cp:lastModifiedBy>Matthew R Sait</cp:lastModifiedBy>
  <cp:revision>2</cp:revision>
  <cp:lastPrinted>2019-06-07T02:31:00Z</cp:lastPrinted>
  <dcterms:created xsi:type="dcterms:W3CDTF">2019-07-01T23:54:00Z</dcterms:created>
  <dcterms:modified xsi:type="dcterms:W3CDTF">2019-07-01T23:54:00Z</dcterms:modified>
  <cp:category>Other - Reissued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oNotAsk">
    <vt:lpwstr>0</vt:lpwstr>
  </property>
  <property fmtid="{D5CDD505-2E9C-101B-9397-08002B2CF9AE}" pid="4" name="ChangedTitle">
    <vt:lpwstr/>
  </property>
  <property fmtid="{D5CDD505-2E9C-101B-9397-08002B2CF9AE}" pid="5" name="DLM">
    <vt:lpwstr>No DLM</vt:lpwstr>
  </property>
  <property fmtid="{D5CDD505-2E9C-101B-9397-08002B2CF9AE}" pid="8193" name="TrimID">
    <vt:lpwstr>PC:D19/6400,D19/6401</vt:lpwstr>
  </property>
</Properties>
</file>