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16C" w:rsidRPr="00E546B8" w:rsidRDefault="0057516C" w:rsidP="00E546B8">
      <w:pPr>
        <w:pStyle w:val="Head1"/>
      </w:pPr>
      <w:bookmarkStart w:id="0" w:name="_GoBack"/>
      <w:bookmarkEnd w:id="0"/>
      <w:r w:rsidRPr="00E546B8">
        <w:t>Drafting Direction No. 3.10</w:t>
      </w:r>
      <w:r w:rsidRPr="00E546B8">
        <w:br/>
      </w:r>
      <w:r w:rsidR="004C2C2F" w:rsidRPr="00E546B8">
        <w:t>Legislation</w:t>
      </w:r>
      <w:r w:rsidRPr="00E546B8">
        <w:t xml:space="preserve"> that refer</w:t>
      </w:r>
      <w:r w:rsidR="004C2C2F" w:rsidRPr="00E546B8">
        <w:t>s</w:t>
      </w:r>
      <w:r w:rsidRPr="00E546B8">
        <w:t xml:space="preserve"> to or affect</w:t>
      </w:r>
      <w:r w:rsidR="004C2C2F" w:rsidRPr="00E546B8">
        <w:t>s</w:t>
      </w:r>
      <w:r w:rsidRPr="00E546B8">
        <w:t xml:space="preserve"> Australian governments or jurisdictions</w:t>
      </w:r>
    </w:p>
    <w:p w:rsidR="00C03507" w:rsidRPr="00E546B8" w:rsidRDefault="00C03507" w:rsidP="00C03507">
      <w:pPr>
        <w:pStyle w:val="Release"/>
      </w:pPr>
      <w:r w:rsidRPr="00E546B8">
        <w:t xml:space="preserve">Document release </w:t>
      </w:r>
      <w:r w:rsidR="00702C81" w:rsidRPr="00E546B8">
        <w:t>2</w:t>
      </w:r>
      <w:r w:rsidRPr="00E546B8">
        <w:t>.</w:t>
      </w:r>
      <w:r w:rsidR="00F91146" w:rsidRPr="00E546B8">
        <w:t>1</w:t>
      </w:r>
    </w:p>
    <w:p w:rsidR="00C03507" w:rsidRPr="00E546B8" w:rsidRDefault="00702C81" w:rsidP="00C03507">
      <w:pPr>
        <w:pStyle w:val="Issued"/>
      </w:pPr>
      <w:r w:rsidRPr="00E546B8">
        <w:t>Rei</w:t>
      </w:r>
      <w:r w:rsidR="00C03507" w:rsidRPr="00E546B8">
        <w:t xml:space="preserve">ssued </w:t>
      </w:r>
      <w:r w:rsidR="005B5077">
        <w:t>June</w:t>
      </w:r>
      <w:r w:rsidR="001359FA" w:rsidRPr="00E546B8">
        <w:rPr>
          <w:i/>
        </w:rPr>
        <w:t xml:space="preserve"> </w:t>
      </w:r>
      <w:r w:rsidR="001359FA" w:rsidRPr="005B5077">
        <w:t>2018</w:t>
      </w:r>
    </w:p>
    <w:p w:rsidR="00C03507" w:rsidRPr="00E546B8" w:rsidRDefault="00C03507" w:rsidP="00C03507"/>
    <w:p w:rsidR="0057516C" w:rsidRPr="00E546B8" w:rsidRDefault="0057516C" w:rsidP="0057516C">
      <w:pPr>
        <w:rPr>
          <w:sz w:val="32"/>
        </w:rPr>
      </w:pPr>
      <w:r w:rsidRPr="00E546B8">
        <w:rPr>
          <w:sz w:val="32"/>
        </w:rPr>
        <w:t>Contents</w:t>
      </w:r>
    </w:p>
    <w:p w:rsidR="00E546B8" w:rsidRDefault="006A2117">
      <w:pPr>
        <w:pStyle w:val="TOC2"/>
        <w:rPr>
          <w:rFonts w:asciiTheme="minorHAnsi" w:eastAsiaTheme="minorEastAsia" w:hAnsiTheme="minorHAnsi" w:cstheme="minorBidi"/>
          <w:b w:val="0"/>
          <w:sz w:val="22"/>
          <w:szCs w:val="22"/>
        </w:rPr>
      </w:pPr>
      <w:r w:rsidRPr="00E546B8">
        <w:rPr>
          <w:sz w:val="32"/>
        </w:rPr>
        <w:fldChar w:fldCharType="begin"/>
      </w:r>
      <w:r w:rsidRPr="00E546B8">
        <w:rPr>
          <w:sz w:val="32"/>
        </w:rPr>
        <w:instrText xml:space="preserve"> TOC \o "2-9" </w:instrText>
      </w:r>
      <w:r w:rsidRPr="00E546B8">
        <w:rPr>
          <w:sz w:val="32"/>
        </w:rPr>
        <w:fldChar w:fldCharType="separate"/>
      </w:r>
      <w:r w:rsidR="00E546B8">
        <w:t>Part 1—Binding the Crown</w:t>
      </w:r>
      <w:r w:rsidR="00E546B8" w:rsidRPr="00E546B8">
        <w:rPr>
          <w:b w:val="0"/>
          <w:sz w:val="20"/>
        </w:rPr>
        <w:tab/>
      </w:r>
      <w:r w:rsidR="00E546B8" w:rsidRPr="00E546B8">
        <w:rPr>
          <w:b w:val="0"/>
          <w:sz w:val="20"/>
        </w:rPr>
        <w:fldChar w:fldCharType="begin"/>
      </w:r>
      <w:r w:rsidR="00E546B8" w:rsidRPr="00E546B8">
        <w:rPr>
          <w:b w:val="0"/>
          <w:sz w:val="20"/>
        </w:rPr>
        <w:instrText xml:space="preserve"> PAGEREF _Toc516577971 \h </w:instrText>
      </w:r>
      <w:r w:rsidR="00E546B8" w:rsidRPr="00E546B8">
        <w:rPr>
          <w:b w:val="0"/>
          <w:sz w:val="20"/>
        </w:rPr>
      </w:r>
      <w:r w:rsidR="00E546B8" w:rsidRPr="00E546B8">
        <w:rPr>
          <w:b w:val="0"/>
          <w:sz w:val="20"/>
        </w:rPr>
        <w:fldChar w:fldCharType="separate"/>
      </w:r>
      <w:r w:rsidR="00E546B8" w:rsidRPr="00E546B8">
        <w:rPr>
          <w:b w:val="0"/>
          <w:sz w:val="20"/>
        </w:rPr>
        <w:t>2</w:t>
      </w:r>
      <w:r w:rsidR="00E546B8" w:rsidRPr="00E546B8">
        <w:rPr>
          <w:b w:val="0"/>
          <w:sz w:val="20"/>
        </w:rPr>
        <w:fldChar w:fldCharType="end"/>
      </w:r>
    </w:p>
    <w:p w:rsidR="00E546B8" w:rsidRDefault="00E546B8">
      <w:pPr>
        <w:pStyle w:val="TOC3"/>
        <w:rPr>
          <w:rFonts w:asciiTheme="minorHAnsi" w:eastAsiaTheme="minorEastAsia" w:hAnsiTheme="minorHAnsi" w:cstheme="minorBidi"/>
          <w:sz w:val="22"/>
          <w:szCs w:val="22"/>
        </w:rPr>
      </w:pPr>
      <w:r>
        <w:t>Rules of statutory interpretation</w:t>
      </w:r>
      <w:r w:rsidRPr="00E546B8">
        <w:rPr>
          <w:sz w:val="20"/>
        </w:rPr>
        <w:tab/>
      </w:r>
      <w:r w:rsidRPr="00E546B8">
        <w:rPr>
          <w:sz w:val="20"/>
        </w:rPr>
        <w:fldChar w:fldCharType="begin"/>
      </w:r>
      <w:r w:rsidRPr="00E546B8">
        <w:rPr>
          <w:sz w:val="20"/>
        </w:rPr>
        <w:instrText xml:space="preserve"> PAGEREF _Toc516577972 \h </w:instrText>
      </w:r>
      <w:r w:rsidRPr="00E546B8">
        <w:rPr>
          <w:sz w:val="20"/>
        </w:rPr>
      </w:r>
      <w:r w:rsidRPr="00E546B8">
        <w:rPr>
          <w:sz w:val="20"/>
        </w:rPr>
        <w:fldChar w:fldCharType="separate"/>
      </w:r>
      <w:r w:rsidRPr="00E546B8">
        <w:rPr>
          <w:sz w:val="20"/>
        </w:rPr>
        <w:t>2</w:t>
      </w:r>
      <w:r w:rsidRPr="00E546B8">
        <w:rPr>
          <w:sz w:val="20"/>
        </w:rPr>
        <w:fldChar w:fldCharType="end"/>
      </w:r>
    </w:p>
    <w:p w:rsidR="00E546B8" w:rsidRDefault="00E546B8">
      <w:pPr>
        <w:pStyle w:val="TOC3"/>
        <w:rPr>
          <w:rFonts w:asciiTheme="minorHAnsi" w:eastAsiaTheme="minorEastAsia" w:hAnsiTheme="minorHAnsi" w:cstheme="minorBidi"/>
          <w:sz w:val="22"/>
          <w:szCs w:val="22"/>
        </w:rPr>
      </w:pPr>
      <w:r>
        <w:t>Express provisions—binding the Crown</w:t>
      </w:r>
      <w:r w:rsidRPr="00E546B8">
        <w:rPr>
          <w:sz w:val="20"/>
        </w:rPr>
        <w:tab/>
      </w:r>
      <w:r w:rsidRPr="00E546B8">
        <w:rPr>
          <w:sz w:val="20"/>
        </w:rPr>
        <w:fldChar w:fldCharType="begin"/>
      </w:r>
      <w:r w:rsidRPr="00E546B8">
        <w:rPr>
          <w:sz w:val="20"/>
        </w:rPr>
        <w:instrText xml:space="preserve"> PAGEREF _Toc516577973 \h </w:instrText>
      </w:r>
      <w:r w:rsidRPr="00E546B8">
        <w:rPr>
          <w:sz w:val="20"/>
        </w:rPr>
      </w:r>
      <w:r w:rsidRPr="00E546B8">
        <w:rPr>
          <w:sz w:val="20"/>
        </w:rPr>
        <w:fldChar w:fldCharType="separate"/>
      </w:r>
      <w:r w:rsidRPr="00E546B8">
        <w:rPr>
          <w:sz w:val="20"/>
        </w:rPr>
        <w:t>2</w:t>
      </w:r>
      <w:r w:rsidRPr="00E546B8">
        <w:rPr>
          <w:sz w:val="20"/>
        </w:rPr>
        <w:fldChar w:fldCharType="end"/>
      </w:r>
    </w:p>
    <w:p w:rsidR="00E546B8" w:rsidRDefault="00E546B8">
      <w:pPr>
        <w:pStyle w:val="TOC4"/>
        <w:rPr>
          <w:rFonts w:asciiTheme="minorHAnsi" w:eastAsiaTheme="minorEastAsia" w:hAnsiTheme="minorHAnsi" w:cstheme="minorBidi"/>
          <w:sz w:val="22"/>
          <w:szCs w:val="22"/>
        </w:rPr>
      </w:pPr>
      <w:r>
        <w:t>Commonwealth, States and Territories</w:t>
      </w:r>
      <w:r w:rsidRPr="00E546B8">
        <w:rPr>
          <w:sz w:val="20"/>
        </w:rPr>
        <w:tab/>
      </w:r>
      <w:r w:rsidRPr="00E546B8">
        <w:rPr>
          <w:sz w:val="20"/>
        </w:rPr>
        <w:fldChar w:fldCharType="begin"/>
      </w:r>
      <w:r w:rsidRPr="00E546B8">
        <w:rPr>
          <w:sz w:val="20"/>
        </w:rPr>
        <w:instrText xml:space="preserve"> PAGEREF _Toc516577974 \h </w:instrText>
      </w:r>
      <w:r w:rsidRPr="00E546B8">
        <w:rPr>
          <w:sz w:val="20"/>
        </w:rPr>
      </w:r>
      <w:r w:rsidRPr="00E546B8">
        <w:rPr>
          <w:sz w:val="20"/>
        </w:rPr>
        <w:fldChar w:fldCharType="separate"/>
      </w:r>
      <w:r w:rsidRPr="00E546B8">
        <w:rPr>
          <w:sz w:val="20"/>
        </w:rPr>
        <w:t>2</w:t>
      </w:r>
      <w:r w:rsidRPr="00E546B8">
        <w:rPr>
          <w:sz w:val="20"/>
        </w:rPr>
        <w:fldChar w:fldCharType="end"/>
      </w:r>
    </w:p>
    <w:p w:rsidR="00E546B8" w:rsidRDefault="00E546B8">
      <w:pPr>
        <w:pStyle w:val="TOC4"/>
        <w:rPr>
          <w:rFonts w:asciiTheme="minorHAnsi" w:eastAsiaTheme="minorEastAsia" w:hAnsiTheme="minorHAnsi" w:cstheme="minorBidi"/>
          <w:sz w:val="22"/>
          <w:szCs w:val="22"/>
        </w:rPr>
      </w:pPr>
      <w:r>
        <w:t>Commonwealth only</w:t>
      </w:r>
      <w:r w:rsidRPr="00E546B8">
        <w:rPr>
          <w:sz w:val="20"/>
        </w:rPr>
        <w:tab/>
      </w:r>
      <w:r w:rsidRPr="00E546B8">
        <w:rPr>
          <w:sz w:val="20"/>
        </w:rPr>
        <w:fldChar w:fldCharType="begin"/>
      </w:r>
      <w:r w:rsidRPr="00E546B8">
        <w:rPr>
          <w:sz w:val="20"/>
        </w:rPr>
        <w:instrText xml:space="preserve"> PAGEREF _Toc516577975 \h </w:instrText>
      </w:r>
      <w:r w:rsidRPr="00E546B8">
        <w:rPr>
          <w:sz w:val="20"/>
        </w:rPr>
      </w:r>
      <w:r w:rsidRPr="00E546B8">
        <w:rPr>
          <w:sz w:val="20"/>
        </w:rPr>
        <w:fldChar w:fldCharType="separate"/>
      </w:r>
      <w:r w:rsidRPr="00E546B8">
        <w:rPr>
          <w:sz w:val="20"/>
        </w:rPr>
        <w:t>2</w:t>
      </w:r>
      <w:r w:rsidRPr="00E546B8">
        <w:rPr>
          <w:sz w:val="20"/>
        </w:rPr>
        <w:fldChar w:fldCharType="end"/>
      </w:r>
    </w:p>
    <w:p w:rsidR="00E546B8" w:rsidRDefault="00E546B8">
      <w:pPr>
        <w:pStyle w:val="TOC4"/>
        <w:rPr>
          <w:rFonts w:asciiTheme="minorHAnsi" w:eastAsiaTheme="minorEastAsia" w:hAnsiTheme="minorHAnsi" w:cstheme="minorBidi"/>
          <w:sz w:val="22"/>
          <w:szCs w:val="22"/>
        </w:rPr>
      </w:pPr>
      <w:r>
        <w:t>States and Territories only</w:t>
      </w:r>
      <w:r w:rsidRPr="00E546B8">
        <w:rPr>
          <w:sz w:val="20"/>
        </w:rPr>
        <w:tab/>
      </w:r>
      <w:r w:rsidRPr="00E546B8">
        <w:rPr>
          <w:sz w:val="20"/>
        </w:rPr>
        <w:fldChar w:fldCharType="begin"/>
      </w:r>
      <w:r w:rsidRPr="00E546B8">
        <w:rPr>
          <w:sz w:val="20"/>
        </w:rPr>
        <w:instrText xml:space="preserve"> PAGEREF _Toc516577976 \h </w:instrText>
      </w:r>
      <w:r w:rsidRPr="00E546B8">
        <w:rPr>
          <w:sz w:val="20"/>
        </w:rPr>
      </w:r>
      <w:r w:rsidRPr="00E546B8">
        <w:rPr>
          <w:sz w:val="20"/>
        </w:rPr>
        <w:fldChar w:fldCharType="separate"/>
      </w:r>
      <w:r w:rsidRPr="00E546B8">
        <w:rPr>
          <w:sz w:val="20"/>
        </w:rPr>
        <w:t>2</w:t>
      </w:r>
      <w:r w:rsidRPr="00E546B8">
        <w:rPr>
          <w:sz w:val="20"/>
        </w:rPr>
        <w:fldChar w:fldCharType="end"/>
      </w:r>
    </w:p>
    <w:p w:rsidR="00E546B8" w:rsidRDefault="00E546B8" w:rsidP="00E546B8">
      <w:pPr>
        <w:pStyle w:val="TOC4"/>
        <w:rPr>
          <w:rFonts w:asciiTheme="minorHAnsi" w:eastAsiaTheme="minorEastAsia" w:hAnsiTheme="minorHAnsi" w:cstheme="minorBidi"/>
          <w:sz w:val="22"/>
          <w:szCs w:val="22"/>
        </w:rPr>
      </w:pPr>
      <w:r>
        <w:t>States only</w:t>
      </w:r>
      <w:r w:rsidRPr="00E546B8">
        <w:rPr>
          <w:sz w:val="20"/>
        </w:rPr>
        <w:tab/>
      </w:r>
      <w:r w:rsidRPr="00E546B8">
        <w:rPr>
          <w:sz w:val="20"/>
        </w:rPr>
        <w:fldChar w:fldCharType="begin"/>
      </w:r>
      <w:r w:rsidRPr="00E546B8">
        <w:rPr>
          <w:sz w:val="20"/>
        </w:rPr>
        <w:instrText xml:space="preserve"> PAGEREF _Toc516577977 \h </w:instrText>
      </w:r>
      <w:r w:rsidRPr="00E546B8">
        <w:rPr>
          <w:sz w:val="20"/>
        </w:rPr>
      </w:r>
      <w:r w:rsidRPr="00E546B8">
        <w:rPr>
          <w:sz w:val="20"/>
        </w:rPr>
        <w:fldChar w:fldCharType="separate"/>
      </w:r>
      <w:r w:rsidRPr="00E546B8">
        <w:rPr>
          <w:sz w:val="20"/>
        </w:rPr>
        <w:t>3</w:t>
      </w:r>
      <w:r w:rsidRPr="00E546B8">
        <w:rPr>
          <w:sz w:val="20"/>
        </w:rPr>
        <w:fldChar w:fldCharType="end"/>
      </w:r>
    </w:p>
    <w:p w:rsidR="00E546B8" w:rsidRDefault="00E546B8">
      <w:pPr>
        <w:pStyle w:val="TOC3"/>
        <w:rPr>
          <w:rFonts w:asciiTheme="minorHAnsi" w:eastAsiaTheme="minorEastAsia" w:hAnsiTheme="minorHAnsi" w:cstheme="minorBidi"/>
          <w:sz w:val="22"/>
          <w:szCs w:val="22"/>
        </w:rPr>
      </w:pPr>
      <w:r>
        <w:t>Crown not liable to prosecution</w:t>
      </w:r>
      <w:r w:rsidRPr="00E546B8">
        <w:rPr>
          <w:sz w:val="20"/>
        </w:rPr>
        <w:tab/>
      </w:r>
      <w:r w:rsidRPr="00E546B8">
        <w:rPr>
          <w:sz w:val="20"/>
        </w:rPr>
        <w:fldChar w:fldCharType="begin"/>
      </w:r>
      <w:r w:rsidRPr="00E546B8">
        <w:rPr>
          <w:sz w:val="20"/>
        </w:rPr>
        <w:instrText xml:space="preserve"> PAGEREF _Toc516577978 \h </w:instrText>
      </w:r>
      <w:r w:rsidRPr="00E546B8">
        <w:rPr>
          <w:sz w:val="20"/>
        </w:rPr>
      </w:r>
      <w:r w:rsidRPr="00E546B8">
        <w:rPr>
          <w:sz w:val="20"/>
        </w:rPr>
        <w:fldChar w:fldCharType="separate"/>
      </w:r>
      <w:r w:rsidRPr="00E546B8">
        <w:rPr>
          <w:sz w:val="20"/>
        </w:rPr>
        <w:t>3</w:t>
      </w:r>
      <w:r w:rsidRPr="00E546B8">
        <w:rPr>
          <w:sz w:val="20"/>
        </w:rPr>
        <w:fldChar w:fldCharType="end"/>
      </w:r>
    </w:p>
    <w:p w:rsidR="00E546B8" w:rsidRDefault="00E546B8">
      <w:pPr>
        <w:pStyle w:val="TOC3"/>
        <w:rPr>
          <w:rFonts w:asciiTheme="minorHAnsi" w:eastAsiaTheme="minorEastAsia" w:hAnsiTheme="minorHAnsi" w:cstheme="minorBidi"/>
          <w:sz w:val="22"/>
          <w:szCs w:val="22"/>
        </w:rPr>
      </w:pPr>
      <w:r>
        <w:t>Express provision—Crown not bound</w:t>
      </w:r>
      <w:r w:rsidRPr="00E546B8">
        <w:rPr>
          <w:sz w:val="20"/>
        </w:rPr>
        <w:tab/>
      </w:r>
      <w:r w:rsidRPr="00E546B8">
        <w:rPr>
          <w:sz w:val="20"/>
        </w:rPr>
        <w:fldChar w:fldCharType="begin"/>
      </w:r>
      <w:r w:rsidRPr="00E546B8">
        <w:rPr>
          <w:sz w:val="20"/>
        </w:rPr>
        <w:instrText xml:space="preserve"> PAGEREF _Toc516577979 \h </w:instrText>
      </w:r>
      <w:r w:rsidRPr="00E546B8">
        <w:rPr>
          <w:sz w:val="20"/>
        </w:rPr>
      </w:r>
      <w:r w:rsidRPr="00E546B8">
        <w:rPr>
          <w:sz w:val="20"/>
        </w:rPr>
        <w:fldChar w:fldCharType="separate"/>
      </w:r>
      <w:r w:rsidRPr="00E546B8">
        <w:rPr>
          <w:sz w:val="20"/>
        </w:rPr>
        <w:t>3</w:t>
      </w:r>
      <w:r w:rsidRPr="00E546B8">
        <w:rPr>
          <w:sz w:val="20"/>
        </w:rPr>
        <w:fldChar w:fldCharType="end"/>
      </w:r>
    </w:p>
    <w:p w:rsidR="00E546B8" w:rsidRDefault="00E546B8">
      <w:pPr>
        <w:pStyle w:val="TOC2"/>
        <w:rPr>
          <w:rFonts w:asciiTheme="minorHAnsi" w:eastAsiaTheme="minorEastAsia" w:hAnsiTheme="minorHAnsi" w:cstheme="minorBidi"/>
          <w:b w:val="0"/>
          <w:sz w:val="22"/>
          <w:szCs w:val="22"/>
        </w:rPr>
      </w:pPr>
      <w:r>
        <w:t>Part 2—References to States and Territories</w:t>
      </w:r>
      <w:r w:rsidRPr="00E546B8">
        <w:rPr>
          <w:b w:val="0"/>
          <w:sz w:val="20"/>
        </w:rPr>
        <w:tab/>
      </w:r>
      <w:r w:rsidRPr="00E546B8">
        <w:rPr>
          <w:b w:val="0"/>
          <w:sz w:val="20"/>
        </w:rPr>
        <w:fldChar w:fldCharType="begin"/>
      </w:r>
      <w:r w:rsidRPr="00E546B8">
        <w:rPr>
          <w:b w:val="0"/>
          <w:sz w:val="20"/>
        </w:rPr>
        <w:instrText xml:space="preserve"> PAGEREF _Toc516577980 \h </w:instrText>
      </w:r>
      <w:r w:rsidRPr="00E546B8">
        <w:rPr>
          <w:b w:val="0"/>
          <w:sz w:val="20"/>
        </w:rPr>
      </w:r>
      <w:r w:rsidRPr="00E546B8">
        <w:rPr>
          <w:b w:val="0"/>
          <w:sz w:val="20"/>
        </w:rPr>
        <w:fldChar w:fldCharType="separate"/>
      </w:r>
      <w:r w:rsidRPr="00E546B8">
        <w:rPr>
          <w:b w:val="0"/>
          <w:sz w:val="20"/>
        </w:rPr>
        <w:t>3</w:t>
      </w:r>
      <w:r w:rsidRPr="00E546B8">
        <w:rPr>
          <w:b w:val="0"/>
          <w:sz w:val="20"/>
        </w:rPr>
        <w:fldChar w:fldCharType="end"/>
      </w:r>
    </w:p>
    <w:p w:rsidR="00E546B8" w:rsidRDefault="00E546B8">
      <w:pPr>
        <w:pStyle w:val="TOC3"/>
        <w:rPr>
          <w:rFonts w:asciiTheme="minorHAnsi" w:eastAsiaTheme="minorEastAsia" w:hAnsiTheme="minorHAnsi" w:cstheme="minorBidi"/>
          <w:sz w:val="22"/>
          <w:szCs w:val="22"/>
        </w:rPr>
      </w:pPr>
      <w:r>
        <w:t>Distinguishing State and Federal Parliaments</w:t>
      </w:r>
      <w:r w:rsidRPr="00E546B8">
        <w:rPr>
          <w:sz w:val="20"/>
        </w:rPr>
        <w:tab/>
      </w:r>
      <w:r w:rsidRPr="00E546B8">
        <w:rPr>
          <w:sz w:val="20"/>
        </w:rPr>
        <w:fldChar w:fldCharType="begin"/>
      </w:r>
      <w:r w:rsidRPr="00E546B8">
        <w:rPr>
          <w:sz w:val="20"/>
        </w:rPr>
        <w:instrText xml:space="preserve"> PAGEREF _Toc516577981 \h </w:instrText>
      </w:r>
      <w:r w:rsidRPr="00E546B8">
        <w:rPr>
          <w:sz w:val="20"/>
        </w:rPr>
      </w:r>
      <w:r w:rsidRPr="00E546B8">
        <w:rPr>
          <w:sz w:val="20"/>
        </w:rPr>
        <w:fldChar w:fldCharType="separate"/>
      </w:r>
      <w:r w:rsidRPr="00E546B8">
        <w:rPr>
          <w:sz w:val="20"/>
        </w:rPr>
        <w:t>3</w:t>
      </w:r>
      <w:r w:rsidRPr="00E546B8">
        <w:rPr>
          <w:sz w:val="20"/>
        </w:rPr>
        <w:fldChar w:fldCharType="end"/>
      </w:r>
    </w:p>
    <w:p w:rsidR="00E546B8" w:rsidRDefault="00E546B8">
      <w:pPr>
        <w:pStyle w:val="TOC3"/>
        <w:rPr>
          <w:rFonts w:asciiTheme="minorHAnsi" w:eastAsiaTheme="minorEastAsia" w:hAnsiTheme="minorHAnsi" w:cstheme="minorBidi"/>
          <w:sz w:val="22"/>
          <w:szCs w:val="22"/>
        </w:rPr>
      </w:pPr>
      <w:r>
        <w:t>References to Legislative Assemblies</w:t>
      </w:r>
      <w:r w:rsidRPr="00E546B8">
        <w:rPr>
          <w:sz w:val="20"/>
        </w:rPr>
        <w:tab/>
      </w:r>
      <w:r w:rsidRPr="00E546B8">
        <w:rPr>
          <w:sz w:val="20"/>
        </w:rPr>
        <w:fldChar w:fldCharType="begin"/>
      </w:r>
      <w:r w:rsidRPr="00E546B8">
        <w:rPr>
          <w:sz w:val="20"/>
        </w:rPr>
        <w:instrText xml:space="preserve"> PAGEREF _Toc516577982 \h </w:instrText>
      </w:r>
      <w:r w:rsidRPr="00E546B8">
        <w:rPr>
          <w:sz w:val="20"/>
        </w:rPr>
      </w:r>
      <w:r w:rsidRPr="00E546B8">
        <w:rPr>
          <w:sz w:val="20"/>
        </w:rPr>
        <w:fldChar w:fldCharType="separate"/>
      </w:r>
      <w:r w:rsidRPr="00E546B8">
        <w:rPr>
          <w:sz w:val="20"/>
        </w:rPr>
        <w:t>3</w:t>
      </w:r>
      <w:r w:rsidRPr="00E546B8">
        <w:rPr>
          <w:sz w:val="20"/>
        </w:rPr>
        <w:fldChar w:fldCharType="end"/>
      </w:r>
    </w:p>
    <w:p w:rsidR="00E546B8" w:rsidRDefault="00E546B8">
      <w:pPr>
        <w:pStyle w:val="TOC3"/>
        <w:rPr>
          <w:rFonts w:asciiTheme="minorHAnsi" w:eastAsiaTheme="minorEastAsia" w:hAnsiTheme="minorHAnsi" w:cstheme="minorBidi"/>
          <w:sz w:val="22"/>
          <w:szCs w:val="22"/>
        </w:rPr>
      </w:pPr>
      <w:r>
        <w:t>No need to use “the State of”</w:t>
      </w:r>
      <w:r w:rsidRPr="00E546B8">
        <w:rPr>
          <w:sz w:val="20"/>
        </w:rPr>
        <w:tab/>
      </w:r>
      <w:r w:rsidRPr="00E546B8">
        <w:rPr>
          <w:sz w:val="20"/>
        </w:rPr>
        <w:fldChar w:fldCharType="begin"/>
      </w:r>
      <w:r w:rsidRPr="00E546B8">
        <w:rPr>
          <w:sz w:val="20"/>
        </w:rPr>
        <w:instrText xml:space="preserve"> PAGEREF _Toc516577983 \h </w:instrText>
      </w:r>
      <w:r w:rsidRPr="00E546B8">
        <w:rPr>
          <w:sz w:val="20"/>
        </w:rPr>
      </w:r>
      <w:r w:rsidRPr="00E546B8">
        <w:rPr>
          <w:sz w:val="20"/>
        </w:rPr>
        <w:fldChar w:fldCharType="separate"/>
      </w:r>
      <w:r w:rsidRPr="00E546B8">
        <w:rPr>
          <w:sz w:val="20"/>
        </w:rPr>
        <w:t>3</w:t>
      </w:r>
      <w:r w:rsidRPr="00E546B8">
        <w:rPr>
          <w:sz w:val="20"/>
        </w:rPr>
        <w:fldChar w:fldCharType="end"/>
      </w:r>
    </w:p>
    <w:p w:rsidR="00E546B8" w:rsidRDefault="00E546B8">
      <w:pPr>
        <w:pStyle w:val="TOC3"/>
        <w:rPr>
          <w:rFonts w:asciiTheme="minorHAnsi" w:eastAsiaTheme="minorEastAsia" w:hAnsiTheme="minorHAnsi" w:cstheme="minorBidi"/>
          <w:sz w:val="22"/>
          <w:szCs w:val="22"/>
        </w:rPr>
      </w:pPr>
      <w:r>
        <w:t>Order of references to States and Territories</w:t>
      </w:r>
      <w:r w:rsidRPr="00E546B8">
        <w:rPr>
          <w:sz w:val="20"/>
        </w:rPr>
        <w:tab/>
      </w:r>
      <w:r w:rsidRPr="00E546B8">
        <w:rPr>
          <w:sz w:val="20"/>
        </w:rPr>
        <w:fldChar w:fldCharType="begin"/>
      </w:r>
      <w:r w:rsidRPr="00E546B8">
        <w:rPr>
          <w:sz w:val="20"/>
        </w:rPr>
        <w:instrText xml:space="preserve"> PAGEREF _Toc516577984 \h </w:instrText>
      </w:r>
      <w:r w:rsidRPr="00E546B8">
        <w:rPr>
          <w:sz w:val="20"/>
        </w:rPr>
      </w:r>
      <w:r w:rsidRPr="00E546B8">
        <w:rPr>
          <w:sz w:val="20"/>
        </w:rPr>
        <w:fldChar w:fldCharType="separate"/>
      </w:r>
      <w:r w:rsidRPr="00E546B8">
        <w:rPr>
          <w:sz w:val="20"/>
        </w:rPr>
        <w:t>4</w:t>
      </w:r>
      <w:r w:rsidRPr="00E546B8">
        <w:rPr>
          <w:sz w:val="20"/>
        </w:rPr>
        <w:fldChar w:fldCharType="end"/>
      </w:r>
    </w:p>
    <w:p w:rsidR="00E546B8" w:rsidRDefault="00E546B8">
      <w:pPr>
        <w:pStyle w:val="TOC3"/>
        <w:rPr>
          <w:rFonts w:asciiTheme="minorHAnsi" w:eastAsiaTheme="minorEastAsia" w:hAnsiTheme="minorHAnsi" w:cstheme="minorBidi"/>
          <w:sz w:val="22"/>
          <w:szCs w:val="22"/>
        </w:rPr>
      </w:pPr>
      <w:r>
        <w:t>References to State or Territory Acts</w:t>
      </w:r>
      <w:r w:rsidRPr="00E546B8">
        <w:rPr>
          <w:sz w:val="20"/>
        </w:rPr>
        <w:tab/>
      </w:r>
      <w:r w:rsidRPr="00E546B8">
        <w:rPr>
          <w:sz w:val="20"/>
        </w:rPr>
        <w:fldChar w:fldCharType="begin"/>
      </w:r>
      <w:r w:rsidRPr="00E546B8">
        <w:rPr>
          <w:sz w:val="20"/>
        </w:rPr>
        <w:instrText xml:space="preserve"> PAGEREF _Toc516577985 \h </w:instrText>
      </w:r>
      <w:r w:rsidRPr="00E546B8">
        <w:rPr>
          <w:sz w:val="20"/>
        </w:rPr>
      </w:r>
      <w:r w:rsidRPr="00E546B8">
        <w:rPr>
          <w:sz w:val="20"/>
        </w:rPr>
        <w:fldChar w:fldCharType="separate"/>
      </w:r>
      <w:r w:rsidRPr="00E546B8">
        <w:rPr>
          <w:sz w:val="20"/>
        </w:rPr>
        <w:t>4</w:t>
      </w:r>
      <w:r w:rsidRPr="00E546B8">
        <w:rPr>
          <w:sz w:val="20"/>
        </w:rPr>
        <w:fldChar w:fldCharType="end"/>
      </w:r>
    </w:p>
    <w:p w:rsidR="00E546B8" w:rsidRDefault="00E546B8" w:rsidP="00E546B8">
      <w:pPr>
        <w:pStyle w:val="TOC3"/>
        <w:rPr>
          <w:rFonts w:asciiTheme="minorHAnsi" w:eastAsiaTheme="minorEastAsia" w:hAnsiTheme="minorHAnsi" w:cstheme="minorBidi"/>
          <w:sz w:val="22"/>
          <w:szCs w:val="22"/>
        </w:rPr>
      </w:pPr>
      <w:r>
        <w:t>Governors</w:t>
      </w:r>
      <w:r w:rsidRPr="00E546B8">
        <w:rPr>
          <w:sz w:val="20"/>
        </w:rPr>
        <w:tab/>
      </w:r>
      <w:r w:rsidRPr="00E546B8">
        <w:rPr>
          <w:sz w:val="20"/>
        </w:rPr>
        <w:fldChar w:fldCharType="begin"/>
      </w:r>
      <w:r w:rsidRPr="00E546B8">
        <w:rPr>
          <w:sz w:val="20"/>
        </w:rPr>
        <w:instrText xml:space="preserve"> PAGEREF _Toc516577986 \h </w:instrText>
      </w:r>
      <w:r w:rsidRPr="00E546B8">
        <w:rPr>
          <w:sz w:val="20"/>
        </w:rPr>
      </w:r>
      <w:r w:rsidRPr="00E546B8">
        <w:rPr>
          <w:sz w:val="20"/>
        </w:rPr>
        <w:fldChar w:fldCharType="separate"/>
      </w:r>
      <w:r w:rsidRPr="00E546B8">
        <w:rPr>
          <w:sz w:val="20"/>
        </w:rPr>
        <w:t>5</w:t>
      </w:r>
      <w:r w:rsidRPr="00E546B8">
        <w:rPr>
          <w:sz w:val="20"/>
        </w:rPr>
        <w:fldChar w:fldCharType="end"/>
      </w:r>
    </w:p>
    <w:p w:rsidR="00E546B8" w:rsidRDefault="00E546B8" w:rsidP="00E546B8">
      <w:pPr>
        <w:pStyle w:val="TOC3"/>
        <w:rPr>
          <w:rFonts w:asciiTheme="minorHAnsi" w:eastAsiaTheme="minorEastAsia" w:hAnsiTheme="minorHAnsi" w:cstheme="minorBidi"/>
          <w:sz w:val="22"/>
          <w:szCs w:val="22"/>
        </w:rPr>
      </w:pPr>
      <w:r>
        <w:t>Ministers</w:t>
      </w:r>
      <w:r w:rsidRPr="00E546B8">
        <w:rPr>
          <w:sz w:val="20"/>
        </w:rPr>
        <w:tab/>
      </w:r>
      <w:r w:rsidRPr="00E546B8">
        <w:rPr>
          <w:sz w:val="20"/>
        </w:rPr>
        <w:fldChar w:fldCharType="begin"/>
      </w:r>
      <w:r w:rsidRPr="00E546B8">
        <w:rPr>
          <w:sz w:val="20"/>
        </w:rPr>
        <w:instrText xml:space="preserve"> PAGEREF _Toc516577987 \h </w:instrText>
      </w:r>
      <w:r w:rsidRPr="00E546B8">
        <w:rPr>
          <w:sz w:val="20"/>
        </w:rPr>
      </w:r>
      <w:r w:rsidRPr="00E546B8">
        <w:rPr>
          <w:sz w:val="20"/>
        </w:rPr>
        <w:fldChar w:fldCharType="separate"/>
      </w:r>
      <w:r w:rsidRPr="00E546B8">
        <w:rPr>
          <w:sz w:val="20"/>
        </w:rPr>
        <w:t>5</w:t>
      </w:r>
      <w:r w:rsidRPr="00E546B8">
        <w:rPr>
          <w:sz w:val="20"/>
        </w:rPr>
        <w:fldChar w:fldCharType="end"/>
      </w:r>
    </w:p>
    <w:p w:rsidR="00E546B8" w:rsidRDefault="00E546B8">
      <w:pPr>
        <w:pStyle w:val="TOC3"/>
        <w:rPr>
          <w:rFonts w:asciiTheme="minorHAnsi" w:eastAsiaTheme="minorEastAsia" w:hAnsiTheme="minorHAnsi" w:cstheme="minorBidi"/>
          <w:sz w:val="22"/>
          <w:szCs w:val="22"/>
        </w:rPr>
      </w:pPr>
      <w:r>
        <w:t>Treatment of ACT and NT</w:t>
      </w:r>
      <w:r w:rsidRPr="00E546B8">
        <w:rPr>
          <w:sz w:val="20"/>
        </w:rPr>
        <w:tab/>
      </w:r>
      <w:r w:rsidRPr="00E546B8">
        <w:rPr>
          <w:sz w:val="20"/>
        </w:rPr>
        <w:fldChar w:fldCharType="begin"/>
      </w:r>
      <w:r w:rsidRPr="00E546B8">
        <w:rPr>
          <w:sz w:val="20"/>
        </w:rPr>
        <w:instrText xml:space="preserve"> PAGEREF _Toc516577988 \h </w:instrText>
      </w:r>
      <w:r w:rsidRPr="00E546B8">
        <w:rPr>
          <w:sz w:val="20"/>
        </w:rPr>
      </w:r>
      <w:r w:rsidRPr="00E546B8">
        <w:rPr>
          <w:sz w:val="20"/>
        </w:rPr>
        <w:fldChar w:fldCharType="separate"/>
      </w:r>
      <w:r w:rsidRPr="00E546B8">
        <w:rPr>
          <w:sz w:val="20"/>
        </w:rPr>
        <w:t>5</w:t>
      </w:r>
      <w:r w:rsidRPr="00E546B8">
        <w:rPr>
          <w:sz w:val="20"/>
        </w:rPr>
        <w:fldChar w:fldCharType="end"/>
      </w:r>
    </w:p>
    <w:p w:rsidR="00E546B8" w:rsidRDefault="00E546B8">
      <w:pPr>
        <w:pStyle w:val="TOC3"/>
        <w:rPr>
          <w:rFonts w:asciiTheme="minorHAnsi" w:eastAsiaTheme="minorEastAsia" w:hAnsiTheme="minorHAnsi" w:cstheme="minorBidi"/>
          <w:sz w:val="22"/>
          <w:szCs w:val="22"/>
        </w:rPr>
      </w:pPr>
      <w:r>
        <w:t>Names of Territories (other than ACT and NT)</w:t>
      </w:r>
      <w:r w:rsidRPr="00E546B8">
        <w:rPr>
          <w:sz w:val="20"/>
        </w:rPr>
        <w:tab/>
      </w:r>
      <w:r w:rsidRPr="00E546B8">
        <w:rPr>
          <w:sz w:val="20"/>
        </w:rPr>
        <w:fldChar w:fldCharType="begin"/>
      </w:r>
      <w:r w:rsidRPr="00E546B8">
        <w:rPr>
          <w:sz w:val="20"/>
        </w:rPr>
        <w:instrText xml:space="preserve"> PAGEREF _Toc516577989 \h </w:instrText>
      </w:r>
      <w:r w:rsidRPr="00E546B8">
        <w:rPr>
          <w:sz w:val="20"/>
        </w:rPr>
      </w:r>
      <w:r w:rsidRPr="00E546B8">
        <w:rPr>
          <w:sz w:val="20"/>
        </w:rPr>
        <w:fldChar w:fldCharType="separate"/>
      </w:r>
      <w:r w:rsidRPr="00E546B8">
        <w:rPr>
          <w:sz w:val="20"/>
        </w:rPr>
        <w:t>6</w:t>
      </w:r>
      <w:r w:rsidRPr="00E546B8">
        <w:rPr>
          <w:sz w:val="20"/>
        </w:rPr>
        <w:fldChar w:fldCharType="end"/>
      </w:r>
    </w:p>
    <w:p w:rsidR="00E546B8" w:rsidRDefault="00E546B8">
      <w:pPr>
        <w:pStyle w:val="TOC2"/>
        <w:rPr>
          <w:rFonts w:asciiTheme="minorHAnsi" w:eastAsiaTheme="minorEastAsia" w:hAnsiTheme="minorHAnsi" w:cstheme="minorBidi"/>
          <w:b w:val="0"/>
          <w:sz w:val="22"/>
          <w:szCs w:val="22"/>
        </w:rPr>
      </w:pPr>
      <w:r>
        <w:t>Part 3—Application of legislation to external Territories</w:t>
      </w:r>
      <w:r w:rsidRPr="00E546B8">
        <w:rPr>
          <w:b w:val="0"/>
          <w:sz w:val="20"/>
        </w:rPr>
        <w:tab/>
      </w:r>
      <w:r w:rsidRPr="00E546B8">
        <w:rPr>
          <w:b w:val="0"/>
          <w:sz w:val="20"/>
        </w:rPr>
        <w:fldChar w:fldCharType="begin"/>
      </w:r>
      <w:r w:rsidRPr="00E546B8">
        <w:rPr>
          <w:b w:val="0"/>
          <w:sz w:val="20"/>
        </w:rPr>
        <w:instrText xml:space="preserve"> PAGEREF _Toc516577990 \h </w:instrText>
      </w:r>
      <w:r w:rsidRPr="00E546B8">
        <w:rPr>
          <w:b w:val="0"/>
          <w:sz w:val="20"/>
        </w:rPr>
      </w:r>
      <w:r w:rsidRPr="00E546B8">
        <w:rPr>
          <w:b w:val="0"/>
          <w:sz w:val="20"/>
        </w:rPr>
        <w:fldChar w:fldCharType="separate"/>
      </w:r>
      <w:r w:rsidRPr="00E546B8">
        <w:rPr>
          <w:b w:val="0"/>
          <w:sz w:val="20"/>
        </w:rPr>
        <w:t>6</w:t>
      </w:r>
      <w:r w:rsidRPr="00E546B8">
        <w:rPr>
          <w:b w:val="0"/>
          <w:sz w:val="20"/>
        </w:rPr>
        <w:fldChar w:fldCharType="end"/>
      </w:r>
    </w:p>
    <w:p w:rsidR="00E546B8" w:rsidRDefault="00E546B8">
      <w:pPr>
        <w:pStyle w:val="TOC3"/>
        <w:rPr>
          <w:rFonts w:asciiTheme="minorHAnsi" w:eastAsiaTheme="minorEastAsia" w:hAnsiTheme="minorHAnsi" w:cstheme="minorBidi"/>
          <w:sz w:val="22"/>
          <w:szCs w:val="22"/>
        </w:rPr>
      </w:pPr>
      <w:r>
        <w:t>Commonwealth Acts in force by default</w:t>
      </w:r>
      <w:r w:rsidRPr="00E546B8">
        <w:rPr>
          <w:sz w:val="20"/>
        </w:rPr>
        <w:tab/>
      </w:r>
      <w:r w:rsidRPr="00E546B8">
        <w:rPr>
          <w:sz w:val="20"/>
        </w:rPr>
        <w:fldChar w:fldCharType="begin"/>
      </w:r>
      <w:r w:rsidRPr="00E546B8">
        <w:rPr>
          <w:sz w:val="20"/>
        </w:rPr>
        <w:instrText xml:space="preserve"> PAGEREF _Toc516577991 \h </w:instrText>
      </w:r>
      <w:r w:rsidRPr="00E546B8">
        <w:rPr>
          <w:sz w:val="20"/>
        </w:rPr>
      </w:r>
      <w:r w:rsidRPr="00E546B8">
        <w:rPr>
          <w:sz w:val="20"/>
        </w:rPr>
        <w:fldChar w:fldCharType="separate"/>
      </w:r>
      <w:r w:rsidRPr="00E546B8">
        <w:rPr>
          <w:sz w:val="20"/>
        </w:rPr>
        <w:t>6</w:t>
      </w:r>
      <w:r w:rsidRPr="00E546B8">
        <w:rPr>
          <w:sz w:val="20"/>
        </w:rPr>
        <w:fldChar w:fldCharType="end"/>
      </w:r>
    </w:p>
    <w:p w:rsidR="00E546B8" w:rsidRDefault="00E546B8">
      <w:pPr>
        <w:pStyle w:val="TOC3"/>
        <w:rPr>
          <w:rFonts w:asciiTheme="minorHAnsi" w:eastAsiaTheme="minorEastAsia" w:hAnsiTheme="minorHAnsi" w:cstheme="minorBidi"/>
          <w:sz w:val="22"/>
          <w:szCs w:val="22"/>
        </w:rPr>
      </w:pPr>
      <w:r>
        <w:t>Commonwealth Acts not in force unless expressed to extend</w:t>
      </w:r>
      <w:r w:rsidRPr="00E546B8">
        <w:rPr>
          <w:sz w:val="20"/>
        </w:rPr>
        <w:tab/>
      </w:r>
      <w:r w:rsidRPr="00E546B8">
        <w:rPr>
          <w:sz w:val="20"/>
        </w:rPr>
        <w:fldChar w:fldCharType="begin"/>
      </w:r>
      <w:r w:rsidRPr="00E546B8">
        <w:rPr>
          <w:sz w:val="20"/>
        </w:rPr>
        <w:instrText xml:space="preserve"> PAGEREF _Toc516577992 \h </w:instrText>
      </w:r>
      <w:r w:rsidRPr="00E546B8">
        <w:rPr>
          <w:sz w:val="20"/>
        </w:rPr>
      </w:r>
      <w:r w:rsidRPr="00E546B8">
        <w:rPr>
          <w:sz w:val="20"/>
        </w:rPr>
        <w:fldChar w:fldCharType="separate"/>
      </w:r>
      <w:r w:rsidRPr="00E546B8">
        <w:rPr>
          <w:sz w:val="20"/>
        </w:rPr>
        <w:t>6</w:t>
      </w:r>
      <w:r w:rsidRPr="00E546B8">
        <w:rPr>
          <w:sz w:val="20"/>
        </w:rPr>
        <w:fldChar w:fldCharType="end"/>
      </w:r>
    </w:p>
    <w:p w:rsidR="00E546B8" w:rsidRDefault="00E546B8">
      <w:pPr>
        <w:pStyle w:val="TOC3"/>
        <w:rPr>
          <w:rFonts w:asciiTheme="minorHAnsi" w:eastAsiaTheme="minorEastAsia" w:hAnsiTheme="minorHAnsi" w:cstheme="minorBidi"/>
          <w:sz w:val="22"/>
          <w:szCs w:val="22"/>
        </w:rPr>
      </w:pPr>
      <w:r>
        <w:t>Form for extending</w:t>
      </w:r>
      <w:r w:rsidRPr="00E546B8">
        <w:rPr>
          <w:sz w:val="20"/>
        </w:rPr>
        <w:tab/>
      </w:r>
      <w:r w:rsidRPr="00E546B8">
        <w:rPr>
          <w:sz w:val="20"/>
        </w:rPr>
        <w:fldChar w:fldCharType="begin"/>
      </w:r>
      <w:r w:rsidRPr="00E546B8">
        <w:rPr>
          <w:sz w:val="20"/>
        </w:rPr>
        <w:instrText xml:space="preserve"> PAGEREF _Toc516577993 \h </w:instrText>
      </w:r>
      <w:r w:rsidRPr="00E546B8">
        <w:rPr>
          <w:sz w:val="20"/>
        </w:rPr>
      </w:r>
      <w:r w:rsidRPr="00E546B8">
        <w:rPr>
          <w:sz w:val="20"/>
        </w:rPr>
        <w:fldChar w:fldCharType="separate"/>
      </w:r>
      <w:r w:rsidRPr="00E546B8">
        <w:rPr>
          <w:sz w:val="20"/>
        </w:rPr>
        <w:t>6</w:t>
      </w:r>
      <w:r w:rsidRPr="00E546B8">
        <w:rPr>
          <w:sz w:val="20"/>
        </w:rPr>
        <w:fldChar w:fldCharType="end"/>
      </w:r>
    </w:p>
    <w:p w:rsidR="00E546B8" w:rsidRDefault="00E546B8" w:rsidP="00E546B8">
      <w:pPr>
        <w:pStyle w:val="TOC3"/>
        <w:rPr>
          <w:rFonts w:asciiTheme="minorHAnsi" w:eastAsiaTheme="minorEastAsia" w:hAnsiTheme="minorHAnsi" w:cstheme="minorBidi"/>
          <w:sz w:val="22"/>
          <w:szCs w:val="22"/>
        </w:rPr>
      </w:pPr>
      <w:r>
        <w:t>“Australia”</w:t>
      </w:r>
      <w:r w:rsidRPr="00E546B8">
        <w:rPr>
          <w:sz w:val="20"/>
        </w:rPr>
        <w:tab/>
      </w:r>
      <w:r w:rsidRPr="00E546B8">
        <w:rPr>
          <w:sz w:val="20"/>
        </w:rPr>
        <w:fldChar w:fldCharType="begin"/>
      </w:r>
      <w:r w:rsidRPr="00E546B8">
        <w:rPr>
          <w:sz w:val="20"/>
        </w:rPr>
        <w:instrText xml:space="preserve"> PAGEREF _Toc516577994 \h </w:instrText>
      </w:r>
      <w:r w:rsidRPr="00E546B8">
        <w:rPr>
          <w:sz w:val="20"/>
        </w:rPr>
      </w:r>
      <w:r w:rsidRPr="00E546B8">
        <w:rPr>
          <w:sz w:val="20"/>
        </w:rPr>
        <w:fldChar w:fldCharType="separate"/>
      </w:r>
      <w:r w:rsidRPr="00E546B8">
        <w:rPr>
          <w:sz w:val="20"/>
        </w:rPr>
        <w:t>6</w:t>
      </w:r>
      <w:r w:rsidRPr="00E546B8">
        <w:rPr>
          <w:sz w:val="20"/>
        </w:rPr>
        <w:fldChar w:fldCharType="end"/>
      </w:r>
    </w:p>
    <w:p w:rsidR="00E546B8" w:rsidRDefault="00E546B8">
      <w:pPr>
        <w:pStyle w:val="TOC2"/>
        <w:rPr>
          <w:rFonts w:asciiTheme="minorHAnsi" w:eastAsiaTheme="minorEastAsia" w:hAnsiTheme="minorHAnsi" w:cstheme="minorBidi"/>
          <w:b w:val="0"/>
          <w:sz w:val="22"/>
          <w:szCs w:val="22"/>
        </w:rPr>
      </w:pPr>
      <w:r>
        <w:t>Part 4—States grants</w:t>
      </w:r>
      <w:r w:rsidRPr="00E546B8">
        <w:rPr>
          <w:b w:val="0"/>
          <w:sz w:val="20"/>
        </w:rPr>
        <w:tab/>
      </w:r>
      <w:r w:rsidRPr="00E546B8">
        <w:rPr>
          <w:b w:val="0"/>
          <w:sz w:val="20"/>
        </w:rPr>
        <w:fldChar w:fldCharType="begin"/>
      </w:r>
      <w:r w:rsidRPr="00E546B8">
        <w:rPr>
          <w:b w:val="0"/>
          <w:sz w:val="20"/>
        </w:rPr>
        <w:instrText xml:space="preserve"> PAGEREF _Toc516577995 \h </w:instrText>
      </w:r>
      <w:r w:rsidRPr="00E546B8">
        <w:rPr>
          <w:b w:val="0"/>
          <w:sz w:val="20"/>
        </w:rPr>
      </w:r>
      <w:r w:rsidRPr="00E546B8">
        <w:rPr>
          <w:b w:val="0"/>
          <w:sz w:val="20"/>
        </w:rPr>
        <w:fldChar w:fldCharType="separate"/>
      </w:r>
      <w:r w:rsidRPr="00E546B8">
        <w:rPr>
          <w:b w:val="0"/>
          <w:sz w:val="20"/>
        </w:rPr>
        <w:t>7</w:t>
      </w:r>
      <w:r w:rsidRPr="00E546B8">
        <w:rPr>
          <w:b w:val="0"/>
          <w:sz w:val="20"/>
        </w:rPr>
        <w:fldChar w:fldCharType="end"/>
      </w:r>
    </w:p>
    <w:p w:rsidR="00E546B8" w:rsidRDefault="00E546B8">
      <w:pPr>
        <w:pStyle w:val="TOC3"/>
        <w:rPr>
          <w:rFonts w:asciiTheme="minorHAnsi" w:eastAsiaTheme="minorEastAsia" w:hAnsiTheme="minorHAnsi" w:cstheme="minorBidi"/>
          <w:sz w:val="22"/>
          <w:szCs w:val="22"/>
        </w:rPr>
      </w:pPr>
      <w:r>
        <w:t>Full reimbursement</w:t>
      </w:r>
      <w:r w:rsidRPr="00E546B8">
        <w:rPr>
          <w:sz w:val="20"/>
        </w:rPr>
        <w:tab/>
      </w:r>
      <w:r w:rsidRPr="00E546B8">
        <w:rPr>
          <w:sz w:val="20"/>
        </w:rPr>
        <w:fldChar w:fldCharType="begin"/>
      </w:r>
      <w:r w:rsidRPr="00E546B8">
        <w:rPr>
          <w:sz w:val="20"/>
        </w:rPr>
        <w:instrText xml:space="preserve"> PAGEREF _Toc516577996 \h </w:instrText>
      </w:r>
      <w:r w:rsidRPr="00E546B8">
        <w:rPr>
          <w:sz w:val="20"/>
        </w:rPr>
      </w:r>
      <w:r w:rsidRPr="00E546B8">
        <w:rPr>
          <w:sz w:val="20"/>
        </w:rPr>
        <w:fldChar w:fldCharType="separate"/>
      </w:r>
      <w:r w:rsidRPr="00E546B8">
        <w:rPr>
          <w:sz w:val="20"/>
        </w:rPr>
        <w:t>7</w:t>
      </w:r>
      <w:r w:rsidRPr="00E546B8">
        <w:rPr>
          <w:sz w:val="20"/>
        </w:rPr>
        <w:fldChar w:fldCharType="end"/>
      </w:r>
    </w:p>
    <w:p w:rsidR="00E546B8" w:rsidRDefault="00E546B8">
      <w:pPr>
        <w:pStyle w:val="TOC3"/>
        <w:rPr>
          <w:rFonts w:asciiTheme="minorHAnsi" w:eastAsiaTheme="minorEastAsia" w:hAnsiTheme="minorHAnsi" w:cstheme="minorBidi"/>
          <w:sz w:val="22"/>
          <w:szCs w:val="22"/>
        </w:rPr>
      </w:pPr>
      <w:r>
        <w:t>Partial reimbursement</w:t>
      </w:r>
      <w:r w:rsidRPr="00E546B8">
        <w:rPr>
          <w:sz w:val="20"/>
        </w:rPr>
        <w:tab/>
      </w:r>
      <w:r w:rsidRPr="00E546B8">
        <w:rPr>
          <w:sz w:val="20"/>
        </w:rPr>
        <w:fldChar w:fldCharType="begin"/>
      </w:r>
      <w:r w:rsidRPr="00E546B8">
        <w:rPr>
          <w:sz w:val="20"/>
        </w:rPr>
        <w:instrText xml:space="preserve"> PAGEREF _Toc516577997 \h </w:instrText>
      </w:r>
      <w:r w:rsidRPr="00E546B8">
        <w:rPr>
          <w:sz w:val="20"/>
        </w:rPr>
      </w:r>
      <w:r w:rsidRPr="00E546B8">
        <w:rPr>
          <w:sz w:val="20"/>
        </w:rPr>
        <w:fldChar w:fldCharType="separate"/>
      </w:r>
      <w:r w:rsidRPr="00E546B8">
        <w:rPr>
          <w:sz w:val="20"/>
        </w:rPr>
        <w:t>7</w:t>
      </w:r>
      <w:r w:rsidRPr="00E546B8">
        <w:rPr>
          <w:sz w:val="20"/>
        </w:rPr>
        <w:fldChar w:fldCharType="end"/>
      </w:r>
    </w:p>
    <w:p w:rsidR="00E546B8" w:rsidRDefault="00E546B8">
      <w:pPr>
        <w:pStyle w:val="TOC3"/>
        <w:rPr>
          <w:rFonts w:asciiTheme="minorHAnsi" w:eastAsiaTheme="minorEastAsia" w:hAnsiTheme="minorHAnsi" w:cstheme="minorBidi"/>
          <w:sz w:val="22"/>
          <w:szCs w:val="22"/>
        </w:rPr>
      </w:pPr>
      <w:r>
        <w:t>Grant subject to condition subsequent</w:t>
      </w:r>
      <w:r w:rsidRPr="00E546B8">
        <w:rPr>
          <w:sz w:val="20"/>
        </w:rPr>
        <w:tab/>
      </w:r>
      <w:r w:rsidRPr="00E546B8">
        <w:rPr>
          <w:sz w:val="20"/>
        </w:rPr>
        <w:fldChar w:fldCharType="begin"/>
      </w:r>
      <w:r w:rsidRPr="00E546B8">
        <w:rPr>
          <w:sz w:val="20"/>
        </w:rPr>
        <w:instrText xml:space="preserve"> PAGEREF _Toc516577998 \h </w:instrText>
      </w:r>
      <w:r w:rsidRPr="00E546B8">
        <w:rPr>
          <w:sz w:val="20"/>
        </w:rPr>
      </w:r>
      <w:r w:rsidRPr="00E546B8">
        <w:rPr>
          <w:sz w:val="20"/>
        </w:rPr>
        <w:fldChar w:fldCharType="separate"/>
      </w:r>
      <w:r w:rsidRPr="00E546B8">
        <w:rPr>
          <w:sz w:val="20"/>
        </w:rPr>
        <w:t>7</w:t>
      </w:r>
      <w:r w:rsidRPr="00E546B8">
        <w:rPr>
          <w:sz w:val="20"/>
        </w:rPr>
        <w:fldChar w:fldCharType="end"/>
      </w:r>
    </w:p>
    <w:p w:rsidR="00E546B8" w:rsidRDefault="00E546B8" w:rsidP="00E546B8">
      <w:pPr>
        <w:pStyle w:val="TOC3"/>
        <w:rPr>
          <w:rFonts w:asciiTheme="minorHAnsi" w:eastAsiaTheme="minorEastAsia" w:hAnsiTheme="minorHAnsi" w:cstheme="minorBidi"/>
          <w:sz w:val="22"/>
          <w:szCs w:val="22"/>
        </w:rPr>
      </w:pPr>
      <w:r>
        <w:t>Matching grants</w:t>
      </w:r>
      <w:r w:rsidRPr="00E546B8">
        <w:rPr>
          <w:sz w:val="20"/>
        </w:rPr>
        <w:tab/>
      </w:r>
      <w:r w:rsidRPr="00E546B8">
        <w:rPr>
          <w:sz w:val="20"/>
        </w:rPr>
        <w:fldChar w:fldCharType="begin"/>
      </w:r>
      <w:r w:rsidRPr="00E546B8">
        <w:rPr>
          <w:sz w:val="20"/>
        </w:rPr>
        <w:instrText xml:space="preserve"> PAGEREF _Toc516577999 \h </w:instrText>
      </w:r>
      <w:r w:rsidRPr="00E546B8">
        <w:rPr>
          <w:sz w:val="20"/>
        </w:rPr>
      </w:r>
      <w:r w:rsidRPr="00E546B8">
        <w:rPr>
          <w:sz w:val="20"/>
        </w:rPr>
        <w:fldChar w:fldCharType="separate"/>
      </w:r>
      <w:r w:rsidRPr="00E546B8">
        <w:rPr>
          <w:sz w:val="20"/>
        </w:rPr>
        <w:t>8</w:t>
      </w:r>
      <w:r w:rsidRPr="00E546B8">
        <w:rPr>
          <w:sz w:val="20"/>
        </w:rPr>
        <w:fldChar w:fldCharType="end"/>
      </w:r>
    </w:p>
    <w:p w:rsidR="00E546B8" w:rsidRDefault="00E546B8">
      <w:pPr>
        <w:pStyle w:val="TOC3"/>
        <w:rPr>
          <w:rFonts w:asciiTheme="minorHAnsi" w:eastAsiaTheme="minorEastAsia" w:hAnsiTheme="minorHAnsi" w:cstheme="minorBidi"/>
          <w:sz w:val="22"/>
          <w:szCs w:val="22"/>
        </w:rPr>
      </w:pPr>
      <w:r>
        <w:t>Reimbursement arrangements preferable</w:t>
      </w:r>
      <w:r w:rsidRPr="00E546B8">
        <w:rPr>
          <w:sz w:val="20"/>
        </w:rPr>
        <w:tab/>
      </w:r>
      <w:r w:rsidRPr="00E546B8">
        <w:rPr>
          <w:sz w:val="20"/>
        </w:rPr>
        <w:fldChar w:fldCharType="begin"/>
      </w:r>
      <w:r w:rsidRPr="00E546B8">
        <w:rPr>
          <w:sz w:val="20"/>
        </w:rPr>
        <w:instrText xml:space="preserve"> PAGEREF _Toc516578000 \h </w:instrText>
      </w:r>
      <w:r w:rsidRPr="00E546B8">
        <w:rPr>
          <w:sz w:val="20"/>
        </w:rPr>
      </w:r>
      <w:r w:rsidRPr="00E546B8">
        <w:rPr>
          <w:sz w:val="20"/>
        </w:rPr>
        <w:fldChar w:fldCharType="separate"/>
      </w:r>
      <w:r w:rsidRPr="00E546B8">
        <w:rPr>
          <w:sz w:val="20"/>
        </w:rPr>
        <w:t>8</w:t>
      </w:r>
      <w:r w:rsidRPr="00E546B8">
        <w:rPr>
          <w:sz w:val="20"/>
        </w:rPr>
        <w:fldChar w:fldCharType="end"/>
      </w:r>
    </w:p>
    <w:p w:rsidR="00E546B8" w:rsidRDefault="00E546B8">
      <w:pPr>
        <w:pStyle w:val="TOC2"/>
        <w:rPr>
          <w:rFonts w:asciiTheme="minorHAnsi" w:eastAsiaTheme="minorEastAsia" w:hAnsiTheme="minorHAnsi" w:cstheme="minorBidi"/>
          <w:b w:val="0"/>
          <w:sz w:val="22"/>
          <w:szCs w:val="22"/>
        </w:rPr>
      </w:pPr>
      <w:r>
        <w:t>Part 5—State land titles functions</w:t>
      </w:r>
      <w:r w:rsidRPr="00E546B8">
        <w:rPr>
          <w:b w:val="0"/>
          <w:sz w:val="20"/>
        </w:rPr>
        <w:tab/>
      </w:r>
      <w:r w:rsidRPr="00E546B8">
        <w:rPr>
          <w:b w:val="0"/>
          <w:sz w:val="20"/>
        </w:rPr>
        <w:fldChar w:fldCharType="begin"/>
      </w:r>
      <w:r w:rsidRPr="00E546B8">
        <w:rPr>
          <w:b w:val="0"/>
          <w:sz w:val="20"/>
        </w:rPr>
        <w:instrText xml:space="preserve"> PAGEREF _Toc516578001 \h </w:instrText>
      </w:r>
      <w:r w:rsidRPr="00E546B8">
        <w:rPr>
          <w:b w:val="0"/>
          <w:sz w:val="20"/>
        </w:rPr>
      </w:r>
      <w:r w:rsidRPr="00E546B8">
        <w:rPr>
          <w:b w:val="0"/>
          <w:sz w:val="20"/>
        </w:rPr>
        <w:fldChar w:fldCharType="separate"/>
      </w:r>
      <w:r w:rsidRPr="00E546B8">
        <w:rPr>
          <w:b w:val="0"/>
          <w:sz w:val="20"/>
        </w:rPr>
        <w:t>8</w:t>
      </w:r>
      <w:r w:rsidRPr="00E546B8">
        <w:rPr>
          <w:b w:val="0"/>
          <w:sz w:val="20"/>
        </w:rPr>
        <w:fldChar w:fldCharType="end"/>
      </w:r>
    </w:p>
    <w:p w:rsidR="00E546B8" w:rsidRPr="00E546B8" w:rsidRDefault="00E546B8" w:rsidP="00E546B8">
      <w:pPr>
        <w:pStyle w:val="TOC2"/>
        <w:rPr>
          <w:rFonts w:eastAsiaTheme="minorEastAsia"/>
          <w:b w:val="0"/>
          <w:sz w:val="20"/>
          <w:szCs w:val="22"/>
        </w:rPr>
      </w:pPr>
      <w:r>
        <w:t>Attachment A</w:t>
      </w:r>
      <w:r w:rsidRPr="00E546B8">
        <w:rPr>
          <w:b w:val="0"/>
          <w:sz w:val="20"/>
        </w:rPr>
        <w:tab/>
      </w:r>
      <w:r w:rsidRPr="00E546B8">
        <w:rPr>
          <w:b w:val="0"/>
          <w:sz w:val="20"/>
        </w:rPr>
        <w:fldChar w:fldCharType="begin"/>
      </w:r>
      <w:r w:rsidRPr="00E546B8">
        <w:rPr>
          <w:b w:val="0"/>
          <w:sz w:val="20"/>
        </w:rPr>
        <w:instrText xml:space="preserve"> PAGEREF _Toc516578002 \h </w:instrText>
      </w:r>
      <w:r w:rsidRPr="00E546B8">
        <w:rPr>
          <w:b w:val="0"/>
          <w:sz w:val="20"/>
        </w:rPr>
      </w:r>
      <w:r w:rsidRPr="00E546B8">
        <w:rPr>
          <w:b w:val="0"/>
          <w:sz w:val="20"/>
        </w:rPr>
        <w:fldChar w:fldCharType="separate"/>
      </w:r>
      <w:r w:rsidRPr="00E546B8">
        <w:rPr>
          <w:b w:val="0"/>
          <w:sz w:val="20"/>
        </w:rPr>
        <w:t>9</w:t>
      </w:r>
      <w:r w:rsidRPr="00E546B8">
        <w:rPr>
          <w:b w:val="0"/>
          <w:sz w:val="20"/>
        </w:rPr>
        <w:fldChar w:fldCharType="end"/>
      </w:r>
    </w:p>
    <w:p w:rsidR="00D17922" w:rsidRPr="00E546B8" w:rsidRDefault="006A2117" w:rsidP="00E546B8">
      <w:pPr>
        <w:rPr>
          <w:sz w:val="32"/>
        </w:rPr>
      </w:pPr>
      <w:r w:rsidRPr="00E546B8">
        <w:rPr>
          <w:rFonts w:cs="Times New Roman"/>
          <w:sz w:val="20"/>
        </w:rPr>
        <w:fldChar w:fldCharType="end"/>
      </w:r>
    </w:p>
    <w:p w:rsidR="0057516C" w:rsidRPr="00E546B8" w:rsidRDefault="0057516C" w:rsidP="00E546B8">
      <w:pPr>
        <w:pStyle w:val="Head2"/>
      </w:pPr>
      <w:r w:rsidRPr="00E546B8">
        <w:br w:type="page"/>
      </w:r>
      <w:bookmarkStart w:id="1" w:name="_Toc516577971"/>
      <w:r w:rsidRPr="00E546B8">
        <w:lastRenderedPageBreak/>
        <w:t>Part 1—Binding the Crown</w:t>
      </w:r>
      <w:bookmarkEnd w:id="1"/>
    </w:p>
    <w:p w:rsidR="0057516C" w:rsidRPr="00E546B8" w:rsidRDefault="0057516C" w:rsidP="00E546B8">
      <w:pPr>
        <w:pStyle w:val="Head3"/>
      </w:pPr>
      <w:bookmarkStart w:id="2" w:name="_Toc516577972"/>
      <w:r w:rsidRPr="00E546B8">
        <w:t>Rules of statutory interpretation</w:t>
      </w:r>
      <w:bookmarkEnd w:id="2"/>
    </w:p>
    <w:p w:rsidR="0057516C" w:rsidRPr="00E546B8" w:rsidRDefault="0057516C" w:rsidP="0060577B">
      <w:pPr>
        <w:pStyle w:val="BodyNum"/>
      </w:pPr>
      <w:r w:rsidRPr="00E546B8">
        <w:t xml:space="preserve">Rules of statutory interpretation govern the question whether, and to what extent, a Commonwealth Act binds the Crown. In </w:t>
      </w:r>
      <w:r w:rsidRPr="00E546B8">
        <w:rPr>
          <w:i/>
        </w:rPr>
        <w:t>Jacobsen v Rogers</w:t>
      </w:r>
      <w:r w:rsidRPr="00E546B8">
        <w:t xml:space="preserve"> (1995) 127 ALR 159, the High Court affirmed 2 basic principles:</w:t>
      </w:r>
    </w:p>
    <w:p w:rsidR="0057516C" w:rsidRPr="00E546B8" w:rsidRDefault="0057516C" w:rsidP="0060577B">
      <w:pPr>
        <w:pStyle w:val="BodyParaBullet"/>
      </w:pPr>
      <w:r w:rsidRPr="00E546B8">
        <w:t>there is a presumption that a Commonwealth Act is not intended to bind the Crown in right of the various States as well as the Crown in right of the Commonwealth (</w:t>
      </w:r>
      <w:r w:rsidRPr="00E546B8">
        <w:rPr>
          <w:i/>
        </w:rPr>
        <w:t>Bradken Consolidated v BHP</w:t>
      </w:r>
      <w:r w:rsidRPr="00E546B8">
        <w:t xml:space="preserve"> (1979) 145 CLR 107). Although the Court did not specifically address the point, this principle would also apply to the Australian Capital Territory</w:t>
      </w:r>
      <w:r w:rsidR="00F91146" w:rsidRPr="00E546B8">
        <w:t xml:space="preserve"> and</w:t>
      </w:r>
      <w:r w:rsidRPr="00E546B8">
        <w:t xml:space="preserve"> the Northern Territory.</w:t>
      </w:r>
    </w:p>
    <w:p w:rsidR="0057516C" w:rsidRPr="00E546B8" w:rsidRDefault="0057516C" w:rsidP="0060577B">
      <w:pPr>
        <w:pStyle w:val="BodyParaBullet"/>
      </w:pPr>
      <w:r w:rsidRPr="00E546B8">
        <w:t>the presumption is rebutted if, when construed in its context (including its subject matter and disclosed purpose and policy), the Act discloses a legislative intention to bind the Crown (</w:t>
      </w:r>
      <w:r w:rsidRPr="00E546B8">
        <w:rPr>
          <w:i/>
        </w:rPr>
        <w:t>Bropho v Western Australia</w:t>
      </w:r>
      <w:r w:rsidRPr="00E546B8">
        <w:t xml:space="preserve"> (1990) 171CLR 1). However, the old rule that the Crown was only bound by a statute by express mention or necessary implication had to be taken into account in construing those Acts enacted after the rule was formulated in </w:t>
      </w:r>
      <w:r w:rsidRPr="00E546B8">
        <w:rPr>
          <w:i/>
        </w:rPr>
        <w:t>Province of Bombay v Municipal</w:t>
      </w:r>
      <w:r w:rsidRPr="00E546B8">
        <w:t xml:space="preserve"> </w:t>
      </w:r>
      <w:r w:rsidRPr="00E546B8">
        <w:rPr>
          <w:i/>
        </w:rPr>
        <w:t>Corp of Bombay</w:t>
      </w:r>
      <w:r w:rsidRPr="00E546B8">
        <w:t xml:space="preserve"> [1947] AC 58 and before the decision in </w:t>
      </w:r>
      <w:r w:rsidRPr="00E546B8">
        <w:rPr>
          <w:i/>
        </w:rPr>
        <w:t>Bropho</w:t>
      </w:r>
      <w:r w:rsidRPr="00E546B8">
        <w:t>.</w:t>
      </w:r>
    </w:p>
    <w:p w:rsidR="005626D4" w:rsidRPr="00E546B8" w:rsidRDefault="005626D4" w:rsidP="005626D4">
      <w:pPr>
        <w:pStyle w:val="BodyNum"/>
      </w:pPr>
      <w:r w:rsidRPr="00E546B8">
        <w:t>If a provision of an Act binds the Crown, a legislative instrument made for that provision will have the same operation.</w:t>
      </w:r>
    </w:p>
    <w:p w:rsidR="0057516C" w:rsidRPr="00E546B8" w:rsidRDefault="0057516C" w:rsidP="00E546B8">
      <w:pPr>
        <w:pStyle w:val="Head3"/>
      </w:pPr>
      <w:bookmarkStart w:id="3" w:name="_Toc516577973"/>
      <w:r w:rsidRPr="00E546B8">
        <w:t>Express provisions—binding the Crown</w:t>
      </w:r>
      <w:bookmarkEnd w:id="3"/>
    </w:p>
    <w:p w:rsidR="0057516C" w:rsidRPr="00E546B8" w:rsidRDefault="0057516C" w:rsidP="0060577B">
      <w:pPr>
        <w:pStyle w:val="BodyNum"/>
      </w:pPr>
      <w:bookmarkStart w:id="4" w:name="_Ref269392980"/>
      <w:r w:rsidRPr="00E546B8">
        <w:t xml:space="preserve">Despite the recent relaxation of the presumption against binding the Crown in </w:t>
      </w:r>
      <w:r w:rsidRPr="00E546B8">
        <w:rPr>
          <w:i/>
        </w:rPr>
        <w:t>Bropho</w:t>
      </w:r>
      <w:r w:rsidRPr="00E546B8">
        <w:t>, all Bills in which the Crown is to be bound should clearly state this intention, and should specify the extent to which the Crown is to be bound. Wording along the following lines should be used to cover the cases indicated.</w:t>
      </w:r>
      <w:bookmarkEnd w:id="4"/>
    </w:p>
    <w:p w:rsidR="0057516C" w:rsidRPr="00E546B8" w:rsidRDefault="0057516C" w:rsidP="00E546B8">
      <w:pPr>
        <w:pStyle w:val="Head4"/>
      </w:pPr>
      <w:bookmarkStart w:id="5" w:name="_Toc516577974"/>
      <w:r w:rsidRPr="00E546B8">
        <w:t>Commonwealth, States and Territories</w:t>
      </w:r>
      <w:bookmarkEnd w:id="5"/>
    </w:p>
    <w:p w:rsidR="0057516C" w:rsidRPr="00E546B8" w:rsidRDefault="0057516C" w:rsidP="0057516C">
      <w:pPr>
        <w:pStyle w:val="subsection"/>
      </w:pPr>
      <w:r w:rsidRPr="00E546B8">
        <w:tab/>
      </w:r>
      <w:r w:rsidRPr="00E546B8">
        <w:tab/>
        <w:t>This Act binds the Crown in right of the Commonwealth, of each of the States, of t</w:t>
      </w:r>
      <w:r w:rsidR="009D2B93" w:rsidRPr="00E546B8">
        <w:t>he Australian Capital Territory and</w:t>
      </w:r>
      <w:r w:rsidRPr="00E546B8">
        <w:t xml:space="preserve"> of the Northern Territory.</w:t>
      </w:r>
    </w:p>
    <w:p w:rsidR="0057516C" w:rsidRPr="00E546B8" w:rsidRDefault="0057516C" w:rsidP="0057516C">
      <w:pPr>
        <w:pStyle w:val="Body"/>
        <w:rPr>
          <w:i/>
        </w:rPr>
      </w:pPr>
      <w:r w:rsidRPr="00E546B8">
        <w:rPr>
          <w:i/>
        </w:rPr>
        <w:t>or</w:t>
      </w:r>
    </w:p>
    <w:p w:rsidR="0057516C" w:rsidRPr="00E546B8" w:rsidRDefault="0057516C" w:rsidP="0057516C">
      <w:pPr>
        <w:pStyle w:val="subsection"/>
        <w:rPr>
          <w:b/>
          <w:i/>
        </w:rPr>
      </w:pPr>
      <w:r w:rsidRPr="00E546B8">
        <w:tab/>
      </w:r>
      <w:r w:rsidRPr="00E546B8">
        <w:tab/>
        <w:t>This Act binds the Crown in each of its capacities.</w:t>
      </w:r>
    </w:p>
    <w:p w:rsidR="0057516C" w:rsidRPr="00E546B8" w:rsidRDefault="0057516C" w:rsidP="00E546B8">
      <w:pPr>
        <w:pStyle w:val="Head4"/>
      </w:pPr>
      <w:bookmarkStart w:id="6" w:name="_Toc516577975"/>
      <w:r w:rsidRPr="00E546B8">
        <w:t>Commonwealth only</w:t>
      </w:r>
      <w:bookmarkEnd w:id="6"/>
    </w:p>
    <w:p w:rsidR="0057516C" w:rsidRPr="00E546B8" w:rsidRDefault="0057516C" w:rsidP="0057516C">
      <w:pPr>
        <w:pStyle w:val="subsection"/>
      </w:pPr>
      <w:r w:rsidRPr="00E546B8">
        <w:tab/>
      </w:r>
      <w:r w:rsidRPr="00E546B8">
        <w:tab/>
        <w:t>This Act binds the Crown in right of the Commonwealth. However, it does not bind the Crown in right of a State, of the Australian Capital Territory</w:t>
      </w:r>
      <w:r w:rsidR="009D2B93" w:rsidRPr="00E546B8">
        <w:t xml:space="preserve"> or</w:t>
      </w:r>
      <w:r w:rsidRPr="00E546B8">
        <w:t xml:space="preserve"> of the Northern Territory.</w:t>
      </w:r>
    </w:p>
    <w:p w:rsidR="0057516C" w:rsidRPr="00E546B8" w:rsidRDefault="0057516C" w:rsidP="00E546B8">
      <w:pPr>
        <w:pStyle w:val="Head4"/>
      </w:pPr>
      <w:bookmarkStart w:id="7" w:name="_Toc516577976"/>
      <w:r w:rsidRPr="00E546B8">
        <w:t>States and Territories only</w:t>
      </w:r>
      <w:bookmarkEnd w:id="7"/>
    </w:p>
    <w:p w:rsidR="0057516C" w:rsidRPr="00E546B8" w:rsidRDefault="0057516C" w:rsidP="0057516C">
      <w:pPr>
        <w:pStyle w:val="subsection"/>
      </w:pPr>
      <w:r w:rsidRPr="00E546B8">
        <w:tab/>
      </w:r>
      <w:r w:rsidRPr="00E546B8">
        <w:tab/>
        <w:t>This Act binds the Crown in right of each of the States, of t</w:t>
      </w:r>
      <w:r w:rsidR="009D2B93" w:rsidRPr="00E546B8">
        <w:t>he Australian Capital Territory and</w:t>
      </w:r>
      <w:r w:rsidRPr="00E546B8">
        <w:t xml:space="preserve"> of the Northern Territory. However, it does not bind the Crown in right of the Commonwealth.</w:t>
      </w:r>
    </w:p>
    <w:p w:rsidR="0057516C" w:rsidRPr="00E546B8" w:rsidRDefault="0057516C" w:rsidP="00E546B8">
      <w:pPr>
        <w:pStyle w:val="Head4"/>
      </w:pPr>
      <w:bookmarkStart w:id="8" w:name="_Toc516577977"/>
      <w:r w:rsidRPr="00E546B8">
        <w:lastRenderedPageBreak/>
        <w:t>States only</w:t>
      </w:r>
      <w:bookmarkEnd w:id="8"/>
    </w:p>
    <w:p w:rsidR="0057516C" w:rsidRPr="00E546B8" w:rsidRDefault="0057516C" w:rsidP="0057516C">
      <w:pPr>
        <w:pStyle w:val="subsection"/>
      </w:pPr>
      <w:r w:rsidRPr="00E546B8">
        <w:tab/>
      </w:r>
      <w:r w:rsidRPr="00E546B8">
        <w:tab/>
        <w:t>This Act binds the Crown in right of each of the States. However, it does not bind the Crown in right of the Commonwealth, of the Australian Capital Territory</w:t>
      </w:r>
      <w:r w:rsidR="009D2B93" w:rsidRPr="00E546B8">
        <w:t xml:space="preserve"> or</w:t>
      </w:r>
      <w:r w:rsidRPr="00E546B8">
        <w:t xml:space="preserve"> of the Northern Territory.</w:t>
      </w:r>
    </w:p>
    <w:p w:rsidR="0057516C" w:rsidRPr="00E546B8" w:rsidRDefault="0057516C" w:rsidP="0060577B">
      <w:pPr>
        <w:pStyle w:val="BodyNum"/>
      </w:pPr>
      <w:r w:rsidRPr="00E546B8">
        <w:t>These examples do not cover all possible variations, but the wording of any other variations should be self</w:t>
      </w:r>
      <w:r w:rsidR="00762328" w:rsidRPr="00E546B8">
        <w:noBreakHyphen/>
      </w:r>
      <w:r w:rsidRPr="00E546B8">
        <w:t>evident.</w:t>
      </w:r>
    </w:p>
    <w:p w:rsidR="0057516C" w:rsidRPr="00E546B8" w:rsidRDefault="0057516C" w:rsidP="00E546B8">
      <w:pPr>
        <w:pStyle w:val="Head3"/>
      </w:pPr>
      <w:bookmarkStart w:id="9" w:name="_Toc516577978"/>
      <w:r w:rsidRPr="00E546B8">
        <w:t>Crown not liable to prosecution</w:t>
      </w:r>
      <w:bookmarkEnd w:id="9"/>
    </w:p>
    <w:p w:rsidR="0057516C" w:rsidRPr="00E546B8" w:rsidRDefault="0057516C" w:rsidP="0060577B">
      <w:pPr>
        <w:pStyle w:val="BodyNum"/>
      </w:pPr>
      <w:r w:rsidRPr="00E546B8">
        <w:t>If it is necessary to provide expressly that the Crown in all relevant (i</w:t>
      </w:r>
      <w:r w:rsidR="003E1152" w:rsidRPr="00E546B8">
        <w:t>.</w:t>
      </w:r>
      <w:r w:rsidRPr="00E546B8">
        <w:t>e. Australian capacities) is not liable to prosecution, there is no need to list all the relevant capacities, e</w:t>
      </w:r>
      <w:r w:rsidR="003E1152" w:rsidRPr="00E546B8">
        <w:t>.</w:t>
      </w:r>
      <w:r w:rsidRPr="00E546B8">
        <w:t>g</w:t>
      </w:r>
      <w:r w:rsidR="003E1152" w:rsidRPr="00E546B8">
        <w:t>.</w:t>
      </w:r>
      <w:r w:rsidRPr="00E546B8">
        <w:t>:</w:t>
      </w:r>
    </w:p>
    <w:p w:rsidR="0057516C" w:rsidRPr="00E546B8" w:rsidRDefault="0057516C" w:rsidP="0057516C">
      <w:pPr>
        <w:pStyle w:val="subsection"/>
      </w:pPr>
      <w:r w:rsidRPr="00E546B8">
        <w:tab/>
      </w:r>
      <w:r w:rsidRPr="00E546B8">
        <w:tab/>
        <w:t>This Act does not make the Crown liable to be prosecuted for an offence.</w:t>
      </w:r>
    </w:p>
    <w:p w:rsidR="0057516C" w:rsidRPr="00E546B8" w:rsidRDefault="0057516C" w:rsidP="0060577B">
      <w:pPr>
        <w:pStyle w:val="BodyNum"/>
      </w:pPr>
      <w:r w:rsidRPr="00E546B8">
        <w:t>If the Crown is to be protected from prosecution in some but not all capacities (unlikely but not impossible), the provision will need to be specific.</w:t>
      </w:r>
    </w:p>
    <w:p w:rsidR="0057516C" w:rsidRPr="00E546B8" w:rsidRDefault="0057516C" w:rsidP="00E546B8">
      <w:pPr>
        <w:pStyle w:val="Head3"/>
      </w:pPr>
      <w:bookmarkStart w:id="10" w:name="_Toc516577979"/>
      <w:r w:rsidRPr="00E546B8">
        <w:t>Express provision—Crown not bound</w:t>
      </w:r>
      <w:bookmarkEnd w:id="10"/>
    </w:p>
    <w:p w:rsidR="0057516C" w:rsidRPr="00E546B8" w:rsidRDefault="0057516C" w:rsidP="0060577B">
      <w:pPr>
        <w:pStyle w:val="BodyNum"/>
      </w:pPr>
      <w:r w:rsidRPr="00E546B8">
        <w:t xml:space="preserve">Given that the decision in </w:t>
      </w:r>
      <w:r w:rsidRPr="00E546B8">
        <w:rPr>
          <w:i/>
        </w:rPr>
        <w:t xml:space="preserve">Bropho </w:t>
      </w:r>
      <w:r w:rsidRPr="00E546B8">
        <w:t xml:space="preserve">will mean the Crown is likely to be bound by statutes that would not have applied to it before that decision, cases may now arise where a provision that releases the Crown from the application of an Act needs to be considered. This should not arise very often, because cases where it would not be sensible to bind the Crown should still be covered by the presumption even in its milder form. However, if such a provision is required, the precedents in paragraph </w:t>
      </w:r>
      <w:r w:rsidR="00323D06" w:rsidRPr="00E546B8">
        <w:fldChar w:fldCharType="begin"/>
      </w:r>
      <w:r w:rsidR="00E56B6C" w:rsidRPr="00E546B8">
        <w:instrText xml:space="preserve"> REF _Ref269392980 \r \h </w:instrText>
      </w:r>
      <w:r w:rsidR="00323D06" w:rsidRPr="00E546B8">
        <w:fldChar w:fldCharType="separate"/>
      </w:r>
      <w:r w:rsidR="00E546B8">
        <w:t>3</w:t>
      </w:r>
      <w:r w:rsidR="00323D06" w:rsidRPr="00E546B8">
        <w:fldChar w:fldCharType="end"/>
      </w:r>
      <w:r w:rsidRPr="00E546B8">
        <w:t xml:space="preserve"> could easily be modified, e</w:t>
      </w:r>
      <w:r w:rsidR="003E1152" w:rsidRPr="00E546B8">
        <w:t>.</w:t>
      </w:r>
      <w:r w:rsidRPr="00E546B8">
        <w:t>g</w:t>
      </w:r>
      <w:r w:rsidR="003E1152" w:rsidRPr="00E546B8">
        <w:t>.</w:t>
      </w:r>
      <w:r w:rsidRPr="00E546B8">
        <w:t>:</w:t>
      </w:r>
    </w:p>
    <w:p w:rsidR="0057516C" w:rsidRPr="00E546B8" w:rsidRDefault="0057516C" w:rsidP="0057516C">
      <w:pPr>
        <w:pStyle w:val="subsection"/>
      </w:pPr>
      <w:r w:rsidRPr="00E546B8">
        <w:tab/>
      </w:r>
      <w:r w:rsidRPr="00E546B8">
        <w:tab/>
        <w:t>This Act does not bind the Crown in any of its capacities.</w:t>
      </w:r>
    </w:p>
    <w:p w:rsidR="0057516C" w:rsidRPr="00E546B8" w:rsidRDefault="0057516C" w:rsidP="00E546B8">
      <w:pPr>
        <w:pStyle w:val="Head2"/>
      </w:pPr>
      <w:bookmarkStart w:id="11" w:name="_Toc516577980"/>
      <w:r w:rsidRPr="00E546B8">
        <w:t>Part 2—References to States and Territories</w:t>
      </w:r>
      <w:bookmarkEnd w:id="11"/>
    </w:p>
    <w:p w:rsidR="0057516C" w:rsidRPr="00E546B8" w:rsidRDefault="0057516C" w:rsidP="00E546B8">
      <w:pPr>
        <w:pStyle w:val="Head3"/>
      </w:pPr>
      <w:bookmarkStart w:id="12" w:name="_Toc516577981"/>
      <w:r w:rsidRPr="00E546B8">
        <w:t>Distinguishing State and Federal Parliaments</w:t>
      </w:r>
      <w:bookmarkEnd w:id="12"/>
    </w:p>
    <w:p w:rsidR="0057516C" w:rsidRPr="00E546B8" w:rsidRDefault="0057516C" w:rsidP="0060577B">
      <w:pPr>
        <w:pStyle w:val="BodyNum"/>
      </w:pPr>
      <w:r w:rsidRPr="00E546B8">
        <w:t xml:space="preserve">In referring to the Federal Parliament, it is normally sufficient to refer to </w:t>
      </w:r>
      <w:r w:rsidR="003E1152" w:rsidRPr="00E546B8">
        <w:t xml:space="preserve">the Parliament (see section 2B of the </w:t>
      </w:r>
      <w:r w:rsidR="003E1152" w:rsidRPr="00E546B8">
        <w:rPr>
          <w:i/>
        </w:rPr>
        <w:t>Acts Interpretation Act 1901</w:t>
      </w:r>
      <w:r w:rsidR="003E1152" w:rsidRPr="00E546B8">
        <w:t>).</w:t>
      </w:r>
      <w:r w:rsidRPr="00E546B8">
        <w:t xml:space="preserve"> However, if it is necessary to distinguish the Federal Parliament from State Parliaments, the term “the Commonwealth Parliament” can be used.</w:t>
      </w:r>
    </w:p>
    <w:p w:rsidR="008E3C98" w:rsidRPr="00E546B8" w:rsidRDefault="008E3C98" w:rsidP="00E546B8">
      <w:pPr>
        <w:pStyle w:val="Head3"/>
      </w:pPr>
      <w:bookmarkStart w:id="13" w:name="_Toc516577982"/>
      <w:r w:rsidRPr="00E546B8">
        <w:t>References to Legislative Assemblies</w:t>
      </w:r>
      <w:bookmarkEnd w:id="13"/>
    </w:p>
    <w:p w:rsidR="008E3C98" w:rsidRPr="00E546B8" w:rsidRDefault="008E3C98" w:rsidP="008E3C98">
      <w:pPr>
        <w:pStyle w:val="BodyNum"/>
      </w:pPr>
      <w:r w:rsidRPr="00E546B8">
        <w:t xml:space="preserve">Drafts should specify references to </w:t>
      </w:r>
      <w:r w:rsidR="00843C0F" w:rsidRPr="00E546B8">
        <w:t xml:space="preserve">the following </w:t>
      </w:r>
      <w:r w:rsidRPr="00E546B8">
        <w:t>Legislative Assemblies as:</w:t>
      </w:r>
    </w:p>
    <w:p w:rsidR="008E3C98" w:rsidRPr="00E546B8" w:rsidRDefault="008E3C98" w:rsidP="008E3C98">
      <w:pPr>
        <w:pStyle w:val="BodyParaBullet"/>
      </w:pPr>
      <w:r w:rsidRPr="00E546B8">
        <w:t>the Legislative Assembly for the Australian Capital Territory</w:t>
      </w:r>
    </w:p>
    <w:p w:rsidR="00843C0F" w:rsidRPr="00E546B8" w:rsidRDefault="008E3C98" w:rsidP="008E3C98">
      <w:pPr>
        <w:pStyle w:val="BodyParaBullet"/>
      </w:pPr>
      <w:r w:rsidRPr="00E546B8">
        <w:t xml:space="preserve">the Legislative Assembly </w:t>
      </w:r>
      <w:r w:rsidR="00843C0F" w:rsidRPr="00E546B8">
        <w:t>of the Northern Territory</w:t>
      </w:r>
      <w:r w:rsidR="005E3787" w:rsidRPr="00E546B8">
        <w:t>.</w:t>
      </w:r>
    </w:p>
    <w:p w:rsidR="0057516C" w:rsidRPr="00E546B8" w:rsidRDefault="0057516C" w:rsidP="00E546B8">
      <w:pPr>
        <w:pStyle w:val="Head3"/>
      </w:pPr>
      <w:bookmarkStart w:id="14" w:name="_Toc516577983"/>
      <w:r w:rsidRPr="00E546B8">
        <w:t>No need to use “the State of”</w:t>
      </w:r>
      <w:bookmarkEnd w:id="14"/>
    </w:p>
    <w:p w:rsidR="0057516C" w:rsidRPr="00E546B8" w:rsidRDefault="0057516C" w:rsidP="0060577B">
      <w:pPr>
        <w:pStyle w:val="BodyNum"/>
      </w:pPr>
      <w:r w:rsidRPr="00E546B8">
        <w:t xml:space="preserve">It is unnecessary to refer in </w:t>
      </w:r>
      <w:r w:rsidR="008264AF" w:rsidRPr="00E546B8">
        <w:t>a draft</w:t>
      </w:r>
      <w:r w:rsidRPr="00E546B8">
        <w:t xml:space="preserve"> to particular States in the form “the State of Victoria”. It is sufficient to refer to “Victoria” without definition, both in references to the State itself (e</w:t>
      </w:r>
      <w:r w:rsidR="003D7FEB" w:rsidRPr="00E546B8">
        <w:t>.</w:t>
      </w:r>
      <w:r w:rsidRPr="00E546B8">
        <w:t>g. “There is payable to Victoria, by way of financial assistance</w:t>
      </w:r>
      <w:r w:rsidR="00702C81" w:rsidRPr="00E546B8">
        <w:t>…</w:t>
      </w:r>
      <w:r w:rsidRPr="00E546B8">
        <w:t>”) and in references to State institutions, e</w:t>
      </w:r>
      <w:r w:rsidR="003D7FEB" w:rsidRPr="00E546B8">
        <w:t>.</w:t>
      </w:r>
      <w:r w:rsidRPr="00E546B8">
        <w:t>g</w:t>
      </w:r>
      <w:r w:rsidR="003D7FEB" w:rsidRPr="00E546B8">
        <w:t>.</w:t>
      </w:r>
      <w:r w:rsidRPr="00E546B8">
        <w:t>:</w:t>
      </w:r>
    </w:p>
    <w:p w:rsidR="0057516C" w:rsidRPr="00E546B8" w:rsidRDefault="0057516C" w:rsidP="0060577B">
      <w:pPr>
        <w:pStyle w:val="BodyParaBullet"/>
      </w:pPr>
      <w:r w:rsidRPr="00E546B8">
        <w:lastRenderedPageBreak/>
        <w:t>the Government of Victoria</w:t>
      </w:r>
    </w:p>
    <w:p w:rsidR="0057516C" w:rsidRPr="00E546B8" w:rsidRDefault="0057516C" w:rsidP="0060577B">
      <w:pPr>
        <w:pStyle w:val="BodyParaBullet"/>
      </w:pPr>
      <w:r w:rsidRPr="00E546B8">
        <w:t>the Parliament of Victoria</w:t>
      </w:r>
    </w:p>
    <w:p w:rsidR="0057516C" w:rsidRPr="00E546B8" w:rsidRDefault="0057516C" w:rsidP="0060577B">
      <w:pPr>
        <w:pStyle w:val="BodyParaBullet"/>
      </w:pPr>
      <w:r w:rsidRPr="00E546B8">
        <w:t>the Governor of Victoria.</w:t>
      </w:r>
    </w:p>
    <w:p w:rsidR="0057516C" w:rsidRPr="00E546B8" w:rsidRDefault="0057516C" w:rsidP="00E546B8">
      <w:pPr>
        <w:pStyle w:val="Head3"/>
      </w:pPr>
      <w:bookmarkStart w:id="15" w:name="_Toc516577984"/>
      <w:r w:rsidRPr="00E546B8">
        <w:t>Order of references to States and Territories</w:t>
      </w:r>
      <w:bookmarkEnd w:id="15"/>
    </w:p>
    <w:p w:rsidR="0057516C" w:rsidRPr="00E546B8" w:rsidRDefault="0057516C" w:rsidP="0060577B">
      <w:pPr>
        <w:pStyle w:val="BodyNum"/>
      </w:pPr>
      <w:r w:rsidRPr="00E546B8">
        <w:t xml:space="preserve">If all or some of the States are specified in a </w:t>
      </w:r>
      <w:r w:rsidR="00876E23" w:rsidRPr="00E546B8">
        <w:t>draft</w:t>
      </w:r>
      <w:r w:rsidRPr="00E546B8">
        <w:t>, they should be ordered according to their population. The same principle applies when specifying the Australian Capital Territory and the Northern Territory. At present, the order of precedence based on population is as follows:</w:t>
      </w:r>
    </w:p>
    <w:p w:rsidR="0057516C" w:rsidRPr="00E546B8" w:rsidRDefault="0057516C" w:rsidP="0057516C">
      <w:pPr>
        <w:pStyle w:val="Body"/>
      </w:pPr>
      <w:r w:rsidRPr="00E546B8">
        <w:t>New South Wales</w:t>
      </w:r>
    </w:p>
    <w:p w:rsidR="0057516C" w:rsidRPr="00E546B8" w:rsidRDefault="0057516C" w:rsidP="0057516C">
      <w:pPr>
        <w:pStyle w:val="Blocks"/>
      </w:pPr>
      <w:r w:rsidRPr="00E546B8">
        <w:t>Victoria</w:t>
      </w:r>
    </w:p>
    <w:p w:rsidR="0057516C" w:rsidRPr="00E546B8" w:rsidRDefault="0057516C" w:rsidP="0057516C">
      <w:pPr>
        <w:pStyle w:val="Blocks"/>
      </w:pPr>
      <w:r w:rsidRPr="00E546B8">
        <w:t>Queensland</w:t>
      </w:r>
    </w:p>
    <w:p w:rsidR="0057516C" w:rsidRPr="00E546B8" w:rsidRDefault="0057516C" w:rsidP="0057516C">
      <w:pPr>
        <w:pStyle w:val="Blocks"/>
      </w:pPr>
      <w:r w:rsidRPr="00E546B8">
        <w:t>Western Australia</w:t>
      </w:r>
    </w:p>
    <w:p w:rsidR="0057516C" w:rsidRPr="00E546B8" w:rsidRDefault="0057516C" w:rsidP="0057516C">
      <w:pPr>
        <w:pStyle w:val="Blocks"/>
      </w:pPr>
      <w:r w:rsidRPr="00E546B8">
        <w:t>South Australia</w:t>
      </w:r>
    </w:p>
    <w:p w:rsidR="0057516C" w:rsidRPr="00E546B8" w:rsidRDefault="0057516C" w:rsidP="0057516C">
      <w:pPr>
        <w:pStyle w:val="Blocks"/>
      </w:pPr>
      <w:r w:rsidRPr="00E546B8">
        <w:t>Tasmania</w:t>
      </w:r>
    </w:p>
    <w:p w:rsidR="0057516C" w:rsidRPr="00E546B8" w:rsidRDefault="0057516C" w:rsidP="0057516C">
      <w:pPr>
        <w:pStyle w:val="Blocks"/>
      </w:pPr>
      <w:r w:rsidRPr="00E546B8">
        <w:t>Australian Capital Territory</w:t>
      </w:r>
    </w:p>
    <w:p w:rsidR="0057516C" w:rsidRPr="00E546B8" w:rsidRDefault="0057516C" w:rsidP="0057516C">
      <w:pPr>
        <w:pStyle w:val="Blocks"/>
      </w:pPr>
      <w:r w:rsidRPr="00E546B8">
        <w:t>Northern Territory</w:t>
      </w:r>
    </w:p>
    <w:p w:rsidR="0057516C" w:rsidRPr="00E546B8" w:rsidRDefault="0057516C" w:rsidP="0060577B">
      <w:pPr>
        <w:pStyle w:val="BodyNum"/>
      </w:pPr>
      <w:r w:rsidRPr="00E546B8">
        <w:t>Premiers and Chief Ministers are specified in the same order.</w:t>
      </w:r>
    </w:p>
    <w:p w:rsidR="0057516C" w:rsidRPr="00E546B8" w:rsidRDefault="0057516C" w:rsidP="00E546B8">
      <w:pPr>
        <w:pStyle w:val="Head3"/>
      </w:pPr>
      <w:bookmarkStart w:id="16" w:name="_Toc516577985"/>
      <w:r w:rsidRPr="00E546B8">
        <w:t>References to State or Territory Acts</w:t>
      </w:r>
      <w:bookmarkEnd w:id="16"/>
    </w:p>
    <w:p w:rsidR="0057516C" w:rsidRPr="00E546B8" w:rsidRDefault="0057516C" w:rsidP="0060577B">
      <w:pPr>
        <w:pStyle w:val="BodyNum"/>
      </w:pPr>
      <w:r w:rsidRPr="00E546B8">
        <w:t>A reference to an Act of a State or Territory should give the Act’s short title in italics, followed by (in regular font</w:t>
      </w:r>
      <w:r w:rsidR="008F3508" w:rsidRPr="00E546B8">
        <w:t xml:space="preserve"> and in brackets</w:t>
      </w:r>
      <w:r w:rsidRPr="00E546B8">
        <w:t xml:space="preserve">) </w:t>
      </w:r>
      <w:r w:rsidR="008F3508" w:rsidRPr="00E546B8">
        <w:t>the following abbreviation for</w:t>
      </w:r>
      <w:r w:rsidRPr="00E546B8">
        <w:t xml:space="preserve"> the jurisdiction the Act is from</w:t>
      </w:r>
      <w:r w:rsidR="008F3508" w:rsidRPr="00E546B8">
        <w:t>:</w:t>
      </w:r>
    </w:p>
    <w:p w:rsidR="008F3508" w:rsidRPr="00E546B8" w:rsidRDefault="008F3508" w:rsidP="008F3508">
      <w:pPr>
        <w:pStyle w:val="BodyParaBullet"/>
      </w:pPr>
      <w:r w:rsidRPr="00E546B8">
        <w:t>(NSW)—New South Wales</w:t>
      </w:r>
    </w:p>
    <w:p w:rsidR="008F3508" w:rsidRPr="00E546B8" w:rsidRDefault="008F3508" w:rsidP="008F3508">
      <w:pPr>
        <w:pStyle w:val="BodyParaBullet"/>
      </w:pPr>
      <w:r w:rsidRPr="00E546B8">
        <w:t>(Vic.)—Victoria</w:t>
      </w:r>
    </w:p>
    <w:p w:rsidR="008F3508" w:rsidRPr="00E546B8" w:rsidRDefault="008F3508" w:rsidP="008F3508">
      <w:pPr>
        <w:pStyle w:val="BodyParaBullet"/>
      </w:pPr>
      <w:r w:rsidRPr="00E546B8">
        <w:t>(Qld)—Queensland</w:t>
      </w:r>
    </w:p>
    <w:p w:rsidR="008F3508" w:rsidRPr="00E546B8" w:rsidRDefault="008F3508" w:rsidP="008F3508">
      <w:pPr>
        <w:pStyle w:val="BodyParaBullet"/>
      </w:pPr>
      <w:r w:rsidRPr="00E546B8">
        <w:t>(WA)—Western Australia</w:t>
      </w:r>
    </w:p>
    <w:p w:rsidR="008F3508" w:rsidRPr="00E546B8" w:rsidRDefault="008F3508" w:rsidP="008F3508">
      <w:pPr>
        <w:pStyle w:val="BodyParaBullet"/>
      </w:pPr>
      <w:r w:rsidRPr="00E546B8">
        <w:t>(SA)—South Australia</w:t>
      </w:r>
    </w:p>
    <w:p w:rsidR="008F3508" w:rsidRPr="00E546B8" w:rsidRDefault="008F3508" w:rsidP="008F3508">
      <w:pPr>
        <w:pStyle w:val="BodyParaBullet"/>
      </w:pPr>
      <w:r w:rsidRPr="00E546B8">
        <w:t>(Tas.)—Tasmania</w:t>
      </w:r>
    </w:p>
    <w:p w:rsidR="008F3508" w:rsidRPr="00E546B8" w:rsidRDefault="008F3508" w:rsidP="008F3508">
      <w:pPr>
        <w:pStyle w:val="BodyParaBullet"/>
      </w:pPr>
      <w:r w:rsidRPr="00E546B8">
        <w:t>(ACT)—Australian Capital Territory</w:t>
      </w:r>
    </w:p>
    <w:p w:rsidR="008F3508" w:rsidRPr="00E546B8" w:rsidRDefault="008F3508" w:rsidP="008F3508">
      <w:pPr>
        <w:pStyle w:val="BodyParaBullet"/>
      </w:pPr>
      <w:r w:rsidRPr="00E546B8">
        <w:t>(NT)—Northern Territory.</w:t>
      </w:r>
    </w:p>
    <w:p w:rsidR="008F3508" w:rsidRPr="00E546B8" w:rsidRDefault="008F3508" w:rsidP="008F3508">
      <w:pPr>
        <w:pStyle w:val="Body"/>
      </w:pPr>
      <w:r w:rsidRPr="00E546B8">
        <w:t>An example is “</w:t>
      </w:r>
      <w:r w:rsidR="00702C81" w:rsidRPr="00E546B8">
        <w:t>…</w:t>
      </w:r>
      <w:r w:rsidRPr="00E546B8">
        <w:t xml:space="preserve">the </w:t>
      </w:r>
      <w:r w:rsidRPr="00E546B8">
        <w:rPr>
          <w:i/>
        </w:rPr>
        <w:t xml:space="preserve">Australian Financial Institutions Commission Act 1992 </w:t>
      </w:r>
      <w:r w:rsidRPr="00E546B8">
        <w:t>(Qld)”.</w:t>
      </w:r>
    </w:p>
    <w:p w:rsidR="00354EBC" w:rsidRPr="00E546B8" w:rsidRDefault="00354EBC" w:rsidP="00354EBC">
      <w:pPr>
        <w:pStyle w:val="BodyNum"/>
      </w:pPr>
      <w:r w:rsidRPr="00E546B8">
        <w:t xml:space="preserve">The same practice should be followed in those cases where </w:t>
      </w:r>
      <w:r w:rsidR="00BD61D6" w:rsidRPr="00E546B8">
        <w:t>legislation</w:t>
      </w:r>
      <w:r w:rsidRPr="00E546B8">
        <w:t xml:space="preserve"> needs to refer to </w:t>
      </w:r>
      <w:r w:rsidR="00BD61D6" w:rsidRPr="00E546B8">
        <w:t>subordinate legislation</w:t>
      </w:r>
      <w:r w:rsidRPr="00E546B8">
        <w:t xml:space="preserve"> of a State or Territory.</w:t>
      </w:r>
    </w:p>
    <w:p w:rsidR="0057516C" w:rsidRPr="00E546B8" w:rsidRDefault="0057516C" w:rsidP="00E546B8">
      <w:pPr>
        <w:pStyle w:val="Head3"/>
      </w:pPr>
      <w:bookmarkStart w:id="17" w:name="_Toc516577986"/>
      <w:r w:rsidRPr="00E546B8">
        <w:lastRenderedPageBreak/>
        <w:t>Governors</w:t>
      </w:r>
      <w:bookmarkEnd w:id="17"/>
    </w:p>
    <w:p w:rsidR="0057516C" w:rsidRPr="00E546B8" w:rsidRDefault="0057516C" w:rsidP="0060577B">
      <w:pPr>
        <w:pStyle w:val="BodyNum"/>
      </w:pPr>
      <w:r w:rsidRPr="00E546B8">
        <w:t xml:space="preserve">A reference in a </w:t>
      </w:r>
      <w:r w:rsidR="00A81088" w:rsidRPr="00E546B8">
        <w:t>draft</w:t>
      </w:r>
      <w:r w:rsidRPr="00E546B8">
        <w:t xml:space="preserve"> to the Governor of a State should generally use the expression “the Governor”, </w:t>
      </w:r>
      <w:r w:rsidRPr="00E546B8">
        <w:rPr>
          <w:b/>
        </w:rPr>
        <w:t>not</w:t>
      </w:r>
      <w:r w:rsidRPr="00E546B8">
        <w:t xml:space="preserve"> “the Governor in Council” or “the Governor acting with the advice of the Executive Council”.</w:t>
      </w:r>
    </w:p>
    <w:p w:rsidR="0057516C" w:rsidRPr="00E546B8" w:rsidRDefault="0057516C" w:rsidP="0060577B">
      <w:pPr>
        <w:pStyle w:val="BodyNum"/>
      </w:pPr>
      <w:r w:rsidRPr="00E546B8">
        <w:t xml:space="preserve">However, the position is different where power is conferred on a Governor by Commonwealth legislation, and it is intended that the Governor exercise the power with the advice of the Executive Council of the State. A </w:t>
      </w:r>
      <w:r w:rsidR="009A5F49" w:rsidRPr="00E546B8">
        <w:t>draft</w:t>
      </w:r>
      <w:r w:rsidRPr="00E546B8">
        <w:t xml:space="preserve"> conferring the relevant power, or referring to its exercise, may need to include a reference to the Executive Council (compare sections 16A and 16B of the </w:t>
      </w:r>
      <w:r w:rsidRPr="00E546B8">
        <w:rPr>
          <w:i/>
        </w:rPr>
        <w:t>Acts Interpretation Act 1901</w:t>
      </w:r>
      <w:r w:rsidRPr="00E546B8">
        <w:t>). In most cases, “the Governor in Council of [name of State]” would be adequate. In some cases, “the Governor acting with the advice of the Executive Council” may be preferable.</w:t>
      </w:r>
    </w:p>
    <w:p w:rsidR="0057516C" w:rsidRPr="00E546B8" w:rsidRDefault="0057516C" w:rsidP="00E546B8">
      <w:pPr>
        <w:pStyle w:val="Head3"/>
      </w:pPr>
      <w:bookmarkStart w:id="18" w:name="_Toc516577987"/>
      <w:r w:rsidRPr="00E546B8">
        <w:t>Ministers</w:t>
      </w:r>
      <w:bookmarkEnd w:id="18"/>
    </w:p>
    <w:p w:rsidR="0057516C" w:rsidRPr="00E546B8" w:rsidRDefault="0057516C" w:rsidP="0060577B">
      <w:pPr>
        <w:pStyle w:val="BodyNum"/>
      </w:pPr>
      <w:bookmarkStart w:id="19" w:name="_Ref269393003"/>
      <w:r w:rsidRPr="00E546B8">
        <w:t xml:space="preserve">Where you draft a reference to a Commonwealth, State, </w:t>
      </w:r>
      <w:r w:rsidR="00E168CE" w:rsidRPr="00E546B8">
        <w:t>Australian Capital Territory</w:t>
      </w:r>
      <w:r w:rsidR="00242EEA" w:rsidRPr="00E546B8">
        <w:t>,</w:t>
      </w:r>
      <w:r w:rsidR="00E168CE" w:rsidRPr="00E546B8">
        <w:t xml:space="preserve"> </w:t>
      </w:r>
      <w:r w:rsidR="005E3787" w:rsidRPr="00E546B8">
        <w:t xml:space="preserve">or </w:t>
      </w:r>
      <w:r w:rsidRPr="00E546B8">
        <w:t xml:space="preserve">Northern Territory </w:t>
      </w:r>
      <w:r w:rsidR="00E168CE" w:rsidRPr="00E546B8">
        <w:t>Minister</w:t>
      </w:r>
      <w:r w:rsidRPr="00E546B8">
        <w:t xml:space="preserve"> in general terms (i.e. not as “the Minister for” a specified portfolio), you may use the simple expressions as follows:</w:t>
      </w:r>
      <w:bookmarkEnd w:id="19"/>
    </w:p>
    <w:p w:rsidR="0057516C" w:rsidRPr="00E546B8" w:rsidRDefault="0057516C" w:rsidP="0060577B">
      <w:pPr>
        <w:pStyle w:val="BodyParaBullet"/>
      </w:pPr>
      <w:r w:rsidRPr="00E546B8">
        <w:t>a Minister, a Minister of the Commonwealth</w:t>
      </w:r>
    </w:p>
    <w:p w:rsidR="0057516C" w:rsidRPr="00E546B8" w:rsidRDefault="0057516C" w:rsidP="0060577B">
      <w:pPr>
        <w:pStyle w:val="BodyParaBullet"/>
      </w:pPr>
      <w:r w:rsidRPr="00E546B8">
        <w:t>a Minister of a State, a Minister of Victoria</w:t>
      </w:r>
    </w:p>
    <w:p w:rsidR="0057516C" w:rsidRPr="00E546B8" w:rsidRDefault="00DE3264" w:rsidP="0060577B">
      <w:pPr>
        <w:pStyle w:val="BodyParaBullet"/>
      </w:pPr>
      <w:r w:rsidRPr="00E546B8">
        <w:t>a</w:t>
      </w:r>
      <w:r w:rsidR="0057516C" w:rsidRPr="00E546B8">
        <w:t xml:space="preserve"> Minister of the Australian Capital Territory</w:t>
      </w:r>
      <w:r w:rsidR="005E3787" w:rsidRPr="00E546B8">
        <w:t xml:space="preserve"> or</w:t>
      </w:r>
      <w:r w:rsidRPr="00E546B8">
        <w:t xml:space="preserve"> a Minister of the Northern Territory</w:t>
      </w:r>
      <w:r w:rsidR="0057516C" w:rsidRPr="00E546B8">
        <w:t>.</w:t>
      </w:r>
    </w:p>
    <w:p w:rsidR="0057516C" w:rsidRPr="00E546B8" w:rsidRDefault="0057516C" w:rsidP="0060577B">
      <w:pPr>
        <w:pStyle w:val="BodyNum"/>
      </w:pPr>
      <w:bookmarkStart w:id="20" w:name="_Ref269393010"/>
      <w:r w:rsidRPr="00E546B8">
        <w:t>The even simpler expressions, “a Commonwealth Minister”, “a State Minister”, etc</w:t>
      </w:r>
      <w:r w:rsidR="00DE3264" w:rsidRPr="00E546B8">
        <w:t>.</w:t>
      </w:r>
      <w:r w:rsidRPr="00E546B8">
        <w:t xml:space="preserve">, should be used with care, since </w:t>
      </w:r>
      <w:r w:rsidR="00DE3264" w:rsidRPr="00E546B8">
        <w:t>legislation may</w:t>
      </w:r>
      <w:r w:rsidRPr="00E546B8">
        <w:t xml:space="preserve"> define these expressions to mean Ministers of the relevant jurisdictions with particular portfolio responsibilities.</w:t>
      </w:r>
      <w:bookmarkEnd w:id="20"/>
    </w:p>
    <w:p w:rsidR="0057516C" w:rsidRPr="00E546B8" w:rsidRDefault="0057516C" w:rsidP="00E546B8">
      <w:pPr>
        <w:pStyle w:val="Head3"/>
      </w:pPr>
      <w:bookmarkStart w:id="21" w:name="_Toc516577988"/>
      <w:r w:rsidRPr="00E546B8">
        <w:t>Treatment of ACT</w:t>
      </w:r>
      <w:r w:rsidR="00210BA3" w:rsidRPr="00E546B8">
        <w:t xml:space="preserve"> and</w:t>
      </w:r>
      <w:r w:rsidRPr="00E546B8">
        <w:t xml:space="preserve"> NT</w:t>
      </w:r>
      <w:bookmarkEnd w:id="21"/>
    </w:p>
    <w:p w:rsidR="0057516C" w:rsidRPr="00E546B8" w:rsidRDefault="00242EEA" w:rsidP="0060577B">
      <w:pPr>
        <w:pStyle w:val="BodyNum"/>
      </w:pPr>
      <w:r w:rsidRPr="00E546B8">
        <w:t>In drafting legislation, t</w:t>
      </w:r>
      <w:r w:rsidR="0057516C" w:rsidRPr="00E546B8">
        <w:t>he Australian Capital Territory</w:t>
      </w:r>
      <w:r w:rsidR="005E3787" w:rsidRPr="00E546B8">
        <w:t xml:space="preserve"> and</w:t>
      </w:r>
      <w:r w:rsidR="0057516C" w:rsidRPr="00E546B8">
        <w:t xml:space="preserve"> the Northern Territory should be treated on an equal footing with the States. In particular:</w:t>
      </w:r>
    </w:p>
    <w:p w:rsidR="0057516C" w:rsidRPr="00E546B8" w:rsidRDefault="0057516C" w:rsidP="0060577B">
      <w:pPr>
        <w:pStyle w:val="BodyParaBullet"/>
      </w:pPr>
      <w:r w:rsidRPr="00E546B8">
        <w:t>their executive acts etc. can be referred to as being done “by the Territory”; and</w:t>
      </w:r>
    </w:p>
    <w:p w:rsidR="0057516C" w:rsidRPr="00E546B8" w:rsidRDefault="0057516C" w:rsidP="0060577B">
      <w:pPr>
        <w:pStyle w:val="BodyParaBullet"/>
      </w:pPr>
      <w:r w:rsidRPr="00E546B8">
        <w:t xml:space="preserve">the Executive of </w:t>
      </w:r>
      <w:r w:rsidR="00242EEA" w:rsidRPr="00E546B8">
        <w:t>any of those</w:t>
      </w:r>
      <w:r w:rsidRPr="00E546B8">
        <w:t xml:space="preserve"> Territor</w:t>
      </w:r>
      <w:r w:rsidR="00242EEA" w:rsidRPr="00E546B8">
        <w:t>ies</w:t>
      </w:r>
      <w:r w:rsidRPr="00E546B8">
        <w:t xml:space="preserve"> should be referred to as the “Government of the Territory” and not as the “Administration” (even though section 36 of the </w:t>
      </w:r>
      <w:r w:rsidRPr="00E546B8">
        <w:rPr>
          <w:i/>
        </w:rPr>
        <w:t>Australian Capital Territory (Self</w:t>
      </w:r>
      <w:r w:rsidR="00762328" w:rsidRPr="00E546B8">
        <w:rPr>
          <w:i/>
        </w:rPr>
        <w:noBreakHyphen/>
      </w:r>
      <w:r w:rsidRPr="00E546B8">
        <w:rPr>
          <w:i/>
        </w:rPr>
        <w:t>Government) Act 1988</w:t>
      </w:r>
      <w:r w:rsidRPr="00E546B8">
        <w:t xml:space="preserve"> refers to the Australian Capital Territory Executive</w:t>
      </w:r>
      <w:r w:rsidR="004A5D00" w:rsidRPr="00E546B8">
        <w:t xml:space="preserve"> and</w:t>
      </w:r>
      <w:r w:rsidR="00141A8E" w:rsidRPr="00E546B8">
        <w:t xml:space="preserve"> Part IV of the </w:t>
      </w:r>
      <w:r w:rsidR="00141A8E" w:rsidRPr="00E546B8">
        <w:rPr>
          <w:i/>
        </w:rPr>
        <w:t>Northern Territory (Self</w:t>
      </w:r>
      <w:r w:rsidR="00762328" w:rsidRPr="00E546B8">
        <w:rPr>
          <w:i/>
        </w:rPr>
        <w:noBreakHyphen/>
      </w:r>
      <w:r w:rsidR="00141A8E" w:rsidRPr="00E546B8">
        <w:rPr>
          <w:i/>
        </w:rPr>
        <w:t>Government) Act 1978</w:t>
      </w:r>
      <w:r w:rsidR="00141A8E" w:rsidRPr="00E546B8">
        <w:t xml:space="preserve"> is headed “The Administration”</w:t>
      </w:r>
      <w:r w:rsidRPr="00E546B8">
        <w:t>); and</w:t>
      </w:r>
    </w:p>
    <w:p w:rsidR="0057516C" w:rsidRPr="00E546B8" w:rsidRDefault="0057516C" w:rsidP="0060577B">
      <w:pPr>
        <w:pStyle w:val="BodyParaBullet"/>
      </w:pPr>
      <w:r w:rsidRPr="00E546B8">
        <w:t xml:space="preserve">Ministers should be referred to as “Ministers of the Territory” (see also paragraphs </w:t>
      </w:r>
      <w:r w:rsidR="0099120F" w:rsidRPr="00E546B8">
        <w:t>17</w:t>
      </w:r>
      <w:r w:rsidRPr="00E546B8">
        <w:t xml:space="preserve"> and </w:t>
      </w:r>
      <w:r w:rsidR="0099120F" w:rsidRPr="00E546B8">
        <w:t>18</w:t>
      </w:r>
      <w:r w:rsidRPr="00E546B8">
        <w:t>).</w:t>
      </w:r>
    </w:p>
    <w:p w:rsidR="0057516C" w:rsidRPr="00E546B8" w:rsidRDefault="0057516C" w:rsidP="00E546B8">
      <w:pPr>
        <w:pStyle w:val="Head3"/>
      </w:pPr>
      <w:bookmarkStart w:id="22" w:name="_Toc516577989"/>
      <w:r w:rsidRPr="00E546B8">
        <w:lastRenderedPageBreak/>
        <w:t>Names of Territories</w:t>
      </w:r>
      <w:r w:rsidR="007D3870" w:rsidRPr="00E546B8">
        <w:t xml:space="preserve"> (other than ACT and NT)</w:t>
      </w:r>
      <w:bookmarkEnd w:id="22"/>
    </w:p>
    <w:p w:rsidR="0057516C" w:rsidRPr="00E546B8" w:rsidRDefault="0057516C" w:rsidP="0060577B">
      <w:pPr>
        <w:pStyle w:val="BodyNum"/>
      </w:pPr>
      <w:r w:rsidRPr="00E546B8">
        <w:t xml:space="preserve">The proper names of Australia’s Territories </w:t>
      </w:r>
      <w:r w:rsidR="007D3870" w:rsidRPr="00E546B8">
        <w:t xml:space="preserve">(other than the Australian Capital Territory and the Northern Territory) </w:t>
      </w:r>
      <w:r w:rsidRPr="00E546B8">
        <w:t>are as follows:</w:t>
      </w:r>
    </w:p>
    <w:p w:rsidR="0057516C" w:rsidRPr="00E546B8" w:rsidRDefault="0057516C" w:rsidP="0057516C">
      <w:pPr>
        <w:pStyle w:val="Body"/>
      </w:pPr>
      <w:r w:rsidRPr="00E546B8">
        <w:t>Norfolk Island (</w:t>
      </w:r>
      <w:r w:rsidRPr="00E546B8">
        <w:rPr>
          <w:b/>
        </w:rPr>
        <w:t>not</w:t>
      </w:r>
      <w:r w:rsidRPr="00E546B8">
        <w:t xml:space="preserve"> the Territory of Norfolk Island)</w:t>
      </w:r>
    </w:p>
    <w:p w:rsidR="0057516C" w:rsidRPr="00E546B8" w:rsidRDefault="0057516C" w:rsidP="0057516C">
      <w:pPr>
        <w:pStyle w:val="Blocks"/>
      </w:pPr>
      <w:r w:rsidRPr="00E546B8">
        <w:t>Australian Antarctic Territory</w:t>
      </w:r>
    </w:p>
    <w:p w:rsidR="0057516C" w:rsidRPr="00E546B8" w:rsidRDefault="0057516C" w:rsidP="0057516C">
      <w:pPr>
        <w:pStyle w:val="Blocks"/>
      </w:pPr>
      <w:r w:rsidRPr="00E546B8">
        <w:t>Coral Sea Islands Territory</w:t>
      </w:r>
    </w:p>
    <w:p w:rsidR="0057516C" w:rsidRPr="00E546B8" w:rsidRDefault="0057516C" w:rsidP="0057516C">
      <w:pPr>
        <w:pStyle w:val="Blocks"/>
      </w:pPr>
      <w:r w:rsidRPr="00E546B8">
        <w:t>Jervis Bay Territory</w:t>
      </w:r>
    </w:p>
    <w:p w:rsidR="0057516C" w:rsidRPr="00E546B8" w:rsidRDefault="0057516C" w:rsidP="0057516C">
      <w:pPr>
        <w:pStyle w:val="Blocks"/>
      </w:pPr>
      <w:r w:rsidRPr="00E546B8">
        <w:t>Territory of Ashmore and Cartier Islands</w:t>
      </w:r>
    </w:p>
    <w:p w:rsidR="0057516C" w:rsidRPr="00E546B8" w:rsidRDefault="0057516C" w:rsidP="0057516C">
      <w:pPr>
        <w:pStyle w:val="Blocks"/>
      </w:pPr>
      <w:r w:rsidRPr="00E546B8">
        <w:t>Territory of Christmas Island</w:t>
      </w:r>
    </w:p>
    <w:p w:rsidR="0057516C" w:rsidRPr="00E546B8" w:rsidRDefault="0057516C" w:rsidP="0057516C">
      <w:pPr>
        <w:pStyle w:val="Blocks"/>
      </w:pPr>
      <w:r w:rsidRPr="00E546B8">
        <w:t>Territory of Cocos (Keeling) Islands</w:t>
      </w:r>
    </w:p>
    <w:p w:rsidR="0057516C" w:rsidRPr="00E546B8" w:rsidRDefault="0057516C" w:rsidP="0057516C">
      <w:pPr>
        <w:pStyle w:val="Blocks"/>
      </w:pPr>
      <w:r w:rsidRPr="00E546B8">
        <w:t>Territory of Heard Island and McDonald Islands</w:t>
      </w:r>
    </w:p>
    <w:p w:rsidR="0057516C" w:rsidRPr="00E546B8" w:rsidRDefault="0057516C" w:rsidP="0060577B">
      <w:pPr>
        <w:pStyle w:val="BodyNum"/>
      </w:pPr>
      <w:r w:rsidRPr="00E546B8">
        <w:t>If you need to list the Territories, or a selection of them, by name, do so in the order set out above.</w:t>
      </w:r>
    </w:p>
    <w:p w:rsidR="0057516C" w:rsidRPr="00E546B8" w:rsidRDefault="0057516C" w:rsidP="00E546B8">
      <w:pPr>
        <w:pStyle w:val="Head2"/>
      </w:pPr>
      <w:bookmarkStart w:id="23" w:name="_Toc516577990"/>
      <w:r w:rsidRPr="00E546B8">
        <w:t>Part 3—</w:t>
      </w:r>
      <w:r w:rsidR="001359FA" w:rsidRPr="00E546B8">
        <w:t>Application of legislation to external Territories</w:t>
      </w:r>
      <w:bookmarkEnd w:id="23"/>
    </w:p>
    <w:p w:rsidR="00571A26" w:rsidRPr="00E546B8" w:rsidRDefault="00571A26" w:rsidP="00E546B8">
      <w:pPr>
        <w:pStyle w:val="Head3"/>
      </w:pPr>
      <w:bookmarkStart w:id="24" w:name="_Toc516577991"/>
      <w:r w:rsidRPr="00E546B8">
        <w:t>Commonwealth Acts in force by default</w:t>
      </w:r>
      <w:bookmarkEnd w:id="24"/>
    </w:p>
    <w:p w:rsidR="00762C9F" w:rsidRPr="00E546B8" w:rsidRDefault="00A95106" w:rsidP="00762C9F">
      <w:pPr>
        <w:pStyle w:val="BodyNum"/>
      </w:pPr>
      <w:r w:rsidRPr="00E546B8">
        <w:t>The Acts providing for the government of Norfolk Island, the Territory of Ashmore and Cartier Islands, the Territory of Christmas Island and the Territory of Cocos (Keeling) Islands provide that other Acts extend to those external Territories except so far as express provision is made to the contrary (see s</w:t>
      </w:r>
      <w:r w:rsidR="00762C9F" w:rsidRPr="00E546B8">
        <w:t xml:space="preserve">ection 18 of the </w:t>
      </w:r>
      <w:r w:rsidR="00762C9F" w:rsidRPr="00E546B8">
        <w:rPr>
          <w:i/>
        </w:rPr>
        <w:t>Norfolk Island Act 1979</w:t>
      </w:r>
      <w:r w:rsidR="00762C9F" w:rsidRPr="00E546B8">
        <w:t xml:space="preserve">, </w:t>
      </w:r>
      <w:r w:rsidR="00571A26" w:rsidRPr="00E546B8">
        <w:t xml:space="preserve">section 8 of the </w:t>
      </w:r>
      <w:r w:rsidR="00571A26" w:rsidRPr="00E546B8">
        <w:rPr>
          <w:i/>
        </w:rPr>
        <w:t>Ashmore and Cartier Islands Acceptance Act 1933</w:t>
      </w:r>
      <w:r w:rsidR="00571A26" w:rsidRPr="00E546B8">
        <w:t xml:space="preserve">, </w:t>
      </w:r>
      <w:r w:rsidR="00762C9F" w:rsidRPr="00E546B8">
        <w:t xml:space="preserve">section 8E of the </w:t>
      </w:r>
      <w:r w:rsidR="00762C9F" w:rsidRPr="00E546B8">
        <w:rPr>
          <w:i/>
        </w:rPr>
        <w:t>Christmas Island Act 1958</w:t>
      </w:r>
      <w:r w:rsidR="00762C9F" w:rsidRPr="00E546B8">
        <w:t xml:space="preserve"> and section 8E of the </w:t>
      </w:r>
      <w:r w:rsidR="00762C9F" w:rsidRPr="00E546B8">
        <w:rPr>
          <w:i/>
        </w:rPr>
        <w:t>Cocos (Keeling) Islands Act 1955</w:t>
      </w:r>
      <w:r w:rsidRPr="00E546B8">
        <w:t>).</w:t>
      </w:r>
    </w:p>
    <w:p w:rsidR="00571A26" w:rsidRPr="00E546B8" w:rsidRDefault="00571A26" w:rsidP="00E546B8">
      <w:pPr>
        <w:pStyle w:val="Head3"/>
      </w:pPr>
      <w:bookmarkStart w:id="25" w:name="_Toc516577992"/>
      <w:r w:rsidRPr="00E546B8">
        <w:t>Commonwealth Acts not in force unless expressed to extend</w:t>
      </w:r>
      <w:bookmarkEnd w:id="25"/>
    </w:p>
    <w:p w:rsidR="0057516C" w:rsidRPr="00E546B8" w:rsidRDefault="0057516C" w:rsidP="00A95106">
      <w:pPr>
        <w:pStyle w:val="BodyNum"/>
      </w:pPr>
      <w:r w:rsidRPr="00E546B8">
        <w:t xml:space="preserve">The Acts providing for the government of the </w:t>
      </w:r>
      <w:r w:rsidR="00762C9F" w:rsidRPr="00E546B8">
        <w:t>Australian Antarctic Territory, the Coral Sea Islands Territory</w:t>
      </w:r>
      <w:r w:rsidR="0087737B" w:rsidRPr="00E546B8">
        <w:t xml:space="preserve"> and the Territory of Heard Island and McDonald Islands</w:t>
      </w:r>
      <w:r w:rsidRPr="00E546B8">
        <w:t xml:space="preserve"> generally provide that other Acts are </w:t>
      </w:r>
      <w:r w:rsidRPr="00E546B8">
        <w:rPr>
          <w:i/>
        </w:rPr>
        <w:t>not</w:t>
      </w:r>
      <w:r w:rsidRPr="00E546B8">
        <w:t xml:space="preserve"> in force in the external Territories unless expressed to extend to the Territory concerned (</w:t>
      </w:r>
      <w:r w:rsidR="00A95106" w:rsidRPr="00E546B8">
        <w:t xml:space="preserve">see section 8 of the </w:t>
      </w:r>
      <w:r w:rsidR="00A95106" w:rsidRPr="00E546B8">
        <w:rPr>
          <w:i/>
        </w:rPr>
        <w:t>Australian Antarctic Territory Act 1954</w:t>
      </w:r>
      <w:r w:rsidR="00A95106" w:rsidRPr="00E546B8">
        <w:t xml:space="preserve">, section 6 of the </w:t>
      </w:r>
      <w:r w:rsidR="00A95106" w:rsidRPr="00E546B8">
        <w:rPr>
          <w:i/>
        </w:rPr>
        <w:t>Coral Sea Islands Act 1969</w:t>
      </w:r>
      <w:r w:rsidR="00A95106" w:rsidRPr="00E546B8">
        <w:t xml:space="preserve"> and</w:t>
      </w:r>
      <w:r w:rsidRPr="00E546B8">
        <w:t xml:space="preserve"> section </w:t>
      </w:r>
      <w:r w:rsidR="009120B0" w:rsidRPr="00E546B8">
        <w:t>7 of the</w:t>
      </w:r>
      <w:r w:rsidR="009120B0" w:rsidRPr="00E546B8">
        <w:rPr>
          <w:lang w:eastAsia="en-US"/>
        </w:rPr>
        <w:t xml:space="preserve"> </w:t>
      </w:r>
      <w:r w:rsidR="009120B0" w:rsidRPr="00E546B8">
        <w:rPr>
          <w:i/>
          <w:lang w:eastAsia="en-US"/>
        </w:rPr>
        <w:t>Heard Island and McDonald Islands Act 1953</w:t>
      </w:r>
      <w:r w:rsidRPr="00E546B8">
        <w:t>).</w:t>
      </w:r>
    </w:p>
    <w:p w:rsidR="0057516C" w:rsidRPr="00E546B8" w:rsidRDefault="0057516C" w:rsidP="0060577B">
      <w:pPr>
        <w:pStyle w:val="BodyNum"/>
      </w:pPr>
      <w:r w:rsidRPr="00E546B8">
        <w:t xml:space="preserve">You should consider whether your </w:t>
      </w:r>
      <w:r w:rsidR="0031584B" w:rsidRPr="00E546B8">
        <w:t>draft</w:t>
      </w:r>
      <w:r w:rsidRPr="00E546B8">
        <w:t xml:space="preserve"> should extend to any of the external Territories </w:t>
      </w:r>
      <w:r w:rsidR="00762C9F" w:rsidRPr="00E546B8">
        <w:t>referred to in paragraph 23</w:t>
      </w:r>
      <w:r w:rsidRPr="00E546B8">
        <w:t>, and seek any necessary instructions.</w:t>
      </w:r>
    </w:p>
    <w:p w:rsidR="00571A26" w:rsidRPr="00E546B8" w:rsidRDefault="00571A26" w:rsidP="00E546B8">
      <w:pPr>
        <w:pStyle w:val="Head3"/>
      </w:pPr>
      <w:bookmarkStart w:id="26" w:name="_Toc516577993"/>
      <w:r w:rsidRPr="00E546B8">
        <w:t>Form for extending</w:t>
      </w:r>
      <w:bookmarkEnd w:id="26"/>
    </w:p>
    <w:p w:rsidR="0057516C" w:rsidRPr="00E546B8" w:rsidRDefault="0057516C" w:rsidP="0060577B">
      <w:pPr>
        <w:pStyle w:val="BodyNum"/>
      </w:pPr>
      <w:r w:rsidRPr="00E546B8">
        <w:t xml:space="preserve">If an Act is to extend to all of </w:t>
      </w:r>
      <w:r w:rsidR="00762C9F" w:rsidRPr="00E546B8">
        <w:t>the external Territories referred to in paragraph 23</w:t>
      </w:r>
      <w:r w:rsidRPr="00E546B8">
        <w:t>, the following form should be used:</w:t>
      </w:r>
    </w:p>
    <w:p w:rsidR="0057516C" w:rsidRPr="00E546B8" w:rsidRDefault="0057516C" w:rsidP="0057516C">
      <w:pPr>
        <w:pStyle w:val="subsection"/>
      </w:pPr>
      <w:r w:rsidRPr="00E546B8">
        <w:tab/>
      </w:r>
      <w:r w:rsidRPr="00E546B8">
        <w:tab/>
        <w:t xml:space="preserve">This Act extends to </w:t>
      </w:r>
      <w:r w:rsidR="006F50BF" w:rsidRPr="00E546B8">
        <w:t>the external Territories</w:t>
      </w:r>
      <w:r w:rsidRPr="00E546B8">
        <w:t>.</w:t>
      </w:r>
    </w:p>
    <w:p w:rsidR="006A2117" w:rsidRPr="00E546B8" w:rsidRDefault="006A2117" w:rsidP="00E546B8">
      <w:pPr>
        <w:pStyle w:val="Head3"/>
      </w:pPr>
      <w:bookmarkStart w:id="27" w:name="_Toc516577994"/>
      <w:r w:rsidRPr="00E546B8">
        <w:t>“Australia”</w:t>
      </w:r>
      <w:bookmarkEnd w:id="27"/>
    </w:p>
    <w:p w:rsidR="00762328" w:rsidRPr="00E546B8" w:rsidRDefault="0057516C" w:rsidP="0060577B">
      <w:pPr>
        <w:pStyle w:val="BodyNum"/>
      </w:pPr>
      <w:r w:rsidRPr="00E546B8">
        <w:t xml:space="preserve">If an Act extends to one or more of the </w:t>
      </w:r>
      <w:r w:rsidR="00762C9F" w:rsidRPr="00E546B8">
        <w:t>external Territories referred to in paragraph 23</w:t>
      </w:r>
      <w:r w:rsidR="00483FCD" w:rsidRPr="00E546B8">
        <w:t xml:space="preserve"> or the Territory of Ashmore and Cartier Islands</w:t>
      </w:r>
      <w:r w:rsidRPr="00E546B8">
        <w:t xml:space="preserve">, you must consider whether the expression “Australia”, when used in a geographical sense, should be defined to include the external </w:t>
      </w:r>
      <w:r w:rsidRPr="00E546B8">
        <w:lastRenderedPageBreak/>
        <w:t xml:space="preserve">Territories concerned. </w:t>
      </w:r>
      <w:r w:rsidR="00516093" w:rsidRPr="00E546B8">
        <w:t xml:space="preserve">(The scope of the jurisdictional extension of the Act to the external Territories does not </w:t>
      </w:r>
      <w:r w:rsidR="00762328" w:rsidRPr="00E546B8">
        <w:t xml:space="preserve">always </w:t>
      </w:r>
      <w:r w:rsidR="00516093" w:rsidRPr="00E546B8">
        <w:t>need to match the scope of the term “Australia” when used in a geographical sen</w:t>
      </w:r>
      <w:r w:rsidR="00762328" w:rsidRPr="00E546B8">
        <w:t>s</w:t>
      </w:r>
      <w:r w:rsidR="00516093" w:rsidRPr="00E546B8">
        <w:t>e</w:t>
      </w:r>
      <w:r w:rsidR="00762328" w:rsidRPr="00E546B8">
        <w:t>. Drafters and instructors should consider each occurrence of the term in context.)</w:t>
      </w:r>
    </w:p>
    <w:p w:rsidR="0057516C" w:rsidRPr="00E546B8" w:rsidRDefault="0057516C" w:rsidP="0060577B">
      <w:pPr>
        <w:pStyle w:val="BodyNum"/>
      </w:pPr>
      <w:r w:rsidRPr="00E546B8">
        <w:t xml:space="preserve">An extended definition of “Australia” will override the exception in </w:t>
      </w:r>
      <w:r w:rsidR="0031584B" w:rsidRPr="00E546B8">
        <w:t xml:space="preserve">the definition of </w:t>
      </w:r>
      <w:r w:rsidR="0031584B" w:rsidRPr="00E546B8">
        <w:rPr>
          <w:b/>
          <w:i/>
        </w:rPr>
        <w:t>Australia</w:t>
      </w:r>
      <w:r w:rsidR="0031584B" w:rsidRPr="00E546B8">
        <w:t xml:space="preserve"> in section 2B</w:t>
      </w:r>
      <w:r w:rsidRPr="00E546B8">
        <w:t xml:space="preserve"> of the </w:t>
      </w:r>
      <w:r w:rsidRPr="00E546B8">
        <w:rPr>
          <w:i/>
        </w:rPr>
        <w:t>Acts Interpretation Act 1901</w:t>
      </w:r>
      <w:r w:rsidRPr="00E546B8">
        <w:t>. An appropriate definition would be:</w:t>
      </w:r>
    </w:p>
    <w:p w:rsidR="0057516C" w:rsidRPr="00E546B8" w:rsidRDefault="0057516C" w:rsidP="0057516C">
      <w:pPr>
        <w:pStyle w:val="Definition"/>
      </w:pPr>
      <w:r w:rsidRPr="00E546B8">
        <w:rPr>
          <w:b/>
          <w:i/>
        </w:rPr>
        <w:t>Australia</w:t>
      </w:r>
      <w:r w:rsidRPr="00E546B8">
        <w:t>, when used in a geographical sense, includes the external Territories.</w:t>
      </w:r>
    </w:p>
    <w:p w:rsidR="0057516C" w:rsidRPr="00E546B8" w:rsidRDefault="0057516C" w:rsidP="0060577B">
      <w:pPr>
        <w:pStyle w:val="BodyNum"/>
      </w:pPr>
      <w:r w:rsidRPr="00E546B8">
        <w:t xml:space="preserve">The following form could be used in an Act extending to one or more (but not all) of the </w:t>
      </w:r>
      <w:r w:rsidR="00762C9F" w:rsidRPr="00E546B8">
        <w:t>external Territories referred to in paragraph 2</w:t>
      </w:r>
      <w:r w:rsidR="00516093" w:rsidRPr="00E546B8">
        <w:t>6</w:t>
      </w:r>
      <w:r w:rsidRPr="00E546B8">
        <w:t>:</w:t>
      </w:r>
    </w:p>
    <w:p w:rsidR="0057516C" w:rsidRPr="00E546B8" w:rsidRDefault="0057516C" w:rsidP="0057516C">
      <w:pPr>
        <w:pStyle w:val="Definition"/>
      </w:pPr>
      <w:r w:rsidRPr="00E546B8">
        <w:rPr>
          <w:b/>
          <w:i/>
        </w:rPr>
        <w:t>Australia</w:t>
      </w:r>
      <w:r w:rsidRPr="00E546B8">
        <w:t xml:space="preserve">, when used in a geographical sense, includes </w:t>
      </w:r>
      <w:r w:rsidR="009120B0" w:rsidRPr="00E546B8">
        <w:rPr>
          <w:i/>
        </w:rPr>
        <w:t>[Territory name</w:t>
      </w:r>
      <w:r w:rsidR="005B1FC2" w:rsidRPr="00E546B8">
        <w:rPr>
          <w:i/>
        </w:rPr>
        <w:t>(s)</w:t>
      </w:r>
      <w:r w:rsidR="009120B0" w:rsidRPr="00E546B8">
        <w:rPr>
          <w:i/>
        </w:rPr>
        <w:t>]</w:t>
      </w:r>
      <w:r w:rsidRPr="00E546B8">
        <w:t>.</w:t>
      </w:r>
    </w:p>
    <w:p w:rsidR="005B1FC2" w:rsidRPr="00E546B8" w:rsidRDefault="00762C9F" w:rsidP="005B1FC2">
      <w:pPr>
        <w:pStyle w:val="BodyNum"/>
      </w:pPr>
      <w:r w:rsidRPr="00E546B8">
        <w:t>If the form in paragraph 2</w:t>
      </w:r>
      <w:r w:rsidR="00762328" w:rsidRPr="00E546B8">
        <w:t>8</w:t>
      </w:r>
      <w:r w:rsidRPr="00E546B8">
        <w:t xml:space="preserve"> is used, and if</w:t>
      </w:r>
      <w:r w:rsidR="005B1FC2" w:rsidRPr="00E546B8">
        <w:t xml:space="preserve"> </w:t>
      </w:r>
      <w:r w:rsidR="00605F47" w:rsidRPr="00E546B8">
        <w:t>Norfolk Island, the Territory of Christmas Island and the Territory of Cocos (Keeling) Islands</w:t>
      </w:r>
      <w:r w:rsidR="005B1FC2" w:rsidRPr="00E546B8">
        <w:t xml:space="preserve"> are intended to </w:t>
      </w:r>
      <w:r w:rsidRPr="00E546B8">
        <w:t xml:space="preserve">still </w:t>
      </w:r>
      <w:r w:rsidR="005B1FC2" w:rsidRPr="00E546B8">
        <w:t xml:space="preserve">be </w:t>
      </w:r>
      <w:r w:rsidRPr="00E546B8">
        <w:t>covered</w:t>
      </w:r>
      <w:r w:rsidR="005B1FC2" w:rsidRPr="00E546B8">
        <w:t xml:space="preserve">, you should </w:t>
      </w:r>
      <w:r w:rsidRPr="00E546B8">
        <w:t xml:space="preserve">also </w:t>
      </w:r>
      <w:r w:rsidR="005B1FC2" w:rsidRPr="00E546B8">
        <w:t>name them so that you maintain the principle that they are always treated as part of Australia.</w:t>
      </w:r>
    </w:p>
    <w:p w:rsidR="0057516C" w:rsidRPr="00E546B8" w:rsidRDefault="0057516C" w:rsidP="00E546B8">
      <w:pPr>
        <w:pStyle w:val="Head2"/>
      </w:pPr>
      <w:bookmarkStart w:id="28" w:name="_Toc516577995"/>
      <w:r w:rsidRPr="00E546B8">
        <w:t>Part 4—States grants</w:t>
      </w:r>
      <w:bookmarkEnd w:id="28"/>
    </w:p>
    <w:p w:rsidR="0057516C" w:rsidRPr="00E546B8" w:rsidRDefault="0057516C" w:rsidP="00E546B8">
      <w:pPr>
        <w:pStyle w:val="Head3"/>
      </w:pPr>
      <w:bookmarkStart w:id="29" w:name="_Toc516577996"/>
      <w:r w:rsidRPr="00E546B8">
        <w:t>Full reimbursement</w:t>
      </w:r>
      <w:bookmarkEnd w:id="29"/>
    </w:p>
    <w:p w:rsidR="0057516C" w:rsidRPr="00E546B8" w:rsidRDefault="0057516C" w:rsidP="0060577B">
      <w:pPr>
        <w:pStyle w:val="BodyNum"/>
      </w:pPr>
      <w:bookmarkStart w:id="30" w:name="_Ref269393048"/>
      <w:r w:rsidRPr="00E546B8">
        <w:t>A provision for making payments to a State, by way of full reimbursement of amounts spent by the State for a specified purpose during a specified period, should be drafted to provide for payment to the State of “the amount needed to reimburse the State for all the money spent by the State” for the specified purpose during the specified period.</w:t>
      </w:r>
      <w:bookmarkEnd w:id="30"/>
    </w:p>
    <w:p w:rsidR="0057516C" w:rsidRPr="00E546B8" w:rsidRDefault="0057516C" w:rsidP="0060577B">
      <w:pPr>
        <w:pStyle w:val="BodyNum"/>
      </w:pPr>
      <w:r w:rsidRPr="00E546B8">
        <w:t>Phrases such as “an amount equal to the amount spent by the State” should be avoided because they have been misread as providing for matching grants.</w:t>
      </w:r>
    </w:p>
    <w:p w:rsidR="0057516C" w:rsidRPr="00E546B8" w:rsidRDefault="0057516C" w:rsidP="00E546B8">
      <w:pPr>
        <w:pStyle w:val="Head3"/>
      </w:pPr>
      <w:bookmarkStart w:id="31" w:name="_Toc516577997"/>
      <w:r w:rsidRPr="00E546B8">
        <w:t>Partial reimbursement</w:t>
      </w:r>
      <w:bookmarkEnd w:id="31"/>
    </w:p>
    <w:p w:rsidR="0057516C" w:rsidRPr="00E546B8" w:rsidRDefault="0057516C" w:rsidP="0060577B">
      <w:pPr>
        <w:pStyle w:val="BodyNum"/>
      </w:pPr>
      <w:r w:rsidRPr="00E546B8">
        <w:t xml:space="preserve">If the provision is only to provide for partial reimbursement, the form set out in paragraph </w:t>
      </w:r>
      <w:r w:rsidR="00762328" w:rsidRPr="00E546B8">
        <w:t>30</w:t>
      </w:r>
      <w:r w:rsidRPr="00E546B8">
        <w:t xml:space="preserve"> should be modified appropriately.</w:t>
      </w:r>
    </w:p>
    <w:p w:rsidR="0057516C" w:rsidRPr="00E546B8" w:rsidRDefault="0057516C" w:rsidP="0060577B">
      <w:pPr>
        <w:pStyle w:val="BodyNum"/>
      </w:pPr>
      <w:r w:rsidRPr="00E546B8">
        <w:t>For example, if one</w:t>
      </w:r>
      <w:r w:rsidR="00762328" w:rsidRPr="00E546B8">
        <w:noBreakHyphen/>
      </w:r>
      <w:r w:rsidRPr="00E546B8">
        <w:t>half of the State’s expenditure is to be reimbursed, the provision should be drafted to provide for payment to the State of “the amount needed to reimburse the State for half the money spent by the State” for the specified purpose during the specified period.</w:t>
      </w:r>
    </w:p>
    <w:p w:rsidR="0057516C" w:rsidRPr="00E546B8" w:rsidRDefault="0057516C" w:rsidP="00E546B8">
      <w:pPr>
        <w:pStyle w:val="Head3"/>
      </w:pPr>
      <w:bookmarkStart w:id="32" w:name="_Toc516577998"/>
      <w:r w:rsidRPr="00E546B8">
        <w:t>Grant subject to condition subsequent</w:t>
      </w:r>
      <w:bookmarkEnd w:id="32"/>
    </w:p>
    <w:p w:rsidR="0057516C" w:rsidRPr="00E546B8" w:rsidRDefault="0057516C" w:rsidP="0060577B">
      <w:pPr>
        <w:pStyle w:val="BodyNum"/>
      </w:pPr>
      <w:r w:rsidRPr="00E546B8">
        <w:t>If the State’s expenditure is to be a condition subsequent of the grant, the provision should be drafted to provide for payment of the grant “subject to the condition that the State will ensure that the amount is sp</w:t>
      </w:r>
      <w:r w:rsidR="009C5A6C" w:rsidRPr="00E546B8">
        <w:t>ent” for the specified purpose.</w:t>
      </w:r>
    </w:p>
    <w:p w:rsidR="0057516C" w:rsidRPr="00E546B8" w:rsidRDefault="0057516C" w:rsidP="0060577B">
      <w:pPr>
        <w:pStyle w:val="BodyNum"/>
      </w:pPr>
      <w:r w:rsidRPr="00E546B8">
        <w:t>Phrases such as “an amount equal to that amount is spent” should be avoided because they have been misread as requiring the State to expend a further amount in addition to the grant.</w:t>
      </w:r>
    </w:p>
    <w:p w:rsidR="0057516C" w:rsidRPr="00E546B8" w:rsidRDefault="0057516C" w:rsidP="00E546B8">
      <w:pPr>
        <w:pStyle w:val="Head3"/>
      </w:pPr>
      <w:bookmarkStart w:id="33" w:name="_Toc516577999"/>
      <w:r w:rsidRPr="00E546B8">
        <w:lastRenderedPageBreak/>
        <w:t>Matching grants</w:t>
      </w:r>
      <w:bookmarkEnd w:id="33"/>
    </w:p>
    <w:p w:rsidR="0057516C" w:rsidRPr="00E546B8" w:rsidRDefault="0057516C" w:rsidP="0060577B">
      <w:pPr>
        <w:pStyle w:val="BodyNum"/>
      </w:pPr>
      <w:r w:rsidRPr="00E546B8">
        <w:t>If the condition is to require expenditure of a further amount, the provision should be drafted to provide for payment of the grant “subject to the condition that the State will spend for the specified purpose:</w:t>
      </w:r>
    </w:p>
    <w:p w:rsidR="0057516C" w:rsidRPr="00E546B8" w:rsidRDefault="0057516C" w:rsidP="0057516C">
      <w:pPr>
        <w:pStyle w:val="Body"/>
      </w:pPr>
      <w:r w:rsidRPr="00E546B8">
        <w:tab/>
        <w:t>(a)</w:t>
      </w:r>
      <w:r w:rsidRPr="00E546B8">
        <w:tab/>
        <w:t>the amount paid to the State by the Commonwealth; and</w:t>
      </w:r>
    </w:p>
    <w:p w:rsidR="0057516C" w:rsidRPr="00E546B8" w:rsidRDefault="0057516C" w:rsidP="0057516C">
      <w:pPr>
        <w:pStyle w:val="Body"/>
      </w:pPr>
      <w:r w:rsidRPr="00E546B8">
        <w:tab/>
        <w:t>(b)</w:t>
      </w:r>
      <w:r w:rsidRPr="00E546B8">
        <w:tab/>
        <w:t>a further amount equal to that amount.”</w:t>
      </w:r>
    </w:p>
    <w:p w:rsidR="0057516C" w:rsidRPr="00E546B8" w:rsidRDefault="0057516C" w:rsidP="00E546B8">
      <w:pPr>
        <w:pStyle w:val="Head3"/>
      </w:pPr>
      <w:bookmarkStart w:id="34" w:name="_Toc516578000"/>
      <w:r w:rsidRPr="00E546B8">
        <w:t>Reimbursement arrangements preferable</w:t>
      </w:r>
      <w:bookmarkEnd w:id="34"/>
    </w:p>
    <w:p w:rsidR="0057516C" w:rsidRPr="00E546B8" w:rsidRDefault="0057516C" w:rsidP="0060577B">
      <w:pPr>
        <w:pStyle w:val="BodyNum"/>
      </w:pPr>
      <w:r w:rsidRPr="00E546B8">
        <w:t>As a matter of administrative policy, it is generally preferable to provide for grants by way of reimbursement of State expenditure rather than to make the expenditure a condition subsequent of the grant.</w:t>
      </w:r>
    </w:p>
    <w:p w:rsidR="0057516C" w:rsidRPr="00E546B8" w:rsidRDefault="0057516C" w:rsidP="00E546B8">
      <w:pPr>
        <w:pStyle w:val="Head2"/>
      </w:pPr>
      <w:bookmarkStart w:id="35" w:name="_Toc516578001"/>
      <w:r w:rsidRPr="00E546B8">
        <w:t>Part 5—State land titles functions</w:t>
      </w:r>
      <w:bookmarkEnd w:id="35"/>
    </w:p>
    <w:p w:rsidR="0057516C" w:rsidRPr="00E546B8" w:rsidRDefault="0057516C" w:rsidP="0060577B">
      <w:pPr>
        <w:pStyle w:val="BodyNum"/>
      </w:pPr>
      <w:r w:rsidRPr="00E546B8">
        <w:t xml:space="preserve">If </w:t>
      </w:r>
      <w:r w:rsidR="00B0167A" w:rsidRPr="00E546B8">
        <w:t>legislation</w:t>
      </w:r>
      <w:r w:rsidRPr="00E546B8">
        <w:t xml:space="preserve"> might have an impact on State or Territory land titles law and practice, in a way set out in Attachment A, the instructing Department should be informed of this and advised to consult the ACT Registrar</w:t>
      </w:r>
      <w:r w:rsidR="00762328" w:rsidRPr="00E546B8">
        <w:noBreakHyphen/>
      </w:r>
      <w:r w:rsidRPr="00E546B8">
        <w:t xml:space="preserve">General’s Office. It may be best to give the instructors a copy of Attachment A and identify the provisions concerned. However, unless and until a Commonwealth position on this matter is developed, </w:t>
      </w:r>
      <w:r w:rsidR="00B0167A" w:rsidRPr="00E546B8">
        <w:t>this office</w:t>
      </w:r>
      <w:r w:rsidRPr="00E546B8">
        <w:t xml:space="preserve"> does not have any function of monitoring or enforcing the consultations requested in the letter.</w:t>
      </w:r>
    </w:p>
    <w:p w:rsidR="0057516C" w:rsidRPr="00E546B8" w:rsidRDefault="0057516C" w:rsidP="0057516C">
      <w:pPr>
        <w:pStyle w:val="Body"/>
      </w:pPr>
    </w:p>
    <w:p w:rsidR="0057516C" w:rsidRPr="00E546B8" w:rsidRDefault="0057516C" w:rsidP="0057516C">
      <w:pPr>
        <w:pStyle w:val="Body"/>
      </w:pPr>
    </w:p>
    <w:p w:rsidR="0057516C" w:rsidRPr="00E546B8" w:rsidRDefault="0057516C" w:rsidP="0057516C">
      <w:pPr>
        <w:pStyle w:val="Blocks"/>
      </w:pPr>
      <w:r w:rsidRPr="00E546B8">
        <w:t>Peter Quiggin</w:t>
      </w:r>
      <w:r w:rsidR="00D17922" w:rsidRPr="00E546B8">
        <w:t xml:space="preserve"> PSM</w:t>
      </w:r>
    </w:p>
    <w:p w:rsidR="0057516C" w:rsidRPr="00E546B8" w:rsidRDefault="0057516C" w:rsidP="0057516C">
      <w:pPr>
        <w:pStyle w:val="Blocks"/>
      </w:pPr>
      <w:r w:rsidRPr="00E546B8">
        <w:t>First Parliamentary Counsel</w:t>
      </w:r>
    </w:p>
    <w:p w:rsidR="0057516C" w:rsidRPr="00E546B8" w:rsidRDefault="005B5077" w:rsidP="0057516C">
      <w:pPr>
        <w:pStyle w:val="Blocks"/>
      </w:pPr>
      <w:r w:rsidRPr="00040F56">
        <w:t>2</w:t>
      </w:r>
      <w:r w:rsidR="00040F56" w:rsidRPr="00040F56">
        <w:t>1</w:t>
      </w:r>
      <w:r w:rsidRPr="00040F56">
        <w:t xml:space="preserve"> June</w:t>
      </w:r>
      <w:r w:rsidR="00AA0EDA" w:rsidRPr="00040F56">
        <w:t xml:space="preserve"> 201</w:t>
      </w:r>
      <w:r w:rsidR="00D17922" w:rsidRPr="00040F56">
        <w:t>8</w:t>
      </w:r>
    </w:p>
    <w:p w:rsidR="001B4AA3" w:rsidRPr="00E546B8" w:rsidRDefault="001B4AA3" w:rsidP="001B4AA3">
      <w:pPr>
        <w:pStyle w:val="Body"/>
      </w:pPr>
    </w:p>
    <w:tbl>
      <w:tblPr>
        <w:tblW w:w="0" w:type="auto"/>
        <w:tblInd w:w="113" w:type="dxa"/>
        <w:tblLayout w:type="fixed"/>
        <w:tblLook w:val="0000" w:firstRow="0" w:lastRow="0" w:firstColumn="0" w:lastColumn="0" w:noHBand="0" w:noVBand="0"/>
      </w:tblPr>
      <w:tblGrid>
        <w:gridCol w:w="3009"/>
        <w:gridCol w:w="3009"/>
        <w:gridCol w:w="3009"/>
      </w:tblGrid>
      <w:tr w:rsidR="001B4AA3" w:rsidRPr="00E546B8" w:rsidTr="009965F8">
        <w:trPr>
          <w:tblHeader/>
        </w:trPr>
        <w:tc>
          <w:tcPr>
            <w:tcW w:w="9027" w:type="dxa"/>
            <w:gridSpan w:val="3"/>
            <w:tcBorders>
              <w:top w:val="single" w:sz="12" w:space="0" w:color="auto"/>
              <w:bottom w:val="single" w:sz="6" w:space="0" w:color="auto"/>
            </w:tcBorders>
            <w:shd w:val="clear" w:color="auto" w:fill="auto"/>
          </w:tcPr>
          <w:p w:rsidR="001B4AA3" w:rsidRPr="00E546B8" w:rsidRDefault="001B4AA3" w:rsidP="009965F8">
            <w:pPr>
              <w:pStyle w:val="Tabletext"/>
              <w:keepNext/>
              <w:rPr>
                <w:b/>
              </w:rPr>
            </w:pPr>
            <w:r w:rsidRPr="00E546B8">
              <w:rPr>
                <w:b/>
              </w:rPr>
              <w:t>Document History</w:t>
            </w:r>
          </w:p>
        </w:tc>
      </w:tr>
      <w:tr w:rsidR="001B4AA3" w:rsidRPr="00E546B8" w:rsidTr="00702C81">
        <w:trPr>
          <w:tblHeader/>
        </w:trPr>
        <w:tc>
          <w:tcPr>
            <w:tcW w:w="3009" w:type="dxa"/>
            <w:tcBorders>
              <w:top w:val="single" w:sz="6" w:space="0" w:color="auto"/>
              <w:bottom w:val="single" w:sz="12" w:space="0" w:color="auto"/>
            </w:tcBorders>
            <w:shd w:val="clear" w:color="auto" w:fill="auto"/>
          </w:tcPr>
          <w:p w:rsidR="001B4AA3" w:rsidRPr="00E546B8" w:rsidRDefault="001B4AA3" w:rsidP="009965F8">
            <w:pPr>
              <w:pStyle w:val="Tabletext"/>
              <w:keepNext/>
              <w:rPr>
                <w:b/>
              </w:rPr>
            </w:pPr>
            <w:r w:rsidRPr="00E546B8">
              <w:rPr>
                <w:b/>
              </w:rPr>
              <w:t>Release</w:t>
            </w:r>
          </w:p>
        </w:tc>
        <w:tc>
          <w:tcPr>
            <w:tcW w:w="3009" w:type="dxa"/>
            <w:tcBorders>
              <w:top w:val="single" w:sz="6" w:space="0" w:color="auto"/>
              <w:bottom w:val="single" w:sz="12" w:space="0" w:color="auto"/>
            </w:tcBorders>
            <w:shd w:val="clear" w:color="auto" w:fill="auto"/>
          </w:tcPr>
          <w:p w:rsidR="001B4AA3" w:rsidRPr="00E546B8" w:rsidRDefault="001B4AA3" w:rsidP="009965F8">
            <w:pPr>
              <w:pStyle w:val="Tabletext"/>
              <w:keepNext/>
              <w:rPr>
                <w:b/>
              </w:rPr>
            </w:pPr>
            <w:r w:rsidRPr="00E546B8">
              <w:rPr>
                <w:b/>
              </w:rPr>
              <w:t>Release date</w:t>
            </w:r>
          </w:p>
        </w:tc>
        <w:tc>
          <w:tcPr>
            <w:tcW w:w="3009" w:type="dxa"/>
            <w:tcBorders>
              <w:top w:val="single" w:sz="6" w:space="0" w:color="auto"/>
              <w:bottom w:val="single" w:sz="12" w:space="0" w:color="auto"/>
            </w:tcBorders>
            <w:shd w:val="clear" w:color="auto" w:fill="auto"/>
          </w:tcPr>
          <w:p w:rsidR="001B4AA3" w:rsidRPr="00E546B8" w:rsidRDefault="001B4AA3" w:rsidP="009965F8">
            <w:pPr>
              <w:pStyle w:val="Tabletext"/>
              <w:keepNext/>
              <w:rPr>
                <w:b/>
              </w:rPr>
            </w:pPr>
            <w:r w:rsidRPr="00E546B8">
              <w:rPr>
                <w:b/>
              </w:rPr>
              <w:t>Document number</w:t>
            </w:r>
          </w:p>
        </w:tc>
      </w:tr>
      <w:tr w:rsidR="001B4AA3" w:rsidRPr="00E546B8" w:rsidTr="00702C81">
        <w:tc>
          <w:tcPr>
            <w:tcW w:w="3009" w:type="dxa"/>
            <w:tcBorders>
              <w:top w:val="single" w:sz="12" w:space="0" w:color="auto"/>
              <w:bottom w:val="single" w:sz="2" w:space="0" w:color="auto"/>
            </w:tcBorders>
            <w:shd w:val="clear" w:color="auto" w:fill="auto"/>
          </w:tcPr>
          <w:p w:rsidR="001B4AA3" w:rsidRPr="00E546B8" w:rsidRDefault="001B4AA3" w:rsidP="009965F8">
            <w:pPr>
              <w:pStyle w:val="Tabletext"/>
            </w:pPr>
            <w:r w:rsidRPr="00E546B8">
              <w:t>1.0</w:t>
            </w:r>
          </w:p>
        </w:tc>
        <w:tc>
          <w:tcPr>
            <w:tcW w:w="3009" w:type="dxa"/>
            <w:tcBorders>
              <w:top w:val="single" w:sz="12" w:space="0" w:color="auto"/>
              <w:bottom w:val="single" w:sz="2" w:space="0" w:color="auto"/>
            </w:tcBorders>
            <w:shd w:val="clear" w:color="auto" w:fill="auto"/>
          </w:tcPr>
          <w:p w:rsidR="001B4AA3" w:rsidRPr="00E546B8" w:rsidRDefault="001B4AA3" w:rsidP="009965F8">
            <w:pPr>
              <w:pStyle w:val="Tabletext"/>
            </w:pPr>
            <w:r w:rsidRPr="00E546B8">
              <w:t>1 May 2006</w:t>
            </w:r>
          </w:p>
        </w:tc>
        <w:tc>
          <w:tcPr>
            <w:tcW w:w="3009" w:type="dxa"/>
            <w:tcBorders>
              <w:top w:val="single" w:sz="12" w:space="0" w:color="auto"/>
              <w:bottom w:val="single" w:sz="2" w:space="0" w:color="auto"/>
            </w:tcBorders>
            <w:shd w:val="clear" w:color="auto" w:fill="auto"/>
          </w:tcPr>
          <w:p w:rsidR="001B4AA3" w:rsidRPr="00E546B8" w:rsidRDefault="001B4AA3" w:rsidP="009965F8">
            <w:pPr>
              <w:pStyle w:val="Tabletext"/>
            </w:pPr>
            <w:r w:rsidRPr="00E546B8">
              <w:t>s06rd386.v01.doc</w:t>
            </w:r>
          </w:p>
        </w:tc>
      </w:tr>
      <w:tr w:rsidR="00702C81" w:rsidRPr="00E546B8" w:rsidTr="00AA0EDA">
        <w:tc>
          <w:tcPr>
            <w:tcW w:w="3009" w:type="dxa"/>
            <w:tcBorders>
              <w:top w:val="single" w:sz="2" w:space="0" w:color="auto"/>
              <w:bottom w:val="single" w:sz="2" w:space="0" w:color="auto"/>
            </w:tcBorders>
            <w:shd w:val="clear" w:color="auto" w:fill="auto"/>
          </w:tcPr>
          <w:p w:rsidR="00702C81" w:rsidRPr="00E546B8" w:rsidRDefault="00702C81" w:rsidP="009965F8">
            <w:pPr>
              <w:pStyle w:val="Tabletext"/>
            </w:pPr>
            <w:r w:rsidRPr="00E546B8">
              <w:t>2.0</w:t>
            </w:r>
          </w:p>
        </w:tc>
        <w:tc>
          <w:tcPr>
            <w:tcW w:w="3009" w:type="dxa"/>
            <w:tcBorders>
              <w:top w:val="single" w:sz="2" w:space="0" w:color="auto"/>
              <w:bottom w:val="single" w:sz="2" w:space="0" w:color="auto"/>
            </w:tcBorders>
            <w:shd w:val="clear" w:color="auto" w:fill="auto"/>
          </w:tcPr>
          <w:p w:rsidR="00702C81" w:rsidRPr="00E546B8" w:rsidRDefault="00702C81" w:rsidP="009965F8">
            <w:pPr>
              <w:pStyle w:val="Tabletext"/>
            </w:pPr>
            <w:r w:rsidRPr="00E546B8">
              <w:t>2 October 2012</w:t>
            </w:r>
          </w:p>
        </w:tc>
        <w:tc>
          <w:tcPr>
            <w:tcW w:w="3009" w:type="dxa"/>
            <w:tcBorders>
              <w:top w:val="single" w:sz="2" w:space="0" w:color="auto"/>
              <w:bottom w:val="single" w:sz="2" w:space="0" w:color="auto"/>
            </w:tcBorders>
            <w:shd w:val="clear" w:color="auto" w:fill="auto"/>
          </w:tcPr>
          <w:p w:rsidR="00702C81" w:rsidRPr="00E546B8" w:rsidRDefault="00702C81" w:rsidP="00702C81">
            <w:pPr>
              <w:pStyle w:val="Tabletext"/>
            </w:pPr>
            <w:r w:rsidRPr="00E546B8">
              <w:t>s06rd386.v10.docx</w:t>
            </w:r>
          </w:p>
        </w:tc>
      </w:tr>
      <w:tr w:rsidR="00AA0EDA" w:rsidRPr="00E546B8" w:rsidTr="00702C81">
        <w:tc>
          <w:tcPr>
            <w:tcW w:w="3009" w:type="dxa"/>
            <w:tcBorders>
              <w:top w:val="single" w:sz="2" w:space="0" w:color="auto"/>
              <w:bottom w:val="single" w:sz="12" w:space="0" w:color="auto"/>
            </w:tcBorders>
            <w:shd w:val="clear" w:color="auto" w:fill="auto"/>
          </w:tcPr>
          <w:p w:rsidR="00AA0EDA" w:rsidRPr="00040F56" w:rsidRDefault="00AA0EDA" w:rsidP="009965F8">
            <w:pPr>
              <w:pStyle w:val="Tabletext"/>
            </w:pPr>
            <w:r w:rsidRPr="00040F56">
              <w:t>2.1</w:t>
            </w:r>
          </w:p>
        </w:tc>
        <w:tc>
          <w:tcPr>
            <w:tcW w:w="3009" w:type="dxa"/>
            <w:tcBorders>
              <w:top w:val="single" w:sz="2" w:space="0" w:color="auto"/>
              <w:bottom w:val="single" w:sz="12" w:space="0" w:color="auto"/>
            </w:tcBorders>
            <w:shd w:val="clear" w:color="auto" w:fill="auto"/>
          </w:tcPr>
          <w:p w:rsidR="00AA0EDA" w:rsidRPr="00040F56" w:rsidRDefault="005B5077" w:rsidP="00040F56">
            <w:pPr>
              <w:pStyle w:val="Tabletext"/>
            </w:pPr>
            <w:r w:rsidRPr="00040F56">
              <w:t>2</w:t>
            </w:r>
            <w:r w:rsidR="00040F56" w:rsidRPr="00040F56">
              <w:t>1</w:t>
            </w:r>
            <w:r w:rsidRPr="00040F56">
              <w:t xml:space="preserve"> June 2018</w:t>
            </w:r>
          </w:p>
        </w:tc>
        <w:tc>
          <w:tcPr>
            <w:tcW w:w="3009" w:type="dxa"/>
            <w:tcBorders>
              <w:top w:val="single" w:sz="2" w:space="0" w:color="auto"/>
              <w:bottom w:val="single" w:sz="12" w:space="0" w:color="auto"/>
            </w:tcBorders>
            <w:shd w:val="clear" w:color="auto" w:fill="auto"/>
          </w:tcPr>
          <w:p w:rsidR="00AA0EDA" w:rsidRPr="00E546B8" w:rsidRDefault="00AA0EDA" w:rsidP="005B5077">
            <w:pPr>
              <w:pStyle w:val="Tabletext"/>
            </w:pPr>
            <w:r w:rsidRPr="00040F56">
              <w:t>s06rd386.v</w:t>
            </w:r>
            <w:r w:rsidR="005B5077" w:rsidRPr="00040F56">
              <w:t>20</w:t>
            </w:r>
            <w:r w:rsidRPr="00040F56">
              <w:t>.docx</w:t>
            </w:r>
          </w:p>
        </w:tc>
      </w:tr>
    </w:tbl>
    <w:p w:rsidR="001B4AA3" w:rsidRPr="00E546B8" w:rsidRDefault="001B4AA3" w:rsidP="001B4AA3">
      <w:pPr>
        <w:pStyle w:val="notemargin"/>
      </w:pPr>
      <w:r w:rsidRPr="00E546B8">
        <w:t>Note:</w:t>
      </w:r>
      <w:r w:rsidRPr="00E546B8">
        <w:tab/>
        <w:t>Before the issue of the current series of Drafting Directions, this Drafting Direction was known as Drafting Direction No. 7 of 2005.</w:t>
      </w:r>
    </w:p>
    <w:p w:rsidR="0057516C" w:rsidRPr="00E546B8" w:rsidRDefault="0057516C" w:rsidP="0057516C">
      <w:pPr>
        <w:pStyle w:val="Blocks"/>
      </w:pPr>
      <w:r w:rsidRPr="00E546B8">
        <w:br w:type="page"/>
      </w:r>
    </w:p>
    <w:p w:rsidR="0057516C" w:rsidRPr="00E546B8" w:rsidRDefault="0057516C" w:rsidP="00E546B8">
      <w:pPr>
        <w:pStyle w:val="Head2"/>
      </w:pPr>
      <w:bookmarkStart w:id="36" w:name="_Toc516578002"/>
      <w:r w:rsidRPr="00E546B8">
        <w:lastRenderedPageBreak/>
        <w:t>Attachment A</w:t>
      </w:r>
      <w:bookmarkEnd w:id="36"/>
    </w:p>
    <w:p w:rsidR="0057516C" w:rsidRPr="00E546B8" w:rsidRDefault="0057516C" w:rsidP="0057516C">
      <w:pPr>
        <w:pStyle w:val="Body"/>
        <w:rPr>
          <w:i/>
        </w:rPr>
      </w:pPr>
      <w:r w:rsidRPr="00E546B8">
        <w:rPr>
          <w:i/>
        </w:rPr>
        <w:t>In 1994, a letter dated 10 May 1994 from the ACT Director of Land Titles (Andrew Taylor) to Mr Bob McLellan, Legislation Liaison Officer in the Department of Defence, was passed on to First Parliamentary Counsel. The text of the letter is set out below.</w:t>
      </w:r>
    </w:p>
    <w:p w:rsidR="0057516C" w:rsidRPr="00E546B8" w:rsidRDefault="0057516C" w:rsidP="0057516C">
      <w:pPr>
        <w:pStyle w:val="Body"/>
        <w:rPr>
          <w:b/>
          <w:sz w:val="28"/>
        </w:rPr>
      </w:pPr>
      <w:r w:rsidRPr="00E546B8">
        <w:rPr>
          <w:b/>
          <w:sz w:val="28"/>
        </w:rPr>
        <w:t>Re: Impact of federal legislation initiatives upon State land titles functions</w:t>
      </w:r>
    </w:p>
    <w:p w:rsidR="0057516C" w:rsidRPr="00E546B8" w:rsidRDefault="0057516C" w:rsidP="0057516C">
      <w:pPr>
        <w:pStyle w:val="Body"/>
      </w:pPr>
      <w:r w:rsidRPr="00E546B8">
        <w:t>During a recent conference of Australasian Land Titles Registries I was nominated to contact you with a view to establishing and maintaining a consultative process between your office and myself, as nominated representative, regarding legislative initiatives within your Department which may impinge upon State Land Title functions.</w:t>
      </w:r>
    </w:p>
    <w:p w:rsidR="0057516C" w:rsidRPr="00E546B8" w:rsidRDefault="0057516C" w:rsidP="0057516C">
      <w:pPr>
        <w:pStyle w:val="Body"/>
        <w:rPr>
          <w:b/>
        </w:rPr>
      </w:pPr>
      <w:r w:rsidRPr="00E546B8">
        <w:rPr>
          <w:b/>
        </w:rPr>
        <w:t>Background</w:t>
      </w:r>
    </w:p>
    <w:p w:rsidR="0057516C" w:rsidRPr="00E546B8" w:rsidRDefault="0057516C" w:rsidP="0057516C">
      <w:pPr>
        <w:pStyle w:val="Body"/>
      </w:pPr>
      <w:r w:rsidRPr="00E546B8">
        <w:t>Land Registration laws were enacted in Australia on a State/Territory basis although all States/Territories register land under a loosely uniform “Torrens Title” system.</w:t>
      </w:r>
    </w:p>
    <w:p w:rsidR="0057516C" w:rsidRPr="00E546B8" w:rsidRDefault="0057516C" w:rsidP="0057516C">
      <w:pPr>
        <w:pStyle w:val="Body"/>
      </w:pPr>
      <w:r w:rsidRPr="00E546B8">
        <w:t>Whilst the system is uniform, the legislation from one jurisdiction to another creates problems in coming to terms with matters having a national perspective.</w:t>
      </w:r>
    </w:p>
    <w:p w:rsidR="0057516C" w:rsidRPr="00E546B8" w:rsidRDefault="0057516C" w:rsidP="0057516C">
      <w:pPr>
        <w:pStyle w:val="Body"/>
      </w:pPr>
      <w:r w:rsidRPr="00E546B8">
        <w:t>Over recent years there have been many examples of Federal legislative initiatives having an impact upon State Land Titles Registries.</w:t>
      </w:r>
    </w:p>
    <w:p w:rsidR="0057516C" w:rsidRPr="00E546B8" w:rsidRDefault="0057516C" w:rsidP="0057516C">
      <w:pPr>
        <w:pStyle w:val="Body"/>
      </w:pPr>
      <w:r w:rsidRPr="00E546B8">
        <w:t>These impacts might be grouped as follows:</w:t>
      </w:r>
    </w:p>
    <w:p w:rsidR="0057516C" w:rsidRPr="00E546B8" w:rsidRDefault="0057516C" w:rsidP="0057516C">
      <w:pPr>
        <w:pStyle w:val="Body"/>
        <w:tabs>
          <w:tab w:val="left" w:pos="567"/>
        </w:tabs>
        <w:ind w:left="1418" w:hanging="1418"/>
      </w:pPr>
      <w:r w:rsidRPr="00E546B8">
        <w:tab/>
        <w:t>(a)</w:t>
      </w:r>
      <w:r w:rsidRPr="00E546B8">
        <w:tab/>
        <w:t>legislation that provides for certification to achieve registration by a Land Titles Registry;</w:t>
      </w:r>
    </w:p>
    <w:p w:rsidR="0057516C" w:rsidRPr="00E546B8" w:rsidRDefault="0057516C" w:rsidP="0057516C">
      <w:pPr>
        <w:pStyle w:val="Body"/>
        <w:tabs>
          <w:tab w:val="left" w:pos="567"/>
        </w:tabs>
        <w:ind w:left="1418" w:hanging="1418"/>
      </w:pPr>
      <w:r w:rsidRPr="00E546B8">
        <w:tab/>
        <w:t>(b)</w:t>
      </w:r>
      <w:r w:rsidRPr="00E546B8">
        <w:tab/>
        <w:t>legislation that creates interests or remedies not previously known to la</w:t>
      </w:r>
      <w:r w:rsidR="00B07681" w:rsidRPr="00E546B8">
        <w:t>w</w:t>
      </w:r>
      <w:r w:rsidRPr="00E546B8">
        <w:t>; and</w:t>
      </w:r>
    </w:p>
    <w:p w:rsidR="0057516C" w:rsidRPr="00E546B8" w:rsidRDefault="0057516C" w:rsidP="0057516C">
      <w:pPr>
        <w:pStyle w:val="Body"/>
        <w:tabs>
          <w:tab w:val="left" w:pos="567"/>
        </w:tabs>
        <w:ind w:left="1418" w:hanging="1418"/>
      </w:pPr>
      <w:r w:rsidRPr="00E546B8">
        <w:tab/>
        <w:t>(c)</w:t>
      </w:r>
      <w:r w:rsidRPr="00E546B8">
        <w:tab/>
        <w:t>legislation that seeks to claim immunity from the operation of State legislation.</w:t>
      </w:r>
    </w:p>
    <w:p w:rsidR="0057516C" w:rsidRPr="00E546B8" w:rsidRDefault="0057516C" w:rsidP="0057516C">
      <w:pPr>
        <w:pStyle w:val="Body"/>
        <w:rPr>
          <w:b/>
        </w:rPr>
      </w:pPr>
      <w:r w:rsidRPr="00E546B8">
        <w:rPr>
          <w:b/>
        </w:rPr>
        <w:t>(a)  Legislation that provides for certification to achieve registration</w:t>
      </w:r>
    </w:p>
    <w:p w:rsidR="0057516C" w:rsidRPr="00E546B8" w:rsidRDefault="0057516C" w:rsidP="0057516C">
      <w:pPr>
        <w:pStyle w:val="Body"/>
      </w:pPr>
      <w:r w:rsidRPr="00E546B8">
        <w:t>Some examples of Federal legislation which provide for certification as a way of achieving registration of successor organisations are:</w:t>
      </w:r>
    </w:p>
    <w:p w:rsidR="0057516C" w:rsidRPr="00E546B8" w:rsidRDefault="0057516C" w:rsidP="0057516C">
      <w:pPr>
        <w:pStyle w:val="Body"/>
        <w:ind w:left="283" w:hanging="283"/>
      </w:pPr>
      <w:r w:rsidRPr="00E546B8">
        <w:rPr>
          <w:rFonts w:ascii="Symbol" w:hAnsi="Symbol"/>
        </w:rPr>
        <w:t></w:t>
      </w:r>
      <w:r w:rsidRPr="00E546B8">
        <w:rPr>
          <w:rFonts w:ascii="Symbol" w:hAnsi="Symbol"/>
        </w:rPr>
        <w:tab/>
      </w:r>
      <w:r w:rsidRPr="00E546B8">
        <w:rPr>
          <w:i/>
        </w:rPr>
        <w:t>Aboriginal and Torres Strait Islander Commission Act 1989</w:t>
      </w:r>
      <w:r w:rsidRPr="00E546B8">
        <w:t xml:space="preserve"> (s.222)</w:t>
      </w:r>
    </w:p>
    <w:p w:rsidR="0057516C" w:rsidRPr="00E546B8" w:rsidRDefault="0057516C" w:rsidP="0057516C">
      <w:pPr>
        <w:pStyle w:val="Body"/>
        <w:ind w:left="283" w:hanging="283"/>
      </w:pPr>
      <w:r w:rsidRPr="00E546B8">
        <w:rPr>
          <w:rFonts w:ascii="Symbol" w:hAnsi="Symbol"/>
        </w:rPr>
        <w:t></w:t>
      </w:r>
      <w:r w:rsidRPr="00E546B8">
        <w:rPr>
          <w:rFonts w:ascii="Symbol" w:hAnsi="Symbol"/>
        </w:rPr>
        <w:tab/>
      </w:r>
      <w:r w:rsidRPr="00E546B8">
        <w:rPr>
          <w:i/>
        </w:rPr>
        <w:t>Defence Housing Authority Act 1987</w:t>
      </w:r>
      <w:r w:rsidRPr="00E546B8">
        <w:t xml:space="preserve"> (s.60)</w:t>
      </w:r>
      <w:r w:rsidRPr="00E546B8">
        <w:br/>
      </w:r>
      <w:r w:rsidRPr="00E546B8">
        <w:rPr>
          <w:i/>
        </w:rPr>
        <w:t>Defence Service Homes Amendment Act 1987</w:t>
      </w:r>
      <w:r w:rsidRPr="00E546B8">
        <w:t xml:space="preserve"> (s.6B and 6C)</w:t>
      </w:r>
    </w:p>
    <w:p w:rsidR="0057516C" w:rsidRPr="00E546B8" w:rsidRDefault="0057516C" w:rsidP="0057516C">
      <w:pPr>
        <w:pStyle w:val="Body"/>
        <w:ind w:left="283" w:hanging="283"/>
      </w:pPr>
      <w:r w:rsidRPr="00E546B8">
        <w:rPr>
          <w:rFonts w:ascii="Symbol" w:hAnsi="Symbol"/>
        </w:rPr>
        <w:t></w:t>
      </w:r>
      <w:r w:rsidRPr="00E546B8">
        <w:rPr>
          <w:rFonts w:ascii="Symbol" w:hAnsi="Symbol"/>
        </w:rPr>
        <w:tab/>
      </w:r>
      <w:r w:rsidRPr="00E546B8">
        <w:rPr>
          <w:i/>
        </w:rPr>
        <w:t>Federal Airports Corporation Act 1986</w:t>
      </w:r>
      <w:r w:rsidRPr="00E546B8">
        <w:t xml:space="preserve"> (s.30)</w:t>
      </w:r>
    </w:p>
    <w:p w:rsidR="0057516C" w:rsidRPr="00E546B8" w:rsidRDefault="0057516C" w:rsidP="0057516C">
      <w:pPr>
        <w:pStyle w:val="Body"/>
        <w:ind w:left="283" w:hanging="283"/>
      </w:pPr>
      <w:r w:rsidRPr="00E546B8">
        <w:rPr>
          <w:rFonts w:ascii="Symbol" w:hAnsi="Symbol"/>
        </w:rPr>
        <w:t></w:t>
      </w:r>
      <w:r w:rsidRPr="00E546B8">
        <w:rPr>
          <w:rFonts w:ascii="Symbol" w:hAnsi="Symbol"/>
        </w:rPr>
        <w:tab/>
      </w:r>
      <w:r w:rsidRPr="00E546B8">
        <w:rPr>
          <w:i/>
        </w:rPr>
        <w:t>Land Acquisition Act 1988</w:t>
      </w:r>
      <w:r w:rsidRPr="00E546B8">
        <w:t xml:space="preserve"> (s.38)</w:t>
      </w:r>
    </w:p>
    <w:p w:rsidR="0057516C" w:rsidRPr="00E546B8" w:rsidRDefault="0057516C" w:rsidP="0057516C">
      <w:pPr>
        <w:pStyle w:val="Body"/>
        <w:ind w:left="283" w:hanging="283"/>
      </w:pPr>
      <w:r w:rsidRPr="00E546B8">
        <w:rPr>
          <w:rFonts w:ascii="Symbol" w:hAnsi="Symbol"/>
        </w:rPr>
        <w:t></w:t>
      </w:r>
      <w:r w:rsidRPr="00E546B8">
        <w:rPr>
          <w:rFonts w:ascii="Symbol" w:hAnsi="Symbol"/>
        </w:rPr>
        <w:tab/>
      </w:r>
      <w:r w:rsidRPr="00E546B8">
        <w:rPr>
          <w:i/>
        </w:rPr>
        <w:t>Bank Integration Act 1991</w:t>
      </w:r>
      <w:r w:rsidRPr="00E546B8">
        <w:t xml:space="preserve"> (s.12).</w:t>
      </w:r>
    </w:p>
    <w:p w:rsidR="0057516C" w:rsidRPr="00E546B8" w:rsidRDefault="0057516C" w:rsidP="0057516C">
      <w:pPr>
        <w:pStyle w:val="Body"/>
      </w:pPr>
      <w:r w:rsidRPr="00E546B8">
        <w:t>These Acts make provisions for matters inconsistent with the provisions of State Acts and in some cases place responsibilities upon State Registrars which they are unable to carry out under State law.</w:t>
      </w:r>
    </w:p>
    <w:p w:rsidR="0057516C" w:rsidRPr="00E546B8" w:rsidRDefault="0057516C" w:rsidP="0057516C">
      <w:pPr>
        <w:pStyle w:val="Body"/>
      </w:pPr>
      <w:r w:rsidRPr="00E546B8">
        <w:lastRenderedPageBreak/>
        <w:t>Early consultation with the States during the policy proposal stage would alleviate such problems.</w:t>
      </w:r>
    </w:p>
    <w:p w:rsidR="0057516C" w:rsidRPr="00E546B8" w:rsidRDefault="0057516C" w:rsidP="0057516C">
      <w:pPr>
        <w:pStyle w:val="Body"/>
        <w:rPr>
          <w:b/>
        </w:rPr>
      </w:pPr>
      <w:r w:rsidRPr="00E546B8">
        <w:rPr>
          <w:b/>
        </w:rPr>
        <w:t>(b)  Legislation that creates interests or remedies not previously known to law</w:t>
      </w:r>
    </w:p>
    <w:p w:rsidR="0057516C" w:rsidRPr="00E546B8" w:rsidRDefault="0057516C" w:rsidP="0057516C">
      <w:pPr>
        <w:pStyle w:val="Body"/>
      </w:pPr>
      <w:r w:rsidRPr="00E546B8">
        <w:t>Some examples are as follows:</w:t>
      </w:r>
    </w:p>
    <w:p w:rsidR="0057516C" w:rsidRPr="00E546B8" w:rsidRDefault="0057516C" w:rsidP="0057516C">
      <w:pPr>
        <w:pStyle w:val="Body"/>
        <w:ind w:left="283" w:hanging="283"/>
      </w:pPr>
      <w:r w:rsidRPr="00E546B8">
        <w:rPr>
          <w:rFonts w:ascii="Symbol" w:hAnsi="Symbol"/>
        </w:rPr>
        <w:t></w:t>
      </w:r>
      <w:r w:rsidRPr="00E546B8">
        <w:rPr>
          <w:rFonts w:ascii="Symbol" w:hAnsi="Symbol"/>
        </w:rPr>
        <w:tab/>
      </w:r>
      <w:r w:rsidRPr="00E546B8">
        <w:rPr>
          <w:i/>
        </w:rPr>
        <w:t>Bankruptcy (Amendment) Act 1991</w:t>
      </w:r>
      <w:r w:rsidRPr="00E546B8">
        <w:t xml:space="preserve"> (s.139ZN and 139ZR)</w:t>
      </w:r>
    </w:p>
    <w:p w:rsidR="0057516C" w:rsidRPr="00E546B8" w:rsidRDefault="0057516C" w:rsidP="0057516C">
      <w:pPr>
        <w:pStyle w:val="Body"/>
        <w:ind w:left="283" w:hanging="283"/>
      </w:pPr>
      <w:r w:rsidRPr="00E546B8">
        <w:rPr>
          <w:rFonts w:ascii="Symbol" w:hAnsi="Symbol"/>
        </w:rPr>
        <w:t></w:t>
      </w:r>
      <w:r w:rsidRPr="00E546B8">
        <w:rPr>
          <w:rFonts w:ascii="Symbol" w:hAnsi="Symbol"/>
        </w:rPr>
        <w:tab/>
      </w:r>
      <w:r w:rsidRPr="00E546B8">
        <w:rPr>
          <w:i/>
        </w:rPr>
        <w:t>Proceeds of Crime Act 1987</w:t>
      </w:r>
      <w:r w:rsidRPr="00E546B8">
        <w:t xml:space="preserve"> (s.28, 30, 43 and 51)</w:t>
      </w:r>
    </w:p>
    <w:p w:rsidR="0057516C" w:rsidRPr="00E546B8" w:rsidRDefault="0057516C" w:rsidP="0057516C">
      <w:pPr>
        <w:pStyle w:val="Body"/>
      </w:pPr>
      <w:r w:rsidRPr="00E546B8">
        <w:t>In certain circumstances such Acts may affect indefeasibility of Title and in other cases the States may not be able to give effect to the exact requirements of the Act.</w:t>
      </w:r>
    </w:p>
    <w:p w:rsidR="0057516C" w:rsidRPr="00E546B8" w:rsidRDefault="0057516C" w:rsidP="0057516C">
      <w:pPr>
        <w:pStyle w:val="Body"/>
        <w:rPr>
          <w:b/>
        </w:rPr>
      </w:pPr>
      <w:r w:rsidRPr="00E546B8">
        <w:rPr>
          <w:b/>
        </w:rPr>
        <w:t>(c)  Legislation that seeks to claim immunity from the operations of State legislation</w:t>
      </w:r>
    </w:p>
    <w:p w:rsidR="0057516C" w:rsidRPr="00E546B8" w:rsidRDefault="0057516C" w:rsidP="0057516C">
      <w:pPr>
        <w:pStyle w:val="Body"/>
      </w:pPr>
      <w:r w:rsidRPr="00E546B8">
        <w:t>An example might be where a federal law vests the ownership of property in an organisation other than the registered proprietor and, in doing so, specifically providing that it shall not be necessary to make any entries in the Land Title Register relating to the change.</w:t>
      </w:r>
    </w:p>
    <w:p w:rsidR="0057516C" w:rsidRPr="00E546B8" w:rsidRDefault="0057516C" w:rsidP="0057516C">
      <w:pPr>
        <w:pStyle w:val="Body"/>
      </w:pPr>
      <w:r w:rsidRPr="00E546B8">
        <w:t>Legislation which falls into these categories must clearly benefit from the introduction of a consultative process between States and the Commonwealth.</w:t>
      </w:r>
    </w:p>
    <w:p w:rsidR="0057516C" w:rsidRPr="00E546B8" w:rsidRDefault="0057516C" w:rsidP="0057516C">
      <w:pPr>
        <w:pStyle w:val="Body"/>
      </w:pPr>
      <w:r w:rsidRPr="00E546B8">
        <w:t>A number of quarters have expressed alarm at the potentially damaging effects of overriding Federal Statutes upon the indefeasibility provisions in Land Titles legislation.</w:t>
      </w:r>
    </w:p>
    <w:p w:rsidR="0057516C" w:rsidRPr="00E546B8" w:rsidRDefault="0057516C" w:rsidP="0057516C">
      <w:pPr>
        <w:pStyle w:val="Body"/>
      </w:pPr>
      <w:r w:rsidRPr="00E546B8">
        <w:t>There is a danger that the integrity of the Torrens System could be undermined by both State and Federal Statutes which may derogate from the completeness of the protection given by registration under the system.</w:t>
      </w:r>
    </w:p>
    <w:p w:rsidR="0057516C" w:rsidRPr="00E546B8" w:rsidRDefault="0057516C" w:rsidP="0057516C">
      <w:pPr>
        <w:pStyle w:val="Body"/>
      </w:pPr>
      <w:r w:rsidRPr="00E546B8">
        <w:t>It is envisaged that, where you identify provisions in a legislative proposal which impact upon land matters generally, you would contact me at a sufficiently early stage with a view to my co</w:t>
      </w:r>
      <w:r w:rsidR="00762328" w:rsidRPr="00E546B8">
        <w:noBreakHyphen/>
      </w:r>
      <w:r w:rsidRPr="00E546B8">
        <w:t>ordinating the views of State Land Title Registries.</w:t>
      </w:r>
    </w:p>
    <w:p w:rsidR="0057516C" w:rsidRPr="00E546B8" w:rsidRDefault="0057516C" w:rsidP="0057516C">
      <w:pPr>
        <w:pStyle w:val="Body"/>
      </w:pPr>
      <w:r w:rsidRPr="00E546B8">
        <w:t>I feel certain that this approach will bring about a mutually beneficial solution to the problems identified above.</w:t>
      </w:r>
    </w:p>
    <w:p w:rsidR="0057516C" w:rsidRPr="00E546B8" w:rsidRDefault="0057516C" w:rsidP="0057516C">
      <w:pPr>
        <w:pStyle w:val="Body"/>
      </w:pPr>
      <w:r w:rsidRPr="00E546B8">
        <w:t>I look forward to co</w:t>
      </w:r>
      <w:r w:rsidR="00762328" w:rsidRPr="00E546B8">
        <w:noBreakHyphen/>
      </w:r>
      <w:r w:rsidRPr="00E546B8">
        <w:t>operating with you to develop a mechanism by which meaningful consultation can take place to ensure a proper outcome.</w:t>
      </w:r>
    </w:p>
    <w:sectPr w:rsidR="0057516C" w:rsidRPr="00E546B8" w:rsidSect="00E86129">
      <w:headerReference w:type="even" r:id="rId9"/>
      <w:headerReference w:type="default" r:id="rId10"/>
      <w:footerReference w:type="even" r:id="rId11"/>
      <w:footerReference w:type="default" r:id="rId12"/>
      <w:headerReference w:type="first" r:id="rId13"/>
      <w:footerReference w:type="first" r:id="rId14"/>
      <w:pgSz w:w="11907" w:h="16839"/>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5F8" w:rsidRDefault="009965F8" w:rsidP="00A34568">
      <w:pPr>
        <w:spacing w:line="240" w:lineRule="auto"/>
      </w:pPr>
      <w:r>
        <w:separator/>
      </w:r>
    </w:p>
  </w:endnote>
  <w:endnote w:type="continuationSeparator" w:id="0">
    <w:p w:rsidR="009965F8" w:rsidRDefault="009965F8" w:rsidP="00A345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5F8" w:rsidRDefault="009965F8" w:rsidP="00E86129">
    <w:pPr>
      <w:pStyle w:val="Footer"/>
      <w:tabs>
        <w:tab w:val="right" w:pos="8789"/>
      </w:tabs>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sidR="002E45D4">
      <w:rPr>
        <w:rStyle w:val="PageNumber"/>
        <w:noProof/>
        <w:sz w:val="20"/>
      </w:rPr>
      <w:t>8</w:t>
    </w:r>
    <w:r>
      <w:rPr>
        <w:rStyle w:val="PageNumber"/>
        <w:sz w:val="20"/>
      </w:rPr>
      <w:fldChar w:fldCharType="end"/>
    </w:r>
    <w:r>
      <w:rPr>
        <w:sz w:val="16"/>
      </w:rPr>
      <w:t xml:space="preserve"> </w:t>
    </w:r>
    <w:r>
      <w:rPr>
        <w:sz w:val="16"/>
      </w:rPr>
      <w:tab/>
      <w:t>[</w:t>
    </w:r>
    <w:r w:rsidR="002E45D4">
      <w:rPr>
        <w:noProof/>
        <w:sz w:val="16"/>
      </w:rPr>
      <w:t>s06rd386.v20.docx</w:t>
    </w:r>
    <w:r>
      <w:rPr>
        <w:sz w:val="16"/>
      </w:rPr>
      <w:t>] [</w:t>
    </w:r>
    <w:r w:rsidR="002E45D4">
      <w:rPr>
        <w:noProof/>
        <w:sz w:val="16"/>
      </w:rPr>
      <w:t>21 Jun 2018</w:t>
    </w:r>
    <w:r>
      <w:rPr>
        <w:sz w:val="16"/>
      </w:rPr>
      <w:t>] [</w:t>
    </w:r>
    <w:r w:rsidR="002E45D4">
      <w:rPr>
        <w:noProof/>
        <w:sz w:val="16"/>
      </w:rPr>
      <w:t>7:59 AM</w:t>
    </w:r>
    <w:r>
      <w:rPr>
        <w:sz w:val="16"/>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5F8" w:rsidRDefault="009965F8" w:rsidP="00E86129">
    <w:pPr>
      <w:tabs>
        <w:tab w:val="right" w:pos="8931"/>
      </w:tabs>
      <w:rPr>
        <w:sz w:val="16"/>
      </w:rPr>
    </w:pPr>
    <w:r>
      <w:rPr>
        <w:sz w:val="16"/>
      </w:rPr>
      <w:t>[</w:t>
    </w:r>
    <w:r w:rsidR="002E45D4">
      <w:rPr>
        <w:noProof/>
        <w:sz w:val="16"/>
      </w:rPr>
      <w:t>s06rd386.v20.docx</w:t>
    </w:r>
    <w:r>
      <w:rPr>
        <w:sz w:val="16"/>
      </w:rPr>
      <w:t>] [</w:t>
    </w:r>
    <w:r w:rsidR="002E45D4">
      <w:rPr>
        <w:noProof/>
        <w:sz w:val="16"/>
      </w:rPr>
      <w:t>21 Jun 2018</w:t>
    </w:r>
    <w:r>
      <w:rPr>
        <w:sz w:val="16"/>
      </w:rPr>
      <w:t>] [</w:t>
    </w:r>
    <w:r w:rsidR="002E45D4">
      <w:rPr>
        <w:noProof/>
        <w:sz w:val="16"/>
      </w:rPr>
      <w:t>7:59 AM</w:t>
    </w:r>
    <w:r>
      <w:rPr>
        <w:sz w:val="16"/>
      </w:rPr>
      <w:t>]</w:t>
    </w:r>
    <w:r>
      <w:rPr>
        <w:sz w:val="16"/>
      </w:rPr>
      <w:tab/>
    </w: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sidR="002E45D4">
      <w:rPr>
        <w:rStyle w:val="PageNumber"/>
        <w:noProof/>
        <w:sz w:val="20"/>
      </w:rPr>
      <w:t>9</w:t>
    </w:r>
    <w:r>
      <w:rPr>
        <w:rStyle w:val="PageNumber"/>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5F8" w:rsidRDefault="009965F8" w:rsidP="00E86129">
    <w:pPr>
      <w:tabs>
        <w:tab w:val="right" w:pos="8931"/>
      </w:tabs>
    </w:pPr>
    <w:r>
      <w:rPr>
        <w:sz w:val="16"/>
      </w:rPr>
      <w:t>[</w:t>
    </w:r>
    <w:r w:rsidR="002E45D4">
      <w:rPr>
        <w:noProof/>
        <w:sz w:val="16"/>
      </w:rPr>
      <w:t>s06rd386.v20.docx</w:t>
    </w:r>
    <w:r>
      <w:rPr>
        <w:sz w:val="16"/>
      </w:rPr>
      <w:t>] [</w:t>
    </w:r>
    <w:r w:rsidR="002E45D4">
      <w:rPr>
        <w:noProof/>
        <w:sz w:val="16"/>
      </w:rPr>
      <w:t>21 Jun 2018</w:t>
    </w:r>
    <w:r>
      <w:rPr>
        <w:sz w:val="16"/>
      </w:rPr>
      <w:t>] [</w:t>
    </w:r>
    <w:r w:rsidR="002E45D4">
      <w:rPr>
        <w:noProof/>
        <w:sz w:val="16"/>
      </w:rPr>
      <w:t>7:59 AM</w:t>
    </w:r>
    <w:r>
      <w:rPr>
        <w:sz w:val="16"/>
      </w:rPr>
      <w:t>]</w:t>
    </w:r>
    <w:r>
      <w:tab/>
    </w: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sidR="002E45D4">
      <w:rPr>
        <w:rStyle w:val="PageNumber"/>
        <w:noProof/>
        <w:sz w:val="20"/>
      </w:rPr>
      <w:t>1</w:t>
    </w:r>
    <w:r>
      <w:rPr>
        <w:rStyle w:val="PageNumbe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5F8" w:rsidRDefault="009965F8" w:rsidP="00A34568">
      <w:pPr>
        <w:spacing w:line="240" w:lineRule="auto"/>
      </w:pPr>
      <w:r>
        <w:separator/>
      </w:r>
    </w:p>
  </w:footnote>
  <w:footnote w:type="continuationSeparator" w:id="0">
    <w:p w:rsidR="009965F8" w:rsidRDefault="009965F8" w:rsidP="00A3456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5F8" w:rsidRDefault="009965F8" w:rsidP="00E86129">
    <w:pPr>
      <w:pStyle w:val="Header"/>
    </w:pPr>
    <w:r>
      <w:rPr>
        <w:rStyle w:val="PageNumber"/>
      </w:rPr>
      <w:fldChar w:fldCharType="begin"/>
    </w:r>
    <w:r>
      <w:rPr>
        <w:rStyle w:val="PageNumber"/>
      </w:rPr>
      <w:instrText xml:space="preserve"> STYLEREF "Head 1" </w:instrText>
    </w:r>
    <w:r>
      <w:rPr>
        <w:rStyle w:val="PageNumber"/>
      </w:rPr>
      <w:fldChar w:fldCharType="separate"/>
    </w:r>
    <w:r w:rsidR="009003A6">
      <w:rPr>
        <w:rStyle w:val="PageNumber"/>
        <w:noProof/>
      </w:rPr>
      <w:t>Drafting Direction No. 3.10</w:t>
    </w:r>
    <w:r w:rsidR="009003A6">
      <w:rPr>
        <w:rStyle w:val="PageNumber"/>
        <w:noProof/>
      </w:rPr>
      <w:br/>
      <w:t>Legislation that refers to or affects Australian governments or jurisdictions</w:t>
    </w:r>
    <w:r>
      <w:rPr>
        <w:rStyle w:val="PageNumber"/>
      </w:rPr>
      <w:fldChar w:fldCharType="end"/>
    </w:r>
  </w:p>
  <w:p w:rsidR="009965F8" w:rsidRDefault="009965F8" w:rsidP="00E861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5F8" w:rsidRDefault="009965F8" w:rsidP="00E86129">
    <w:pPr>
      <w:pStyle w:val="Header"/>
      <w:jc w:val="right"/>
    </w:pPr>
    <w:r>
      <w:rPr>
        <w:rStyle w:val="PageNumber"/>
      </w:rPr>
      <w:fldChar w:fldCharType="begin"/>
    </w:r>
    <w:r>
      <w:rPr>
        <w:rStyle w:val="PageNumber"/>
      </w:rPr>
      <w:instrText xml:space="preserve"> STYLEREF "Head 1" </w:instrText>
    </w:r>
    <w:r>
      <w:rPr>
        <w:rStyle w:val="PageNumber"/>
      </w:rPr>
      <w:fldChar w:fldCharType="separate"/>
    </w:r>
    <w:r w:rsidR="00040F56">
      <w:rPr>
        <w:rStyle w:val="PageNumber"/>
        <w:noProof/>
      </w:rPr>
      <w:t>Drafting Direction No. 3.10</w:t>
    </w:r>
    <w:r w:rsidR="00040F56">
      <w:rPr>
        <w:rStyle w:val="PageNumber"/>
        <w:noProof/>
      </w:rPr>
      <w:br/>
      <w:t>Legislation that refers to or affects Australian governments or jurisdictions</w:t>
    </w:r>
    <w:r>
      <w:rPr>
        <w:rStyle w:val="PageNumber"/>
      </w:rPr>
      <w:fldChar w:fldCharType="end"/>
    </w:r>
  </w:p>
  <w:p w:rsidR="009965F8" w:rsidRDefault="009965F8" w:rsidP="00E86129">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5F8" w:rsidRDefault="009965F8" w:rsidP="00E86129">
    <w:pPr>
      <w:pStyle w:val="Header"/>
      <w:jc w:val="right"/>
      <w:rPr>
        <w:rStyle w:val="PageNumber"/>
      </w:rPr>
    </w:pPr>
    <w:r>
      <w:rPr>
        <w:rStyle w:val="PageNumber"/>
      </w:rPr>
      <w:fldChar w:fldCharType="begin"/>
    </w:r>
    <w:r>
      <w:rPr>
        <w:rStyle w:val="PageNumber"/>
      </w:rPr>
      <w:instrText xml:space="preserve"> STYLEREF "Head 1" </w:instrText>
    </w:r>
    <w:r>
      <w:rPr>
        <w:rStyle w:val="PageNumber"/>
      </w:rPr>
      <w:fldChar w:fldCharType="separate"/>
    </w:r>
    <w:r w:rsidR="00040F56">
      <w:rPr>
        <w:rStyle w:val="PageNumber"/>
        <w:noProof/>
      </w:rPr>
      <w:t>Drafting Direction No. 3.10</w:t>
    </w:r>
    <w:r w:rsidR="00040F56">
      <w:rPr>
        <w:rStyle w:val="PageNumber"/>
        <w:noProof/>
      </w:rPr>
      <w:br/>
      <w:t>Legislation that refers to or affects Australian governments or jurisdictions</w:t>
    </w:r>
    <w:r>
      <w:rPr>
        <w:rStyle w:val="PageNumber"/>
      </w:rPr>
      <w:fldChar w:fldCharType="end"/>
    </w:r>
  </w:p>
  <w:p w:rsidR="009965F8" w:rsidRDefault="009965F8" w:rsidP="00E86129">
    <w:pPr>
      <w:pStyle w:val="Header"/>
      <w:spacing w:before="240" w:after="600"/>
      <w:jc w:val="center"/>
      <w:rPr>
        <w:b/>
        <w:caps/>
        <w:sz w:val="36"/>
        <w:lang w:val="en-US"/>
      </w:rPr>
    </w:pPr>
    <w:r>
      <w:rPr>
        <w:b/>
        <w:caps/>
        <w:sz w:val="36"/>
        <w:lang w:val="en-US"/>
      </w:rPr>
      <w:t>Parliamentary Counsel</w:t>
    </w:r>
  </w:p>
  <w:p w:rsidR="009965F8" w:rsidRDefault="009965F8" w:rsidP="00E86129">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46CEF80"/>
    <w:lvl w:ilvl="0">
      <w:start w:val="1"/>
      <w:numFmt w:val="decimal"/>
      <w:lvlText w:val="%1."/>
      <w:lvlJc w:val="left"/>
      <w:pPr>
        <w:tabs>
          <w:tab w:val="num" w:pos="1492"/>
        </w:tabs>
        <w:ind w:left="1492" w:hanging="360"/>
      </w:pPr>
    </w:lvl>
  </w:abstractNum>
  <w:abstractNum w:abstractNumId="1">
    <w:nsid w:val="FFFFFF7D"/>
    <w:multiLevelType w:val="singleLevel"/>
    <w:tmpl w:val="0472C198"/>
    <w:lvl w:ilvl="0">
      <w:start w:val="1"/>
      <w:numFmt w:val="decimal"/>
      <w:lvlText w:val="%1."/>
      <w:lvlJc w:val="left"/>
      <w:pPr>
        <w:tabs>
          <w:tab w:val="num" w:pos="1209"/>
        </w:tabs>
        <w:ind w:left="1209" w:hanging="360"/>
      </w:pPr>
    </w:lvl>
  </w:abstractNum>
  <w:abstractNum w:abstractNumId="2">
    <w:nsid w:val="FFFFFF7E"/>
    <w:multiLevelType w:val="singleLevel"/>
    <w:tmpl w:val="AC8851A2"/>
    <w:lvl w:ilvl="0">
      <w:start w:val="1"/>
      <w:numFmt w:val="decimal"/>
      <w:lvlText w:val="%1."/>
      <w:lvlJc w:val="left"/>
      <w:pPr>
        <w:tabs>
          <w:tab w:val="num" w:pos="926"/>
        </w:tabs>
        <w:ind w:left="926" w:hanging="360"/>
      </w:pPr>
    </w:lvl>
  </w:abstractNum>
  <w:abstractNum w:abstractNumId="3">
    <w:nsid w:val="FFFFFF7F"/>
    <w:multiLevelType w:val="singleLevel"/>
    <w:tmpl w:val="296A0F1A"/>
    <w:lvl w:ilvl="0">
      <w:start w:val="1"/>
      <w:numFmt w:val="decimal"/>
      <w:lvlText w:val="%1."/>
      <w:lvlJc w:val="left"/>
      <w:pPr>
        <w:tabs>
          <w:tab w:val="num" w:pos="643"/>
        </w:tabs>
        <w:ind w:left="643" w:hanging="360"/>
      </w:pPr>
    </w:lvl>
  </w:abstractNum>
  <w:abstractNum w:abstractNumId="4">
    <w:nsid w:val="FFFFFF80"/>
    <w:multiLevelType w:val="singleLevel"/>
    <w:tmpl w:val="2A266E6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9B68CF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28923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1A09C0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7C56E0"/>
    <w:lvl w:ilvl="0">
      <w:start w:val="1"/>
      <w:numFmt w:val="decimal"/>
      <w:lvlText w:val="%1."/>
      <w:lvlJc w:val="left"/>
      <w:pPr>
        <w:tabs>
          <w:tab w:val="num" w:pos="360"/>
        </w:tabs>
        <w:ind w:left="360" w:hanging="360"/>
      </w:pPr>
    </w:lvl>
  </w:abstractNum>
  <w:abstractNum w:abstractNumId="9">
    <w:nsid w:val="FFFFFF89"/>
    <w:multiLevelType w:val="singleLevel"/>
    <w:tmpl w:val="E5C69B6A"/>
    <w:lvl w:ilvl="0">
      <w:start w:val="1"/>
      <w:numFmt w:val="bullet"/>
      <w:lvlText w:val=""/>
      <w:lvlJc w:val="left"/>
      <w:pPr>
        <w:tabs>
          <w:tab w:val="num" w:pos="360"/>
        </w:tabs>
        <w:ind w:left="360" w:hanging="360"/>
      </w:pPr>
      <w:rPr>
        <w:rFonts w:ascii="Symbol" w:hAnsi="Symbol" w:hint="default"/>
      </w:rPr>
    </w:lvl>
  </w:abstractNum>
  <w:abstractNum w:abstractNumId="1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16C"/>
    <w:rsid w:val="000136AF"/>
    <w:rsid w:val="00017F6F"/>
    <w:rsid w:val="00021CDC"/>
    <w:rsid w:val="00026B41"/>
    <w:rsid w:val="0003274B"/>
    <w:rsid w:val="00040F56"/>
    <w:rsid w:val="00041980"/>
    <w:rsid w:val="00056743"/>
    <w:rsid w:val="000614BF"/>
    <w:rsid w:val="00067699"/>
    <w:rsid w:val="000A6719"/>
    <w:rsid w:val="000D05EF"/>
    <w:rsid w:val="000D5C13"/>
    <w:rsid w:val="0010745C"/>
    <w:rsid w:val="00117133"/>
    <w:rsid w:val="001359FA"/>
    <w:rsid w:val="00141A8E"/>
    <w:rsid w:val="00147D62"/>
    <w:rsid w:val="00150BDD"/>
    <w:rsid w:val="00152F29"/>
    <w:rsid w:val="001573CF"/>
    <w:rsid w:val="00162C55"/>
    <w:rsid w:val="001659D9"/>
    <w:rsid w:val="00166C2F"/>
    <w:rsid w:val="0018696E"/>
    <w:rsid w:val="00190E7C"/>
    <w:rsid w:val="001939E1"/>
    <w:rsid w:val="00195382"/>
    <w:rsid w:val="001B4AA3"/>
    <w:rsid w:val="001C69C4"/>
    <w:rsid w:val="001E3590"/>
    <w:rsid w:val="001E7407"/>
    <w:rsid w:val="001F5F2F"/>
    <w:rsid w:val="001F7A61"/>
    <w:rsid w:val="002012DC"/>
    <w:rsid w:val="00210BA3"/>
    <w:rsid w:val="00242EEA"/>
    <w:rsid w:val="002511C3"/>
    <w:rsid w:val="00253D1B"/>
    <w:rsid w:val="00295FBA"/>
    <w:rsid w:val="002970D7"/>
    <w:rsid w:val="00297ECB"/>
    <w:rsid w:val="002D043A"/>
    <w:rsid w:val="002D758C"/>
    <w:rsid w:val="002E45D4"/>
    <w:rsid w:val="002E6197"/>
    <w:rsid w:val="0031584B"/>
    <w:rsid w:val="00321871"/>
    <w:rsid w:val="00323D06"/>
    <w:rsid w:val="00352B0F"/>
    <w:rsid w:val="003533AB"/>
    <w:rsid w:val="00354EBC"/>
    <w:rsid w:val="00360FB0"/>
    <w:rsid w:val="00367763"/>
    <w:rsid w:val="003836A2"/>
    <w:rsid w:val="003A1001"/>
    <w:rsid w:val="003B5735"/>
    <w:rsid w:val="003D0BFE"/>
    <w:rsid w:val="003D1CD4"/>
    <w:rsid w:val="003D5700"/>
    <w:rsid w:val="003D7FEB"/>
    <w:rsid w:val="003E1152"/>
    <w:rsid w:val="003E681D"/>
    <w:rsid w:val="004116CD"/>
    <w:rsid w:val="00416197"/>
    <w:rsid w:val="00416DD9"/>
    <w:rsid w:val="00424CA9"/>
    <w:rsid w:val="004325CB"/>
    <w:rsid w:val="0044291A"/>
    <w:rsid w:val="004431E8"/>
    <w:rsid w:val="004653F8"/>
    <w:rsid w:val="0047289E"/>
    <w:rsid w:val="00483FCD"/>
    <w:rsid w:val="00486D9D"/>
    <w:rsid w:val="00496F97"/>
    <w:rsid w:val="004A5D00"/>
    <w:rsid w:val="004B5A52"/>
    <w:rsid w:val="004C2C2F"/>
    <w:rsid w:val="004D41B2"/>
    <w:rsid w:val="004F0107"/>
    <w:rsid w:val="00507B17"/>
    <w:rsid w:val="00516048"/>
    <w:rsid w:val="00516093"/>
    <w:rsid w:val="00516B8D"/>
    <w:rsid w:val="005379F7"/>
    <w:rsid w:val="00537FBC"/>
    <w:rsid w:val="00557123"/>
    <w:rsid w:val="005626D4"/>
    <w:rsid w:val="00571A26"/>
    <w:rsid w:val="0057516C"/>
    <w:rsid w:val="00584811"/>
    <w:rsid w:val="00587E2A"/>
    <w:rsid w:val="00594161"/>
    <w:rsid w:val="00594749"/>
    <w:rsid w:val="005B1FC2"/>
    <w:rsid w:val="005B40C1"/>
    <w:rsid w:val="005B5077"/>
    <w:rsid w:val="005B7730"/>
    <w:rsid w:val="005D1B10"/>
    <w:rsid w:val="005D50D4"/>
    <w:rsid w:val="005E3787"/>
    <w:rsid w:val="005F610B"/>
    <w:rsid w:val="00600219"/>
    <w:rsid w:val="006047AD"/>
    <w:rsid w:val="0060577B"/>
    <w:rsid w:val="00605F47"/>
    <w:rsid w:val="00606281"/>
    <w:rsid w:val="00610B00"/>
    <w:rsid w:val="006207A3"/>
    <w:rsid w:val="00621122"/>
    <w:rsid w:val="00624B43"/>
    <w:rsid w:val="006429D9"/>
    <w:rsid w:val="00651A98"/>
    <w:rsid w:val="00677CC2"/>
    <w:rsid w:val="00680F77"/>
    <w:rsid w:val="0069207B"/>
    <w:rsid w:val="006920AD"/>
    <w:rsid w:val="006A2117"/>
    <w:rsid w:val="006C7F8C"/>
    <w:rsid w:val="006E174D"/>
    <w:rsid w:val="006F50BF"/>
    <w:rsid w:val="00702C81"/>
    <w:rsid w:val="00704956"/>
    <w:rsid w:val="007276BC"/>
    <w:rsid w:val="0072777B"/>
    <w:rsid w:val="00731E00"/>
    <w:rsid w:val="00733990"/>
    <w:rsid w:val="00736292"/>
    <w:rsid w:val="00762328"/>
    <w:rsid w:val="00762C9F"/>
    <w:rsid w:val="007715C9"/>
    <w:rsid w:val="00774EDD"/>
    <w:rsid w:val="007757EC"/>
    <w:rsid w:val="00784E04"/>
    <w:rsid w:val="00791CDB"/>
    <w:rsid w:val="007A4C08"/>
    <w:rsid w:val="007A7AF3"/>
    <w:rsid w:val="007C0C1B"/>
    <w:rsid w:val="007C699A"/>
    <w:rsid w:val="007D3870"/>
    <w:rsid w:val="007D47AF"/>
    <w:rsid w:val="007F404F"/>
    <w:rsid w:val="008264AF"/>
    <w:rsid w:val="00843C0F"/>
    <w:rsid w:val="00856A31"/>
    <w:rsid w:val="008754D0"/>
    <w:rsid w:val="00876E23"/>
    <w:rsid w:val="0087737B"/>
    <w:rsid w:val="00882147"/>
    <w:rsid w:val="008A3BAA"/>
    <w:rsid w:val="008B79F2"/>
    <w:rsid w:val="008C5A7F"/>
    <w:rsid w:val="008E2FFA"/>
    <w:rsid w:val="008E3B8C"/>
    <w:rsid w:val="008E3C98"/>
    <w:rsid w:val="008E48F0"/>
    <w:rsid w:val="008F3508"/>
    <w:rsid w:val="009003A6"/>
    <w:rsid w:val="009120B0"/>
    <w:rsid w:val="0094622F"/>
    <w:rsid w:val="0095231A"/>
    <w:rsid w:val="009611F9"/>
    <w:rsid w:val="0099120F"/>
    <w:rsid w:val="009965F8"/>
    <w:rsid w:val="009A5F49"/>
    <w:rsid w:val="009B6EFB"/>
    <w:rsid w:val="009C48E4"/>
    <w:rsid w:val="009C5A6C"/>
    <w:rsid w:val="009D2B93"/>
    <w:rsid w:val="009D337A"/>
    <w:rsid w:val="00A231E2"/>
    <w:rsid w:val="00A30223"/>
    <w:rsid w:val="00A34568"/>
    <w:rsid w:val="00A64912"/>
    <w:rsid w:val="00A65179"/>
    <w:rsid w:val="00A70A74"/>
    <w:rsid w:val="00A81088"/>
    <w:rsid w:val="00A904E5"/>
    <w:rsid w:val="00A95106"/>
    <w:rsid w:val="00AA0EDA"/>
    <w:rsid w:val="00AA59A7"/>
    <w:rsid w:val="00AA5F38"/>
    <w:rsid w:val="00AD5641"/>
    <w:rsid w:val="00B0167A"/>
    <w:rsid w:val="00B033A6"/>
    <w:rsid w:val="00B07681"/>
    <w:rsid w:val="00B33B3C"/>
    <w:rsid w:val="00B3441C"/>
    <w:rsid w:val="00B41341"/>
    <w:rsid w:val="00B430B3"/>
    <w:rsid w:val="00B80EAE"/>
    <w:rsid w:val="00BC0417"/>
    <w:rsid w:val="00BD61D6"/>
    <w:rsid w:val="00BE719A"/>
    <w:rsid w:val="00BE720A"/>
    <w:rsid w:val="00C03507"/>
    <w:rsid w:val="00C0566B"/>
    <w:rsid w:val="00C179DE"/>
    <w:rsid w:val="00C337CC"/>
    <w:rsid w:val="00C42BF8"/>
    <w:rsid w:val="00C46B86"/>
    <w:rsid w:val="00C50043"/>
    <w:rsid w:val="00C5042F"/>
    <w:rsid w:val="00C61842"/>
    <w:rsid w:val="00C61CDD"/>
    <w:rsid w:val="00C727C5"/>
    <w:rsid w:val="00C7573B"/>
    <w:rsid w:val="00C87784"/>
    <w:rsid w:val="00C9612D"/>
    <w:rsid w:val="00CE3833"/>
    <w:rsid w:val="00CE7023"/>
    <w:rsid w:val="00CF0BB2"/>
    <w:rsid w:val="00D13441"/>
    <w:rsid w:val="00D17922"/>
    <w:rsid w:val="00D3147E"/>
    <w:rsid w:val="00D34B35"/>
    <w:rsid w:val="00D70DFB"/>
    <w:rsid w:val="00D766DF"/>
    <w:rsid w:val="00D81D88"/>
    <w:rsid w:val="00D84419"/>
    <w:rsid w:val="00DA3F33"/>
    <w:rsid w:val="00DA52EB"/>
    <w:rsid w:val="00DE3264"/>
    <w:rsid w:val="00DE7BB0"/>
    <w:rsid w:val="00E032E4"/>
    <w:rsid w:val="00E168CE"/>
    <w:rsid w:val="00E279AE"/>
    <w:rsid w:val="00E546B8"/>
    <w:rsid w:val="00E56B6C"/>
    <w:rsid w:val="00E74DC7"/>
    <w:rsid w:val="00E86129"/>
    <w:rsid w:val="00EC701B"/>
    <w:rsid w:val="00EF2E3A"/>
    <w:rsid w:val="00F04811"/>
    <w:rsid w:val="00F078DC"/>
    <w:rsid w:val="00F1005B"/>
    <w:rsid w:val="00F23E5F"/>
    <w:rsid w:val="00F50B98"/>
    <w:rsid w:val="00F51269"/>
    <w:rsid w:val="00F600B2"/>
    <w:rsid w:val="00F909A1"/>
    <w:rsid w:val="00F91146"/>
    <w:rsid w:val="00FF64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546B8"/>
    <w:pPr>
      <w:spacing w:line="260" w:lineRule="atLeast"/>
    </w:pPr>
    <w:rPr>
      <w:sz w:val="22"/>
    </w:rPr>
  </w:style>
  <w:style w:type="paragraph" w:styleId="Heading1">
    <w:name w:val="heading 1"/>
    <w:basedOn w:val="Normal"/>
    <w:next w:val="Normal"/>
    <w:link w:val="Heading1Char"/>
    <w:uiPriority w:val="9"/>
    <w:qFormat/>
    <w:rsid w:val="0057516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Heading3"/>
    <w:link w:val="Heading2Char"/>
    <w:qFormat/>
    <w:rsid w:val="0057516C"/>
    <w:pPr>
      <w:spacing w:before="280"/>
      <w:ind w:left="1134" w:hanging="1134"/>
      <w:outlineLvl w:val="1"/>
    </w:pPr>
    <w:rPr>
      <w:rFonts w:ascii="Times New Roman" w:eastAsia="Times New Roman" w:hAnsi="Times New Roman" w:cs="Times New Roman"/>
      <w:bCs w:val="0"/>
      <w:iCs/>
      <w:color w:val="auto"/>
      <w:kern w:val="28"/>
      <w:sz w:val="32"/>
      <w:lang w:eastAsia="en-AU"/>
    </w:rPr>
  </w:style>
  <w:style w:type="paragraph" w:styleId="Heading3">
    <w:name w:val="heading 3"/>
    <w:basedOn w:val="Normal"/>
    <w:next w:val="Normal"/>
    <w:link w:val="Heading3Char"/>
    <w:uiPriority w:val="9"/>
    <w:semiHidden/>
    <w:unhideWhenUsed/>
    <w:qFormat/>
    <w:rsid w:val="0057516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E546B8"/>
  </w:style>
  <w:style w:type="paragraph" w:customStyle="1" w:styleId="OPCParaBase">
    <w:name w:val="OPCParaBase"/>
    <w:qFormat/>
    <w:rsid w:val="00E546B8"/>
    <w:pPr>
      <w:spacing w:line="260" w:lineRule="atLeast"/>
    </w:pPr>
    <w:rPr>
      <w:rFonts w:eastAsia="Times New Roman" w:cs="Times New Roman"/>
      <w:sz w:val="22"/>
      <w:lang w:eastAsia="en-AU"/>
    </w:rPr>
  </w:style>
  <w:style w:type="paragraph" w:customStyle="1" w:styleId="ShortT">
    <w:name w:val="ShortT"/>
    <w:basedOn w:val="OPCParaBase"/>
    <w:next w:val="Normal"/>
    <w:qFormat/>
    <w:rsid w:val="00E546B8"/>
    <w:pPr>
      <w:spacing w:line="240" w:lineRule="auto"/>
    </w:pPr>
    <w:rPr>
      <w:b/>
      <w:sz w:val="40"/>
    </w:rPr>
  </w:style>
  <w:style w:type="paragraph" w:customStyle="1" w:styleId="ActHead1">
    <w:name w:val="ActHead 1"/>
    <w:aliases w:val="c"/>
    <w:basedOn w:val="OPCParaBase"/>
    <w:next w:val="Normal"/>
    <w:qFormat/>
    <w:rsid w:val="00E546B8"/>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546B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546B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546B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E546B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546B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546B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546B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546B8"/>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E546B8"/>
  </w:style>
  <w:style w:type="paragraph" w:customStyle="1" w:styleId="Blocks">
    <w:name w:val="Blocks"/>
    <w:aliases w:val="bb"/>
    <w:basedOn w:val="OPCParaBase"/>
    <w:qFormat/>
    <w:rsid w:val="00E546B8"/>
    <w:pPr>
      <w:spacing w:line="240" w:lineRule="auto"/>
    </w:pPr>
    <w:rPr>
      <w:sz w:val="24"/>
    </w:rPr>
  </w:style>
  <w:style w:type="paragraph" w:customStyle="1" w:styleId="BoxText">
    <w:name w:val="BoxText"/>
    <w:aliases w:val="bt"/>
    <w:basedOn w:val="OPCParaBase"/>
    <w:rsid w:val="00E546B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546B8"/>
    <w:rPr>
      <w:b/>
    </w:rPr>
  </w:style>
  <w:style w:type="paragraph" w:customStyle="1" w:styleId="BoxHeadItalic">
    <w:name w:val="BoxHeadItalic"/>
    <w:aliases w:val="bhi"/>
    <w:basedOn w:val="BoxText"/>
    <w:next w:val="Normal"/>
    <w:qFormat/>
    <w:rsid w:val="00E546B8"/>
    <w:rPr>
      <w:i/>
    </w:rPr>
  </w:style>
  <w:style w:type="paragraph" w:customStyle="1" w:styleId="BoxList">
    <w:name w:val="BoxList"/>
    <w:aliases w:val="bl"/>
    <w:basedOn w:val="BoxText"/>
    <w:qFormat/>
    <w:rsid w:val="00E546B8"/>
    <w:pPr>
      <w:ind w:left="1559" w:hanging="425"/>
    </w:pPr>
  </w:style>
  <w:style w:type="paragraph" w:customStyle="1" w:styleId="BoxNote">
    <w:name w:val="BoxNote"/>
    <w:aliases w:val="bn"/>
    <w:basedOn w:val="BoxText"/>
    <w:qFormat/>
    <w:rsid w:val="00E546B8"/>
    <w:pPr>
      <w:tabs>
        <w:tab w:val="left" w:pos="1985"/>
      </w:tabs>
      <w:spacing w:before="122" w:line="198" w:lineRule="exact"/>
      <w:ind w:left="2948" w:hanging="1814"/>
    </w:pPr>
    <w:rPr>
      <w:sz w:val="18"/>
    </w:rPr>
  </w:style>
  <w:style w:type="paragraph" w:customStyle="1" w:styleId="BoxPara">
    <w:name w:val="BoxPara"/>
    <w:aliases w:val="bp"/>
    <w:basedOn w:val="BoxText"/>
    <w:qFormat/>
    <w:rsid w:val="00E546B8"/>
    <w:pPr>
      <w:tabs>
        <w:tab w:val="right" w:pos="2268"/>
      </w:tabs>
      <w:ind w:left="2552" w:hanging="1418"/>
    </w:pPr>
  </w:style>
  <w:style w:type="paragraph" w:customStyle="1" w:styleId="BoxStep">
    <w:name w:val="BoxStep"/>
    <w:aliases w:val="bs"/>
    <w:basedOn w:val="BoxText"/>
    <w:qFormat/>
    <w:rsid w:val="00E546B8"/>
    <w:pPr>
      <w:ind w:left="1985" w:hanging="851"/>
    </w:pPr>
  </w:style>
  <w:style w:type="character" w:customStyle="1" w:styleId="CharAmPartNo">
    <w:name w:val="CharAmPartNo"/>
    <w:basedOn w:val="OPCCharBase"/>
    <w:uiPriority w:val="1"/>
    <w:qFormat/>
    <w:rsid w:val="00E546B8"/>
  </w:style>
  <w:style w:type="character" w:customStyle="1" w:styleId="CharAmPartText">
    <w:name w:val="CharAmPartText"/>
    <w:basedOn w:val="OPCCharBase"/>
    <w:uiPriority w:val="1"/>
    <w:qFormat/>
    <w:rsid w:val="00E546B8"/>
  </w:style>
  <w:style w:type="character" w:customStyle="1" w:styleId="CharAmSchNo">
    <w:name w:val="CharAmSchNo"/>
    <w:basedOn w:val="OPCCharBase"/>
    <w:uiPriority w:val="1"/>
    <w:qFormat/>
    <w:rsid w:val="00E546B8"/>
  </w:style>
  <w:style w:type="character" w:customStyle="1" w:styleId="CharAmSchText">
    <w:name w:val="CharAmSchText"/>
    <w:basedOn w:val="OPCCharBase"/>
    <w:uiPriority w:val="1"/>
    <w:qFormat/>
    <w:rsid w:val="00E546B8"/>
  </w:style>
  <w:style w:type="character" w:customStyle="1" w:styleId="CharBoldItalic">
    <w:name w:val="CharBoldItalic"/>
    <w:basedOn w:val="OPCCharBase"/>
    <w:uiPriority w:val="1"/>
    <w:qFormat/>
    <w:rsid w:val="00E546B8"/>
    <w:rPr>
      <w:b/>
      <w:i/>
    </w:rPr>
  </w:style>
  <w:style w:type="character" w:customStyle="1" w:styleId="CharChapNo">
    <w:name w:val="CharChapNo"/>
    <w:basedOn w:val="OPCCharBase"/>
    <w:uiPriority w:val="1"/>
    <w:qFormat/>
    <w:rsid w:val="00E546B8"/>
  </w:style>
  <w:style w:type="character" w:customStyle="1" w:styleId="CharChapText">
    <w:name w:val="CharChapText"/>
    <w:basedOn w:val="OPCCharBase"/>
    <w:uiPriority w:val="1"/>
    <w:qFormat/>
    <w:rsid w:val="00E546B8"/>
  </w:style>
  <w:style w:type="character" w:customStyle="1" w:styleId="CharDivNo">
    <w:name w:val="CharDivNo"/>
    <w:basedOn w:val="OPCCharBase"/>
    <w:uiPriority w:val="1"/>
    <w:qFormat/>
    <w:rsid w:val="00E546B8"/>
  </w:style>
  <w:style w:type="character" w:customStyle="1" w:styleId="CharDivText">
    <w:name w:val="CharDivText"/>
    <w:basedOn w:val="OPCCharBase"/>
    <w:uiPriority w:val="1"/>
    <w:qFormat/>
    <w:rsid w:val="00E546B8"/>
  </w:style>
  <w:style w:type="character" w:customStyle="1" w:styleId="CharItalic">
    <w:name w:val="CharItalic"/>
    <w:basedOn w:val="OPCCharBase"/>
    <w:uiPriority w:val="1"/>
    <w:qFormat/>
    <w:rsid w:val="00E546B8"/>
    <w:rPr>
      <w:i/>
    </w:rPr>
  </w:style>
  <w:style w:type="character" w:customStyle="1" w:styleId="CharPartNo">
    <w:name w:val="CharPartNo"/>
    <w:basedOn w:val="OPCCharBase"/>
    <w:uiPriority w:val="1"/>
    <w:qFormat/>
    <w:rsid w:val="00E546B8"/>
  </w:style>
  <w:style w:type="character" w:customStyle="1" w:styleId="CharPartText">
    <w:name w:val="CharPartText"/>
    <w:basedOn w:val="OPCCharBase"/>
    <w:uiPriority w:val="1"/>
    <w:qFormat/>
    <w:rsid w:val="00E546B8"/>
  </w:style>
  <w:style w:type="character" w:customStyle="1" w:styleId="CharSectno">
    <w:name w:val="CharSectno"/>
    <w:basedOn w:val="OPCCharBase"/>
    <w:uiPriority w:val="1"/>
    <w:qFormat/>
    <w:rsid w:val="00E546B8"/>
  </w:style>
  <w:style w:type="character" w:customStyle="1" w:styleId="CharSubdNo">
    <w:name w:val="CharSubdNo"/>
    <w:basedOn w:val="OPCCharBase"/>
    <w:uiPriority w:val="1"/>
    <w:qFormat/>
    <w:rsid w:val="00E546B8"/>
  </w:style>
  <w:style w:type="character" w:customStyle="1" w:styleId="CharSubdText">
    <w:name w:val="CharSubdText"/>
    <w:basedOn w:val="OPCCharBase"/>
    <w:uiPriority w:val="1"/>
    <w:qFormat/>
    <w:rsid w:val="00E546B8"/>
  </w:style>
  <w:style w:type="paragraph" w:customStyle="1" w:styleId="CTA--">
    <w:name w:val="CTA --"/>
    <w:basedOn w:val="OPCParaBase"/>
    <w:next w:val="Normal"/>
    <w:rsid w:val="00E546B8"/>
    <w:pPr>
      <w:spacing w:before="60" w:line="240" w:lineRule="atLeast"/>
      <w:ind w:left="142" w:hanging="142"/>
    </w:pPr>
    <w:rPr>
      <w:sz w:val="20"/>
    </w:rPr>
  </w:style>
  <w:style w:type="paragraph" w:customStyle="1" w:styleId="CTA-">
    <w:name w:val="CTA -"/>
    <w:basedOn w:val="OPCParaBase"/>
    <w:rsid w:val="00E546B8"/>
    <w:pPr>
      <w:spacing w:before="60" w:line="240" w:lineRule="atLeast"/>
      <w:ind w:left="85" w:hanging="85"/>
    </w:pPr>
    <w:rPr>
      <w:sz w:val="20"/>
    </w:rPr>
  </w:style>
  <w:style w:type="paragraph" w:customStyle="1" w:styleId="CTA---">
    <w:name w:val="CTA ---"/>
    <w:basedOn w:val="OPCParaBase"/>
    <w:next w:val="Normal"/>
    <w:rsid w:val="00E546B8"/>
    <w:pPr>
      <w:spacing w:before="60" w:line="240" w:lineRule="atLeast"/>
      <w:ind w:left="198" w:hanging="198"/>
    </w:pPr>
    <w:rPr>
      <w:sz w:val="20"/>
    </w:rPr>
  </w:style>
  <w:style w:type="paragraph" w:customStyle="1" w:styleId="CTA----">
    <w:name w:val="CTA ----"/>
    <w:basedOn w:val="OPCParaBase"/>
    <w:next w:val="Normal"/>
    <w:rsid w:val="00E546B8"/>
    <w:pPr>
      <w:spacing w:before="60" w:line="240" w:lineRule="atLeast"/>
      <w:ind w:left="255" w:hanging="255"/>
    </w:pPr>
    <w:rPr>
      <w:sz w:val="20"/>
    </w:rPr>
  </w:style>
  <w:style w:type="paragraph" w:customStyle="1" w:styleId="CTA1a">
    <w:name w:val="CTA 1(a)"/>
    <w:basedOn w:val="OPCParaBase"/>
    <w:rsid w:val="00E546B8"/>
    <w:pPr>
      <w:tabs>
        <w:tab w:val="right" w:pos="414"/>
      </w:tabs>
      <w:spacing w:before="40" w:line="240" w:lineRule="atLeast"/>
      <w:ind w:left="675" w:hanging="675"/>
    </w:pPr>
    <w:rPr>
      <w:sz w:val="20"/>
    </w:rPr>
  </w:style>
  <w:style w:type="paragraph" w:customStyle="1" w:styleId="CTA1ai">
    <w:name w:val="CTA 1(a)(i)"/>
    <w:basedOn w:val="OPCParaBase"/>
    <w:rsid w:val="00E546B8"/>
    <w:pPr>
      <w:tabs>
        <w:tab w:val="right" w:pos="1004"/>
      </w:tabs>
      <w:spacing w:before="40" w:line="240" w:lineRule="atLeast"/>
      <w:ind w:left="1253" w:hanging="1253"/>
    </w:pPr>
    <w:rPr>
      <w:sz w:val="20"/>
    </w:rPr>
  </w:style>
  <w:style w:type="paragraph" w:customStyle="1" w:styleId="CTA2a">
    <w:name w:val="CTA 2(a)"/>
    <w:basedOn w:val="OPCParaBase"/>
    <w:rsid w:val="00E546B8"/>
    <w:pPr>
      <w:tabs>
        <w:tab w:val="right" w:pos="482"/>
      </w:tabs>
      <w:spacing w:before="40" w:line="240" w:lineRule="atLeast"/>
      <w:ind w:left="748" w:hanging="748"/>
    </w:pPr>
    <w:rPr>
      <w:sz w:val="20"/>
    </w:rPr>
  </w:style>
  <w:style w:type="paragraph" w:customStyle="1" w:styleId="CTA2ai">
    <w:name w:val="CTA 2(a)(i)"/>
    <w:basedOn w:val="OPCParaBase"/>
    <w:rsid w:val="00E546B8"/>
    <w:pPr>
      <w:tabs>
        <w:tab w:val="right" w:pos="1089"/>
      </w:tabs>
      <w:spacing w:before="40" w:line="240" w:lineRule="atLeast"/>
      <w:ind w:left="1327" w:hanging="1327"/>
    </w:pPr>
    <w:rPr>
      <w:sz w:val="20"/>
    </w:rPr>
  </w:style>
  <w:style w:type="paragraph" w:customStyle="1" w:styleId="CTA3a">
    <w:name w:val="CTA 3(a)"/>
    <w:basedOn w:val="OPCParaBase"/>
    <w:rsid w:val="00E546B8"/>
    <w:pPr>
      <w:tabs>
        <w:tab w:val="right" w:pos="556"/>
      </w:tabs>
      <w:spacing w:before="40" w:line="240" w:lineRule="atLeast"/>
      <w:ind w:left="805" w:hanging="805"/>
    </w:pPr>
    <w:rPr>
      <w:sz w:val="20"/>
    </w:rPr>
  </w:style>
  <w:style w:type="paragraph" w:customStyle="1" w:styleId="CTA3ai">
    <w:name w:val="CTA 3(a)(i)"/>
    <w:basedOn w:val="OPCParaBase"/>
    <w:rsid w:val="00E546B8"/>
    <w:pPr>
      <w:tabs>
        <w:tab w:val="right" w:pos="1140"/>
      </w:tabs>
      <w:spacing w:before="40" w:line="240" w:lineRule="atLeast"/>
      <w:ind w:left="1361" w:hanging="1361"/>
    </w:pPr>
    <w:rPr>
      <w:sz w:val="20"/>
    </w:rPr>
  </w:style>
  <w:style w:type="paragraph" w:customStyle="1" w:styleId="CTA4a">
    <w:name w:val="CTA 4(a)"/>
    <w:basedOn w:val="OPCParaBase"/>
    <w:rsid w:val="00E546B8"/>
    <w:pPr>
      <w:tabs>
        <w:tab w:val="right" w:pos="624"/>
      </w:tabs>
      <w:spacing w:before="40" w:line="240" w:lineRule="atLeast"/>
      <w:ind w:left="873" w:hanging="873"/>
    </w:pPr>
    <w:rPr>
      <w:sz w:val="20"/>
    </w:rPr>
  </w:style>
  <w:style w:type="paragraph" w:customStyle="1" w:styleId="CTA4ai">
    <w:name w:val="CTA 4(a)(i)"/>
    <w:basedOn w:val="OPCParaBase"/>
    <w:rsid w:val="00E546B8"/>
    <w:pPr>
      <w:tabs>
        <w:tab w:val="right" w:pos="1213"/>
      </w:tabs>
      <w:spacing w:before="40" w:line="240" w:lineRule="atLeast"/>
      <w:ind w:left="1452" w:hanging="1452"/>
    </w:pPr>
    <w:rPr>
      <w:sz w:val="20"/>
    </w:rPr>
  </w:style>
  <w:style w:type="paragraph" w:customStyle="1" w:styleId="CTACAPS">
    <w:name w:val="CTA CAPS"/>
    <w:basedOn w:val="OPCParaBase"/>
    <w:rsid w:val="00E546B8"/>
    <w:pPr>
      <w:spacing w:before="60" w:line="240" w:lineRule="atLeast"/>
    </w:pPr>
    <w:rPr>
      <w:sz w:val="20"/>
    </w:rPr>
  </w:style>
  <w:style w:type="paragraph" w:customStyle="1" w:styleId="CTAright">
    <w:name w:val="CTA right"/>
    <w:basedOn w:val="OPCParaBase"/>
    <w:rsid w:val="00E546B8"/>
    <w:pPr>
      <w:spacing w:before="60" w:line="240" w:lineRule="auto"/>
      <w:jc w:val="right"/>
    </w:pPr>
    <w:rPr>
      <w:sz w:val="20"/>
    </w:rPr>
  </w:style>
  <w:style w:type="paragraph" w:customStyle="1" w:styleId="subsection">
    <w:name w:val="subsection"/>
    <w:aliases w:val="ss"/>
    <w:basedOn w:val="OPCParaBase"/>
    <w:rsid w:val="00E546B8"/>
    <w:pPr>
      <w:tabs>
        <w:tab w:val="right" w:pos="1021"/>
      </w:tabs>
      <w:spacing w:before="180" w:line="240" w:lineRule="auto"/>
      <w:ind w:left="1134" w:hanging="1134"/>
    </w:pPr>
  </w:style>
  <w:style w:type="paragraph" w:customStyle="1" w:styleId="Definition">
    <w:name w:val="Definition"/>
    <w:aliases w:val="dd"/>
    <w:basedOn w:val="OPCParaBase"/>
    <w:rsid w:val="00E546B8"/>
    <w:pPr>
      <w:spacing w:before="180" w:line="240" w:lineRule="auto"/>
      <w:ind w:left="1134"/>
    </w:pPr>
  </w:style>
  <w:style w:type="paragraph" w:customStyle="1" w:styleId="ETAsubitem">
    <w:name w:val="ETA(subitem)"/>
    <w:basedOn w:val="OPCParaBase"/>
    <w:rsid w:val="00E546B8"/>
    <w:pPr>
      <w:tabs>
        <w:tab w:val="right" w:pos="340"/>
      </w:tabs>
      <w:spacing w:before="60" w:line="240" w:lineRule="auto"/>
      <w:ind w:left="454" w:hanging="454"/>
    </w:pPr>
    <w:rPr>
      <w:sz w:val="20"/>
    </w:rPr>
  </w:style>
  <w:style w:type="paragraph" w:customStyle="1" w:styleId="ETApara">
    <w:name w:val="ETA(para)"/>
    <w:basedOn w:val="OPCParaBase"/>
    <w:rsid w:val="00E546B8"/>
    <w:pPr>
      <w:tabs>
        <w:tab w:val="right" w:pos="754"/>
      </w:tabs>
      <w:spacing w:before="60" w:line="240" w:lineRule="auto"/>
      <w:ind w:left="828" w:hanging="828"/>
    </w:pPr>
    <w:rPr>
      <w:sz w:val="20"/>
    </w:rPr>
  </w:style>
  <w:style w:type="paragraph" w:customStyle="1" w:styleId="ETAsubpara">
    <w:name w:val="ETA(subpara)"/>
    <w:basedOn w:val="OPCParaBase"/>
    <w:rsid w:val="00E546B8"/>
    <w:pPr>
      <w:tabs>
        <w:tab w:val="right" w:pos="1083"/>
      </w:tabs>
      <w:spacing w:before="60" w:line="240" w:lineRule="auto"/>
      <w:ind w:left="1191" w:hanging="1191"/>
    </w:pPr>
    <w:rPr>
      <w:sz w:val="20"/>
    </w:rPr>
  </w:style>
  <w:style w:type="paragraph" w:customStyle="1" w:styleId="ETAsub-subpara">
    <w:name w:val="ETA(sub-subpara)"/>
    <w:basedOn w:val="OPCParaBase"/>
    <w:rsid w:val="00E546B8"/>
    <w:pPr>
      <w:tabs>
        <w:tab w:val="right" w:pos="1412"/>
      </w:tabs>
      <w:spacing w:before="60" w:line="240" w:lineRule="auto"/>
      <w:ind w:left="1525" w:hanging="1525"/>
    </w:pPr>
    <w:rPr>
      <w:sz w:val="20"/>
    </w:rPr>
  </w:style>
  <w:style w:type="paragraph" w:customStyle="1" w:styleId="Formula">
    <w:name w:val="Formula"/>
    <w:basedOn w:val="OPCParaBase"/>
    <w:rsid w:val="00E546B8"/>
    <w:pPr>
      <w:spacing w:line="240" w:lineRule="auto"/>
      <w:ind w:left="1134"/>
    </w:pPr>
    <w:rPr>
      <w:sz w:val="20"/>
    </w:rPr>
  </w:style>
  <w:style w:type="paragraph" w:styleId="Header">
    <w:name w:val="header"/>
    <w:basedOn w:val="OPCParaBase"/>
    <w:link w:val="HeaderChar"/>
    <w:unhideWhenUsed/>
    <w:rsid w:val="00E546B8"/>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546B8"/>
    <w:rPr>
      <w:rFonts w:eastAsia="Times New Roman" w:cs="Times New Roman"/>
      <w:sz w:val="16"/>
      <w:lang w:eastAsia="en-AU"/>
    </w:rPr>
  </w:style>
  <w:style w:type="paragraph" w:customStyle="1" w:styleId="House">
    <w:name w:val="House"/>
    <w:basedOn w:val="OPCParaBase"/>
    <w:rsid w:val="00E546B8"/>
    <w:pPr>
      <w:spacing w:line="240" w:lineRule="auto"/>
    </w:pPr>
    <w:rPr>
      <w:sz w:val="28"/>
    </w:rPr>
  </w:style>
  <w:style w:type="paragraph" w:customStyle="1" w:styleId="Item">
    <w:name w:val="Item"/>
    <w:aliases w:val="i"/>
    <w:basedOn w:val="OPCParaBase"/>
    <w:next w:val="ItemHead"/>
    <w:rsid w:val="00E546B8"/>
    <w:pPr>
      <w:keepLines/>
      <w:spacing w:before="80" w:line="240" w:lineRule="auto"/>
      <w:ind w:left="709"/>
    </w:pPr>
  </w:style>
  <w:style w:type="paragraph" w:customStyle="1" w:styleId="ItemHead">
    <w:name w:val="ItemHead"/>
    <w:aliases w:val="ih"/>
    <w:basedOn w:val="OPCParaBase"/>
    <w:next w:val="Item"/>
    <w:rsid w:val="00E546B8"/>
    <w:pPr>
      <w:keepLines/>
      <w:spacing w:before="220" w:line="240" w:lineRule="auto"/>
      <w:ind w:left="709" w:hanging="709"/>
    </w:pPr>
    <w:rPr>
      <w:rFonts w:ascii="Arial" w:hAnsi="Arial"/>
      <w:b/>
      <w:kern w:val="28"/>
      <w:sz w:val="24"/>
    </w:rPr>
  </w:style>
  <w:style w:type="paragraph" w:customStyle="1" w:styleId="LongT">
    <w:name w:val="LongT"/>
    <w:basedOn w:val="OPCParaBase"/>
    <w:rsid w:val="00E546B8"/>
    <w:pPr>
      <w:spacing w:line="240" w:lineRule="auto"/>
    </w:pPr>
    <w:rPr>
      <w:b/>
      <w:sz w:val="32"/>
    </w:rPr>
  </w:style>
  <w:style w:type="paragraph" w:customStyle="1" w:styleId="notedraft">
    <w:name w:val="note(draft)"/>
    <w:aliases w:val="nd"/>
    <w:basedOn w:val="OPCParaBase"/>
    <w:rsid w:val="00E546B8"/>
    <w:pPr>
      <w:spacing w:before="240" w:line="240" w:lineRule="auto"/>
      <w:ind w:left="284" w:hanging="284"/>
    </w:pPr>
    <w:rPr>
      <w:i/>
      <w:sz w:val="24"/>
    </w:rPr>
  </w:style>
  <w:style w:type="paragraph" w:customStyle="1" w:styleId="notemargin">
    <w:name w:val="note(margin)"/>
    <w:aliases w:val="nm"/>
    <w:basedOn w:val="OPCParaBase"/>
    <w:rsid w:val="00E546B8"/>
    <w:pPr>
      <w:tabs>
        <w:tab w:val="left" w:pos="709"/>
      </w:tabs>
      <w:spacing w:before="122" w:line="198" w:lineRule="exact"/>
      <w:ind w:left="709" w:hanging="709"/>
    </w:pPr>
    <w:rPr>
      <w:sz w:val="18"/>
    </w:rPr>
  </w:style>
  <w:style w:type="paragraph" w:customStyle="1" w:styleId="notepara">
    <w:name w:val="note(para)"/>
    <w:aliases w:val="na"/>
    <w:basedOn w:val="OPCParaBase"/>
    <w:rsid w:val="00E546B8"/>
    <w:pPr>
      <w:spacing w:before="40" w:line="198" w:lineRule="exact"/>
      <w:ind w:left="2354" w:hanging="369"/>
    </w:pPr>
    <w:rPr>
      <w:sz w:val="18"/>
    </w:rPr>
  </w:style>
  <w:style w:type="paragraph" w:customStyle="1" w:styleId="noteParlAmend">
    <w:name w:val="note(ParlAmend)"/>
    <w:aliases w:val="npp"/>
    <w:basedOn w:val="OPCParaBase"/>
    <w:next w:val="ParlAmend"/>
    <w:rsid w:val="00E546B8"/>
    <w:pPr>
      <w:spacing w:line="240" w:lineRule="auto"/>
      <w:jc w:val="right"/>
    </w:pPr>
    <w:rPr>
      <w:rFonts w:ascii="Arial" w:hAnsi="Arial"/>
      <w:b/>
      <w:i/>
    </w:rPr>
  </w:style>
  <w:style w:type="paragraph" w:customStyle="1" w:styleId="notetext">
    <w:name w:val="note(text)"/>
    <w:aliases w:val="n"/>
    <w:basedOn w:val="OPCParaBase"/>
    <w:rsid w:val="00E546B8"/>
    <w:pPr>
      <w:spacing w:before="122" w:line="198" w:lineRule="exact"/>
      <w:ind w:left="1985" w:hanging="851"/>
    </w:pPr>
    <w:rPr>
      <w:sz w:val="18"/>
    </w:rPr>
  </w:style>
  <w:style w:type="paragraph" w:customStyle="1" w:styleId="Page1">
    <w:name w:val="Page1"/>
    <w:basedOn w:val="OPCParaBase"/>
    <w:rsid w:val="00E546B8"/>
    <w:pPr>
      <w:spacing w:before="5600" w:line="240" w:lineRule="auto"/>
    </w:pPr>
    <w:rPr>
      <w:b/>
      <w:sz w:val="32"/>
    </w:rPr>
  </w:style>
  <w:style w:type="paragraph" w:customStyle="1" w:styleId="PageBreak">
    <w:name w:val="PageBreak"/>
    <w:aliases w:val="pb"/>
    <w:basedOn w:val="OPCParaBase"/>
    <w:rsid w:val="00E546B8"/>
    <w:pPr>
      <w:spacing w:line="240" w:lineRule="auto"/>
    </w:pPr>
    <w:rPr>
      <w:sz w:val="10"/>
    </w:rPr>
  </w:style>
  <w:style w:type="paragraph" w:customStyle="1" w:styleId="paragraphsub">
    <w:name w:val="paragraph(sub)"/>
    <w:aliases w:val="aa"/>
    <w:basedOn w:val="OPCParaBase"/>
    <w:rsid w:val="00E546B8"/>
    <w:pPr>
      <w:tabs>
        <w:tab w:val="right" w:pos="1985"/>
      </w:tabs>
      <w:spacing w:before="40" w:line="240" w:lineRule="auto"/>
      <w:ind w:left="2098" w:hanging="2098"/>
    </w:pPr>
  </w:style>
  <w:style w:type="paragraph" w:customStyle="1" w:styleId="paragraphsub-sub">
    <w:name w:val="paragraph(sub-sub)"/>
    <w:aliases w:val="aaa"/>
    <w:basedOn w:val="OPCParaBase"/>
    <w:rsid w:val="00E546B8"/>
    <w:pPr>
      <w:tabs>
        <w:tab w:val="right" w:pos="2722"/>
      </w:tabs>
      <w:spacing w:before="40" w:line="240" w:lineRule="auto"/>
      <w:ind w:left="2835" w:hanging="2835"/>
    </w:pPr>
  </w:style>
  <w:style w:type="paragraph" w:customStyle="1" w:styleId="paragraph">
    <w:name w:val="paragraph"/>
    <w:aliases w:val="a"/>
    <w:basedOn w:val="OPCParaBase"/>
    <w:rsid w:val="00E546B8"/>
    <w:pPr>
      <w:tabs>
        <w:tab w:val="right" w:pos="1531"/>
      </w:tabs>
      <w:spacing w:before="40" w:line="240" w:lineRule="auto"/>
      <w:ind w:left="1644" w:hanging="1644"/>
    </w:pPr>
  </w:style>
  <w:style w:type="paragraph" w:customStyle="1" w:styleId="ParlAmend">
    <w:name w:val="ParlAmend"/>
    <w:aliases w:val="pp"/>
    <w:basedOn w:val="OPCParaBase"/>
    <w:rsid w:val="00E546B8"/>
    <w:pPr>
      <w:spacing w:before="240" w:line="240" w:lineRule="atLeast"/>
      <w:ind w:hanging="567"/>
    </w:pPr>
    <w:rPr>
      <w:sz w:val="24"/>
    </w:rPr>
  </w:style>
  <w:style w:type="paragraph" w:customStyle="1" w:styleId="Penalty">
    <w:name w:val="Penalty"/>
    <w:basedOn w:val="OPCParaBase"/>
    <w:rsid w:val="00E546B8"/>
    <w:pPr>
      <w:tabs>
        <w:tab w:val="left" w:pos="2977"/>
      </w:tabs>
      <w:spacing w:before="180" w:line="240" w:lineRule="auto"/>
      <w:ind w:left="1985" w:hanging="851"/>
    </w:pPr>
  </w:style>
  <w:style w:type="paragraph" w:customStyle="1" w:styleId="Portfolio">
    <w:name w:val="Portfolio"/>
    <w:basedOn w:val="OPCParaBase"/>
    <w:rsid w:val="00E546B8"/>
    <w:pPr>
      <w:spacing w:line="240" w:lineRule="auto"/>
    </w:pPr>
    <w:rPr>
      <w:i/>
      <w:sz w:val="20"/>
    </w:rPr>
  </w:style>
  <w:style w:type="paragraph" w:customStyle="1" w:styleId="Preamble">
    <w:name w:val="Preamble"/>
    <w:basedOn w:val="OPCParaBase"/>
    <w:next w:val="Normal"/>
    <w:rsid w:val="00E546B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546B8"/>
    <w:pPr>
      <w:spacing w:line="240" w:lineRule="auto"/>
    </w:pPr>
    <w:rPr>
      <w:i/>
      <w:sz w:val="20"/>
    </w:rPr>
  </w:style>
  <w:style w:type="paragraph" w:customStyle="1" w:styleId="Session">
    <w:name w:val="Session"/>
    <w:basedOn w:val="OPCParaBase"/>
    <w:rsid w:val="00E546B8"/>
    <w:pPr>
      <w:spacing w:line="240" w:lineRule="auto"/>
    </w:pPr>
    <w:rPr>
      <w:sz w:val="28"/>
    </w:rPr>
  </w:style>
  <w:style w:type="paragraph" w:customStyle="1" w:styleId="Sponsor">
    <w:name w:val="Sponsor"/>
    <w:basedOn w:val="OPCParaBase"/>
    <w:rsid w:val="00E546B8"/>
    <w:pPr>
      <w:spacing w:line="240" w:lineRule="auto"/>
    </w:pPr>
    <w:rPr>
      <w:i/>
    </w:rPr>
  </w:style>
  <w:style w:type="paragraph" w:customStyle="1" w:styleId="Subitem">
    <w:name w:val="Subitem"/>
    <w:aliases w:val="iss"/>
    <w:basedOn w:val="OPCParaBase"/>
    <w:rsid w:val="00E546B8"/>
    <w:pPr>
      <w:spacing w:before="180" w:line="240" w:lineRule="auto"/>
      <w:ind w:left="709" w:hanging="709"/>
    </w:pPr>
  </w:style>
  <w:style w:type="paragraph" w:customStyle="1" w:styleId="SubitemHead">
    <w:name w:val="SubitemHead"/>
    <w:aliases w:val="issh"/>
    <w:basedOn w:val="OPCParaBase"/>
    <w:rsid w:val="00E546B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546B8"/>
    <w:pPr>
      <w:spacing w:before="40" w:line="240" w:lineRule="auto"/>
      <w:ind w:left="1134"/>
    </w:pPr>
  </w:style>
  <w:style w:type="paragraph" w:customStyle="1" w:styleId="SubsectionHead">
    <w:name w:val="SubsectionHead"/>
    <w:aliases w:val="ssh"/>
    <w:basedOn w:val="OPCParaBase"/>
    <w:next w:val="subsection"/>
    <w:rsid w:val="00E546B8"/>
    <w:pPr>
      <w:keepNext/>
      <w:keepLines/>
      <w:spacing w:before="240" w:line="240" w:lineRule="auto"/>
      <w:ind w:left="1134"/>
    </w:pPr>
    <w:rPr>
      <w:i/>
    </w:rPr>
  </w:style>
  <w:style w:type="paragraph" w:customStyle="1" w:styleId="Tablea">
    <w:name w:val="Table(a)"/>
    <w:aliases w:val="ta"/>
    <w:basedOn w:val="OPCParaBase"/>
    <w:rsid w:val="00E546B8"/>
    <w:pPr>
      <w:spacing w:before="60" w:line="240" w:lineRule="auto"/>
      <w:ind w:left="284" w:hanging="284"/>
    </w:pPr>
    <w:rPr>
      <w:sz w:val="20"/>
    </w:rPr>
  </w:style>
  <w:style w:type="paragraph" w:customStyle="1" w:styleId="TableAA">
    <w:name w:val="Table(AA)"/>
    <w:aliases w:val="taaa"/>
    <w:basedOn w:val="OPCParaBase"/>
    <w:rsid w:val="00E546B8"/>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546B8"/>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546B8"/>
    <w:pPr>
      <w:spacing w:before="60" w:line="240" w:lineRule="atLeast"/>
    </w:pPr>
    <w:rPr>
      <w:sz w:val="20"/>
    </w:rPr>
  </w:style>
  <w:style w:type="paragraph" w:customStyle="1" w:styleId="TLPBoxTextnote">
    <w:name w:val="TLPBoxText(note"/>
    <w:aliases w:val="right)"/>
    <w:basedOn w:val="OPCParaBase"/>
    <w:rsid w:val="00E546B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546B8"/>
    <w:pPr>
      <w:numPr>
        <w:numId w:val="11"/>
      </w:numPr>
      <w:tabs>
        <w:tab w:val="clear" w:pos="2517"/>
      </w:tabs>
      <w:spacing w:before="60" w:line="198" w:lineRule="exact"/>
      <w:ind w:left="2625"/>
    </w:pPr>
    <w:rPr>
      <w:sz w:val="18"/>
    </w:rPr>
  </w:style>
  <w:style w:type="paragraph" w:customStyle="1" w:styleId="TLPnoteright">
    <w:name w:val="TLPnote(right)"/>
    <w:aliases w:val="nr"/>
    <w:basedOn w:val="OPCParaBase"/>
    <w:rsid w:val="00E546B8"/>
    <w:pPr>
      <w:spacing w:before="122" w:line="198" w:lineRule="exact"/>
      <w:ind w:left="1985" w:hanging="851"/>
      <w:jc w:val="right"/>
    </w:pPr>
    <w:rPr>
      <w:sz w:val="18"/>
    </w:rPr>
  </w:style>
  <w:style w:type="paragraph" w:customStyle="1" w:styleId="TLPTableBullet">
    <w:name w:val="TLPTableBullet"/>
    <w:aliases w:val="ttb"/>
    <w:basedOn w:val="OPCParaBase"/>
    <w:rsid w:val="00E546B8"/>
    <w:pPr>
      <w:spacing w:line="240" w:lineRule="exact"/>
      <w:ind w:left="284" w:hanging="284"/>
    </w:pPr>
    <w:rPr>
      <w:sz w:val="20"/>
    </w:rPr>
  </w:style>
  <w:style w:type="paragraph" w:styleId="TOC1">
    <w:name w:val="toc 1"/>
    <w:basedOn w:val="OPCParaBase"/>
    <w:next w:val="Normal"/>
    <w:uiPriority w:val="39"/>
    <w:unhideWhenUsed/>
    <w:rsid w:val="00E546B8"/>
    <w:pPr>
      <w:spacing w:line="240" w:lineRule="auto"/>
    </w:pPr>
    <w:rPr>
      <w:sz w:val="24"/>
    </w:rPr>
  </w:style>
  <w:style w:type="paragraph" w:styleId="TOC2">
    <w:name w:val="toc 2"/>
    <w:basedOn w:val="OPCParaBase"/>
    <w:next w:val="Normal"/>
    <w:uiPriority w:val="39"/>
    <w:unhideWhenUsed/>
    <w:rsid w:val="00E546B8"/>
    <w:pPr>
      <w:tabs>
        <w:tab w:val="right" w:leader="dot" w:pos="9017"/>
      </w:tabs>
      <w:spacing w:line="240" w:lineRule="auto"/>
      <w:ind w:left="238"/>
    </w:pPr>
    <w:rPr>
      <w:b/>
      <w:noProof/>
      <w:sz w:val="24"/>
    </w:rPr>
  </w:style>
  <w:style w:type="paragraph" w:styleId="TOC3">
    <w:name w:val="toc 3"/>
    <w:basedOn w:val="OPCParaBase"/>
    <w:next w:val="Normal"/>
    <w:uiPriority w:val="39"/>
    <w:unhideWhenUsed/>
    <w:rsid w:val="00E546B8"/>
    <w:pPr>
      <w:tabs>
        <w:tab w:val="right" w:leader="dot" w:pos="9017"/>
      </w:tabs>
      <w:spacing w:line="240" w:lineRule="auto"/>
      <w:ind w:left="482"/>
    </w:pPr>
    <w:rPr>
      <w:noProof/>
      <w:sz w:val="24"/>
    </w:rPr>
  </w:style>
  <w:style w:type="paragraph" w:styleId="TOC4">
    <w:name w:val="toc 4"/>
    <w:basedOn w:val="OPCParaBase"/>
    <w:next w:val="Normal"/>
    <w:uiPriority w:val="39"/>
    <w:unhideWhenUsed/>
    <w:rsid w:val="00E546B8"/>
    <w:pPr>
      <w:tabs>
        <w:tab w:val="right" w:leader="dot" w:pos="9017"/>
      </w:tabs>
      <w:spacing w:line="240" w:lineRule="auto"/>
      <w:ind w:left="720"/>
    </w:pPr>
    <w:rPr>
      <w:noProof/>
      <w:sz w:val="24"/>
    </w:rPr>
  </w:style>
  <w:style w:type="paragraph" w:styleId="TOC5">
    <w:name w:val="toc 5"/>
    <w:basedOn w:val="OPCParaBase"/>
    <w:next w:val="Normal"/>
    <w:uiPriority w:val="39"/>
    <w:semiHidden/>
    <w:unhideWhenUsed/>
    <w:rsid w:val="00E546B8"/>
    <w:pPr>
      <w:spacing w:line="240" w:lineRule="auto"/>
      <w:ind w:left="958"/>
    </w:pPr>
    <w:rPr>
      <w:sz w:val="24"/>
    </w:rPr>
  </w:style>
  <w:style w:type="paragraph" w:styleId="TOC6">
    <w:name w:val="toc 6"/>
    <w:basedOn w:val="OPCParaBase"/>
    <w:next w:val="Normal"/>
    <w:uiPriority w:val="39"/>
    <w:semiHidden/>
    <w:unhideWhenUsed/>
    <w:rsid w:val="00E546B8"/>
    <w:pPr>
      <w:spacing w:line="240" w:lineRule="auto"/>
      <w:ind w:left="1202"/>
    </w:pPr>
    <w:rPr>
      <w:sz w:val="24"/>
    </w:rPr>
  </w:style>
  <w:style w:type="paragraph" w:styleId="TOC7">
    <w:name w:val="toc 7"/>
    <w:basedOn w:val="OPCParaBase"/>
    <w:next w:val="Normal"/>
    <w:uiPriority w:val="39"/>
    <w:semiHidden/>
    <w:unhideWhenUsed/>
    <w:rsid w:val="00E546B8"/>
    <w:pPr>
      <w:spacing w:line="240" w:lineRule="auto"/>
      <w:ind w:left="1440"/>
    </w:pPr>
    <w:rPr>
      <w:sz w:val="24"/>
    </w:rPr>
  </w:style>
  <w:style w:type="paragraph" w:styleId="TOC8">
    <w:name w:val="toc 8"/>
    <w:basedOn w:val="OPCParaBase"/>
    <w:next w:val="Normal"/>
    <w:uiPriority w:val="39"/>
    <w:semiHidden/>
    <w:unhideWhenUsed/>
    <w:rsid w:val="00E546B8"/>
    <w:pPr>
      <w:spacing w:line="240" w:lineRule="auto"/>
      <w:ind w:left="1678"/>
    </w:pPr>
    <w:rPr>
      <w:sz w:val="24"/>
    </w:rPr>
  </w:style>
  <w:style w:type="paragraph" w:styleId="TOC9">
    <w:name w:val="toc 9"/>
    <w:basedOn w:val="OPCParaBase"/>
    <w:next w:val="Normal"/>
    <w:uiPriority w:val="39"/>
    <w:unhideWhenUsed/>
    <w:rsid w:val="00E546B8"/>
    <w:pPr>
      <w:spacing w:line="240" w:lineRule="auto"/>
      <w:ind w:left="1922"/>
    </w:pPr>
    <w:rPr>
      <w:sz w:val="24"/>
    </w:rPr>
  </w:style>
  <w:style w:type="paragraph" w:customStyle="1" w:styleId="TofSectsGroupHeading">
    <w:name w:val="TofSects(GroupHeading)"/>
    <w:basedOn w:val="OPCParaBase"/>
    <w:next w:val="TofSectsSection"/>
    <w:rsid w:val="00E546B8"/>
    <w:pPr>
      <w:keepLines/>
      <w:spacing w:before="240" w:after="120" w:line="240" w:lineRule="auto"/>
      <w:ind w:left="794"/>
    </w:pPr>
    <w:rPr>
      <w:b/>
      <w:kern w:val="28"/>
      <w:sz w:val="20"/>
    </w:rPr>
  </w:style>
  <w:style w:type="paragraph" w:customStyle="1" w:styleId="TofSectsHeading">
    <w:name w:val="TofSects(Heading)"/>
    <w:basedOn w:val="OPCParaBase"/>
    <w:rsid w:val="00E546B8"/>
    <w:pPr>
      <w:spacing w:before="240" w:after="120" w:line="240" w:lineRule="auto"/>
    </w:pPr>
    <w:rPr>
      <w:b/>
      <w:sz w:val="24"/>
    </w:rPr>
  </w:style>
  <w:style w:type="paragraph" w:customStyle="1" w:styleId="TofSectsSection">
    <w:name w:val="TofSects(Section)"/>
    <w:basedOn w:val="OPCParaBase"/>
    <w:rsid w:val="00E546B8"/>
    <w:pPr>
      <w:keepLines/>
      <w:spacing w:before="40" w:line="240" w:lineRule="auto"/>
      <w:ind w:left="1588" w:hanging="794"/>
    </w:pPr>
    <w:rPr>
      <w:kern w:val="28"/>
      <w:sz w:val="18"/>
    </w:rPr>
  </w:style>
  <w:style w:type="paragraph" w:customStyle="1" w:styleId="TofSectsSubdiv">
    <w:name w:val="TofSects(Subdiv)"/>
    <w:basedOn w:val="OPCParaBase"/>
    <w:rsid w:val="00E546B8"/>
    <w:pPr>
      <w:keepLines/>
      <w:spacing w:before="80" w:line="240" w:lineRule="auto"/>
      <w:ind w:left="1588" w:hanging="794"/>
    </w:pPr>
    <w:rPr>
      <w:kern w:val="28"/>
    </w:rPr>
  </w:style>
  <w:style w:type="paragraph" w:customStyle="1" w:styleId="WRStyle">
    <w:name w:val="WR Style"/>
    <w:aliases w:val="WR"/>
    <w:basedOn w:val="OPCParaBase"/>
    <w:rsid w:val="00E546B8"/>
    <w:pPr>
      <w:spacing w:before="240" w:line="240" w:lineRule="auto"/>
      <w:ind w:left="284" w:hanging="284"/>
    </w:pPr>
    <w:rPr>
      <w:b/>
      <w:i/>
      <w:kern w:val="28"/>
      <w:sz w:val="24"/>
    </w:rPr>
  </w:style>
  <w:style w:type="paragraph" w:customStyle="1" w:styleId="Body">
    <w:name w:val="Body"/>
    <w:aliases w:val="b"/>
    <w:basedOn w:val="OPCParaBase"/>
    <w:rsid w:val="00E546B8"/>
    <w:pPr>
      <w:spacing w:before="240" w:line="240" w:lineRule="auto"/>
    </w:pPr>
    <w:rPr>
      <w:sz w:val="24"/>
    </w:rPr>
  </w:style>
  <w:style w:type="paragraph" w:customStyle="1" w:styleId="BodyNum">
    <w:name w:val="BodyNum"/>
    <w:aliases w:val="b1"/>
    <w:basedOn w:val="OPCParaBase"/>
    <w:rsid w:val="00E546B8"/>
    <w:pPr>
      <w:numPr>
        <w:numId w:val="13"/>
      </w:numPr>
      <w:spacing w:before="240" w:line="240" w:lineRule="auto"/>
    </w:pPr>
    <w:rPr>
      <w:sz w:val="24"/>
    </w:rPr>
  </w:style>
  <w:style w:type="paragraph" w:customStyle="1" w:styleId="BodyPara">
    <w:name w:val="BodyPara"/>
    <w:aliases w:val="ba"/>
    <w:basedOn w:val="OPCParaBase"/>
    <w:rsid w:val="00E546B8"/>
    <w:pPr>
      <w:numPr>
        <w:ilvl w:val="1"/>
        <w:numId w:val="13"/>
      </w:numPr>
      <w:spacing w:before="240" w:line="240" w:lineRule="auto"/>
    </w:pPr>
    <w:rPr>
      <w:sz w:val="24"/>
    </w:rPr>
  </w:style>
  <w:style w:type="paragraph" w:customStyle="1" w:styleId="BodyParaBullet">
    <w:name w:val="BodyParaBullet"/>
    <w:aliases w:val="bpb"/>
    <w:basedOn w:val="OPCParaBase"/>
    <w:rsid w:val="00E546B8"/>
    <w:pPr>
      <w:numPr>
        <w:ilvl w:val="2"/>
        <w:numId w:val="13"/>
      </w:numPr>
      <w:tabs>
        <w:tab w:val="left" w:pos="2160"/>
      </w:tabs>
      <w:spacing w:before="240" w:line="240" w:lineRule="auto"/>
    </w:pPr>
    <w:rPr>
      <w:sz w:val="24"/>
    </w:rPr>
  </w:style>
  <w:style w:type="paragraph" w:customStyle="1" w:styleId="BodySubPara">
    <w:name w:val="BodySubPara"/>
    <w:aliases w:val="bi"/>
    <w:basedOn w:val="OPCParaBase"/>
    <w:rsid w:val="00E546B8"/>
    <w:pPr>
      <w:numPr>
        <w:ilvl w:val="3"/>
        <w:numId w:val="13"/>
      </w:numPr>
      <w:spacing w:before="240" w:line="240" w:lineRule="auto"/>
    </w:pPr>
    <w:rPr>
      <w:sz w:val="24"/>
    </w:rPr>
  </w:style>
  <w:style w:type="numbering" w:customStyle="1" w:styleId="OPCBodyList">
    <w:name w:val="OPCBodyList"/>
    <w:uiPriority w:val="99"/>
    <w:rsid w:val="00E546B8"/>
    <w:pPr>
      <w:numPr>
        <w:numId w:val="13"/>
      </w:numPr>
    </w:pPr>
  </w:style>
  <w:style w:type="paragraph" w:customStyle="1" w:styleId="Head1">
    <w:name w:val="Head 1"/>
    <w:aliases w:val="1"/>
    <w:basedOn w:val="OPCParaBase"/>
    <w:next w:val="BodyNum"/>
    <w:rsid w:val="00E546B8"/>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E546B8"/>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E546B8"/>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E546B8"/>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E546B8"/>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E546B8"/>
    <w:pPr>
      <w:spacing w:before="122" w:line="198" w:lineRule="exact"/>
      <w:ind w:left="2353" w:hanging="709"/>
    </w:pPr>
    <w:rPr>
      <w:sz w:val="18"/>
    </w:rPr>
  </w:style>
  <w:style w:type="paragraph" w:styleId="Footer">
    <w:name w:val="footer"/>
    <w:link w:val="FooterChar"/>
    <w:rsid w:val="00E546B8"/>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546B8"/>
    <w:rPr>
      <w:rFonts w:eastAsia="Times New Roman" w:cs="Times New Roman"/>
      <w:sz w:val="22"/>
      <w:szCs w:val="24"/>
      <w:lang w:eastAsia="en-AU"/>
    </w:rPr>
  </w:style>
  <w:style w:type="character" w:styleId="PageNumber">
    <w:name w:val="page number"/>
    <w:basedOn w:val="DefaultParagraphFont"/>
    <w:rsid w:val="00E546B8"/>
  </w:style>
  <w:style w:type="character" w:customStyle="1" w:styleId="Heading2Char">
    <w:name w:val="Heading 2 Char"/>
    <w:basedOn w:val="DefaultParagraphFont"/>
    <w:link w:val="Heading2"/>
    <w:rsid w:val="0057516C"/>
    <w:rPr>
      <w:rFonts w:eastAsia="Times New Roman" w:cs="Times New Roman"/>
      <w:b/>
      <w:iCs/>
      <w:kern w:val="28"/>
      <w:sz w:val="32"/>
      <w:szCs w:val="28"/>
      <w:lang w:eastAsia="en-AU"/>
    </w:rPr>
  </w:style>
  <w:style w:type="character" w:customStyle="1" w:styleId="Heading1Char">
    <w:name w:val="Heading 1 Char"/>
    <w:basedOn w:val="DefaultParagraphFont"/>
    <w:link w:val="Heading1"/>
    <w:uiPriority w:val="9"/>
    <w:rsid w:val="0057516C"/>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57516C"/>
    <w:rPr>
      <w:rFonts w:asciiTheme="majorHAnsi" w:eastAsiaTheme="majorEastAsia" w:hAnsiTheme="majorHAnsi" w:cstheme="majorBidi"/>
      <w:b/>
      <w:bCs/>
      <w:color w:val="4F81BD" w:themeColor="accent1"/>
      <w:sz w:val="22"/>
    </w:rPr>
  </w:style>
  <w:style w:type="paragraph" w:customStyle="1" w:styleId="Issued">
    <w:name w:val="Issued"/>
    <w:basedOn w:val="Body"/>
    <w:rsid w:val="00E546B8"/>
    <w:pPr>
      <w:spacing w:before="120"/>
    </w:pPr>
    <w:rPr>
      <w:b/>
      <w:sz w:val="28"/>
    </w:rPr>
  </w:style>
  <w:style w:type="paragraph" w:customStyle="1" w:styleId="Release">
    <w:name w:val="Release"/>
    <w:basedOn w:val="Body"/>
    <w:rsid w:val="00E546B8"/>
    <w:rPr>
      <w:b/>
    </w:rPr>
  </w:style>
  <w:style w:type="paragraph" w:styleId="BalloonText">
    <w:name w:val="Balloon Text"/>
    <w:basedOn w:val="Normal"/>
    <w:link w:val="BalloonTextChar"/>
    <w:uiPriority w:val="99"/>
    <w:semiHidden/>
    <w:unhideWhenUsed/>
    <w:rsid w:val="00E546B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6B8"/>
    <w:rPr>
      <w:rFonts w:ascii="Tahoma" w:hAnsi="Tahoma" w:cs="Tahoma"/>
      <w:sz w:val="16"/>
      <w:szCs w:val="16"/>
    </w:rPr>
  </w:style>
  <w:style w:type="paragraph" w:customStyle="1" w:styleId="NoteDraftingDirection">
    <w:name w:val="Note Drafting Direction"/>
    <w:basedOn w:val="OPCParaBase"/>
    <w:rsid w:val="00E546B8"/>
    <w:pPr>
      <w:spacing w:before="120"/>
      <w:ind w:left="1134" w:hanging="1134"/>
    </w:pPr>
    <w:rPr>
      <w:sz w:val="18"/>
    </w:rPr>
  </w:style>
  <w:style w:type="paragraph" w:customStyle="1" w:styleId="SOText">
    <w:name w:val="SO Text"/>
    <w:aliases w:val="sot"/>
    <w:link w:val="SOTextChar"/>
    <w:rsid w:val="00E546B8"/>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546B8"/>
    <w:rPr>
      <w:sz w:val="22"/>
    </w:rPr>
  </w:style>
  <w:style w:type="paragraph" w:customStyle="1" w:styleId="SOTextNote">
    <w:name w:val="SO TextNote"/>
    <w:aliases w:val="sont"/>
    <w:basedOn w:val="SOText"/>
    <w:qFormat/>
    <w:rsid w:val="00E546B8"/>
    <w:pPr>
      <w:spacing w:before="122" w:line="198" w:lineRule="exact"/>
      <w:ind w:left="1843" w:hanging="709"/>
    </w:pPr>
    <w:rPr>
      <w:sz w:val="18"/>
    </w:rPr>
  </w:style>
  <w:style w:type="paragraph" w:customStyle="1" w:styleId="SOPara">
    <w:name w:val="SO Para"/>
    <w:aliases w:val="soa"/>
    <w:basedOn w:val="SOText"/>
    <w:link w:val="SOParaChar"/>
    <w:qFormat/>
    <w:rsid w:val="00E546B8"/>
    <w:pPr>
      <w:tabs>
        <w:tab w:val="right" w:pos="1786"/>
      </w:tabs>
      <w:spacing w:before="40"/>
      <w:ind w:left="2070" w:hanging="936"/>
    </w:pPr>
  </w:style>
  <w:style w:type="character" w:customStyle="1" w:styleId="SOParaChar">
    <w:name w:val="SO Para Char"/>
    <w:aliases w:val="soa Char"/>
    <w:basedOn w:val="DefaultParagraphFont"/>
    <w:link w:val="SOPara"/>
    <w:rsid w:val="00E546B8"/>
    <w:rPr>
      <w:sz w:val="22"/>
    </w:rPr>
  </w:style>
  <w:style w:type="paragraph" w:customStyle="1" w:styleId="FileName">
    <w:name w:val="FileName"/>
    <w:basedOn w:val="Normal"/>
    <w:rsid w:val="00E546B8"/>
  </w:style>
  <w:style w:type="paragraph" w:customStyle="1" w:styleId="TableHeading">
    <w:name w:val="TableHeading"/>
    <w:aliases w:val="th"/>
    <w:basedOn w:val="OPCParaBase"/>
    <w:next w:val="Tabletext"/>
    <w:rsid w:val="00E546B8"/>
    <w:pPr>
      <w:keepNext/>
      <w:spacing w:before="60" w:line="240" w:lineRule="atLeast"/>
    </w:pPr>
    <w:rPr>
      <w:b/>
      <w:sz w:val="20"/>
    </w:rPr>
  </w:style>
  <w:style w:type="paragraph" w:customStyle="1" w:styleId="SOHeadBold">
    <w:name w:val="SO HeadBold"/>
    <w:aliases w:val="sohb"/>
    <w:basedOn w:val="SOText"/>
    <w:next w:val="SOText"/>
    <w:link w:val="SOHeadBoldChar"/>
    <w:qFormat/>
    <w:rsid w:val="00E546B8"/>
    <w:rPr>
      <w:b/>
    </w:rPr>
  </w:style>
  <w:style w:type="character" w:customStyle="1" w:styleId="SOHeadBoldChar">
    <w:name w:val="SO HeadBold Char"/>
    <w:aliases w:val="sohb Char"/>
    <w:basedOn w:val="DefaultParagraphFont"/>
    <w:link w:val="SOHeadBold"/>
    <w:rsid w:val="00E546B8"/>
    <w:rPr>
      <w:b/>
      <w:sz w:val="22"/>
    </w:rPr>
  </w:style>
  <w:style w:type="paragraph" w:customStyle="1" w:styleId="SOHeadItalic">
    <w:name w:val="SO HeadItalic"/>
    <w:aliases w:val="sohi"/>
    <w:basedOn w:val="SOText"/>
    <w:next w:val="SOText"/>
    <w:link w:val="SOHeadItalicChar"/>
    <w:qFormat/>
    <w:rsid w:val="00E546B8"/>
    <w:rPr>
      <w:i/>
    </w:rPr>
  </w:style>
  <w:style w:type="character" w:customStyle="1" w:styleId="SOHeadItalicChar">
    <w:name w:val="SO HeadItalic Char"/>
    <w:aliases w:val="sohi Char"/>
    <w:basedOn w:val="DefaultParagraphFont"/>
    <w:link w:val="SOHeadItalic"/>
    <w:rsid w:val="00E546B8"/>
    <w:rPr>
      <w:i/>
      <w:sz w:val="22"/>
    </w:rPr>
  </w:style>
  <w:style w:type="paragraph" w:customStyle="1" w:styleId="SOBullet">
    <w:name w:val="SO Bullet"/>
    <w:aliases w:val="sotb"/>
    <w:basedOn w:val="SOText"/>
    <w:link w:val="SOBulletChar"/>
    <w:qFormat/>
    <w:rsid w:val="00E546B8"/>
    <w:pPr>
      <w:ind w:left="1559" w:hanging="425"/>
    </w:pPr>
  </w:style>
  <w:style w:type="character" w:customStyle="1" w:styleId="SOBulletChar">
    <w:name w:val="SO Bullet Char"/>
    <w:aliases w:val="sotb Char"/>
    <w:basedOn w:val="DefaultParagraphFont"/>
    <w:link w:val="SOBullet"/>
    <w:rsid w:val="00E546B8"/>
    <w:rPr>
      <w:sz w:val="22"/>
    </w:rPr>
  </w:style>
  <w:style w:type="paragraph" w:customStyle="1" w:styleId="SOBulletNote">
    <w:name w:val="SO BulletNote"/>
    <w:aliases w:val="sonb"/>
    <w:basedOn w:val="SOTextNote"/>
    <w:link w:val="SOBulletNoteChar"/>
    <w:qFormat/>
    <w:rsid w:val="00E546B8"/>
    <w:pPr>
      <w:tabs>
        <w:tab w:val="left" w:pos="1560"/>
      </w:tabs>
      <w:ind w:left="2268" w:hanging="1134"/>
    </w:pPr>
  </w:style>
  <w:style w:type="character" w:customStyle="1" w:styleId="SOBulletNoteChar">
    <w:name w:val="SO BulletNote Char"/>
    <w:aliases w:val="sonb Char"/>
    <w:basedOn w:val="DefaultParagraphFont"/>
    <w:link w:val="SOBulletNote"/>
    <w:rsid w:val="00E546B8"/>
    <w:rPr>
      <w:sz w:val="18"/>
    </w:rPr>
  </w:style>
  <w:style w:type="paragraph" w:customStyle="1" w:styleId="SubPartCASA">
    <w:name w:val="SubPart(CASA)"/>
    <w:aliases w:val="csp"/>
    <w:basedOn w:val="OPCParaBase"/>
    <w:next w:val="ActHead3"/>
    <w:rsid w:val="00E546B8"/>
    <w:pPr>
      <w:keepNext/>
      <w:keepLines/>
      <w:spacing w:before="280"/>
      <w:ind w:left="1134" w:hanging="1134"/>
      <w:outlineLvl w:val="1"/>
    </w:pPr>
    <w:rPr>
      <w:b/>
      <w:kern w:val="28"/>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546B8"/>
    <w:pPr>
      <w:spacing w:line="260" w:lineRule="atLeast"/>
    </w:pPr>
    <w:rPr>
      <w:sz w:val="22"/>
    </w:rPr>
  </w:style>
  <w:style w:type="paragraph" w:styleId="Heading1">
    <w:name w:val="heading 1"/>
    <w:basedOn w:val="Normal"/>
    <w:next w:val="Normal"/>
    <w:link w:val="Heading1Char"/>
    <w:uiPriority w:val="9"/>
    <w:qFormat/>
    <w:rsid w:val="0057516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Heading3"/>
    <w:link w:val="Heading2Char"/>
    <w:qFormat/>
    <w:rsid w:val="0057516C"/>
    <w:pPr>
      <w:spacing w:before="280"/>
      <w:ind w:left="1134" w:hanging="1134"/>
      <w:outlineLvl w:val="1"/>
    </w:pPr>
    <w:rPr>
      <w:rFonts w:ascii="Times New Roman" w:eastAsia="Times New Roman" w:hAnsi="Times New Roman" w:cs="Times New Roman"/>
      <w:bCs w:val="0"/>
      <w:iCs/>
      <w:color w:val="auto"/>
      <w:kern w:val="28"/>
      <w:sz w:val="32"/>
      <w:lang w:eastAsia="en-AU"/>
    </w:rPr>
  </w:style>
  <w:style w:type="paragraph" w:styleId="Heading3">
    <w:name w:val="heading 3"/>
    <w:basedOn w:val="Normal"/>
    <w:next w:val="Normal"/>
    <w:link w:val="Heading3Char"/>
    <w:uiPriority w:val="9"/>
    <w:semiHidden/>
    <w:unhideWhenUsed/>
    <w:qFormat/>
    <w:rsid w:val="0057516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E546B8"/>
  </w:style>
  <w:style w:type="paragraph" w:customStyle="1" w:styleId="OPCParaBase">
    <w:name w:val="OPCParaBase"/>
    <w:qFormat/>
    <w:rsid w:val="00E546B8"/>
    <w:pPr>
      <w:spacing w:line="260" w:lineRule="atLeast"/>
    </w:pPr>
    <w:rPr>
      <w:rFonts w:eastAsia="Times New Roman" w:cs="Times New Roman"/>
      <w:sz w:val="22"/>
      <w:lang w:eastAsia="en-AU"/>
    </w:rPr>
  </w:style>
  <w:style w:type="paragraph" w:customStyle="1" w:styleId="ShortT">
    <w:name w:val="ShortT"/>
    <w:basedOn w:val="OPCParaBase"/>
    <w:next w:val="Normal"/>
    <w:qFormat/>
    <w:rsid w:val="00E546B8"/>
    <w:pPr>
      <w:spacing w:line="240" w:lineRule="auto"/>
    </w:pPr>
    <w:rPr>
      <w:b/>
      <w:sz w:val="40"/>
    </w:rPr>
  </w:style>
  <w:style w:type="paragraph" w:customStyle="1" w:styleId="ActHead1">
    <w:name w:val="ActHead 1"/>
    <w:aliases w:val="c"/>
    <w:basedOn w:val="OPCParaBase"/>
    <w:next w:val="Normal"/>
    <w:qFormat/>
    <w:rsid w:val="00E546B8"/>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546B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546B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546B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E546B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546B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546B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546B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546B8"/>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E546B8"/>
  </w:style>
  <w:style w:type="paragraph" w:customStyle="1" w:styleId="Blocks">
    <w:name w:val="Blocks"/>
    <w:aliases w:val="bb"/>
    <w:basedOn w:val="OPCParaBase"/>
    <w:qFormat/>
    <w:rsid w:val="00E546B8"/>
    <w:pPr>
      <w:spacing w:line="240" w:lineRule="auto"/>
    </w:pPr>
    <w:rPr>
      <w:sz w:val="24"/>
    </w:rPr>
  </w:style>
  <w:style w:type="paragraph" w:customStyle="1" w:styleId="BoxText">
    <w:name w:val="BoxText"/>
    <w:aliases w:val="bt"/>
    <w:basedOn w:val="OPCParaBase"/>
    <w:rsid w:val="00E546B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546B8"/>
    <w:rPr>
      <w:b/>
    </w:rPr>
  </w:style>
  <w:style w:type="paragraph" w:customStyle="1" w:styleId="BoxHeadItalic">
    <w:name w:val="BoxHeadItalic"/>
    <w:aliases w:val="bhi"/>
    <w:basedOn w:val="BoxText"/>
    <w:next w:val="Normal"/>
    <w:qFormat/>
    <w:rsid w:val="00E546B8"/>
    <w:rPr>
      <w:i/>
    </w:rPr>
  </w:style>
  <w:style w:type="paragraph" w:customStyle="1" w:styleId="BoxList">
    <w:name w:val="BoxList"/>
    <w:aliases w:val="bl"/>
    <w:basedOn w:val="BoxText"/>
    <w:qFormat/>
    <w:rsid w:val="00E546B8"/>
    <w:pPr>
      <w:ind w:left="1559" w:hanging="425"/>
    </w:pPr>
  </w:style>
  <w:style w:type="paragraph" w:customStyle="1" w:styleId="BoxNote">
    <w:name w:val="BoxNote"/>
    <w:aliases w:val="bn"/>
    <w:basedOn w:val="BoxText"/>
    <w:qFormat/>
    <w:rsid w:val="00E546B8"/>
    <w:pPr>
      <w:tabs>
        <w:tab w:val="left" w:pos="1985"/>
      </w:tabs>
      <w:spacing w:before="122" w:line="198" w:lineRule="exact"/>
      <w:ind w:left="2948" w:hanging="1814"/>
    </w:pPr>
    <w:rPr>
      <w:sz w:val="18"/>
    </w:rPr>
  </w:style>
  <w:style w:type="paragraph" w:customStyle="1" w:styleId="BoxPara">
    <w:name w:val="BoxPara"/>
    <w:aliases w:val="bp"/>
    <w:basedOn w:val="BoxText"/>
    <w:qFormat/>
    <w:rsid w:val="00E546B8"/>
    <w:pPr>
      <w:tabs>
        <w:tab w:val="right" w:pos="2268"/>
      </w:tabs>
      <w:ind w:left="2552" w:hanging="1418"/>
    </w:pPr>
  </w:style>
  <w:style w:type="paragraph" w:customStyle="1" w:styleId="BoxStep">
    <w:name w:val="BoxStep"/>
    <w:aliases w:val="bs"/>
    <w:basedOn w:val="BoxText"/>
    <w:qFormat/>
    <w:rsid w:val="00E546B8"/>
    <w:pPr>
      <w:ind w:left="1985" w:hanging="851"/>
    </w:pPr>
  </w:style>
  <w:style w:type="character" w:customStyle="1" w:styleId="CharAmPartNo">
    <w:name w:val="CharAmPartNo"/>
    <w:basedOn w:val="OPCCharBase"/>
    <w:uiPriority w:val="1"/>
    <w:qFormat/>
    <w:rsid w:val="00E546B8"/>
  </w:style>
  <w:style w:type="character" w:customStyle="1" w:styleId="CharAmPartText">
    <w:name w:val="CharAmPartText"/>
    <w:basedOn w:val="OPCCharBase"/>
    <w:uiPriority w:val="1"/>
    <w:qFormat/>
    <w:rsid w:val="00E546B8"/>
  </w:style>
  <w:style w:type="character" w:customStyle="1" w:styleId="CharAmSchNo">
    <w:name w:val="CharAmSchNo"/>
    <w:basedOn w:val="OPCCharBase"/>
    <w:uiPriority w:val="1"/>
    <w:qFormat/>
    <w:rsid w:val="00E546B8"/>
  </w:style>
  <w:style w:type="character" w:customStyle="1" w:styleId="CharAmSchText">
    <w:name w:val="CharAmSchText"/>
    <w:basedOn w:val="OPCCharBase"/>
    <w:uiPriority w:val="1"/>
    <w:qFormat/>
    <w:rsid w:val="00E546B8"/>
  </w:style>
  <w:style w:type="character" w:customStyle="1" w:styleId="CharBoldItalic">
    <w:name w:val="CharBoldItalic"/>
    <w:basedOn w:val="OPCCharBase"/>
    <w:uiPriority w:val="1"/>
    <w:qFormat/>
    <w:rsid w:val="00E546B8"/>
    <w:rPr>
      <w:b/>
      <w:i/>
    </w:rPr>
  </w:style>
  <w:style w:type="character" w:customStyle="1" w:styleId="CharChapNo">
    <w:name w:val="CharChapNo"/>
    <w:basedOn w:val="OPCCharBase"/>
    <w:uiPriority w:val="1"/>
    <w:qFormat/>
    <w:rsid w:val="00E546B8"/>
  </w:style>
  <w:style w:type="character" w:customStyle="1" w:styleId="CharChapText">
    <w:name w:val="CharChapText"/>
    <w:basedOn w:val="OPCCharBase"/>
    <w:uiPriority w:val="1"/>
    <w:qFormat/>
    <w:rsid w:val="00E546B8"/>
  </w:style>
  <w:style w:type="character" w:customStyle="1" w:styleId="CharDivNo">
    <w:name w:val="CharDivNo"/>
    <w:basedOn w:val="OPCCharBase"/>
    <w:uiPriority w:val="1"/>
    <w:qFormat/>
    <w:rsid w:val="00E546B8"/>
  </w:style>
  <w:style w:type="character" w:customStyle="1" w:styleId="CharDivText">
    <w:name w:val="CharDivText"/>
    <w:basedOn w:val="OPCCharBase"/>
    <w:uiPriority w:val="1"/>
    <w:qFormat/>
    <w:rsid w:val="00E546B8"/>
  </w:style>
  <w:style w:type="character" w:customStyle="1" w:styleId="CharItalic">
    <w:name w:val="CharItalic"/>
    <w:basedOn w:val="OPCCharBase"/>
    <w:uiPriority w:val="1"/>
    <w:qFormat/>
    <w:rsid w:val="00E546B8"/>
    <w:rPr>
      <w:i/>
    </w:rPr>
  </w:style>
  <w:style w:type="character" w:customStyle="1" w:styleId="CharPartNo">
    <w:name w:val="CharPartNo"/>
    <w:basedOn w:val="OPCCharBase"/>
    <w:uiPriority w:val="1"/>
    <w:qFormat/>
    <w:rsid w:val="00E546B8"/>
  </w:style>
  <w:style w:type="character" w:customStyle="1" w:styleId="CharPartText">
    <w:name w:val="CharPartText"/>
    <w:basedOn w:val="OPCCharBase"/>
    <w:uiPriority w:val="1"/>
    <w:qFormat/>
    <w:rsid w:val="00E546B8"/>
  </w:style>
  <w:style w:type="character" w:customStyle="1" w:styleId="CharSectno">
    <w:name w:val="CharSectno"/>
    <w:basedOn w:val="OPCCharBase"/>
    <w:uiPriority w:val="1"/>
    <w:qFormat/>
    <w:rsid w:val="00E546B8"/>
  </w:style>
  <w:style w:type="character" w:customStyle="1" w:styleId="CharSubdNo">
    <w:name w:val="CharSubdNo"/>
    <w:basedOn w:val="OPCCharBase"/>
    <w:uiPriority w:val="1"/>
    <w:qFormat/>
    <w:rsid w:val="00E546B8"/>
  </w:style>
  <w:style w:type="character" w:customStyle="1" w:styleId="CharSubdText">
    <w:name w:val="CharSubdText"/>
    <w:basedOn w:val="OPCCharBase"/>
    <w:uiPriority w:val="1"/>
    <w:qFormat/>
    <w:rsid w:val="00E546B8"/>
  </w:style>
  <w:style w:type="paragraph" w:customStyle="1" w:styleId="CTA--">
    <w:name w:val="CTA --"/>
    <w:basedOn w:val="OPCParaBase"/>
    <w:next w:val="Normal"/>
    <w:rsid w:val="00E546B8"/>
    <w:pPr>
      <w:spacing w:before="60" w:line="240" w:lineRule="atLeast"/>
      <w:ind w:left="142" w:hanging="142"/>
    </w:pPr>
    <w:rPr>
      <w:sz w:val="20"/>
    </w:rPr>
  </w:style>
  <w:style w:type="paragraph" w:customStyle="1" w:styleId="CTA-">
    <w:name w:val="CTA -"/>
    <w:basedOn w:val="OPCParaBase"/>
    <w:rsid w:val="00E546B8"/>
    <w:pPr>
      <w:spacing w:before="60" w:line="240" w:lineRule="atLeast"/>
      <w:ind w:left="85" w:hanging="85"/>
    </w:pPr>
    <w:rPr>
      <w:sz w:val="20"/>
    </w:rPr>
  </w:style>
  <w:style w:type="paragraph" w:customStyle="1" w:styleId="CTA---">
    <w:name w:val="CTA ---"/>
    <w:basedOn w:val="OPCParaBase"/>
    <w:next w:val="Normal"/>
    <w:rsid w:val="00E546B8"/>
    <w:pPr>
      <w:spacing w:before="60" w:line="240" w:lineRule="atLeast"/>
      <w:ind w:left="198" w:hanging="198"/>
    </w:pPr>
    <w:rPr>
      <w:sz w:val="20"/>
    </w:rPr>
  </w:style>
  <w:style w:type="paragraph" w:customStyle="1" w:styleId="CTA----">
    <w:name w:val="CTA ----"/>
    <w:basedOn w:val="OPCParaBase"/>
    <w:next w:val="Normal"/>
    <w:rsid w:val="00E546B8"/>
    <w:pPr>
      <w:spacing w:before="60" w:line="240" w:lineRule="atLeast"/>
      <w:ind w:left="255" w:hanging="255"/>
    </w:pPr>
    <w:rPr>
      <w:sz w:val="20"/>
    </w:rPr>
  </w:style>
  <w:style w:type="paragraph" w:customStyle="1" w:styleId="CTA1a">
    <w:name w:val="CTA 1(a)"/>
    <w:basedOn w:val="OPCParaBase"/>
    <w:rsid w:val="00E546B8"/>
    <w:pPr>
      <w:tabs>
        <w:tab w:val="right" w:pos="414"/>
      </w:tabs>
      <w:spacing w:before="40" w:line="240" w:lineRule="atLeast"/>
      <w:ind w:left="675" w:hanging="675"/>
    </w:pPr>
    <w:rPr>
      <w:sz w:val="20"/>
    </w:rPr>
  </w:style>
  <w:style w:type="paragraph" w:customStyle="1" w:styleId="CTA1ai">
    <w:name w:val="CTA 1(a)(i)"/>
    <w:basedOn w:val="OPCParaBase"/>
    <w:rsid w:val="00E546B8"/>
    <w:pPr>
      <w:tabs>
        <w:tab w:val="right" w:pos="1004"/>
      </w:tabs>
      <w:spacing w:before="40" w:line="240" w:lineRule="atLeast"/>
      <w:ind w:left="1253" w:hanging="1253"/>
    </w:pPr>
    <w:rPr>
      <w:sz w:val="20"/>
    </w:rPr>
  </w:style>
  <w:style w:type="paragraph" w:customStyle="1" w:styleId="CTA2a">
    <w:name w:val="CTA 2(a)"/>
    <w:basedOn w:val="OPCParaBase"/>
    <w:rsid w:val="00E546B8"/>
    <w:pPr>
      <w:tabs>
        <w:tab w:val="right" w:pos="482"/>
      </w:tabs>
      <w:spacing w:before="40" w:line="240" w:lineRule="atLeast"/>
      <w:ind w:left="748" w:hanging="748"/>
    </w:pPr>
    <w:rPr>
      <w:sz w:val="20"/>
    </w:rPr>
  </w:style>
  <w:style w:type="paragraph" w:customStyle="1" w:styleId="CTA2ai">
    <w:name w:val="CTA 2(a)(i)"/>
    <w:basedOn w:val="OPCParaBase"/>
    <w:rsid w:val="00E546B8"/>
    <w:pPr>
      <w:tabs>
        <w:tab w:val="right" w:pos="1089"/>
      </w:tabs>
      <w:spacing w:before="40" w:line="240" w:lineRule="atLeast"/>
      <w:ind w:left="1327" w:hanging="1327"/>
    </w:pPr>
    <w:rPr>
      <w:sz w:val="20"/>
    </w:rPr>
  </w:style>
  <w:style w:type="paragraph" w:customStyle="1" w:styleId="CTA3a">
    <w:name w:val="CTA 3(a)"/>
    <w:basedOn w:val="OPCParaBase"/>
    <w:rsid w:val="00E546B8"/>
    <w:pPr>
      <w:tabs>
        <w:tab w:val="right" w:pos="556"/>
      </w:tabs>
      <w:spacing w:before="40" w:line="240" w:lineRule="atLeast"/>
      <w:ind w:left="805" w:hanging="805"/>
    </w:pPr>
    <w:rPr>
      <w:sz w:val="20"/>
    </w:rPr>
  </w:style>
  <w:style w:type="paragraph" w:customStyle="1" w:styleId="CTA3ai">
    <w:name w:val="CTA 3(a)(i)"/>
    <w:basedOn w:val="OPCParaBase"/>
    <w:rsid w:val="00E546B8"/>
    <w:pPr>
      <w:tabs>
        <w:tab w:val="right" w:pos="1140"/>
      </w:tabs>
      <w:spacing w:before="40" w:line="240" w:lineRule="atLeast"/>
      <w:ind w:left="1361" w:hanging="1361"/>
    </w:pPr>
    <w:rPr>
      <w:sz w:val="20"/>
    </w:rPr>
  </w:style>
  <w:style w:type="paragraph" w:customStyle="1" w:styleId="CTA4a">
    <w:name w:val="CTA 4(a)"/>
    <w:basedOn w:val="OPCParaBase"/>
    <w:rsid w:val="00E546B8"/>
    <w:pPr>
      <w:tabs>
        <w:tab w:val="right" w:pos="624"/>
      </w:tabs>
      <w:spacing w:before="40" w:line="240" w:lineRule="atLeast"/>
      <w:ind w:left="873" w:hanging="873"/>
    </w:pPr>
    <w:rPr>
      <w:sz w:val="20"/>
    </w:rPr>
  </w:style>
  <w:style w:type="paragraph" w:customStyle="1" w:styleId="CTA4ai">
    <w:name w:val="CTA 4(a)(i)"/>
    <w:basedOn w:val="OPCParaBase"/>
    <w:rsid w:val="00E546B8"/>
    <w:pPr>
      <w:tabs>
        <w:tab w:val="right" w:pos="1213"/>
      </w:tabs>
      <w:spacing w:before="40" w:line="240" w:lineRule="atLeast"/>
      <w:ind w:left="1452" w:hanging="1452"/>
    </w:pPr>
    <w:rPr>
      <w:sz w:val="20"/>
    </w:rPr>
  </w:style>
  <w:style w:type="paragraph" w:customStyle="1" w:styleId="CTACAPS">
    <w:name w:val="CTA CAPS"/>
    <w:basedOn w:val="OPCParaBase"/>
    <w:rsid w:val="00E546B8"/>
    <w:pPr>
      <w:spacing w:before="60" w:line="240" w:lineRule="atLeast"/>
    </w:pPr>
    <w:rPr>
      <w:sz w:val="20"/>
    </w:rPr>
  </w:style>
  <w:style w:type="paragraph" w:customStyle="1" w:styleId="CTAright">
    <w:name w:val="CTA right"/>
    <w:basedOn w:val="OPCParaBase"/>
    <w:rsid w:val="00E546B8"/>
    <w:pPr>
      <w:spacing w:before="60" w:line="240" w:lineRule="auto"/>
      <w:jc w:val="right"/>
    </w:pPr>
    <w:rPr>
      <w:sz w:val="20"/>
    </w:rPr>
  </w:style>
  <w:style w:type="paragraph" w:customStyle="1" w:styleId="subsection">
    <w:name w:val="subsection"/>
    <w:aliases w:val="ss"/>
    <w:basedOn w:val="OPCParaBase"/>
    <w:rsid w:val="00E546B8"/>
    <w:pPr>
      <w:tabs>
        <w:tab w:val="right" w:pos="1021"/>
      </w:tabs>
      <w:spacing w:before="180" w:line="240" w:lineRule="auto"/>
      <w:ind w:left="1134" w:hanging="1134"/>
    </w:pPr>
  </w:style>
  <w:style w:type="paragraph" w:customStyle="1" w:styleId="Definition">
    <w:name w:val="Definition"/>
    <w:aliases w:val="dd"/>
    <w:basedOn w:val="OPCParaBase"/>
    <w:rsid w:val="00E546B8"/>
    <w:pPr>
      <w:spacing w:before="180" w:line="240" w:lineRule="auto"/>
      <w:ind w:left="1134"/>
    </w:pPr>
  </w:style>
  <w:style w:type="paragraph" w:customStyle="1" w:styleId="ETAsubitem">
    <w:name w:val="ETA(subitem)"/>
    <w:basedOn w:val="OPCParaBase"/>
    <w:rsid w:val="00E546B8"/>
    <w:pPr>
      <w:tabs>
        <w:tab w:val="right" w:pos="340"/>
      </w:tabs>
      <w:spacing w:before="60" w:line="240" w:lineRule="auto"/>
      <w:ind w:left="454" w:hanging="454"/>
    </w:pPr>
    <w:rPr>
      <w:sz w:val="20"/>
    </w:rPr>
  </w:style>
  <w:style w:type="paragraph" w:customStyle="1" w:styleId="ETApara">
    <w:name w:val="ETA(para)"/>
    <w:basedOn w:val="OPCParaBase"/>
    <w:rsid w:val="00E546B8"/>
    <w:pPr>
      <w:tabs>
        <w:tab w:val="right" w:pos="754"/>
      </w:tabs>
      <w:spacing w:before="60" w:line="240" w:lineRule="auto"/>
      <w:ind w:left="828" w:hanging="828"/>
    </w:pPr>
    <w:rPr>
      <w:sz w:val="20"/>
    </w:rPr>
  </w:style>
  <w:style w:type="paragraph" w:customStyle="1" w:styleId="ETAsubpara">
    <w:name w:val="ETA(subpara)"/>
    <w:basedOn w:val="OPCParaBase"/>
    <w:rsid w:val="00E546B8"/>
    <w:pPr>
      <w:tabs>
        <w:tab w:val="right" w:pos="1083"/>
      </w:tabs>
      <w:spacing w:before="60" w:line="240" w:lineRule="auto"/>
      <w:ind w:left="1191" w:hanging="1191"/>
    </w:pPr>
    <w:rPr>
      <w:sz w:val="20"/>
    </w:rPr>
  </w:style>
  <w:style w:type="paragraph" w:customStyle="1" w:styleId="ETAsub-subpara">
    <w:name w:val="ETA(sub-subpara)"/>
    <w:basedOn w:val="OPCParaBase"/>
    <w:rsid w:val="00E546B8"/>
    <w:pPr>
      <w:tabs>
        <w:tab w:val="right" w:pos="1412"/>
      </w:tabs>
      <w:spacing w:before="60" w:line="240" w:lineRule="auto"/>
      <w:ind w:left="1525" w:hanging="1525"/>
    </w:pPr>
    <w:rPr>
      <w:sz w:val="20"/>
    </w:rPr>
  </w:style>
  <w:style w:type="paragraph" w:customStyle="1" w:styleId="Formula">
    <w:name w:val="Formula"/>
    <w:basedOn w:val="OPCParaBase"/>
    <w:rsid w:val="00E546B8"/>
    <w:pPr>
      <w:spacing w:line="240" w:lineRule="auto"/>
      <w:ind w:left="1134"/>
    </w:pPr>
    <w:rPr>
      <w:sz w:val="20"/>
    </w:rPr>
  </w:style>
  <w:style w:type="paragraph" w:styleId="Header">
    <w:name w:val="header"/>
    <w:basedOn w:val="OPCParaBase"/>
    <w:link w:val="HeaderChar"/>
    <w:unhideWhenUsed/>
    <w:rsid w:val="00E546B8"/>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546B8"/>
    <w:rPr>
      <w:rFonts w:eastAsia="Times New Roman" w:cs="Times New Roman"/>
      <w:sz w:val="16"/>
      <w:lang w:eastAsia="en-AU"/>
    </w:rPr>
  </w:style>
  <w:style w:type="paragraph" w:customStyle="1" w:styleId="House">
    <w:name w:val="House"/>
    <w:basedOn w:val="OPCParaBase"/>
    <w:rsid w:val="00E546B8"/>
    <w:pPr>
      <w:spacing w:line="240" w:lineRule="auto"/>
    </w:pPr>
    <w:rPr>
      <w:sz w:val="28"/>
    </w:rPr>
  </w:style>
  <w:style w:type="paragraph" w:customStyle="1" w:styleId="Item">
    <w:name w:val="Item"/>
    <w:aliases w:val="i"/>
    <w:basedOn w:val="OPCParaBase"/>
    <w:next w:val="ItemHead"/>
    <w:rsid w:val="00E546B8"/>
    <w:pPr>
      <w:keepLines/>
      <w:spacing w:before="80" w:line="240" w:lineRule="auto"/>
      <w:ind w:left="709"/>
    </w:pPr>
  </w:style>
  <w:style w:type="paragraph" w:customStyle="1" w:styleId="ItemHead">
    <w:name w:val="ItemHead"/>
    <w:aliases w:val="ih"/>
    <w:basedOn w:val="OPCParaBase"/>
    <w:next w:val="Item"/>
    <w:rsid w:val="00E546B8"/>
    <w:pPr>
      <w:keepLines/>
      <w:spacing w:before="220" w:line="240" w:lineRule="auto"/>
      <w:ind w:left="709" w:hanging="709"/>
    </w:pPr>
    <w:rPr>
      <w:rFonts w:ascii="Arial" w:hAnsi="Arial"/>
      <w:b/>
      <w:kern w:val="28"/>
      <w:sz w:val="24"/>
    </w:rPr>
  </w:style>
  <w:style w:type="paragraph" w:customStyle="1" w:styleId="LongT">
    <w:name w:val="LongT"/>
    <w:basedOn w:val="OPCParaBase"/>
    <w:rsid w:val="00E546B8"/>
    <w:pPr>
      <w:spacing w:line="240" w:lineRule="auto"/>
    </w:pPr>
    <w:rPr>
      <w:b/>
      <w:sz w:val="32"/>
    </w:rPr>
  </w:style>
  <w:style w:type="paragraph" w:customStyle="1" w:styleId="notedraft">
    <w:name w:val="note(draft)"/>
    <w:aliases w:val="nd"/>
    <w:basedOn w:val="OPCParaBase"/>
    <w:rsid w:val="00E546B8"/>
    <w:pPr>
      <w:spacing w:before="240" w:line="240" w:lineRule="auto"/>
      <w:ind w:left="284" w:hanging="284"/>
    </w:pPr>
    <w:rPr>
      <w:i/>
      <w:sz w:val="24"/>
    </w:rPr>
  </w:style>
  <w:style w:type="paragraph" w:customStyle="1" w:styleId="notemargin">
    <w:name w:val="note(margin)"/>
    <w:aliases w:val="nm"/>
    <w:basedOn w:val="OPCParaBase"/>
    <w:rsid w:val="00E546B8"/>
    <w:pPr>
      <w:tabs>
        <w:tab w:val="left" w:pos="709"/>
      </w:tabs>
      <w:spacing w:before="122" w:line="198" w:lineRule="exact"/>
      <w:ind w:left="709" w:hanging="709"/>
    </w:pPr>
    <w:rPr>
      <w:sz w:val="18"/>
    </w:rPr>
  </w:style>
  <w:style w:type="paragraph" w:customStyle="1" w:styleId="notepara">
    <w:name w:val="note(para)"/>
    <w:aliases w:val="na"/>
    <w:basedOn w:val="OPCParaBase"/>
    <w:rsid w:val="00E546B8"/>
    <w:pPr>
      <w:spacing w:before="40" w:line="198" w:lineRule="exact"/>
      <w:ind w:left="2354" w:hanging="369"/>
    </w:pPr>
    <w:rPr>
      <w:sz w:val="18"/>
    </w:rPr>
  </w:style>
  <w:style w:type="paragraph" w:customStyle="1" w:styleId="noteParlAmend">
    <w:name w:val="note(ParlAmend)"/>
    <w:aliases w:val="npp"/>
    <w:basedOn w:val="OPCParaBase"/>
    <w:next w:val="ParlAmend"/>
    <w:rsid w:val="00E546B8"/>
    <w:pPr>
      <w:spacing w:line="240" w:lineRule="auto"/>
      <w:jc w:val="right"/>
    </w:pPr>
    <w:rPr>
      <w:rFonts w:ascii="Arial" w:hAnsi="Arial"/>
      <w:b/>
      <w:i/>
    </w:rPr>
  </w:style>
  <w:style w:type="paragraph" w:customStyle="1" w:styleId="notetext">
    <w:name w:val="note(text)"/>
    <w:aliases w:val="n"/>
    <w:basedOn w:val="OPCParaBase"/>
    <w:rsid w:val="00E546B8"/>
    <w:pPr>
      <w:spacing w:before="122" w:line="198" w:lineRule="exact"/>
      <w:ind w:left="1985" w:hanging="851"/>
    </w:pPr>
    <w:rPr>
      <w:sz w:val="18"/>
    </w:rPr>
  </w:style>
  <w:style w:type="paragraph" w:customStyle="1" w:styleId="Page1">
    <w:name w:val="Page1"/>
    <w:basedOn w:val="OPCParaBase"/>
    <w:rsid w:val="00E546B8"/>
    <w:pPr>
      <w:spacing w:before="5600" w:line="240" w:lineRule="auto"/>
    </w:pPr>
    <w:rPr>
      <w:b/>
      <w:sz w:val="32"/>
    </w:rPr>
  </w:style>
  <w:style w:type="paragraph" w:customStyle="1" w:styleId="PageBreak">
    <w:name w:val="PageBreak"/>
    <w:aliases w:val="pb"/>
    <w:basedOn w:val="OPCParaBase"/>
    <w:rsid w:val="00E546B8"/>
    <w:pPr>
      <w:spacing w:line="240" w:lineRule="auto"/>
    </w:pPr>
    <w:rPr>
      <w:sz w:val="10"/>
    </w:rPr>
  </w:style>
  <w:style w:type="paragraph" w:customStyle="1" w:styleId="paragraphsub">
    <w:name w:val="paragraph(sub)"/>
    <w:aliases w:val="aa"/>
    <w:basedOn w:val="OPCParaBase"/>
    <w:rsid w:val="00E546B8"/>
    <w:pPr>
      <w:tabs>
        <w:tab w:val="right" w:pos="1985"/>
      </w:tabs>
      <w:spacing w:before="40" w:line="240" w:lineRule="auto"/>
      <w:ind w:left="2098" w:hanging="2098"/>
    </w:pPr>
  </w:style>
  <w:style w:type="paragraph" w:customStyle="1" w:styleId="paragraphsub-sub">
    <w:name w:val="paragraph(sub-sub)"/>
    <w:aliases w:val="aaa"/>
    <w:basedOn w:val="OPCParaBase"/>
    <w:rsid w:val="00E546B8"/>
    <w:pPr>
      <w:tabs>
        <w:tab w:val="right" w:pos="2722"/>
      </w:tabs>
      <w:spacing w:before="40" w:line="240" w:lineRule="auto"/>
      <w:ind w:left="2835" w:hanging="2835"/>
    </w:pPr>
  </w:style>
  <w:style w:type="paragraph" w:customStyle="1" w:styleId="paragraph">
    <w:name w:val="paragraph"/>
    <w:aliases w:val="a"/>
    <w:basedOn w:val="OPCParaBase"/>
    <w:rsid w:val="00E546B8"/>
    <w:pPr>
      <w:tabs>
        <w:tab w:val="right" w:pos="1531"/>
      </w:tabs>
      <w:spacing w:before="40" w:line="240" w:lineRule="auto"/>
      <w:ind w:left="1644" w:hanging="1644"/>
    </w:pPr>
  </w:style>
  <w:style w:type="paragraph" w:customStyle="1" w:styleId="ParlAmend">
    <w:name w:val="ParlAmend"/>
    <w:aliases w:val="pp"/>
    <w:basedOn w:val="OPCParaBase"/>
    <w:rsid w:val="00E546B8"/>
    <w:pPr>
      <w:spacing w:before="240" w:line="240" w:lineRule="atLeast"/>
      <w:ind w:hanging="567"/>
    </w:pPr>
    <w:rPr>
      <w:sz w:val="24"/>
    </w:rPr>
  </w:style>
  <w:style w:type="paragraph" w:customStyle="1" w:styleId="Penalty">
    <w:name w:val="Penalty"/>
    <w:basedOn w:val="OPCParaBase"/>
    <w:rsid w:val="00E546B8"/>
    <w:pPr>
      <w:tabs>
        <w:tab w:val="left" w:pos="2977"/>
      </w:tabs>
      <w:spacing w:before="180" w:line="240" w:lineRule="auto"/>
      <w:ind w:left="1985" w:hanging="851"/>
    </w:pPr>
  </w:style>
  <w:style w:type="paragraph" w:customStyle="1" w:styleId="Portfolio">
    <w:name w:val="Portfolio"/>
    <w:basedOn w:val="OPCParaBase"/>
    <w:rsid w:val="00E546B8"/>
    <w:pPr>
      <w:spacing w:line="240" w:lineRule="auto"/>
    </w:pPr>
    <w:rPr>
      <w:i/>
      <w:sz w:val="20"/>
    </w:rPr>
  </w:style>
  <w:style w:type="paragraph" w:customStyle="1" w:styleId="Preamble">
    <w:name w:val="Preamble"/>
    <w:basedOn w:val="OPCParaBase"/>
    <w:next w:val="Normal"/>
    <w:rsid w:val="00E546B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546B8"/>
    <w:pPr>
      <w:spacing w:line="240" w:lineRule="auto"/>
    </w:pPr>
    <w:rPr>
      <w:i/>
      <w:sz w:val="20"/>
    </w:rPr>
  </w:style>
  <w:style w:type="paragraph" w:customStyle="1" w:styleId="Session">
    <w:name w:val="Session"/>
    <w:basedOn w:val="OPCParaBase"/>
    <w:rsid w:val="00E546B8"/>
    <w:pPr>
      <w:spacing w:line="240" w:lineRule="auto"/>
    </w:pPr>
    <w:rPr>
      <w:sz w:val="28"/>
    </w:rPr>
  </w:style>
  <w:style w:type="paragraph" w:customStyle="1" w:styleId="Sponsor">
    <w:name w:val="Sponsor"/>
    <w:basedOn w:val="OPCParaBase"/>
    <w:rsid w:val="00E546B8"/>
    <w:pPr>
      <w:spacing w:line="240" w:lineRule="auto"/>
    </w:pPr>
    <w:rPr>
      <w:i/>
    </w:rPr>
  </w:style>
  <w:style w:type="paragraph" w:customStyle="1" w:styleId="Subitem">
    <w:name w:val="Subitem"/>
    <w:aliases w:val="iss"/>
    <w:basedOn w:val="OPCParaBase"/>
    <w:rsid w:val="00E546B8"/>
    <w:pPr>
      <w:spacing w:before="180" w:line="240" w:lineRule="auto"/>
      <w:ind w:left="709" w:hanging="709"/>
    </w:pPr>
  </w:style>
  <w:style w:type="paragraph" w:customStyle="1" w:styleId="SubitemHead">
    <w:name w:val="SubitemHead"/>
    <w:aliases w:val="issh"/>
    <w:basedOn w:val="OPCParaBase"/>
    <w:rsid w:val="00E546B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546B8"/>
    <w:pPr>
      <w:spacing w:before="40" w:line="240" w:lineRule="auto"/>
      <w:ind w:left="1134"/>
    </w:pPr>
  </w:style>
  <w:style w:type="paragraph" w:customStyle="1" w:styleId="SubsectionHead">
    <w:name w:val="SubsectionHead"/>
    <w:aliases w:val="ssh"/>
    <w:basedOn w:val="OPCParaBase"/>
    <w:next w:val="subsection"/>
    <w:rsid w:val="00E546B8"/>
    <w:pPr>
      <w:keepNext/>
      <w:keepLines/>
      <w:spacing w:before="240" w:line="240" w:lineRule="auto"/>
      <w:ind w:left="1134"/>
    </w:pPr>
    <w:rPr>
      <w:i/>
    </w:rPr>
  </w:style>
  <w:style w:type="paragraph" w:customStyle="1" w:styleId="Tablea">
    <w:name w:val="Table(a)"/>
    <w:aliases w:val="ta"/>
    <w:basedOn w:val="OPCParaBase"/>
    <w:rsid w:val="00E546B8"/>
    <w:pPr>
      <w:spacing w:before="60" w:line="240" w:lineRule="auto"/>
      <w:ind w:left="284" w:hanging="284"/>
    </w:pPr>
    <w:rPr>
      <w:sz w:val="20"/>
    </w:rPr>
  </w:style>
  <w:style w:type="paragraph" w:customStyle="1" w:styleId="TableAA">
    <w:name w:val="Table(AA)"/>
    <w:aliases w:val="taaa"/>
    <w:basedOn w:val="OPCParaBase"/>
    <w:rsid w:val="00E546B8"/>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546B8"/>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546B8"/>
    <w:pPr>
      <w:spacing w:before="60" w:line="240" w:lineRule="atLeast"/>
    </w:pPr>
    <w:rPr>
      <w:sz w:val="20"/>
    </w:rPr>
  </w:style>
  <w:style w:type="paragraph" w:customStyle="1" w:styleId="TLPBoxTextnote">
    <w:name w:val="TLPBoxText(note"/>
    <w:aliases w:val="right)"/>
    <w:basedOn w:val="OPCParaBase"/>
    <w:rsid w:val="00E546B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546B8"/>
    <w:pPr>
      <w:numPr>
        <w:numId w:val="11"/>
      </w:numPr>
      <w:tabs>
        <w:tab w:val="clear" w:pos="2517"/>
      </w:tabs>
      <w:spacing w:before="60" w:line="198" w:lineRule="exact"/>
      <w:ind w:left="2625"/>
    </w:pPr>
    <w:rPr>
      <w:sz w:val="18"/>
    </w:rPr>
  </w:style>
  <w:style w:type="paragraph" w:customStyle="1" w:styleId="TLPnoteright">
    <w:name w:val="TLPnote(right)"/>
    <w:aliases w:val="nr"/>
    <w:basedOn w:val="OPCParaBase"/>
    <w:rsid w:val="00E546B8"/>
    <w:pPr>
      <w:spacing w:before="122" w:line="198" w:lineRule="exact"/>
      <w:ind w:left="1985" w:hanging="851"/>
      <w:jc w:val="right"/>
    </w:pPr>
    <w:rPr>
      <w:sz w:val="18"/>
    </w:rPr>
  </w:style>
  <w:style w:type="paragraph" w:customStyle="1" w:styleId="TLPTableBullet">
    <w:name w:val="TLPTableBullet"/>
    <w:aliases w:val="ttb"/>
    <w:basedOn w:val="OPCParaBase"/>
    <w:rsid w:val="00E546B8"/>
    <w:pPr>
      <w:spacing w:line="240" w:lineRule="exact"/>
      <w:ind w:left="284" w:hanging="284"/>
    </w:pPr>
    <w:rPr>
      <w:sz w:val="20"/>
    </w:rPr>
  </w:style>
  <w:style w:type="paragraph" w:styleId="TOC1">
    <w:name w:val="toc 1"/>
    <w:basedOn w:val="OPCParaBase"/>
    <w:next w:val="Normal"/>
    <w:uiPriority w:val="39"/>
    <w:unhideWhenUsed/>
    <w:rsid w:val="00E546B8"/>
    <w:pPr>
      <w:spacing w:line="240" w:lineRule="auto"/>
    </w:pPr>
    <w:rPr>
      <w:sz w:val="24"/>
    </w:rPr>
  </w:style>
  <w:style w:type="paragraph" w:styleId="TOC2">
    <w:name w:val="toc 2"/>
    <w:basedOn w:val="OPCParaBase"/>
    <w:next w:val="Normal"/>
    <w:uiPriority w:val="39"/>
    <w:unhideWhenUsed/>
    <w:rsid w:val="00E546B8"/>
    <w:pPr>
      <w:tabs>
        <w:tab w:val="right" w:leader="dot" w:pos="9017"/>
      </w:tabs>
      <w:spacing w:line="240" w:lineRule="auto"/>
      <w:ind w:left="238"/>
    </w:pPr>
    <w:rPr>
      <w:b/>
      <w:noProof/>
      <w:sz w:val="24"/>
    </w:rPr>
  </w:style>
  <w:style w:type="paragraph" w:styleId="TOC3">
    <w:name w:val="toc 3"/>
    <w:basedOn w:val="OPCParaBase"/>
    <w:next w:val="Normal"/>
    <w:uiPriority w:val="39"/>
    <w:unhideWhenUsed/>
    <w:rsid w:val="00E546B8"/>
    <w:pPr>
      <w:tabs>
        <w:tab w:val="right" w:leader="dot" w:pos="9017"/>
      </w:tabs>
      <w:spacing w:line="240" w:lineRule="auto"/>
      <w:ind w:left="482"/>
    </w:pPr>
    <w:rPr>
      <w:noProof/>
      <w:sz w:val="24"/>
    </w:rPr>
  </w:style>
  <w:style w:type="paragraph" w:styleId="TOC4">
    <w:name w:val="toc 4"/>
    <w:basedOn w:val="OPCParaBase"/>
    <w:next w:val="Normal"/>
    <w:uiPriority w:val="39"/>
    <w:unhideWhenUsed/>
    <w:rsid w:val="00E546B8"/>
    <w:pPr>
      <w:tabs>
        <w:tab w:val="right" w:leader="dot" w:pos="9017"/>
      </w:tabs>
      <w:spacing w:line="240" w:lineRule="auto"/>
      <w:ind w:left="720"/>
    </w:pPr>
    <w:rPr>
      <w:noProof/>
      <w:sz w:val="24"/>
    </w:rPr>
  </w:style>
  <w:style w:type="paragraph" w:styleId="TOC5">
    <w:name w:val="toc 5"/>
    <w:basedOn w:val="OPCParaBase"/>
    <w:next w:val="Normal"/>
    <w:uiPriority w:val="39"/>
    <w:semiHidden/>
    <w:unhideWhenUsed/>
    <w:rsid w:val="00E546B8"/>
    <w:pPr>
      <w:spacing w:line="240" w:lineRule="auto"/>
      <w:ind w:left="958"/>
    </w:pPr>
    <w:rPr>
      <w:sz w:val="24"/>
    </w:rPr>
  </w:style>
  <w:style w:type="paragraph" w:styleId="TOC6">
    <w:name w:val="toc 6"/>
    <w:basedOn w:val="OPCParaBase"/>
    <w:next w:val="Normal"/>
    <w:uiPriority w:val="39"/>
    <w:semiHidden/>
    <w:unhideWhenUsed/>
    <w:rsid w:val="00E546B8"/>
    <w:pPr>
      <w:spacing w:line="240" w:lineRule="auto"/>
      <w:ind w:left="1202"/>
    </w:pPr>
    <w:rPr>
      <w:sz w:val="24"/>
    </w:rPr>
  </w:style>
  <w:style w:type="paragraph" w:styleId="TOC7">
    <w:name w:val="toc 7"/>
    <w:basedOn w:val="OPCParaBase"/>
    <w:next w:val="Normal"/>
    <w:uiPriority w:val="39"/>
    <w:semiHidden/>
    <w:unhideWhenUsed/>
    <w:rsid w:val="00E546B8"/>
    <w:pPr>
      <w:spacing w:line="240" w:lineRule="auto"/>
      <w:ind w:left="1440"/>
    </w:pPr>
    <w:rPr>
      <w:sz w:val="24"/>
    </w:rPr>
  </w:style>
  <w:style w:type="paragraph" w:styleId="TOC8">
    <w:name w:val="toc 8"/>
    <w:basedOn w:val="OPCParaBase"/>
    <w:next w:val="Normal"/>
    <w:uiPriority w:val="39"/>
    <w:semiHidden/>
    <w:unhideWhenUsed/>
    <w:rsid w:val="00E546B8"/>
    <w:pPr>
      <w:spacing w:line="240" w:lineRule="auto"/>
      <w:ind w:left="1678"/>
    </w:pPr>
    <w:rPr>
      <w:sz w:val="24"/>
    </w:rPr>
  </w:style>
  <w:style w:type="paragraph" w:styleId="TOC9">
    <w:name w:val="toc 9"/>
    <w:basedOn w:val="OPCParaBase"/>
    <w:next w:val="Normal"/>
    <w:uiPriority w:val="39"/>
    <w:unhideWhenUsed/>
    <w:rsid w:val="00E546B8"/>
    <w:pPr>
      <w:spacing w:line="240" w:lineRule="auto"/>
      <w:ind w:left="1922"/>
    </w:pPr>
    <w:rPr>
      <w:sz w:val="24"/>
    </w:rPr>
  </w:style>
  <w:style w:type="paragraph" w:customStyle="1" w:styleId="TofSectsGroupHeading">
    <w:name w:val="TofSects(GroupHeading)"/>
    <w:basedOn w:val="OPCParaBase"/>
    <w:next w:val="TofSectsSection"/>
    <w:rsid w:val="00E546B8"/>
    <w:pPr>
      <w:keepLines/>
      <w:spacing w:before="240" w:after="120" w:line="240" w:lineRule="auto"/>
      <w:ind w:left="794"/>
    </w:pPr>
    <w:rPr>
      <w:b/>
      <w:kern w:val="28"/>
      <w:sz w:val="20"/>
    </w:rPr>
  </w:style>
  <w:style w:type="paragraph" w:customStyle="1" w:styleId="TofSectsHeading">
    <w:name w:val="TofSects(Heading)"/>
    <w:basedOn w:val="OPCParaBase"/>
    <w:rsid w:val="00E546B8"/>
    <w:pPr>
      <w:spacing w:before="240" w:after="120" w:line="240" w:lineRule="auto"/>
    </w:pPr>
    <w:rPr>
      <w:b/>
      <w:sz w:val="24"/>
    </w:rPr>
  </w:style>
  <w:style w:type="paragraph" w:customStyle="1" w:styleId="TofSectsSection">
    <w:name w:val="TofSects(Section)"/>
    <w:basedOn w:val="OPCParaBase"/>
    <w:rsid w:val="00E546B8"/>
    <w:pPr>
      <w:keepLines/>
      <w:spacing w:before="40" w:line="240" w:lineRule="auto"/>
      <w:ind w:left="1588" w:hanging="794"/>
    </w:pPr>
    <w:rPr>
      <w:kern w:val="28"/>
      <w:sz w:val="18"/>
    </w:rPr>
  </w:style>
  <w:style w:type="paragraph" w:customStyle="1" w:styleId="TofSectsSubdiv">
    <w:name w:val="TofSects(Subdiv)"/>
    <w:basedOn w:val="OPCParaBase"/>
    <w:rsid w:val="00E546B8"/>
    <w:pPr>
      <w:keepLines/>
      <w:spacing w:before="80" w:line="240" w:lineRule="auto"/>
      <w:ind w:left="1588" w:hanging="794"/>
    </w:pPr>
    <w:rPr>
      <w:kern w:val="28"/>
    </w:rPr>
  </w:style>
  <w:style w:type="paragraph" w:customStyle="1" w:styleId="WRStyle">
    <w:name w:val="WR Style"/>
    <w:aliases w:val="WR"/>
    <w:basedOn w:val="OPCParaBase"/>
    <w:rsid w:val="00E546B8"/>
    <w:pPr>
      <w:spacing w:before="240" w:line="240" w:lineRule="auto"/>
      <w:ind w:left="284" w:hanging="284"/>
    </w:pPr>
    <w:rPr>
      <w:b/>
      <w:i/>
      <w:kern w:val="28"/>
      <w:sz w:val="24"/>
    </w:rPr>
  </w:style>
  <w:style w:type="paragraph" w:customStyle="1" w:styleId="Body">
    <w:name w:val="Body"/>
    <w:aliases w:val="b"/>
    <w:basedOn w:val="OPCParaBase"/>
    <w:rsid w:val="00E546B8"/>
    <w:pPr>
      <w:spacing w:before="240" w:line="240" w:lineRule="auto"/>
    </w:pPr>
    <w:rPr>
      <w:sz w:val="24"/>
    </w:rPr>
  </w:style>
  <w:style w:type="paragraph" w:customStyle="1" w:styleId="BodyNum">
    <w:name w:val="BodyNum"/>
    <w:aliases w:val="b1"/>
    <w:basedOn w:val="OPCParaBase"/>
    <w:rsid w:val="00E546B8"/>
    <w:pPr>
      <w:numPr>
        <w:numId w:val="13"/>
      </w:numPr>
      <w:spacing w:before="240" w:line="240" w:lineRule="auto"/>
    </w:pPr>
    <w:rPr>
      <w:sz w:val="24"/>
    </w:rPr>
  </w:style>
  <w:style w:type="paragraph" w:customStyle="1" w:styleId="BodyPara">
    <w:name w:val="BodyPara"/>
    <w:aliases w:val="ba"/>
    <w:basedOn w:val="OPCParaBase"/>
    <w:rsid w:val="00E546B8"/>
    <w:pPr>
      <w:numPr>
        <w:ilvl w:val="1"/>
        <w:numId w:val="13"/>
      </w:numPr>
      <w:spacing w:before="240" w:line="240" w:lineRule="auto"/>
    </w:pPr>
    <w:rPr>
      <w:sz w:val="24"/>
    </w:rPr>
  </w:style>
  <w:style w:type="paragraph" w:customStyle="1" w:styleId="BodyParaBullet">
    <w:name w:val="BodyParaBullet"/>
    <w:aliases w:val="bpb"/>
    <w:basedOn w:val="OPCParaBase"/>
    <w:rsid w:val="00E546B8"/>
    <w:pPr>
      <w:numPr>
        <w:ilvl w:val="2"/>
        <w:numId w:val="13"/>
      </w:numPr>
      <w:tabs>
        <w:tab w:val="left" w:pos="2160"/>
      </w:tabs>
      <w:spacing w:before="240" w:line="240" w:lineRule="auto"/>
    </w:pPr>
    <w:rPr>
      <w:sz w:val="24"/>
    </w:rPr>
  </w:style>
  <w:style w:type="paragraph" w:customStyle="1" w:styleId="BodySubPara">
    <w:name w:val="BodySubPara"/>
    <w:aliases w:val="bi"/>
    <w:basedOn w:val="OPCParaBase"/>
    <w:rsid w:val="00E546B8"/>
    <w:pPr>
      <w:numPr>
        <w:ilvl w:val="3"/>
        <w:numId w:val="13"/>
      </w:numPr>
      <w:spacing w:before="240" w:line="240" w:lineRule="auto"/>
    </w:pPr>
    <w:rPr>
      <w:sz w:val="24"/>
    </w:rPr>
  </w:style>
  <w:style w:type="numbering" w:customStyle="1" w:styleId="OPCBodyList">
    <w:name w:val="OPCBodyList"/>
    <w:uiPriority w:val="99"/>
    <w:rsid w:val="00E546B8"/>
    <w:pPr>
      <w:numPr>
        <w:numId w:val="13"/>
      </w:numPr>
    </w:pPr>
  </w:style>
  <w:style w:type="paragraph" w:customStyle="1" w:styleId="Head1">
    <w:name w:val="Head 1"/>
    <w:aliases w:val="1"/>
    <w:basedOn w:val="OPCParaBase"/>
    <w:next w:val="BodyNum"/>
    <w:rsid w:val="00E546B8"/>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E546B8"/>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E546B8"/>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E546B8"/>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E546B8"/>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E546B8"/>
    <w:pPr>
      <w:spacing w:before="122" w:line="198" w:lineRule="exact"/>
      <w:ind w:left="2353" w:hanging="709"/>
    </w:pPr>
    <w:rPr>
      <w:sz w:val="18"/>
    </w:rPr>
  </w:style>
  <w:style w:type="paragraph" w:styleId="Footer">
    <w:name w:val="footer"/>
    <w:link w:val="FooterChar"/>
    <w:rsid w:val="00E546B8"/>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546B8"/>
    <w:rPr>
      <w:rFonts w:eastAsia="Times New Roman" w:cs="Times New Roman"/>
      <w:sz w:val="22"/>
      <w:szCs w:val="24"/>
      <w:lang w:eastAsia="en-AU"/>
    </w:rPr>
  </w:style>
  <w:style w:type="character" w:styleId="PageNumber">
    <w:name w:val="page number"/>
    <w:basedOn w:val="DefaultParagraphFont"/>
    <w:rsid w:val="00E546B8"/>
  </w:style>
  <w:style w:type="character" w:customStyle="1" w:styleId="Heading2Char">
    <w:name w:val="Heading 2 Char"/>
    <w:basedOn w:val="DefaultParagraphFont"/>
    <w:link w:val="Heading2"/>
    <w:rsid w:val="0057516C"/>
    <w:rPr>
      <w:rFonts w:eastAsia="Times New Roman" w:cs="Times New Roman"/>
      <w:b/>
      <w:iCs/>
      <w:kern w:val="28"/>
      <w:sz w:val="32"/>
      <w:szCs w:val="28"/>
      <w:lang w:eastAsia="en-AU"/>
    </w:rPr>
  </w:style>
  <w:style w:type="character" w:customStyle="1" w:styleId="Heading1Char">
    <w:name w:val="Heading 1 Char"/>
    <w:basedOn w:val="DefaultParagraphFont"/>
    <w:link w:val="Heading1"/>
    <w:uiPriority w:val="9"/>
    <w:rsid w:val="0057516C"/>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57516C"/>
    <w:rPr>
      <w:rFonts w:asciiTheme="majorHAnsi" w:eastAsiaTheme="majorEastAsia" w:hAnsiTheme="majorHAnsi" w:cstheme="majorBidi"/>
      <w:b/>
      <w:bCs/>
      <w:color w:val="4F81BD" w:themeColor="accent1"/>
      <w:sz w:val="22"/>
    </w:rPr>
  </w:style>
  <w:style w:type="paragraph" w:customStyle="1" w:styleId="Issued">
    <w:name w:val="Issued"/>
    <w:basedOn w:val="Body"/>
    <w:rsid w:val="00E546B8"/>
    <w:pPr>
      <w:spacing w:before="120"/>
    </w:pPr>
    <w:rPr>
      <w:b/>
      <w:sz w:val="28"/>
    </w:rPr>
  </w:style>
  <w:style w:type="paragraph" w:customStyle="1" w:styleId="Release">
    <w:name w:val="Release"/>
    <w:basedOn w:val="Body"/>
    <w:rsid w:val="00E546B8"/>
    <w:rPr>
      <w:b/>
    </w:rPr>
  </w:style>
  <w:style w:type="paragraph" w:styleId="BalloonText">
    <w:name w:val="Balloon Text"/>
    <w:basedOn w:val="Normal"/>
    <w:link w:val="BalloonTextChar"/>
    <w:uiPriority w:val="99"/>
    <w:semiHidden/>
    <w:unhideWhenUsed/>
    <w:rsid w:val="00E546B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6B8"/>
    <w:rPr>
      <w:rFonts w:ascii="Tahoma" w:hAnsi="Tahoma" w:cs="Tahoma"/>
      <w:sz w:val="16"/>
      <w:szCs w:val="16"/>
    </w:rPr>
  </w:style>
  <w:style w:type="paragraph" w:customStyle="1" w:styleId="NoteDraftingDirection">
    <w:name w:val="Note Drafting Direction"/>
    <w:basedOn w:val="OPCParaBase"/>
    <w:rsid w:val="00E546B8"/>
    <w:pPr>
      <w:spacing w:before="120"/>
      <w:ind w:left="1134" w:hanging="1134"/>
    </w:pPr>
    <w:rPr>
      <w:sz w:val="18"/>
    </w:rPr>
  </w:style>
  <w:style w:type="paragraph" w:customStyle="1" w:styleId="SOText">
    <w:name w:val="SO Text"/>
    <w:aliases w:val="sot"/>
    <w:link w:val="SOTextChar"/>
    <w:rsid w:val="00E546B8"/>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546B8"/>
    <w:rPr>
      <w:sz w:val="22"/>
    </w:rPr>
  </w:style>
  <w:style w:type="paragraph" w:customStyle="1" w:styleId="SOTextNote">
    <w:name w:val="SO TextNote"/>
    <w:aliases w:val="sont"/>
    <w:basedOn w:val="SOText"/>
    <w:qFormat/>
    <w:rsid w:val="00E546B8"/>
    <w:pPr>
      <w:spacing w:before="122" w:line="198" w:lineRule="exact"/>
      <w:ind w:left="1843" w:hanging="709"/>
    </w:pPr>
    <w:rPr>
      <w:sz w:val="18"/>
    </w:rPr>
  </w:style>
  <w:style w:type="paragraph" w:customStyle="1" w:styleId="SOPara">
    <w:name w:val="SO Para"/>
    <w:aliases w:val="soa"/>
    <w:basedOn w:val="SOText"/>
    <w:link w:val="SOParaChar"/>
    <w:qFormat/>
    <w:rsid w:val="00E546B8"/>
    <w:pPr>
      <w:tabs>
        <w:tab w:val="right" w:pos="1786"/>
      </w:tabs>
      <w:spacing w:before="40"/>
      <w:ind w:left="2070" w:hanging="936"/>
    </w:pPr>
  </w:style>
  <w:style w:type="character" w:customStyle="1" w:styleId="SOParaChar">
    <w:name w:val="SO Para Char"/>
    <w:aliases w:val="soa Char"/>
    <w:basedOn w:val="DefaultParagraphFont"/>
    <w:link w:val="SOPara"/>
    <w:rsid w:val="00E546B8"/>
    <w:rPr>
      <w:sz w:val="22"/>
    </w:rPr>
  </w:style>
  <w:style w:type="paragraph" w:customStyle="1" w:styleId="FileName">
    <w:name w:val="FileName"/>
    <w:basedOn w:val="Normal"/>
    <w:rsid w:val="00E546B8"/>
  </w:style>
  <w:style w:type="paragraph" w:customStyle="1" w:styleId="TableHeading">
    <w:name w:val="TableHeading"/>
    <w:aliases w:val="th"/>
    <w:basedOn w:val="OPCParaBase"/>
    <w:next w:val="Tabletext"/>
    <w:rsid w:val="00E546B8"/>
    <w:pPr>
      <w:keepNext/>
      <w:spacing w:before="60" w:line="240" w:lineRule="atLeast"/>
    </w:pPr>
    <w:rPr>
      <w:b/>
      <w:sz w:val="20"/>
    </w:rPr>
  </w:style>
  <w:style w:type="paragraph" w:customStyle="1" w:styleId="SOHeadBold">
    <w:name w:val="SO HeadBold"/>
    <w:aliases w:val="sohb"/>
    <w:basedOn w:val="SOText"/>
    <w:next w:val="SOText"/>
    <w:link w:val="SOHeadBoldChar"/>
    <w:qFormat/>
    <w:rsid w:val="00E546B8"/>
    <w:rPr>
      <w:b/>
    </w:rPr>
  </w:style>
  <w:style w:type="character" w:customStyle="1" w:styleId="SOHeadBoldChar">
    <w:name w:val="SO HeadBold Char"/>
    <w:aliases w:val="sohb Char"/>
    <w:basedOn w:val="DefaultParagraphFont"/>
    <w:link w:val="SOHeadBold"/>
    <w:rsid w:val="00E546B8"/>
    <w:rPr>
      <w:b/>
      <w:sz w:val="22"/>
    </w:rPr>
  </w:style>
  <w:style w:type="paragraph" w:customStyle="1" w:styleId="SOHeadItalic">
    <w:name w:val="SO HeadItalic"/>
    <w:aliases w:val="sohi"/>
    <w:basedOn w:val="SOText"/>
    <w:next w:val="SOText"/>
    <w:link w:val="SOHeadItalicChar"/>
    <w:qFormat/>
    <w:rsid w:val="00E546B8"/>
    <w:rPr>
      <w:i/>
    </w:rPr>
  </w:style>
  <w:style w:type="character" w:customStyle="1" w:styleId="SOHeadItalicChar">
    <w:name w:val="SO HeadItalic Char"/>
    <w:aliases w:val="sohi Char"/>
    <w:basedOn w:val="DefaultParagraphFont"/>
    <w:link w:val="SOHeadItalic"/>
    <w:rsid w:val="00E546B8"/>
    <w:rPr>
      <w:i/>
      <w:sz w:val="22"/>
    </w:rPr>
  </w:style>
  <w:style w:type="paragraph" w:customStyle="1" w:styleId="SOBullet">
    <w:name w:val="SO Bullet"/>
    <w:aliases w:val="sotb"/>
    <w:basedOn w:val="SOText"/>
    <w:link w:val="SOBulletChar"/>
    <w:qFormat/>
    <w:rsid w:val="00E546B8"/>
    <w:pPr>
      <w:ind w:left="1559" w:hanging="425"/>
    </w:pPr>
  </w:style>
  <w:style w:type="character" w:customStyle="1" w:styleId="SOBulletChar">
    <w:name w:val="SO Bullet Char"/>
    <w:aliases w:val="sotb Char"/>
    <w:basedOn w:val="DefaultParagraphFont"/>
    <w:link w:val="SOBullet"/>
    <w:rsid w:val="00E546B8"/>
    <w:rPr>
      <w:sz w:val="22"/>
    </w:rPr>
  </w:style>
  <w:style w:type="paragraph" w:customStyle="1" w:styleId="SOBulletNote">
    <w:name w:val="SO BulletNote"/>
    <w:aliases w:val="sonb"/>
    <w:basedOn w:val="SOTextNote"/>
    <w:link w:val="SOBulletNoteChar"/>
    <w:qFormat/>
    <w:rsid w:val="00E546B8"/>
    <w:pPr>
      <w:tabs>
        <w:tab w:val="left" w:pos="1560"/>
      </w:tabs>
      <w:ind w:left="2268" w:hanging="1134"/>
    </w:pPr>
  </w:style>
  <w:style w:type="character" w:customStyle="1" w:styleId="SOBulletNoteChar">
    <w:name w:val="SO BulletNote Char"/>
    <w:aliases w:val="sonb Char"/>
    <w:basedOn w:val="DefaultParagraphFont"/>
    <w:link w:val="SOBulletNote"/>
    <w:rsid w:val="00E546B8"/>
    <w:rPr>
      <w:sz w:val="18"/>
    </w:rPr>
  </w:style>
  <w:style w:type="paragraph" w:customStyle="1" w:styleId="SubPartCASA">
    <w:name w:val="SubPart(CASA)"/>
    <w:aliases w:val="csp"/>
    <w:basedOn w:val="OPCParaBase"/>
    <w:next w:val="ActHead3"/>
    <w:rsid w:val="00E546B8"/>
    <w:pPr>
      <w:keepNext/>
      <w:keepLines/>
      <w:spacing w:before="280"/>
      <w:ind w:left="1134" w:hanging="1134"/>
      <w:outlineLvl w:val="1"/>
    </w:pPr>
    <w:rPr>
      <w:b/>
      <w:kern w:val="28"/>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Office%20Documents\Drafting%20Dire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BEB5D-6E4F-490C-8DB3-DC1DB4431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Drafting Directions.dotx</Template>
  <TotalTime>0</TotalTime>
  <Pages>10</Pages>
  <Words>3189</Words>
  <Characters>16537</Characters>
  <Application>Microsoft Office Word</Application>
  <DocSecurity>0</DocSecurity>
  <Lines>353</Lines>
  <Paragraphs>207</Paragraphs>
  <ScaleCrop>false</ScaleCrop>
  <HeadingPairs>
    <vt:vector size="2" baseType="variant">
      <vt:variant>
        <vt:lpstr>Title</vt:lpstr>
      </vt:variant>
      <vt:variant>
        <vt:i4>1</vt:i4>
      </vt:variant>
    </vt:vector>
  </HeadingPairs>
  <TitlesOfParts>
    <vt:vector size="1" baseType="lpstr">
      <vt:lpstr>Drafting Direction No. 3.10_x000d_
Legislation that refers to or affects Australian governments or jurisdictions</vt:lpstr>
    </vt:vector>
  </TitlesOfParts>
  <Company>Office of Parliamentary Counsel</Company>
  <LinksUpToDate>false</LinksUpToDate>
  <CharactersWithSpaces>19549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Drafting Direction No. 3.10_x000d_
Legislation that refers to or affects Australian governments or jurisdictions</dc:title>
  <dc:subject/>
  <dc:creator>Janis Dogan</dc:creator>
  <cp:keywords/>
  <dc:description/>
  <cp:lastModifiedBy>Fletcherm</cp:lastModifiedBy>
  <cp:revision>2</cp:revision>
  <cp:lastPrinted>2016-01-28T00:56:00Z</cp:lastPrinted>
  <dcterms:created xsi:type="dcterms:W3CDTF">2018-06-20T21:59:00Z</dcterms:created>
  <dcterms:modified xsi:type="dcterms:W3CDTF">2018-06-20T21:59:00Z</dcterms:modified>
  <cp:category>Other - For reissue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UNCLASSIFIED</vt:lpwstr>
  </property>
  <property fmtid="{D5CDD505-2E9C-101B-9397-08002B2CF9AE}" pid="3" name="DoNotAsk">
    <vt:lpwstr>0</vt:lpwstr>
  </property>
  <property fmtid="{D5CDD505-2E9C-101B-9397-08002B2CF9AE}" pid="4" name="ChangedTitle">
    <vt:lpwstr>DRAFT Drafting Direction No. 3.10 Legislation that refers to or affects Australian governments or jurisdictions</vt:lpwstr>
  </property>
  <property fmtid="{D5CDD505-2E9C-101B-9397-08002B2CF9AE}" pid="5" name="DLM">
    <vt:lpwstr>No DLM</vt:lpwstr>
  </property>
  <property fmtid="{D5CDD505-2E9C-101B-9397-08002B2CF9AE}" pid="8193" name="TrimID">
    <vt:lpwstr>PC:D18/8485</vt:lpwstr>
  </property>
</Properties>
</file>