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3FB" w:rsidRDefault="00D028FD" w:rsidP="00993CB9">
      <w:pPr>
        <w:pStyle w:val="Head1"/>
      </w:pPr>
      <w:bookmarkStart w:id="0" w:name="_GoBack"/>
      <w:bookmarkEnd w:id="0"/>
      <w:r w:rsidRPr="00993CB9">
        <w:t>D</w:t>
      </w:r>
      <w:r w:rsidR="00D703FB" w:rsidRPr="00993CB9">
        <w:t>rafting Direction No. 4.2</w:t>
      </w:r>
      <w:r w:rsidR="00D703FB" w:rsidRPr="00993CB9">
        <w:br/>
        <w:t>Referral of drafts to agencies</w:t>
      </w:r>
    </w:p>
    <w:p w:rsidR="00D703FB" w:rsidRPr="00993CB9" w:rsidRDefault="00D703FB" w:rsidP="00D703FB">
      <w:pPr>
        <w:pStyle w:val="Release"/>
      </w:pPr>
      <w:r w:rsidRPr="00993CB9">
        <w:t>Document release</w:t>
      </w:r>
      <w:r w:rsidR="00253B01">
        <w:t xml:space="preserve"> 9.0</w:t>
      </w:r>
    </w:p>
    <w:p w:rsidR="00D703FB" w:rsidRPr="00993CB9" w:rsidRDefault="00D703FB" w:rsidP="00D703FB">
      <w:pPr>
        <w:pStyle w:val="Issued"/>
      </w:pPr>
      <w:r w:rsidRPr="00993CB9">
        <w:t>Reissued</w:t>
      </w:r>
      <w:r w:rsidR="00253B01">
        <w:t xml:space="preserve"> January </w:t>
      </w:r>
      <w:r w:rsidR="009C19C0">
        <w:t>202</w:t>
      </w:r>
      <w:r w:rsidR="00253B01">
        <w:t>3</w:t>
      </w:r>
    </w:p>
    <w:p w:rsidR="00D12979" w:rsidRPr="00993CB9" w:rsidRDefault="00D12979" w:rsidP="00D12979">
      <w:pPr>
        <w:rPr>
          <w:sz w:val="32"/>
        </w:rPr>
      </w:pPr>
    </w:p>
    <w:p w:rsidR="00D12979" w:rsidRPr="00993CB9" w:rsidRDefault="00D12979" w:rsidP="00D12979">
      <w:pPr>
        <w:rPr>
          <w:sz w:val="32"/>
        </w:rPr>
      </w:pPr>
      <w:r w:rsidRPr="00993CB9">
        <w:rPr>
          <w:sz w:val="32"/>
        </w:rPr>
        <w:t>Contents</w:t>
      </w:r>
    </w:p>
    <w:p w:rsidR="00253B01" w:rsidRDefault="00780E82">
      <w:pPr>
        <w:pStyle w:val="TOC2"/>
        <w:rPr>
          <w:rFonts w:asciiTheme="minorHAnsi" w:eastAsiaTheme="minorEastAsia" w:hAnsiTheme="minorHAnsi" w:cstheme="minorBidi"/>
          <w:b w:val="0"/>
          <w:sz w:val="22"/>
          <w:szCs w:val="22"/>
        </w:rPr>
      </w:pPr>
      <w:r w:rsidRPr="006C2CBA">
        <w:rPr>
          <w:sz w:val="32"/>
        </w:rPr>
        <w:fldChar w:fldCharType="begin"/>
      </w:r>
      <w:r w:rsidRPr="00993CB9">
        <w:rPr>
          <w:sz w:val="32"/>
        </w:rPr>
        <w:instrText xml:space="preserve"> TOC \o "2-9" </w:instrText>
      </w:r>
      <w:r w:rsidRPr="006C2CBA">
        <w:rPr>
          <w:sz w:val="32"/>
        </w:rPr>
        <w:fldChar w:fldCharType="separate"/>
      </w:r>
      <w:r w:rsidR="00253B01">
        <w:t>Part 1—Introduction</w:t>
      </w:r>
      <w:r w:rsidR="00253B01" w:rsidRPr="00253B01">
        <w:rPr>
          <w:b w:val="0"/>
          <w:sz w:val="20"/>
        </w:rPr>
        <w:tab/>
      </w:r>
      <w:r w:rsidR="00253B01" w:rsidRPr="00253B01">
        <w:rPr>
          <w:b w:val="0"/>
          <w:sz w:val="20"/>
        </w:rPr>
        <w:fldChar w:fldCharType="begin"/>
      </w:r>
      <w:r w:rsidR="00253B01" w:rsidRPr="00253B01">
        <w:rPr>
          <w:b w:val="0"/>
          <w:sz w:val="20"/>
        </w:rPr>
        <w:instrText xml:space="preserve"> PAGEREF _Toc124253903 \h </w:instrText>
      </w:r>
      <w:r w:rsidR="00253B01" w:rsidRPr="00253B01">
        <w:rPr>
          <w:b w:val="0"/>
          <w:sz w:val="20"/>
        </w:rPr>
      </w:r>
      <w:r w:rsidR="00253B01" w:rsidRPr="00253B01">
        <w:rPr>
          <w:b w:val="0"/>
          <w:sz w:val="20"/>
        </w:rPr>
        <w:fldChar w:fldCharType="separate"/>
      </w:r>
      <w:r w:rsidR="008E2181">
        <w:rPr>
          <w:b w:val="0"/>
          <w:sz w:val="20"/>
        </w:rPr>
        <w:t>2</w:t>
      </w:r>
      <w:r w:rsidR="00253B01" w:rsidRPr="00253B01">
        <w:rPr>
          <w:b w:val="0"/>
          <w:sz w:val="20"/>
        </w:rPr>
        <w:fldChar w:fldCharType="end"/>
      </w:r>
    </w:p>
    <w:p w:rsidR="00253B01" w:rsidRDefault="00253B01">
      <w:pPr>
        <w:pStyle w:val="TOC3"/>
        <w:rPr>
          <w:rFonts w:asciiTheme="minorHAnsi" w:eastAsiaTheme="minorEastAsia" w:hAnsiTheme="minorHAnsi" w:cstheme="minorBidi"/>
          <w:sz w:val="22"/>
          <w:szCs w:val="22"/>
        </w:rPr>
      </w:pPr>
      <w:r>
        <w:t>Why and to whom do we refer drafts?</w:t>
      </w:r>
      <w:r w:rsidRPr="00253B01">
        <w:rPr>
          <w:sz w:val="20"/>
        </w:rPr>
        <w:tab/>
      </w:r>
      <w:r w:rsidRPr="00253B01">
        <w:rPr>
          <w:sz w:val="20"/>
        </w:rPr>
        <w:fldChar w:fldCharType="begin"/>
      </w:r>
      <w:r w:rsidRPr="00253B01">
        <w:rPr>
          <w:sz w:val="20"/>
        </w:rPr>
        <w:instrText xml:space="preserve"> PAGEREF _Toc124253904 \h </w:instrText>
      </w:r>
      <w:r w:rsidRPr="00253B01">
        <w:rPr>
          <w:sz w:val="20"/>
        </w:rPr>
      </w:r>
      <w:r w:rsidRPr="00253B01">
        <w:rPr>
          <w:sz w:val="20"/>
        </w:rPr>
        <w:fldChar w:fldCharType="separate"/>
      </w:r>
      <w:r w:rsidR="008E2181">
        <w:rPr>
          <w:sz w:val="20"/>
        </w:rPr>
        <w:t>2</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When should drafts be referred?</w:t>
      </w:r>
      <w:r w:rsidRPr="00253B01">
        <w:rPr>
          <w:sz w:val="20"/>
        </w:rPr>
        <w:tab/>
      </w:r>
      <w:r w:rsidRPr="00253B01">
        <w:rPr>
          <w:sz w:val="20"/>
        </w:rPr>
        <w:fldChar w:fldCharType="begin"/>
      </w:r>
      <w:r w:rsidRPr="00253B01">
        <w:rPr>
          <w:sz w:val="20"/>
        </w:rPr>
        <w:instrText xml:space="preserve"> PAGEREF _Toc124253905 \h </w:instrText>
      </w:r>
      <w:r w:rsidRPr="00253B01">
        <w:rPr>
          <w:sz w:val="20"/>
        </w:rPr>
      </w:r>
      <w:r w:rsidRPr="00253B01">
        <w:rPr>
          <w:sz w:val="20"/>
        </w:rPr>
        <w:fldChar w:fldCharType="separate"/>
      </w:r>
      <w:r w:rsidR="008E2181">
        <w:rPr>
          <w:sz w:val="20"/>
        </w:rPr>
        <w:t>2</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Comments on drafts</w:t>
      </w:r>
      <w:r w:rsidRPr="00253B01">
        <w:rPr>
          <w:sz w:val="20"/>
        </w:rPr>
        <w:tab/>
      </w:r>
      <w:r w:rsidRPr="00253B01">
        <w:rPr>
          <w:sz w:val="20"/>
        </w:rPr>
        <w:fldChar w:fldCharType="begin"/>
      </w:r>
      <w:r w:rsidRPr="00253B01">
        <w:rPr>
          <w:sz w:val="20"/>
        </w:rPr>
        <w:instrText xml:space="preserve"> PAGEREF _Toc124253906 \h </w:instrText>
      </w:r>
      <w:r w:rsidRPr="00253B01">
        <w:rPr>
          <w:sz w:val="20"/>
        </w:rPr>
      </w:r>
      <w:r w:rsidRPr="00253B01">
        <w:rPr>
          <w:sz w:val="20"/>
        </w:rPr>
        <w:fldChar w:fldCharType="separate"/>
      </w:r>
      <w:r w:rsidR="008E2181">
        <w:rPr>
          <w:sz w:val="20"/>
        </w:rPr>
        <w:t>3</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Need to follow up referral</w:t>
      </w:r>
      <w:r w:rsidRPr="00253B01">
        <w:rPr>
          <w:sz w:val="20"/>
        </w:rPr>
        <w:tab/>
      </w:r>
      <w:r w:rsidRPr="00253B01">
        <w:rPr>
          <w:sz w:val="20"/>
        </w:rPr>
        <w:fldChar w:fldCharType="begin"/>
      </w:r>
      <w:r w:rsidRPr="00253B01">
        <w:rPr>
          <w:sz w:val="20"/>
        </w:rPr>
        <w:instrText xml:space="preserve"> PAGEREF _Toc124253907 \h </w:instrText>
      </w:r>
      <w:r w:rsidRPr="00253B01">
        <w:rPr>
          <w:sz w:val="20"/>
        </w:rPr>
      </w:r>
      <w:r w:rsidRPr="00253B01">
        <w:rPr>
          <w:sz w:val="20"/>
        </w:rPr>
        <w:fldChar w:fldCharType="separate"/>
      </w:r>
      <w:r w:rsidR="008E2181">
        <w:rPr>
          <w:sz w:val="20"/>
        </w:rPr>
        <w:t>3</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Assisting agencies</w:t>
      </w:r>
      <w:r w:rsidRPr="00253B01">
        <w:rPr>
          <w:sz w:val="20"/>
        </w:rPr>
        <w:tab/>
      </w:r>
      <w:r w:rsidRPr="00253B01">
        <w:rPr>
          <w:sz w:val="20"/>
        </w:rPr>
        <w:fldChar w:fldCharType="begin"/>
      </w:r>
      <w:r w:rsidRPr="00253B01">
        <w:rPr>
          <w:sz w:val="20"/>
        </w:rPr>
        <w:instrText xml:space="preserve"> PAGEREF _Toc124253908 \h </w:instrText>
      </w:r>
      <w:r w:rsidRPr="00253B01">
        <w:rPr>
          <w:sz w:val="20"/>
        </w:rPr>
      </w:r>
      <w:r w:rsidRPr="00253B01">
        <w:rPr>
          <w:sz w:val="20"/>
        </w:rPr>
        <w:fldChar w:fldCharType="separate"/>
      </w:r>
      <w:r w:rsidR="008E2181">
        <w:rPr>
          <w:sz w:val="20"/>
        </w:rPr>
        <w:t>3</w:t>
      </w:r>
      <w:r w:rsidRPr="00253B01">
        <w:rPr>
          <w:sz w:val="20"/>
        </w:rPr>
        <w:fldChar w:fldCharType="end"/>
      </w:r>
    </w:p>
    <w:p w:rsidR="00253B01" w:rsidRDefault="00253B01">
      <w:pPr>
        <w:pStyle w:val="TOC2"/>
        <w:rPr>
          <w:rFonts w:asciiTheme="minorHAnsi" w:eastAsiaTheme="minorEastAsia" w:hAnsiTheme="minorHAnsi" w:cstheme="minorBidi"/>
          <w:b w:val="0"/>
          <w:sz w:val="22"/>
          <w:szCs w:val="22"/>
        </w:rPr>
      </w:pPr>
      <w:r>
        <w:t>Part 2—Attorney</w:t>
      </w:r>
      <w:r>
        <w:noBreakHyphen/>
        <w:t>General’s Department</w:t>
      </w:r>
      <w:r w:rsidRPr="00253B01">
        <w:rPr>
          <w:b w:val="0"/>
          <w:sz w:val="20"/>
        </w:rPr>
        <w:tab/>
      </w:r>
      <w:r w:rsidRPr="00253B01">
        <w:rPr>
          <w:b w:val="0"/>
          <w:sz w:val="20"/>
        </w:rPr>
        <w:fldChar w:fldCharType="begin"/>
      </w:r>
      <w:r w:rsidRPr="00253B01">
        <w:rPr>
          <w:b w:val="0"/>
          <w:sz w:val="20"/>
        </w:rPr>
        <w:instrText xml:space="preserve"> PAGEREF _Toc124253909 \h </w:instrText>
      </w:r>
      <w:r w:rsidRPr="00253B01">
        <w:rPr>
          <w:b w:val="0"/>
          <w:sz w:val="20"/>
        </w:rPr>
      </w:r>
      <w:r w:rsidRPr="00253B01">
        <w:rPr>
          <w:b w:val="0"/>
          <w:sz w:val="20"/>
        </w:rPr>
        <w:fldChar w:fldCharType="separate"/>
      </w:r>
      <w:r w:rsidR="008E2181">
        <w:rPr>
          <w:b w:val="0"/>
          <w:sz w:val="20"/>
        </w:rPr>
        <w:t>3</w:t>
      </w:r>
      <w:r w:rsidRPr="00253B01">
        <w:rPr>
          <w:b w:val="0"/>
          <w:sz w:val="20"/>
        </w:rPr>
        <w:fldChar w:fldCharType="end"/>
      </w:r>
    </w:p>
    <w:p w:rsidR="00253B01" w:rsidRDefault="00253B01">
      <w:pPr>
        <w:pStyle w:val="TOC3"/>
        <w:rPr>
          <w:rFonts w:asciiTheme="minorHAnsi" w:eastAsiaTheme="minorEastAsia" w:hAnsiTheme="minorHAnsi" w:cstheme="minorBidi"/>
          <w:sz w:val="22"/>
          <w:szCs w:val="22"/>
        </w:rPr>
      </w:pPr>
      <w:r>
        <w:t>Office of International Law—further matters</w:t>
      </w:r>
      <w:r w:rsidRPr="00253B01">
        <w:rPr>
          <w:sz w:val="20"/>
        </w:rPr>
        <w:tab/>
      </w:r>
      <w:r w:rsidRPr="00253B01">
        <w:rPr>
          <w:sz w:val="20"/>
        </w:rPr>
        <w:fldChar w:fldCharType="begin"/>
      </w:r>
      <w:r w:rsidRPr="00253B01">
        <w:rPr>
          <w:sz w:val="20"/>
        </w:rPr>
        <w:instrText xml:space="preserve"> PAGEREF _Toc124253910 \h </w:instrText>
      </w:r>
      <w:r w:rsidRPr="00253B01">
        <w:rPr>
          <w:sz w:val="20"/>
        </w:rPr>
      </w:r>
      <w:r w:rsidRPr="00253B01">
        <w:rPr>
          <w:sz w:val="20"/>
        </w:rPr>
        <w:fldChar w:fldCharType="separate"/>
      </w:r>
      <w:r w:rsidR="008E2181">
        <w:rPr>
          <w:sz w:val="20"/>
        </w:rPr>
        <w:t>4</w:t>
      </w:r>
      <w:r w:rsidRPr="00253B01">
        <w:rPr>
          <w:sz w:val="20"/>
        </w:rPr>
        <w:fldChar w:fldCharType="end"/>
      </w:r>
    </w:p>
    <w:p w:rsidR="00253B01" w:rsidRDefault="00253B01">
      <w:pPr>
        <w:pStyle w:val="TOC4"/>
        <w:rPr>
          <w:rFonts w:asciiTheme="minorHAnsi" w:eastAsiaTheme="minorEastAsia" w:hAnsiTheme="minorHAnsi" w:cstheme="minorBidi"/>
          <w:sz w:val="22"/>
          <w:szCs w:val="22"/>
        </w:rPr>
      </w:pPr>
      <w:r>
        <w:t>Consulting OIL early</w:t>
      </w:r>
      <w:r w:rsidRPr="00253B01">
        <w:rPr>
          <w:sz w:val="20"/>
        </w:rPr>
        <w:tab/>
      </w:r>
      <w:r w:rsidRPr="00253B01">
        <w:rPr>
          <w:sz w:val="20"/>
        </w:rPr>
        <w:fldChar w:fldCharType="begin"/>
      </w:r>
      <w:r w:rsidRPr="00253B01">
        <w:rPr>
          <w:sz w:val="20"/>
        </w:rPr>
        <w:instrText xml:space="preserve"> PAGEREF _Toc124253911 \h </w:instrText>
      </w:r>
      <w:r w:rsidRPr="00253B01">
        <w:rPr>
          <w:sz w:val="20"/>
        </w:rPr>
      </w:r>
      <w:r w:rsidRPr="00253B01">
        <w:rPr>
          <w:sz w:val="20"/>
        </w:rPr>
        <w:fldChar w:fldCharType="separate"/>
      </w:r>
      <w:r w:rsidR="008E2181">
        <w:rPr>
          <w:sz w:val="20"/>
        </w:rPr>
        <w:t>4</w:t>
      </w:r>
      <w:r w:rsidRPr="00253B01">
        <w:rPr>
          <w:sz w:val="20"/>
        </w:rPr>
        <w:fldChar w:fldCharType="end"/>
      </w:r>
    </w:p>
    <w:p w:rsidR="00253B01" w:rsidRDefault="00253B01">
      <w:pPr>
        <w:pStyle w:val="TOC4"/>
        <w:rPr>
          <w:rFonts w:asciiTheme="minorHAnsi" w:eastAsiaTheme="minorEastAsia" w:hAnsiTheme="minorHAnsi" w:cstheme="minorBidi"/>
          <w:sz w:val="22"/>
          <w:szCs w:val="22"/>
        </w:rPr>
      </w:pPr>
      <w:r>
        <w:t>Identifying relevant international agreements</w:t>
      </w:r>
      <w:r w:rsidRPr="00253B01">
        <w:rPr>
          <w:sz w:val="20"/>
        </w:rPr>
        <w:tab/>
      </w:r>
      <w:r w:rsidRPr="00253B01">
        <w:rPr>
          <w:sz w:val="20"/>
        </w:rPr>
        <w:fldChar w:fldCharType="begin"/>
      </w:r>
      <w:r w:rsidRPr="00253B01">
        <w:rPr>
          <w:sz w:val="20"/>
        </w:rPr>
        <w:instrText xml:space="preserve"> PAGEREF _Toc124253912 \h </w:instrText>
      </w:r>
      <w:r w:rsidRPr="00253B01">
        <w:rPr>
          <w:sz w:val="20"/>
        </w:rPr>
      </w:r>
      <w:r w:rsidRPr="00253B01">
        <w:rPr>
          <w:sz w:val="20"/>
        </w:rPr>
        <w:fldChar w:fldCharType="separate"/>
      </w:r>
      <w:r w:rsidR="008E2181">
        <w:rPr>
          <w:sz w:val="20"/>
        </w:rPr>
        <w:t>4</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Human Rights Unit</w:t>
      </w:r>
      <w:r w:rsidRPr="00253B01">
        <w:rPr>
          <w:sz w:val="20"/>
        </w:rPr>
        <w:tab/>
      </w:r>
      <w:r w:rsidRPr="00253B01">
        <w:rPr>
          <w:sz w:val="20"/>
        </w:rPr>
        <w:fldChar w:fldCharType="begin"/>
      </w:r>
      <w:r w:rsidRPr="00253B01">
        <w:rPr>
          <w:sz w:val="20"/>
        </w:rPr>
        <w:instrText xml:space="preserve"> PAGEREF _Toc124253913 \h </w:instrText>
      </w:r>
      <w:r w:rsidRPr="00253B01">
        <w:rPr>
          <w:sz w:val="20"/>
        </w:rPr>
      </w:r>
      <w:r w:rsidRPr="00253B01">
        <w:rPr>
          <w:sz w:val="20"/>
        </w:rPr>
        <w:fldChar w:fldCharType="separate"/>
      </w:r>
      <w:r w:rsidR="008E2181">
        <w:rPr>
          <w:sz w:val="20"/>
        </w:rPr>
        <w:t>5</w:t>
      </w:r>
      <w:r w:rsidRPr="00253B01">
        <w:rPr>
          <w:sz w:val="20"/>
        </w:rPr>
        <w:fldChar w:fldCharType="end"/>
      </w:r>
    </w:p>
    <w:p w:rsidR="00253B01" w:rsidRDefault="00253B01">
      <w:pPr>
        <w:pStyle w:val="TOC4"/>
        <w:rPr>
          <w:rFonts w:asciiTheme="minorHAnsi" w:eastAsiaTheme="minorEastAsia" w:hAnsiTheme="minorHAnsi" w:cstheme="minorBidi"/>
          <w:sz w:val="22"/>
          <w:szCs w:val="22"/>
        </w:rPr>
      </w:pPr>
      <w:r>
        <w:t>Statements of compatibility with human rights</w:t>
      </w:r>
      <w:r w:rsidRPr="00253B01">
        <w:rPr>
          <w:sz w:val="20"/>
        </w:rPr>
        <w:tab/>
      </w:r>
      <w:r w:rsidRPr="00253B01">
        <w:rPr>
          <w:sz w:val="20"/>
        </w:rPr>
        <w:fldChar w:fldCharType="begin"/>
      </w:r>
      <w:r w:rsidRPr="00253B01">
        <w:rPr>
          <w:sz w:val="20"/>
        </w:rPr>
        <w:instrText xml:space="preserve"> PAGEREF _Toc124253914 \h </w:instrText>
      </w:r>
      <w:r w:rsidRPr="00253B01">
        <w:rPr>
          <w:sz w:val="20"/>
        </w:rPr>
      </w:r>
      <w:r w:rsidRPr="00253B01">
        <w:rPr>
          <w:sz w:val="20"/>
        </w:rPr>
        <w:fldChar w:fldCharType="separate"/>
      </w:r>
      <w:r w:rsidR="008E2181">
        <w:rPr>
          <w:sz w:val="20"/>
        </w:rPr>
        <w:t>5</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Australian Government Solicitor</w:t>
      </w:r>
      <w:r w:rsidRPr="00253B01">
        <w:rPr>
          <w:sz w:val="20"/>
        </w:rPr>
        <w:tab/>
      </w:r>
      <w:r w:rsidRPr="00253B01">
        <w:rPr>
          <w:sz w:val="20"/>
        </w:rPr>
        <w:fldChar w:fldCharType="begin"/>
      </w:r>
      <w:r w:rsidRPr="00253B01">
        <w:rPr>
          <w:sz w:val="20"/>
        </w:rPr>
        <w:instrText xml:space="preserve"> PAGEREF _Toc124253915 \h </w:instrText>
      </w:r>
      <w:r w:rsidRPr="00253B01">
        <w:rPr>
          <w:sz w:val="20"/>
        </w:rPr>
      </w:r>
      <w:r w:rsidRPr="00253B01">
        <w:rPr>
          <w:sz w:val="20"/>
        </w:rPr>
        <w:fldChar w:fldCharType="separate"/>
      </w:r>
      <w:r w:rsidR="008E2181">
        <w:rPr>
          <w:sz w:val="20"/>
        </w:rPr>
        <w:t>6</w:t>
      </w:r>
      <w:r w:rsidRPr="00253B01">
        <w:rPr>
          <w:sz w:val="20"/>
        </w:rPr>
        <w:fldChar w:fldCharType="end"/>
      </w:r>
    </w:p>
    <w:p w:rsidR="00253B01" w:rsidRDefault="00253B01">
      <w:pPr>
        <w:pStyle w:val="TOC4"/>
        <w:rPr>
          <w:rFonts w:asciiTheme="minorHAnsi" w:eastAsiaTheme="minorEastAsia" w:hAnsiTheme="minorHAnsi" w:cstheme="minorBidi"/>
          <w:sz w:val="22"/>
          <w:szCs w:val="22"/>
        </w:rPr>
      </w:pPr>
      <w:r>
        <w:t>How to refer drafts</w:t>
      </w:r>
      <w:r w:rsidRPr="00253B01">
        <w:rPr>
          <w:sz w:val="20"/>
        </w:rPr>
        <w:tab/>
      </w:r>
      <w:r w:rsidRPr="00253B01">
        <w:rPr>
          <w:sz w:val="20"/>
        </w:rPr>
        <w:fldChar w:fldCharType="begin"/>
      </w:r>
      <w:r w:rsidRPr="00253B01">
        <w:rPr>
          <w:sz w:val="20"/>
        </w:rPr>
        <w:instrText xml:space="preserve"> PAGEREF _Toc124253916 \h </w:instrText>
      </w:r>
      <w:r w:rsidRPr="00253B01">
        <w:rPr>
          <w:sz w:val="20"/>
        </w:rPr>
      </w:r>
      <w:r w:rsidRPr="00253B01">
        <w:rPr>
          <w:sz w:val="20"/>
        </w:rPr>
        <w:fldChar w:fldCharType="separate"/>
      </w:r>
      <w:r w:rsidR="008E2181">
        <w:rPr>
          <w:sz w:val="20"/>
        </w:rPr>
        <w:t>6</w:t>
      </w:r>
      <w:r w:rsidRPr="00253B01">
        <w:rPr>
          <w:sz w:val="20"/>
        </w:rPr>
        <w:fldChar w:fldCharType="end"/>
      </w:r>
    </w:p>
    <w:p w:rsidR="00253B01" w:rsidRDefault="00253B01">
      <w:pPr>
        <w:pStyle w:val="TOC4"/>
        <w:rPr>
          <w:rFonts w:asciiTheme="minorHAnsi" w:eastAsiaTheme="minorEastAsia" w:hAnsiTheme="minorHAnsi" w:cstheme="minorBidi"/>
          <w:sz w:val="22"/>
          <w:szCs w:val="22"/>
        </w:rPr>
      </w:pPr>
      <w:r>
        <w:t>Need to follow up reference to AGS</w:t>
      </w:r>
      <w:r w:rsidRPr="00253B01">
        <w:rPr>
          <w:sz w:val="20"/>
        </w:rPr>
        <w:tab/>
      </w:r>
      <w:r w:rsidRPr="00253B01">
        <w:rPr>
          <w:sz w:val="20"/>
        </w:rPr>
        <w:fldChar w:fldCharType="begin"/>
      </w:r>
      <w:r w:rsidRPr="00253B01">
        <w:rPr>
          <w:sz w:val="20"/>
        </w:rPr>
        <w:instrText xml:space="preserve"> PAGEREF _Toc124253917 \h </w:instrText>
      </w:r>
      <w:r w:rsidRPr="00253B01">
        <w:rPr>
          <w:sz w:val="20"/>
        </w:rPr>
      </w:r>
      <w:r w:rsidRPr="00253B01">
        <w:rPr>
          <w:sz w:val="20"/>
        </w:rPr>
        <w:fldChar w:fldCharType="separate"/>
      </w:r>
      <w:r w:rsidR="008E2181">
        <w:rPr>
          <w:sz w:val="20"/>
        </w:rPr>
        <w:t>6</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Assisting AGD to obtain specific information from instructors</w:t>
      </w:r>
      <w:r w:rsidRPr="00253B01">
        <w:rPr>
          <w:sz w:val="20"/>
        </w:rPr>
        <w:tab/>
      </w:r>
      <w:r w:rsidRPr="00253B01">
        <w:rPr>
          <w:sz w:val="20"/>
        </w:rPr>
        <w:fldChar w:fldCharType="begin"/>
      </w:r>
      <w:r w:rsidRPr="00253B01">
        <w:rPr>
          <w:sz w:val="20"/>
        </w:rPr>
        <w:instrText xml:space="preserve"> PAGEREF _Toc124253918 \h </w:instrText>
      </w:r>
      <w:r w:rsidRPr="00253B01">
        <w:rPr>
          <w:sz w:val="20"/>
        </w:rPr>
      </w:r>
      <w:r w:rsidRPr="00253B01">
        <w:rPr>
          <w:sz w:val="20"/>
        </w:rPr>
        <w:fldChar w:fldCharType="separate"/>
      </w:r>
      <w:r w:rsidR="008E2181">
        <w:rPr>
          <w:sz w:val="20"/>
        </w:rPr>
        <w:t>6</w:t>
      </w:r>
      <w:r w:rsidRPr="00253B01">
        <w:rPr>
          <w:sz w:val="20"/>
        </w:rPr>
        <w:fldChar w:fldCharType="end"/>
      </w:r>
    </w:p>
    <w:p w:rsidR="00253B01" w:rsidRDefault="00253B01">
      <w:pPr>
        <w:pStyle w:val="TOC2"/>
        <w:rPr>
          <w:rFonts w:asciiTheme="minorHAnsi" w:eastAsiaTheme="minorEastAsia" w:hAnsiTheme="minorHAnsi" w:cstheme="minorBidi"/>
          <w:b w:val="0"/>
          <w:sz w:val="22"/>
          <w:szCs w:val="22"/>
        </w:rPr>
      </w:pPr>
      <w:r>
        <w:t>Part 3—Other agencies</w:t>
      </w:r>
      <w:r w:rsidRPr="00253B01">
        <w:rPr>
          <w:b w:val="0"/>
          <w:sz w:val="20"/>
        </w:rPr>
        <w:tab/>
      </w:r>
      <w:r w:rsidRPr="00253B01">
        <w:rPr>
          <w:b w:val="0"/>
          <w:sz w:val="20"/>
        </w:rPr>
        <w:fldChar w:fldCharType="begin"/>
      </w:r>
      <w:r w:rsidRPr="00253B01">
        <w:rPr>
          <w:b w:val="0"/>
          <w:sz w:val="20"/>
        </w:rPr>
        <w:instrText xml:space="preserve"> PAGEREF _Toc124253919 \h </w:instrText>
      </w:r>
      <w:r w:rsidRPr="00253B01">
        <w:rPr>
          <w:b w:val="0"/>
          <w:sz w:val="20"/>
        </w:rPr>
      </w:r>
      <w:r w:rsidRPr="00253B01">
        <w:rPr>
          <w:b w:val="0"/>
          <w:sz w:val="20"/>
        </w:rPr>
        <w:fldChar w:fldCharType="separate"/>
      </w:r>
      <w:r w:rsidR="008E2181">
        <w:rPr>
          <w:b w:val="0"/>
          <w:sz w:val="20"/>
        </w:rPr>
        <w:t>7</w:t>
      </w:r>
      <w:r w:rsidRPr="00253B01">
        <w:rPr>
          <w:b w:val="0"/>
          <w:sz w:val="20"/>
        </w:rPr>
        <w:fldChar w:fldCharType="end"/>
      </w:r>
    </w:p>
    <w:p w:rsidR="00253B01" w:rsidRDefault="00253B01">
      <w:pPr>
        <w:pStyle w:val="TOC3"/>
        <w:rPr>
          <w:rFonts w:asciiTheme="minorHAnsi" w:eastAsiaTheme="minorEastAsia" w:hAnsiTheme="minorHAnsi" w:cstheme="minorBidi"/>
          <w:sz w:val="22"/>
          <w:szCs w:val="22"/>
        </w:rPr>
      </w:pPr>
      <w:r>
        <w:t>General referral requirements</w:t>
      </w:r>
      <w:r w:rsidRPr="00253B01">
        <w:rPr>
          <w:sz w:val="20"/>
        </w:rPr>
        <w:tab/>
      </w:r>
      <w:r w:rsidRPr="00253B01">
        <w:rPr>
          <w:sz w:val="20"/>
        </w:rPr>
        <w:fldChar w:fldCharType="begin"/>
      </w:r>
      <w:r w:rsidRPr="00253B01">
        <w:rPr>
          <w:sz w:val="20"/>
        </w:rPr>
        <w:instrText xml:space="preserve"> PAGEREF _Toc124253920 \h </w:instrText>
      </w:r>
      <w:r w:rsidRPr="00253B01">
        <w:rPr>
          <w:sz w:val="20"/>
        </w:rPr>
      </w:r>
      <w:r w:rsidRPr="00253B01">
        <w:rPr>
          <w:sz w:val="20"/>
        </w:rPr>
        <w:fldChar w:fldCharType="separate"/>
      </w:r>
      <w:r w:rsidR="008E2181">
        <w:rPr>
          <w:sz w:val="20"/>
        </w:rPr>
        <w:t>7</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Routine distribution of drafts</w:t>
      </w:r>
      <w:r w:rsidRPr="00253B01">
        <w:rPr>
          <w:sz w:val="20"/>
        </w:rPr>
        <w:tab/>
      </w:r>
      <w:r w:rsidRPr="00253B01">
        <w:rPr>
          <w:sz w:val="20"/>
        </w:rPr>
        <w:fldChar w:fldCharType="begin"/>
      </w:r>
      <w:r w:rsidRPr="00253B01">
        <w:rPr>
          <w:sz w:val="20"/>
        </w:rPr>
        <w:instrText xml:space="preserve"> PAGEREF _Toc124253921 \h </w:instrText>
      </w:r>
      <w:r w:rsidRPr="00253B01">
        <w:rPr>
          <w:sz w:val="20"/>
        </w:rPr>
      </w:r>
      <w:r w:rsidRPr="00253B01">
        <w:rPr>
          <w:sz w:val="20"/>
        </w:rPr>
        <w:fldChar w:fldCharType="separate"/>
      </w:r>
      <w:r w:rsidR="008E2181">
        <w:rPr>
          <w:sz w:val="20"/>
        </w:rPr>
        <w:t>7</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Territories Branches—further matters</w:t>
      </w:r>
      <w:r w:rsidRPr="00253B01">
        <w:rPr>
          <w:sz w:val="20"/>
        </w:rPr>
        <w:tab/>
      </w:r>
      <w:r w:rsidRPr="00253B01">
        <w:rPr>
          <w:sz w:val="20"/>
        </w:rPr>
        <w:fldChar w:fldCharType="begin"/>
      </w:r>
      <w:r w:rsidRPr="00253B01">
        <w:rPr>
          <w:sz w:val="20"/>
        </w:rPr>
        <w:instrText xml:space="preserve"> PAGEREF _Toc124253922 \h </w:instrText>
      </w:r>
      <w:r w:rsidRPr="00253B01">
        <w:rPr>
          <w:sz w:val="20"/>
        </w:rPr>
      </w:r>
      <w:r w:rsidRPr="00253B01">
        <w:rPr>
          <w:sz w:val="20"/>
        </w:rPr>
        <w:fldChar w:fldCharType="separate"/>
      </w:r>
      <w:r w:rsidR="008E2181">
        <w:rPr>
          <w:sz w:val="20"/>
        </w:rPr>
        <w:t>7</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Where instructions are received from an agency outside the administering portfolio</w:t>
      </w:r>
      <w:r w:rsidRPr="00253B01">
        <w:rPr>
          <w:sz w:val="20"/>
        </w:rPr>
        <w:tab/>
      </w:r>
      <w:r w:rsidRPr="00253B01">
        <w:rPr>
          <w:sz w:val="20"/>
        </w:rPr>
        <w:fldChar w:fldCharType="begin"/>
      </w:r>
      <w:r w:rsidRPr="00253B01">
        <w:rPr>
          <w:sz w:val="20"/>
        </w:rPr>
        <w:instrText xml:space="preserve"> PAGEREF _Toc124253923 \h </w:instrText>
      </w:r>
      <w:r w:rsidRPr="00253B01">
        <w:rPr>
          <w:sz w:val="20"/>
        </w:rPr>
      </w:r>
      <w:r w:rsidRPr="00253B01">
        <w:rPr>
          <w:sz w:val="20"/>
        </w:rPr>
        <w:fldChar w:fldCharType="separate"/>
      </w:r>
      <w:r w:rsidR="008E2181">
        <w:rPr>
          <w:sz w:val="20"/>
        </w:rPr>
        <w:t>7</w:t>
      </w:r>
      <w:r w:rsidRPr="00253B01">
        <w:rPr>
          <w:sz w:val="20"/>
        </w:rPr>
        <w:fldChar w:fldCharType="end"/>
      </w:r>
    </w:p>
    <w:p w:rsidR="00253B01" w:rsidRDefault="00253B01">
      <w:pPr>
        <w:pStyle w:val="TOC2"/>
        <w:rPr>
          <w:rFonts w:asciiTheme="minorHAnsi" w:eastAsiaTheme="minorEastAsia" w:hAnsiTheme="minorHAnsi" w:cstheme="minorBidi"/>
          <w:b w:val="0"/>
          <w:sz w:val="22"/>
          <w:szCs w:val="22"/>
        </w:rPr>
      </w:pPr>
      <w:r>
        <w:t>Attachment A—Attorney</w:t>
      </w:r>
      <w:r>
        <w:noBreakHyphen/>
        <w:t>General’s Department</w:t>
      </w:r>
      <w:r w:rsidRPr="00253B01">
        <w:rPr>
          <w:b w:val="0"/>
          <w:sz w:val="20"/>
        </w:rPr>
        <w:tab/>
      </w:r>
      <w:r w:rsidRPr="00253B01">
        <w:rPr>
          <w:b w:val="0"/>
          <w:sz w:val="20"/>
        </w:rPr>
        <w:fldChar w:fldCharType="begin"/>
      </w:r>
      <w:r w:rsidRPr="00253B01">
        <w:rPr>
          <w:b w:val="0"/>
          <w:sz w:val="20"/>
        </w:rPr>
        <w:instrText xml:space="preserve"> PAGEREF _Toc124253924 \h </w:instrText>
      </w:r>
      <w:r w:rsidRPr="00253B01">
        <w:rPr>
          <w:b w:val="0"/>
          <w:sz w:val="20"/>
        </w:rPr>
      </w:r>
      <w:r w:rsidRPr="00253B01">
        <w:rPr>
          <w:b w:val="0"/>
          <w:sz w:val="20"/>
        </w:rPr>
        <w:fldChar w:fldCharType="separate"/>
      </w:r>
      <w:r w:rsidR="008E2181">
        <w:rPr>
          <w:b w:val="0"/>
          <w:sz w:val="20"/>
        </w:rPr>
        <w:t>9</w:t>
      </w:r>
      <w:r w:rsidRPr="00253B01">
        <w:rPr>
          <w:b w:val="0"/>
          <w:sz w:val="20"/>
        </w:rPr>
        <w:fldChar w:fldCharType="end"/>
      </w:r>
    </w:p>
    <w:p w:rsidR="00253B01" w:rsidRPr="00253B01" w:rsidRDefault="00253B01">
      <w:pPr>
        <w:pStyle w:val="TOC2"/>
        <w:rPr>
          <w:rFonts w:eastAsiaTheme="minorEastAsia"/>
          <w:b w:val="0"/>
          <w:sz w:val="20"/>
          <w:szCs w:val="22"/>
        </w:rPr>
      </w:pPr>
      <w:r>
        <w:t>Attachment B—Other agencies</w:t>
      </w:r>
      <w:r w:rsidRPr="00253B01">
        <w:rPr>
          <w:b w:val="0"/>
          <w:sz w:val="20"/>
        </w:rPr>
        <w:tab/>
      </w:r>
      <w:r w:rsidRPr="00253B01">
        <w:rPr>
          <w:b w:val="0"/>
          <w:sz w:val="20"/>
        </w:rPr>
        <w:fldChar w:fldCharType="begin"/>
      </w:r>
      <w:r w:rsidRPr="00253B01">
        <w:rPr>
          <w:b w:val="0"/>
          <w:sz w:val="20"/>
        </w:rPr>
        <w:instrText xml:space="preserve"> PAGEREF _Toc124253925 \h </w:instrText>
      </w:r>
      <w:r w:rsidRPr="00253B01">
        <w:rPr>
          <w:b w:val="0"/>
          <w:sz w:val="20"/>
        </w:rPr>
      </w:r>
      <w:r w:rsidRPr="00253B01">
        <w:rPr>
          <w:b w:val="0"/>
          <w:sz w:val="20"/>
        </w:rPr>
        <w:fldChar w:fldCharType="separate"/>
      </w:r>
      <w:r w:rsidR="008E2181">
        <w:rPr>
          <w:b w:val="0"/>
          <w:sz w:val="20"/>
        </w:rPr>
        <w:t>16</w:t>
      </w:r>
      <w:r w:rsidRPr="00253B01">
        <w:rPr>
          <w:b w:val="0"/>
          <w:sz w:val="20"/>
        </w:rPr>
        <w:fldChar w:fldCharType="end"/>
      </w:r>
    </w:p>
    <w:p w:rsidR="00D12979" w:rsidRPr="00993CB9" w:rsidRDefault="00780E82" w:rsidP="00253B01">
      <w:pPr>
        <w:rPr>
          <w:sz w:val="32"/>
        </w:rPr>
      </w:pPr>
      <w:r w:rsidRPr="00253B01">
        <w:rPr>
          <w:rFonts w:cs="Times New Roman"/>
          <w:sz w:val="20"/>
        </w:rPr>
        <w:fldChar w:fldCharType="end"/>
      </w:r>
    </w:p>
    <w:p w:rsidR="00D703FB" w:rsidRPr="00993CB9" w:rsidRDefault="00D703FB" w:rsidP="00993CB9">
      <w:pPr>
        <w:pStyle w:val="Head2"/>
      </w:pPr>
      <w:r w:rsidRPr="00993CB9">
        <w:br w:type="page"/>
      </w:r>
      <w:bookmarkStart w:id="1" w:name="_Toc124253903"/>
      <w:r w:rsidRPr="00993CB9">
        <w:lastRenderedPageBreak/>
        <w:t>Part 1—Introduction</w:t>
      </w:r>
      <w:bookmarkEnd w:id="1"/>
    </w:p>
    <w:p w:rsidR="00D703FB" w:rsidRPr="00993CB9" w:rsidRDefault="00D703FB" w:rsidP="00D703FB">
      <w:pPr>
        <w:pStyle w:val="BodyNum"/>
      </w:pPr>
      <w:r w:rsidRPr="00993CB9">
        <w:t>This Drafting Direction d</w:t>
      </w:r>
      <w:r w:rsidR="00E52A92" w:rsidRPr="00993CB9">
        <w:t>eals with the referral by OPC of drafts</w:t>
      </w:r>
      <w:r w:rsidR="0002661E" w:rsidRPr="00993CB9">
        <w:t xml:space="preserve"> (e.g. Bills and tied instruments)</w:t>
      </w:r>
      <w:r w:rsidRPr="00993CB9">
        <w:t xml:space="preserve"> to agencies other than the instructing agency. Part 2 deals with the referral of drafts to </w:t>
      </w:r>
      <w:r w:rsidR="00E77B56" w:rsidRPr="00993CB9">
        <w:t>areas</w:t>
      </w:r>
      <w:r w:rsidRPr="00993CB9">
        <w:t xml:space="preserve"> within the Attorney</w:t>
      </w:r>
      <w:r w:rsidR="00253B01">
        <w:noBreakHyphen/>
      </w:r>
      <w:r w:rsidRPr="00993CB9">
        <w:t xml:space="preserve">General’s </w:t>
      </w:r>
      <w:r w:rsidR="00ED1BD7" w:rsidRPr="00993CB9">
        <w:t>Department</w:t>
      </w:r>
      <w:r w:rsidR="002024BF" w:rsidRPr="00993CB9">
        <w:t xml:space="preserve"> (</w:t>
      </w:r>
      <w:r w:rsidR="002024BF" w:rsidRPr="00993CB9">
        <w:rPr>
          <w:b/>
          <w:i/>
        </w:rPr>
        <w:t>AGD</w:t>
      </w:r>
      <w:r w:rsidR="002024BF" w:rsidRPr="00993CB9">
        <w:t>)</w:t>
      </w:r>
      <w:r w:rsidRPr="00993CB9">
        <w:t xml:space="preserve"> and Part 3 deals with the referral of drafts to other agencies.</w:t>
      </w:r>
    </w:p>
    <w:p w:rsidR="00D703FB" w:rsidRPr="00993CB9" w:rsidRDefault="00D703FB" w:rsidP="00993CB9">
      <w:pPr>
        <w:pStyle w:val="Head3"/>
      </w:pPr>
      <w:bookmarkStart w:id="2" w:name="_Toc124253904"/>
      <w:r w:rsidRPr="00993CB9">
        <w:t>Why and to whom do we refer drafts?</w:t>
      </w:r>
      <w:bookmarkEnd w:id="2"/>
    </w:p>
    <w:p w:rsidR="00D703FB" w:rsidRPr="00993CB9" w:rsidRDefault="00D703FB" w:rsidP="00D703FB">
      <w:pPr>
        <w:pStyle w:val="BodyNum"/>
      </w:pPr>
      <w:r w:rsidRPr="00993CB9">
        <w:t>We refer drafts to agencies who have a right or responsibility to provide policy input in relation to a draft, generally because the agency has a coordinating or whole</w:t>
      </w:r>
      <w:r w:rsidR="00253B01">
        <w:noBreakHyphen/>
      </w:r>
      <w:r w:rsidRPr="00993CB9">
        <w:t>of</w:t>
      </w:r>
      <w:r w:rsidR="00253B01">
        <w:noBreakHyphen/>
      </w:r>
      <w:r w:rsidRPr="00993CB9">
        <w:t xml:space="preserve">government responsibility for a matter dealt with in the draft (such as legal policy issues for </w:t>
      </w:r>
      <w:r w:rsidR="002024BF" w:rsidRPr="00993CB9">
        <w:t>AGD</w:t>
      </w:r>
      <w:r w:rsidRPr="00993CB9">
        <w:t>, public sector terms and conditions issues for the Australian Public Service Commission (</w:t>
      </w:r>
      <w:r w:rsidRPr="00993CB9">
        <w:rPr>
          <w:b/>
          <w:i/>
        </w:rPr>
        <w:t>APSC</w:t>
      </w:r>
      <w:r w:rsidRPr="00993CB9">
        <w:t>), etc</w:t>
      </w:r>
      <w:r w:rsidR="00ED1BD7" w:rsidRPr="00993CB9">
        <w:t>.</w:t>
      </w:r>
      <w:r w:rsidRPr="00993CB9">
        <w:t>). The intention is to ensure that our drafts properly reflect overarching government policies.</w:t>
      </w:r>
    </w:p>
    <w:p w:rsidR="00D703FB" w:rsidRPr="00993CB9" w:rsidRDefault="00D703FB" w:rsidP="00D703FB">
      <w:pPr>
        <w:pStyle w:val="BodyNum"/>
      </w:pPr>
      <w:r w:rsidRPr="00993CB9">
        <w:t>However, we should not amend legislation except on the instructions of the administering agencies, or with their consent.</w:t>
      </w:r>
    </w:p>
    <w:p w:rsidR="00D703FB" w:rsidRPr="00993CB9" w:rsidRDefault="00D703FB" w:rsidP="00D703FB">
      <w:pPr>
        <w:pStyle w:val="BodyNum"/>
      </w:pPr>
      <w:r w:rsidRPr="00993CB9">
        <w:t>Moreover, it is not our responsibility, nor do we have the resources, to help other agencies keep up</w:t>
      </w:r>
      <w:r w:rsidR="00253B01">
        <w:noBreakHyphen/>
      </w:r>
      <w:r w:rsidRPr="00993CB9">
        <w:t>to</w:t>
      </w:r>
      <w:r w:rsidR="00253B01">
        <w:noBreakHyphen/>
      </w:r>
      <w:r w:rsidRPr="00993CB9">
        <w:t>date with overarching government policies that affect them (as opposed to</w:t>
      </w:r>
      <w:r w:rsidR="009E57A6" w:rsidRPr="00993CB9">
        <w:t xml:space="preserve"> policies</w:t>
      </w:r>
      <w:r w:rsidRPr="00993CB9">
        <w:t xml:space="preserve"> “for which they are responsible”), or more generally to keep up</w:t>
      </w:r>
      <w:r w:rsidR="00253B01">
        <w:noBreakHyphen/>
      </w:r>
      <w:r w:rsidRPr="00993CB9">
        <w:t>to</w:t>
      </w:r>
      <w:r w:rsidR="00253B01">
        <w:noBreakHyphen/>
      </w:r>
      <w:r w:rsidRPr="00993CB9">
        <w:t>date with other developments in the public sector. Liaison with affected agencies is really the responsibility of the instructors whose draft will have an impact on other agencies’ legislation.</w:t>
      </w:r>
    </w:p>
    <w:p w:rsidR="00D703FB" w:rsidRPr="00993CB9" w:rsidRDefault="00D703FB" w:rsidP="00D703FB">
      <w:pPr>
        <w:pStyle w:val="BodyNum"/>
      </w:pPr>
      <w:r w:rsidRPr="00993CB9">
        <w:t>Therefore</w:t>
      </w:r>
      <w:r w:rsidR="009E57A6" w:rsidRPr="00993CB9">
        <w:t>,</w:t>
      </w:r>
      <w:r w:rsidRPr="00993CB9">
        <w:t xml:space="preserve"> we do not have any general right or obligation to distribute drafts beyond the agencies mentioned in this Drafting Direction. Apart from these agencies, the decision on how widely a draft is distributed during the drafting process must be one for our clients rather than for us.</w:t>
      </w:r>
    </w:p>
    <w:p w:rsidR="00D703FB" w:rsidRPr="00993CB9" w:rsidRDefault="00D703FB" w:rsidP="00993CB9">
      <w:pPr>
        <w:pStyle w:val="Head3"/>
      </w:pPr>
      <w:bookmarkStart w:id="3" w:name="_Toc124253905"/>
      <w:r w:rsidRPr="00993CB9">
        <w:t>When should drafts be referred?</w:t>
      </w:r>
      <w:bookmarkEnd w:id="3"/>
    </w:p>
    <w:p w:rsidR="00D703FB" w:rsidRPr="00993CB9" w:rsidRDefault="00D703FB" w:rsidP="00D703FB">
      <w:pPr>
        <w:pStyle w:val="BodyNum"/>
      </w:pPr>
      <w:r w:rsidRPr="00993CB9">
        <w:t xml:space="preserve">In general, deciding when in the drafting process a draft should be referred is a matter of judgement. If a draft is referred too early (i.e. before policy and approach are reasonably well settled), the agencies receiving the draft may waste time considering draft provisions that are later abandoned. If a draft is referred too late, the agencies receiving it may not have time to provide useful comments or negotiate on policy approaches </w:t>
      </w:r>
      <w:r w:rsidR="00BA758C">
        <w:t>in which they have an interest.</w:t>
      </w:r>
    </w:p>
    <w:p w:rsidR="00D703FB" w:rsidRDefault="00D703FB" w:rsidP="00D703FB">
      <w:pPr>
        <w:pStyle w:val="BodyNum"/>
      </w:pPr>
      <w:r w:rsidRPr="00993CB9">
        <w:t xml:space="preserve">However there are some projects that should be referred to some interested agencies as early as possible, perhaps even before drafting has started. For instance, the </w:t>
      </w:r>
      <w:r w:rsidR="00DB2F53" w:rsidRPr="00993CB9">
        <w:t>Security and Criminal Justice Branch</w:t>
      </w:r>
      <w:r w:rsidR="009B7E3E" w:rsidRPr="00993CB9">
        <w:t>,</w:t>
      </w:r>
      <w:r w:rsidR="00570443" w:rsidRPr="00993CB9">
        <w:t xml:space="preserve"> the </w:t>
      </w:r>
      <w:r w:rsidR="00DB2F53" w:rsidRPr="00993CB9">
        <w:t>Legal System Branch</w:t>
      </w:r>
      <w:r w:rsidR="009B7E3E" w:rsidRPr="00993CB9">
        <w:t xml:space="preserve"> and the Native Title Unit</w:t>
      </w:r>
      <w:r w:rsidR="00E33F7B" w:rsidRPr="00993CB9">
        <w:t xml:space="preserve"> </w:t>
      </w:r>
      <w:r w:rsidRPr="00993CB9">
        <w:t xml:space="preserve">in </w:t>
      </w:r>
      <w:r w:rsidR="002024BF" w:rsidRPr="00993CB9">
        <w:t>AGD</w:t>
      </w:r>
      <w:r w:rsidR="008224CC" w:rsidRPr="00993CB9">
        <w:t xml:space="preserve">, </w:t>
      </w:r>
      <w:r w:rsidRPr="00993CB9">
        <w:t xml:space="preserve">the </w:t>
      </w:r>
      <w:r w:rsidR="00BB4147" w:rsidRPr="00993CB9">
        <w:t>PGPA Advisory Branch</w:t>
      </w:r>
      <w:r w:rsidR="00BA758C">
        <w:t xml:space="preserve"> and the Accounting and Framework</w:t>
      </w:r>
      <w:r w:rsidR="001A6A44">
        <w:t>s</w:t>
      </w:r>
      <w:r w:rsidR="00BA758C">
        <w:t xml:space="preserve"> Branch</w:t>
      </w:r>
      <w:r w:rsidR="00BB4147" w:rsidRPr="00993CB9">
        <w:t xml:space="preserve"> </w:t>
      </w:r>
      <w:r w:rsidRPr="00993CB9">
        <w:t>of the Department of Finance</w:t>
      </w:r>
      <w:r w:rsidR="00BA758C">
        <w:t xml:space="preserve">, </w:t>
      </w:r>
      <w:r w:rsidR="008224CC" w:rsidRPr="00993CB9">
        <w:t>and Geoscience Australia</w:t>
      </w:r>
      <w:r w:rsidRPr="00993CB9">
        <w:t xml:space="preserve"> have advised that they would prefer to give advice about policy proposals that are relevant to their responsibilities rather than waiting until they see a draft.</w:t>
      </w:r>
    </w:p>
    <w:p w:rsidR="00D7584E" w:rsidRPr="00993CB9" w:rsidRDefault="00D7584E" w:rsidP="00D7584E">
      <w:pPr>
        <w:pStyle w:val="BodyNum"/>
      </w:pPr>
      <w:r w:rsidRPr="00993CB9">
        <w:t xml:space="preserve">It is not necessary to refer successive copies of a draft to </w:t>
      </w:r>
      <w:r>
        <w:t xml:space="preserve">an agency (or area of an agency) </w:t>
      </w:r>
      <w:r w:rsidRPr="00993CB9">
        <w:t>if the relevant provisions have not been changed since the draft was last referred.</w:t>
      </w:r>
    </w:p>
    <w:p w:rsidR="00D7584E" w:rsidRPr="00993CB9" w:rsidRDefault="00D7584E" w:rsidP="00D7584E">
      <w:pPr>
        <w:pStyle w:val="Head3"/>
      </w:pPr>
      <w:bookmarkStart w:id="4" w:name="_Toc124253906"/>
      <w:r w:rsidRPr="00993CB9">
        <w:lastRenderedPageBreak/>
        <w:t>Comments on drafts</w:t>
      </w:r>
      <w:bookmarkEnd w:id="4"/>
    </w:p>
    <w:p w:rsidR="00D7584E" w:rsidRPr="00993CB9" w:rsidRDefault="00D7584E" w:rsidP="00D7584E">
      <w:pPr>
        <w:pStyle w:val="BodyNum"/>
      </w:pPr>
      <w:r w:rsidRPr="00993CB9">
        <w:t xml:space="preserve">When you have referred the draft to an </w:t>
      </w:r>
      <w:r>
        <w:t>agency,</w:t>
      </w:r>
      <w:r w:rsidRPr="00993CB9">
        <w:t xml:space="preserve"> that a</w:t>
      </w:r>
      <w:r>
        <w:t>gency</w:t>
      </w:r>
      <w:r w:rsidRPr="00993CB9">
        <w:t xml:space="preserve"> is responsible for commenting on the draft in a timely way, or taking any other appropriate action. In some cases, a</w:t>
      </w:r>
      <w:r>
        <w:t>gencies</w:t>
      </w:r>
      <w:r w:rsidRPr="00993CB9">
        <w:t xml:space="preserve"> will be interested to know that the draft contains certain provisions but will not want to comment on the provisions.</w:t>
      </w:r>
    </w:p>
    <w:p w:rsidR="00D7584E" w:rsidRPr="00993CB9" w:rsidRDefault="00D7584E" w:rsidP="00D7584E">
      <w:pPr>
        <w:pStyle w:val="Head3"/>
      </w:pPr>
      <w:bookmarkStart w:id="5" w:name="_Toc124253907"/>
      <w:r w:rsidRPr="00993CB9">
        <w:t>Need to follow up referral</w:t>
      </w:r>
      <w:bookmarkEnd w:id="5"/>
    </w:p>
    <w:p w:rsidR="00D7584E" w:rsidRPr="00993CB9" w:rsidRDefault="00D7584E" w:rsidP="00D7584E">
      <w:pPr>
        <w:pStyle w:val="BodyNum"/>
      </w:pPr>
      <w:r w:rsidRPr="00993CB9">
        <w:t>In general, therefore, you do not have to follow up the a</w:t>
      </w:r>
      <w:r>
        <w:t>gencies</w:t>
      </w:r>
      <w:r w:rsidRPr="00993CB9">
        <w:t xml:space="preserve"> to which you have referred the draft. The only exceptions are:</w:t>
      </w:r>
    </w:p>
    <w:p w:rsidR="00D7584E" w:rsidRPr="00993CB9" w:rsidRDefault="00D7584E" w:rsidP="00D7584E">
      <w:pPr>
        <w:pStyle w:val="BodyPara"/>
      </w:pPr>
      <w:r w:rsidRPr="00993CB9">
        <w:t>matters that affect the legal effectiveness of the draft (e.g. whether the draft gives appropriate effect to an international agreement, where that agreement provides the constitutional basis for the draft); and</w:t>
      </w:r>
    </w:p>
    <w:p w:rsidR="00D7584E" w:rsidRPr="00993CB9" w:rsidRDefault="00D7584E" w:rsidP="00D7584E">
      <w:pPr>
        <w:pStyle w:val="BodyPara"/>
      </w:pPr>
      <w:r w:rsidRPr="00993CB9">
        <w:t>matters that must be resolved before the draft can be completed (e.g. penalties for new offences) or that you think ought to be resolved before the draft is completed (e.g. whether a new administrative power ought to be reviewable or whether the draft is consistent with Australia’s international obligations).</w:t>
      </w:r>
    </w:p>
    <w:p w:rsidR="00D7584E" w:rsidRPr="00D7584E" w:rsidRDefault="00D7584E" w:rsidP="00D7584E">
      <w:pPr>
        <w:pStyle w:val="Head3"/>
      </w:pPr>
      <w:bookmarkStart w:id="6" w:name="_Toc124253908"/>
      <w:r w:rsidRPr="00993CB9">
        <w:t xml:space="preserve">Assisting </w:t>
      </w:r>
      <w:r>
        <w:t>agencies</w:t>
      </w:r>
      <w:bookmarkEnd w:id="6"/>
    </w:p>
    <w:p w:rsidR="00D7584E" w:rsidRPr="00993CB9" w:rsidRDefault="00D7584E" w:rsidP="00D7584E">
      <w:pPr>
        <w:pStyle w:val="BodyNum"/>
      </w:pPr>
      <w:r>
        <w:t>S</w:t>
      </w:r>
      <w:r w:rsidRPr="00993CB9">
        <w:t>crutiny officers sometimes like to discuss drafts with drafters. Drafters should be as responsive as practicable to requests to discuss drafts. Any requests for access to Explanatory Memorandums or Explanatory Statements, or detailed aspects of the policy, should be referred to instructors.</w:t>
      </w:r>
    </w:p>
    <w:p w:rsidR="00D7584E" w:rsidRPr="00993CB9" w:rsidRDefault="00D7584E" w:rsidP="00D7584E">
      <w:pPr>
        <w:pStyle w:val="BodyNum"/>
      </w:pPr>
      <w:r w:rsidRPr="00993CB9">
        <w:t>To the extent practicable, drafters are required to indicate provisions that are to be scrutinised, the matters relevant to the referral and in some cases the intended general effect of the change (especially if it is not immediately discernible or impacts on related but unspecified legislation). This can be done using the Ref2AGs macro</w:t>
      </w:r>
      <w:r>
        <w:t>.</w:t>
      </w:r>
      <w:r w:rsidRPr="00993CB9">
        <w:t xml:space="preserve"> If the whole draft is relevant to one or more matters, the drafter should state this. If the draft is being referred for a reason that is not immediately obvious, or is not a usual referral matter, the drafter should include a note about the matter in the draft, or indicate that the scrutiny officer is encouraged to contact the drafter to discuss the matter.</w:t>
      </w:r>
    </w:p>
    <w:p w:rsidR="00D7584E" w:rsidRPr="00993CB9" w:rsidRDefault="004A4144" w:rsidP="00D7584E">
      <w:pPr>
        <w:pStyle w:val="BodyNum"/>
      </w:pPr>
      <w:r>
        <w:t>S</w:t>
      </w:r>
      <w:r w:rsidR="00D7584E" w:rsidRPr="00993CB9">
        <w:t>crutiny officers appreciate receiving revision</w:t>
      </w:r>
      <w:r w:rsidR="00253B01">
        <w:noBreakHyphen/>
      </w:r>
      <w:r w:rsidR="00D7584E" w:rsidRPr="00993CB9">
        <w:t>marked versions of referred provisions that are revised later in response to scrutiny comments (or in such a way as to require additional scrutiny). They also find it helpful if these versions are referred to the relevant generic referrals address and copied to the previous action officer. Drafters should do this whenever practicable.</w:t>
      </w:r>
    </w:p>
    <w:p w:rsidR="00D703FB" w:rsidRPr="00993CB9" w:rsidRDefault="00D703FB" w:rsidP="00993CB9">
      <w:pPr>
        <w:pStyle w:val="Head2"/>
      </w:pPr>
      <w:bookmarkStart w:id="7" w:name="_Toc124253909"/>
      <w:r w:rsidRPr="00993CB9">
        <w:t>Part 2—Attorney</w:t>
      </w:r>
      <w:r w:rsidR="00253B01">
        <w:noBreakHyphen/>
      </w:r>
      <w:r w:rsidRPr="00993CB9">
        <w:t>General’s Department</w:t>
      </w:r>
      <w:bookmarkEnd w:id="7"/>
    </w:p>
    <w:p w:rsidR="00D703FB" w:rsidRPr="00993CB9" w:rsidRDefault="00D703FB" w:rsidP="00D703FB">
      <w:pPr>
        <w:pStyle w:val="BodyNum"/>
      </w:pPr>
      <w:r w:rsidRPr="00993CB9">
        <w:t xml:space="preserve">Attachment A contains a list of draft provisions that should be referred to various areas of </w:t>
      </w:r>
      <w:r w:rsidR="002024BF" w:rsidRPr="00993CB9">
        <w:t>AGD</w:t>
      </w:r>
      <w:r w:rsidRPr="00993CB9">
        <w:t xml:space="preserve"> for comment, and the areas to which the relevant drafts should be referred.</w:t>
      </w:r>
    </w:p>
    <w:p w:rsidR="00D703FB" w:rsidRPr="00993CB9" w:rsidRDefault="00D703FB" w:rsidP="00993CB9">
      <w:pPr>
        <w:pStyle w:val="Head3"/>
      </w:pPr>
      <w:bookmarkStart w:id="8" w:name="_Toc124253910"/>
      <w:r w:rsidRPr="00993CB9">
        <w:lastRenderedPageBreak/>
        <w:t>Office of International Law—further matters</w:t>
      </w:r>
      <w:bookmarkEnd w:id="8"/>
    </w:p>
    <w:p w:rsidR="00D703FB" w:rsidRPr="00993CB9" w:rsidRDefault="00DF5ACC" w:rsidP="00993CB9">
      <w:pPr>
        <w:pStyle w:val="Head4"/>
      </w:pPr>
      <w:bookmarkStart w:id="9" w:name="_Toc124253911"/>
      <w:r w:rsidRPr="00993CB9">
        <w:t>Consulting OIL early</w:t>
      </w:r>
      <w:bookmarkEnd w:id="9"/>
    </w:p>
    <w:p w:rsidR="00D703FB" w:rsidRPr="00993CB9" w:rsidRDefault="00D703FB" w:rsidP="00D703FB">
      <w:pPr>
        <w:pStyle w:val="BodyNum"/>
      </w:pPr>
      <w:r w:rsidRPr="00993CB9">
        <w:t>Several items in Attachment A require certain provisions to be referred to the Office of International Law (</w:t>
      </w:r>
      <w:r w:rsidRPr="00993CB9">
        <w:rPr>
          <w:b/>
          <w:i/>
        </w:rPr>
        <w:t>OIL</w:t>
      </w:r>
      <w:r w:rsidRPr="00993CB9">
        <w:t>) for comment.</w:t>
      </w:r>
    </w:p>
    <w:p w:rsidR="00D703FB" w:rsidRPr="00993CB9" w:rsidRDefault="00D703FB" w:rsidP="00D703FB">
      <w:pPr>
        <w:pStyle w:val="BodyNum"/>
      </w:pPr>
      <w:r w:rsidRPr="00993CB9">
        <w:t xml:space="preserve">OIL has advised that you or your instructors should contact OIL (or one of the other tied providers of international law work, i.e. </w:t>
      </w:r>
      <w:r w:rsidR="009E57A6" w:rsidRPr="00993CB9">
        <w:t>the Australian Government Solicitor (</w:t>
      </w:r>
      <w:r w:rsidRPr="00993CB9">
        <w:rPr>
          <w:b/>
          <w:i/>
        </w:rPr>
        <w:t>AGS</w:t>
      </w:r>
      <w:r w:rsidR="009E57A6" w:rsidRPr="00993CB9">
        <w:t>)</w:t>
      </w:r>
      <w:r w:rsidRPr="00993CB9">
        <w:t xml:space="preserve"> or </w:t>
      </w:r>
      <w:r w:rsidR="009E57A6" w:rsidRPr="00993CB9">
        <w:t>the Department of Foreign Affairs and Trade (</w:t>
      </w:r>
      <w:r w:rsidRPr="00993CB9">
        <w:rPr>
          <w:b/>
          <w:i/>
        </w:rPr>
        <w:t>DFAT</w:t>
      </w:r>
      <w:r w:rsidR="009E57A6" w:rsidRPr="00993CB9">
        <w:t>)</w:t>
      </w:r>
      <w:r w:rsidR="008A523F" w:rsidRPr="00993CB9">
        <w:t>,</w:t>
      </w:r>
      <w:r w:rsidR="009B7E3E" w:rsidRPr="00993CB9">
        <w:t xml:space="preserve"> under the Legal Services Direct</w:t>
      </w:r>
      <w:r w:rsidR="008A523F" w:rsidRPr="00993CB9">
        <w:t>i</w:t>
      </w:r>
      <w:r w:rsidR="009B7E3E" w:rsidRPr="00993CB9">
        <w:t>ons</w:t>
      </w:r>
      <w:r w:rsidRPr="00993CB9">
        <w:t xml:space="preserve">) for advice at an early stage </w:t>
      </w:r>
      <w:r w:rsidR="00DF5ACC" w:rsidRPr="00993CB9">
        <w:t xml:space="preserve">(ideally before drafting starts) </w:t>
      </w:r>
      <w:r w:rsidRPr="00993CB9">
        <w:t>in relation to provisions that are ultimately required to be referred to OIL for comment.</w:t>
      </w:r>
    </w:p>
    <w:p w:rsidR="00D703FB" w:rsidRPr="00993CB9" w:rsidRDefault="00D703FB" w:rsidP="00993CB9">
      <w:pPr>
        <w:pStyle w:val="Head4"/>
      </w:pPr>
      <w:bookmarkStart w:id="10" w:name="_Toc124253912"/>
      <w:r w:rsidRPr="00993CB9">
        <w:t>Identifying relevant international agreements</w:t>
      </w:r>
      <w:bookmarkEnd w:id="10"/>
    </w:p>
    <w:p w:rsidR="00D703FB" w:rsidRPr="00993CB9" w:rsidRDefault="00D703FB" w:rsidP="00D703FB">
      <w:pPr>
        <w:pStyle w:val="BodyNum"/>
      </w:pPr>
      <w:r w:rsidRPr="00993CB9">
        <w:t>Sometimes, it is not apparent on the face of</w:t>
      </w:r>
      <w:r w:rsidR="00E33F7B" w:rsidRPr="00993CB9">
        <w:t xml:space="preserve"> </w:t>
      </w:r>
      <w:r w:rsidRPr="00993CB9">
        <w:t>a draft</w:t>
      </w:r>
      <w:r w:rsidR="00E33F7B" w:rsidRPr="00993CB9">
        <w:t xml:space="preserve"> </w:t>
      </w:r>
      <w:r w:rsidRPr="00993CB9">
        <w:t>that an international agreement might exist whose content is relevant to the draft. The following measures are aimed at ensuring that any relevant international agreement is taken into account in drafting.</w:t>
      </w:r>
    </w:p>
    <w:p w:rsidR="00D703FB" w:rsidRPr="00993CB9" w:rsidRDefault="00D703FB" w:rsidP="00D703FB">
      <w:pPr>
        <w:pStyle w:val="BodyNum"/>
      </w:pPr>
      <w:r w:rsidRPr="00993CB9">
        <w:t>Cabinet submissions seeking approval for Bills are accompanied by coordination comments and OIL contributes to these comments in situations where it is aware international law is relevant. So, if you are drafting on the basis of Cabinet authority, you could use the coordination comments in the accompanying submission as one way of working out the impact of international law.</w:t>
      </w:r>
    </w:p>
    <w:p w:rsidR="00D703FB" w:rsidRPr="00993CB9" w:rsidRDefault="00D703FB" w:rsidP="00D703FB">
      <w:pPr>
        <w:pStyle w:val="BodyNum"/>
      </w:pPr>
      <w:r w:rsidRPr="00993CB9">
        <w:t>To supplement these measures, you should</w:t>
      </w:r>
      <w:r w:rsidR="00250280" w:rsidRPr="00993CB9">
        <w:t xml:space="preserve"> </w:t>
      </w:r>
      <w:r w:rsidRPr="00993CB9">
        <w:t>prompt instructors with questions along the lines of the following:</w:t>
      </w:r>
    </w:p>
    <w:p w:rsidR="00D703FB" w:rsidRPr="00993CB9" w:rsidRDefault="00D703FB" w:rsidP="00D703FB">
      <w:pPr>
        <w:pStyle w:val="BodyPara"/>
      </w:pPr>
      <w:bookmarkStart w:id="11" w:name="_Ref265653497"/>
      <w:r w:rsidRPr="00993CB9">
        <w:t xml:space="preserve">does the draft implement a treaty </w:t>
      </w:r>
      <w:r w:rsidRPr="00993CB9">
        <w:rPr>
          <w:iCs/>
          <w:color w:val="000000" w:themeColor="text1"/>
          <w:szCs w:val="24"/>
        </w:rPr>
        <w:t>or amend legislation that already implements a treaty</w:t>
      </w:r>
      <w:r w:rsidRPr="00993CB9">
        <w:t>?</w:t>
      </w:r>
      <w:bookmarkEnd w:id="11"/>
      <w:r w:rsidRPr="00993CB9">
        <w:t xml:space="preserve"> </w:t>
      </w:r>
    </w:p>
    <w:p w:rsidR="00D703FB" w:rsidRPr="00993CB9" w:rsidRDefault="00D703FB" w:rsidP="00D703FB">
      <w:pPr>
        <w:pStyle w:val="BodyPara"/>
      </w:pPr>
      <w:bookmarkStart w:id="12" w:name="_Ref265653518"/>
      <w:r w:rsidRPr="00993CB9">
        <w:t>is constitutional support dependent on a treaty?</w:t>
      </w:r>
      <w:bookmarkEnd w:id="12"/>
    </w:p>
    <w:p w:rsidR="00D703FB" w:rsidRPr="00993CB9" w:rsidRDefault="00D703FB" w:rsidP="00D703FB">
      <w:pPr>
        <w:pStyle w:val="BodyPara"/>
      </w:pPr>
      <w:bookmarkStart w:id="13" w:name="_Ref265653537"/>
      <w:r w:rsidRPr="00993CB9">
        <w:t>might the draft be considered to infringe civil, political or other human rights?</w:t>
      </w:r>
      <w:bookmarkEnd w:id="13"/>
    </w:p>
    <w:p w:rsidR="00D703FB" w:rsidRPr="00993CB9" w:rsidRDefault="00D703FB" w:rsidP="00D703FB">
      <w:pPr>
        <w:pStyle w:val="BodyPara"/>
      </w:pPr>
      <w:bookmarkStart w:id="14" w:name="_Ref369160315"/>
      <w:r w:rsidRPr="00993CB9">
        <w:t xml:space="preserve">does the draft raise any potential issues with the international instruments mentioned in the definition of </w:t>
      </w:r>
      <w:r w:rsidRPr="00993CB9">
        <w:rPr>
          <w:b/>
          <w:i/>
        </w:rPr>
        <w:t xml:space="preserve">human rights </w:t>
      </w:r>
      <w:r w:rsidRPr="00993CB9">
        <w:t xml:space="preserve">in </w:t>
      </w:r>
      <w:r w:rsidR="00B00581">
        <w:t>subsection 3</w:t>
      </w:r>
      <w:r w:rsidRPr="00993CB9">
        <w:t xml:space="preserve">(1) of the </w:t>
      </w:r>
      <w:r w:rsidRPr="00993CB9">
        <w:rPr>
          <w:i/>
        </w:rPr>
        <w:t>Human Rights (Parliamentary Scrutiny) Act 2011</w:t>
      </w:r>
      <w:r w:rsidRPr="00993CB9">
        <w:t>?</w:t>
      </w:r>
      <w:bookmarkEnd w:id="14"/>
    </w:p>
    <w:p w:rsidR="00D703FB" w:rsidRPr="00993CB9" w:rsidRDefault="00D703FB" w:rsidP="00D703FB">
      <w:pPr>
        <w:pStyle w:val="BodyPara"/>
      </w:pPr>
      <w:bookmarkStart w:id="15" w:name="_Ref265653588"/>
      <w:r w:rsidRPr="00993CB9">
        <w:t>have the instructors had any discussions with OIL, AGS or DFAT?</w:t>
      </w:r>
      <w:bookmarkEnd w:id="15"/>
    </w:p>
    <w:p w:rsidR="00D703FB" w:rsidRPr="00993CB9" w:rsidRDefault="00D703FB" w:rsidP="00D703FB">
      <w:pPr>
        <w:pStyle w:val="BodyPara"/>
      </w:pPr>
      <w:bookmarkStart w:id="16" w:name="_Ref265653603"/>
      <w:r w:rsidRPr="00993CB9">
        <w:t>did OIL make coordination comments on the Cabinet submission?</w:t>
      </w:r>
      <w:bookmarkEnd w:id="16"/>
    </w:p>
    <w:p w:rsidR="00D703FB" w:rsidRPr="00993CB9" w:rsidRDefault="00D703FB" w:rsidP="00D703FB">
      <w:pPr>
        <w:pStyle w:val="BodyPara"/>
      </w:pPr>
      <w:bookmarkStart w:id="17" w:name="_Ref265653618"/>
      <w:r w:rsidRPr="00993CB9">
        <w:t xml:space="preserve">does the draft provide any sort of subsidy or concession in relation to things </w:t>
      </w:r>
      <w:r w:rsidR="009E57A6" w:rsidRPr="00993CB9">
        <w:t xml:space="preserve">that are </w:t>
      </w:r>
      <w:r w:rsidRPr="00993CB9">
        <w:t>destined for export, or that will compete with other countries’ products?</w:t>
      </w:r>
      <w:bookmarkEnd w:id="17"/>
    </w:p>
    <w:p w:rsidR="00D703FB" w:rsidRPr="00993CB9" w:rsidRDefault="00D703FB" w:rsidP="00D703FB">
      <w:pPr>
        <w:pStyle w:val="BodyPara"/>
      </w:pPr>
      <w:bookmarkStart w:id="18" w:name="_Ref265653629"/>
      <w:r w:rsidRPr="00993CB9">
        <w:t>does the draft impose minimum Australian ownership, or Australian content, rules?</w:t>
      </w:r>
      <w:bookmarkEnd w:id="18"/>
    </w:p>
    <w:p w:rsidR="00D703FB" w:rsidRPr="00993CB9" w:rsidRDefault="00D703FB" w:rsidP="00D703FB">
      <w:pPr>
        <w:pStyle w:val="BodyPara"/>
      </w:pPr>
      <w:bookmarkStart w:id="19" w:name="_Ref265653637"/>
      <w:r w:rsidRPr="00993CB9">
        <w:t xml:space="preserve">if the draft deals with human rights, </w:t>
      </w:r>
      <w:r w:rsidR="008C1D37">
        <w:t xml:space="preserve">trade, </w:t>
      </w:r>
      <w:r w:rsidRPr="00993CB9">
        <w:t>intellectual property, anti</w:t>
      </w:r>
      <w:r w:rsidR="00253B01">
        <w:noBreakHyphen/>
      </w:r>
      <w:r w:rsidRPr="00993CB9">
        <w:t>dumping, customs valuation, greenhouse gas,</w:t>
      </w:r>
      <w:r w:rsidR="000F0D17" w:rsidRPr="00993CB9">
        <w:t xml:space="preserve"> </w:t>
      </w:r>
      <w:r w:rsidRPr="00993CB9">
        <w:t xml:space="preserve">international tax or other matters you </w:t>
      </w:r>
      <w:r w:rsidRPr="00993CB9">
        <w:lastRenderedPageBreak/>
        <w:t>consider may have international law implications, have the instructors considered international law aspects?</w:t>
      </w:r>
      <w:bookmarkEnd w:id="19"/>
    </w:p>
    <w:p w:rsidR="00D703FB" w:rsidRPr="00993CB9" w:rsidRDefault="00D703FB" w:rsidP="00D703FB">
      <w:pPr>
        <w:pStyle w:val="BodyNum"/>
      </w:pPr>
      <w:r w:rsidRPr="00993CB9">
        <w:rPr>
          <w:color w:val="000000"/>
        </w:rPr>
        <w:t xml:space="preserve">The matters in paragraphs </w:t>
      </w:r>
      <w:r w:rsidRPr="00993CB9">
        <w:rPr>
          <w:color w:val="000000"/>
        </w:rPr>
        <w:fldChar w:fldCharType="begin"/>
      </w:r>
      <w:r w:rsidRPr="00993CB9">
        <w:rPr>
          <w:color w:val="000000"/>
        </w:rPr>
        <w:instrText xml:space="preserve"> REF _Ref265653497 \r \h </w:instrText>
      </w:r>
      <w:r w:rsidRPr="00993CB9">
        <w:rPr>
          <w:color w:val="000000"/>
        </w:rPr>
      </w:r>
      <w:r w:rsidRPr="00993CB9">
        <w:rPr>
          <w:color w:val="000000"/>
        </w:rPr>
        <w:fldChar w:fldCharType="separate"/>
      </w:r>
      <w:r w:rsidR="008E2181">
        <w:rPr>
          <w:color w:val="000000"/>
        </w:rPr>
        <w:t>19(a)</w:t>
      </w:r>
      <w:r w:rsidRPr="00993CB9">
        <w:rPr>
          <w:color w:val="000000"/>
        </w:rPr>
        <w:fldChar w:fldCharType="end"/>
      </w:r>
      <w:r w:rsidRPr="00993CB9">
        <w:rPr>
          <w:color w:val="000000"/>
        </w:rPr>
        <w:t xml:space="preserve">, </w:t>
      </w:r>
      <w:r w:rsidRPr="00993CB9">
        <w:rPr>
          <w:color w:val="000000"/>
        </w:rPr>
        <w:fldChar w:fldCharType="begin"/>
      </w:r>
      <w:r w:rsidRPr="00993CB9">
        <w:rPr>
          <w:color w:val="000000"/>
        </w:rPr>
        <w:instrText xml:space="preserve"> REF _Ref265653518 \n \h </w:instrText>
      </w:r>
      <w:r w:rsidRPr="00993CB9">
        <w:rPr>
          <w:color w:val="000000"/>
        </w:rPr>
      </w:r>
      <w:r w:rsidRPr="00993CB9">
        <w:rPr>
          <w:color w:val="000000"/>
        </w:rPr>
        <w:fldChar w:fldCharType="separate"/>
      </w:r>
      <w:r w:rsidR="008E2181">
        <w:rPr>
          <w:color w:val="000000"/>
        </w:rPr>
        <w:t>(b)</w:t>
      </w:r>
      <w:r w:rsidRPr="00993CB9">
        <w:rPr>
          <w:color w:val="000000"/>
        </w:rPr>
        <w:fldChar w:fldCharType="end"/>
      </w:r>
      <w:r w:rsidR="009E57A6" w:rsidRPr="00993CB9">
        <w:rPr>
          <w:color w:val="000000"/>
        </w:rPr>
        <w:t>,</w:t>
      </w:r>
      <w:r w:rsidRPr="00993CB9">
        <w:rPr>
          <w:color w:val="000000"/>
        </w:rPr>
        <w:t xml:space="preserve"> </w:t>
      </w:r>
      <w:r w:rsidRPr="00993CB9">
        <w:rPr>
          <w:color w:val="000000"/>
        </w:rPr>
        <w:fldChar w:fldCharType="begin"/>
      </w:r>
      <w:r w:rsidRPr="00993CB9">
        <w:rPr>
          <w:color w:val="000000"/>
        </w:rPr>
        <w:instrText xml:space="preserve"> REF _Ref265653537 \n \h </w:instrText>
      </w:r>
      <w:r w:rsidRPr="00993CB9">
        <w:rPr>
          <w:color w:val="000000"/>
        </w:rPr>
      </w:r>
      <w:r w:rsidRPr="00993CB9">
        <w:rPr>
          <w:color w:val="000000"/>
        </w:rPr>
        <w:fldChar w:fldCharType="separate"/>
      </w:r>
      <w:r w:rsidR="008E2181">
        <w:rPr>
          <w:color w:val="000000"/>
        </w:rPr>
        <w:t>(c)</w:t>
      </w:r>
      <w:r w:rsidRPr="00993CB9">
        <w:rPr>
          <w:color w:val="000000"/>
        </w:rPr>
        <w:fldChar w:fldCharType="end"/>
      </w:r>
      <w:r w:rsidR="009E57A6" w:rsidRPr="00993CB9">
        <w:rPr>
          <w:color w:val="000000"/>
        </w:rPr>
        <w:t xml:space="preserve"> and (d)</w:t>
      </w:r>
      <w:r w:rsidRPr="00993CB9">
        <w:rPr>
          <w:color w:val="000000"/>
        </w:rPr>
        <w:t xml:space="preserve"> are examples of matters that already require referral to OIL. The matters in paragraphs </w:t>
      </w:r>
      <w:r w:rsidRPr="00993CB9">
        <w:rPr>
          <w:color w:val="000000"/>
        </w:rPr>
        <w:fldChar w:fldCharType="begin"/>
      </w:r>
      <w:r w:rsidRPr="00993CB9">
        <w:rPr>
          <w:color w:val="000000"/>
        </w:rPr>
        <w:instrText xml:space="preserve"> REF _Ref265653588 \r \h </w:instrText>
      </w:r>
      <w:r w:rsidRPr="00993CB9">
        <w:rPr>
          <w:color w:val="000000"/>
        </w:rPr>
      </w:r>
      <w:r w:rsidRPr="00993CB9">
        <w:rPr>
          <w:color w:val="000000"/>
        </w:rPr>
        <w:fldChar w:fldCharType="separate"/>
      </w:r>
      <w:r w:rsidR="008E2181">
        <w:rPr>
          <w:color w:val="000000"/>
        </w:rPr>
        <w:t>19(e)</w:t>
      </w:r>
      <w:r w:rsidRPr="00993CB9">
        <w:rPr>
          <w:color w:val="000000"/>
        </w:rPr>
        <w:fldChar w:fldCharType="end"/>
      </w:r>
      <w:r w:rsidRPr="00993CB9">
        <w:rPr>
          <w:color w:val="000000"/>
        </w:rPr>
        <w:t xml:space="preserve"> and </w:t>
      </w:r>
      <w:r w:rsidRPr="00993CB9">
        <w:rPr>
          <w:color w:val="000000"/>
        </w:rPr>
        <w:fldChar w:fldCharType="begin"/>
      </w:r>
      <w:r w:rsidRPr="00993CB9">
        <w:rPr>
          <w:color w:val="000000"/>
        </w:rPr>
        <w:instrText xml:space="preserve"> REF _Ref265653603 \n \h </w:instrText>
      </w:r>
      <w:r w:rsidRPr="00993CB9">
        <w:rPr>
          <w:color w:val="000000"/>
        </w:rPr>
      </w:r>
      <w:r w:rsidRPr="00993CB9">
        <w:rPr>
          <w:color w:val="000000"/>
        </w:rPr>
        <w:fldChar w:fldCharType="separate"/>
      </w:r>
      <w:r w:rsidR="008E2181">
        <w:rPr>
          <w:color w:val="000000"/>
        </w:rPr>
        <w:t>(f)</w:t>
      </w:r>
      <w:r w:rsidRPr="00993CB9">
        <w:rPr>
          <w:color w:val="000000"/>
        </w:rPr>
        <w:fldChar w:fldCharType="end"/>
      </w:r>
      <w:r w:rsidRPr="00993CB9">
        <w:rPr>
          <w:color w:val="000000"/>
        </w:rPr>
        <w:t xml:space="preserve"> are just ways of prompting the instructors to think again about matters they might already have addressed. </w:t>
      </w:r>
      <w:r w:rsidRPr="00993CB9">
        <w:t xml:space="preserve">The specific matters mentioned in paragraphs </w:t>
      </w:r>
      <w:r w:rsidRPr="00993CB9">
        <w:fldChar w:fldCharType="begin"/>
      </w:r>
      <w:r w:rsidRPr="00993CB9">
        <w:instrText xml:space="preserve"> REF _Ref265653618 \r \h </w:instrText>
      </w:r>
      <w:r w:rsidRPr="00993CB9">
        <w:fldChar w:fldCharType="separate"/>
      </w:r>
      <w:r w:rsidR="008E2181">
        <w:t>19(g)</w:t>
      </w:r>
      <w:r w:rsidRPr="00993CB9">
        <w:fldChar w:fldCharType="end"/>
      </w:r>
      <w:r w:rsidRPr="00993CB9">
        <w:t xml:space="preserve">, </w:t>
      </w:r>
      <w:r w:rsidRPr="00993CB9">
        <w:fldChar w:fldCharType="begin"/>
      </w:r>
      <w:r w:rsidRPr="00993CB9">
        <w:instrText xml:space="preserve"> REF _Ref265653629 \n \h </w:instrText>
      </w:r>
      <w:r w:rsidRPr="00993CB9">
        <w:fldChar w:fldCharType="separate"/>
      </w:r>
      <w:r w:rsidR="008E2181">
        <w:t>(h)</w:t>
      </w:r>
      <w:r w:rsidRPr="00993CB9">
        <w:fldChar w:fldCharType="end"/>
      </w:r>
      <w:r w:rsidRPr="00993CB9">
        <w:t xml:space="preserve"> and </w:t>
      </w:r>
      <w:r w:rsidRPr="00993CB9">
        <w:fldChar w:fldCharType="begin"/>
      </w:r>
      <w:r w:rsidRPr="00993CB9">
        <w:instrText xml:space="preserve"> REF _Ref265653637 \n \h </w:instrText>
      </w:r>
      <w:r w:rsidRPr="00993CB9">
        <w:fldChar w:fldCharType="separate"/>
      </w:r>
      <w:r w:rsidR="008E2181">
        <w:t>(i)</w:t>
      </w:r>
      <w:r w:rsidRPr="00993CB9">
        <w:fldChar w:fldCharType="end"/>
      </w:r>
      <w:r w:rsidRPr="00993CB9">
        <w:t xml:space="preserve"> are matters that might be expected to have international law implications that should have been dealt with by instructors, but which you</w:t>
      </w:r>
      <w:r w:rsidR="000F0D17" w:rsidRPr="00993CB9">
        <w:t xml:space="preserve"> </w:t>
      </w:r>
      <w:r w:rsidRPr="00993CB9">
        <w:t>can ask about as a sort of safety net.</w:t>
      </w:r>
    </w:p>
    <w:p w:rsidR="00D703FB" w:rsidRPr="00993CB9" w:rsidRDefault="00D703FB" w:rsidP="00D703FB">
      <w:pPr>
        <w:pStyle w:val="BodyNum"/>
      </w:pPr>
      <w:r w:rsidRPr="00993CB9">
        <w:t xml:space="preserve">Australia’s obligations under human rights treaties are </w:t>
      </w:r>
      <w:r w:rsidR="005C58E6" w:rsidRPr="00993CB9">
        <w:t>wide</w:t>
      </w:r>
      <w:r w:rsidR="00253B01">
        <w:noBreakHyphen/>
      </w:r>
      <w:r w:rsidR="005C58E6" w:rsidRPr="00993CB9">
        <w:t>ranging</w:t>
      </w:r>
      <w:r w:rsidRPr="00993CB9">
        <w:t xml:space="preserve"> and it may be difficult to identify when proposed legislation relates to these obligations. Drafters should consider if legislation is likely to cover areas such as: civil, political, economic, social or cultural rights; the rights of children; racial discrimination; discrimination against women or any other group; and torture or cruel, inhuman or degrading punishment or treatment.</w:t>
      </w:r>
    </w:p>
    <w:p w:rsidR="00D703FB" w:rsidRPr="00993CB9" w:rsidRDefault="00D703FB" w:rsidP="00D703FB">
      <w:pPr>
        <w:pStyle w:val="BodyNum"/>
      </w:pPr>
      <w:r w:rsidRPr="00993CB9">
        <w:t xml:space="preserve">You are not expected to know about the range of international agreements to which Australia is a party or about the content of any specific agreements. Asking these questions is just a way </w:t>
      </w:r>
      <w:r w:rsidR="009E57A6" w:rsidRPr="00993CB9">
        <w:t>for</w:t>
      </w:r>
      <w:r w:rsidRPr="00993CB9">
        <w:t xml:space="preserve"> the </w:t>
      </w:r>
      <w:r w:rsidR="0067258E" w:rsidRPr="00993CB9">
        <w:t>Office</w:t>
      </w:r>
      <w:r w:rsidRPr="00993CB9">
        <w:t xml:space="preserve"> </w:t>
      </w:r>
      <w:r w:rsidR="009E57A6" w:rsidRPr="00993CB9">
        <w:t xml:space="preserve">to </w:t>
      </w:r>
      <w:r w:rsidRPr="00993CB9">
        <w:t>seek to add value. The methods outlined above will not be foolproof, but it is hoped that they will reduce the likelihood of OIL missing out on considering a draft that has international law implications.</w:t>
      </w:r>
    </w:p>
    <w:p w:rsidR="00FA08EE" w:rsidRPr="00993CB9" w:rsidRDefault="00FA08EE" w:rsidP="00993CB9">
      <w:pPr>
        <w:pStyle w:val="Head3"/>
      </w:pPr>
      <w:bookmarkStart w:id="20" w:name="_Toc124253913"/>
      <w:r w:rsidRPr="00993CB9">
        <w:t>Human Rights Unit</w:t>
      </w:r>
      <w:bookmarkEnd w:id="20"/>
    </w:p>
    <w:p w:rsidR="00D703FB" w:rsidRPr="00993CB9" w:rsidRDefault="00D703FB" w:rsidP="00993CB9">
      <w:pPr>
        <w:pStyle w:val="Head4"/>
      </w:pPr>
      <w:bookmarkStart w:id="21" w:name="_Toc124253914"/>
      <w:r w:rsidRPr="00993CB9">
        <w:t>Statements of compatibility with human rights</w:t>
      </w:r>
      <w:bookmarkEnd w:id="21"/>
    </w:p>
    <w:p w:rsidR="00D703FB" w:rsidRPr="00993CB9" w:rsidRDefault="00D703FB" w:rsidP="00D703FB">
      <w:pPr>
        <w:pStyle w:val="BodyNum"/>
      </w:pPr>
      <w:r w:rsidRPr="00993CB9">
        <w:t xml:space="preserve">The </w:t>
      </w:r>
      <w:r w:rsidRPr="00993CB9">
        <w:rPr>
          <w:i/>
          <w:iCs/>
        </w:rPr>
        <w:t xml:space="preserve">Human Rights (Parliamentary Scrutiny) Act 2011 </w:t>
      </w:r>
      <w:r w:rsidRPr="00993CB9">
        <w:t>requires all Bills and disallowable legislative instruments to be accompanied by a statement of compatibility. The statement is an assessment of whether the Bill or instrument is compatible with human rights under 7 core international human rights treaties to which Australia is a party. As it is the responsibility of the sponsoring Minister to provide such a statement with proposed legislation, the statements are to be prepared by the instructing agency, and will accompany or form part of the explanatory material for the Bill or instrument.</w:t>
      </w:r>
    </w:p>
    <w:p w:rsidR="00D703FB" w:rsidRPr="00993CB9" w:rsidRDefault="00D703FB" w:rsidP="00D703FB">
      <w:pPr>
        <w:pStyle w:val="BodyNum"/>
      </w:pPr>
      <w:r w:rsidRPr="00993CB9">
        <w:t xml:space="preserve">You should remind instructors of their responsibility to prepare a statement of compatibility for a Bill or disallowable legislative instrument. </w:t>
      </w:r>
      <w:r w:rsidR="00375A50" w:rsidRPr="00993CB9">
        <w:t xml:space="preserve">If instructors </w:t>
      </w:r>
      <w:r w:rsidR="003F762E" w:rsidRPr="00993CB9">
        <w:t>request</w:t>
      </w:r>
      <w:r w:rsidR="00375A50" w:rsidRPr="00993CB9">
        <w:t xml:space="preserve"> further guidance, you </w:t>
      </w:r>
      <w:r w:rsidR="00AD326C" w:rsidRPr="00993CB9">
        <w:t>are encouraged to</w:t>
      </w:r>
      <w:r w:rsidR="00375A50" w:rsidRPr="00993CB9">
        <w:t xml:space="preserve"> mention the resources available on the AGD website. </w:t>
      </w:r>
      <w:r w:rsidR="00FA08EE" w:rsidRPr="00993CB9">
        <w:t>T</w:t>
      </w:r>
      <w:r w:rsidR="00932B2C" w:rsidRPr="00993CB9">
        <w:t>he Human R</w:t>
      </w:r>
      <w:r w:rsidR="00FA08EE" w:rsidRPr="00993CB9">
        <w:t>ights Unit</w:t>
      </w:r>
      <w:r w:rsidRPr="00993CB9">
        <w:t xml:space="preserve"> in </w:t>
      </w:r>
      <w:r w:rsidR="009E57A6" w:rsidRPr="00993CB9">
        <w:t>AGD</w:t>
      </w:r>
      <w:r w:rsidRPr="00993CB9">
        <w:t xml:space="preserve"> can </w:t>
      </w:r>
      <w:r w:rsidR="00375A50" w:rsidRPr="00993CB9">
        <w:t xml:space="preserve">also </w:t>
      </w:r>
      <w:r w:rsidRPr="00993CB9">
        <w:t xml:space="preserve">provide </w:t>
      </w:r>
      <w:r w:rsidR="00FA08EE" w:rsidRPr="00993CB9">
        <w:t>guidance</w:t>
      </w:r>
      <w:r w:rsidRPr="00993CB9">
        <w:t xml:space="preserve"> to instructing agencies, before and during the drafting process, on issues in relation to the compatibility of policy proposals with human rights.</w:t>
      </w:r>
    </w:p>
    <w:p w:rsidR="00D703FB" w:rsidRPr="00993CB9" w:rsidRDefault="00D703FB" w:rsidP="00D703FB">
      <w:pPr>
        <w:pStyle w:val="BodyNum"/>
      </w:pPr>
      <w:r w:rsidRPr="00993CB9">
        <w:t xml:space="preserve">The requirement for all </w:t>
      </w:r>
      <w:r w:rsidR="00A93DA8" w:rsidRPr="00993CB9">
        <w:t xml:space="preserve">Bills and disallowable legislative instruments to have a statement of </w:t>
      </w:r>
      <w:r w:rsidRPr="00993CB9">
        <w:t xml:space="preserve">compatibility does not mean that all Bills </w:t>
      </w:r>
      <w:r w:rsidR="00A93DA8" w:rsidRPr="00993CB9">
        <w:t xml:space="preserve">or disallowable legislative instruments prepared in the </w:t>
      </w:r>
      <w:r w:rsidR="0067258E" w:rsidRPr="00993CB9">
        <w:t>Office</w:t>
      </w:r>
      <w:r w:rsidR="00A93DA8" w:rsidRPr="00993CB9">
        <w:t xml:space="preserve"> </w:t>
      </w:r>
      <w:r w:rsidRPr="00993CB9">
        <w:t xml:space="preserve">will be routinely distributed to </w:t>
      </w:r>
      <w:r w:rsidR="00FA08EE" w:rsidRPr="00993CB9">
        <w:t>the Human Rights Unit</w:t>
      </w:r>
      <w:r w:rsidRPr="00993CB9">
        <w:t>. Instructors therefore need to be aware that it is their responsibility to identify, or seek assistance in identifying, matters that are to be included in a statement of compatibility.</w:t>
      </w:r>
    </w:p>
    <w:p w:rsidR="00D703FB" w:rsidRPr="00993CB9" w:rsidRDefault="00D703FB" w:rsidP="00D703FB">
      <w:pPr>
        <w:pStyle w:val="BodyNum"/>
      </w:pPr>
      <w:r w:rsidRPr="00993CB9">
        <w:t xml:space="preserve">As with requests for the </w:t>
      </w:r>
      <w:r w:rsidR="0067258E" w:rsidRPr="00993CB9">
        <w:t>Office</w:t>
      </w:r>
      <w:r w:rsidRPr="00993CB9">
        <w:t xml:space="preserve"> to “vet” </w:t>
      </w:r>
      <w:r w:rsidR="009E57A6" w:rsidRPr="00993CB9">
        <w:t>e</w:t>
      </w:r>
      <w:r w:rsidRPr="00993CB9">
        <w:t xml:space="preserve">xplanatory </w:t>
      </w:r>
      <w:r w:rsidR="0039348C" w:rsidRPr="00993CB9">
        <w:t>material or a</w:t>
      </w:r>
      <w:r w:rsidRPr="00993CB9">
        <w:t xml:space="preserve"> second reading speech, if you receive a request to “vet” a statement of compatibility, you should inform the </w:t>
      </w:r>
      <w:r w:rsidRPr="00993CB9">
        <w:lastRenderedPageBreak/>
        <w:t xml:space="preserve">person making the request that the “vetting” of statements of compatibility is not one of this </w:t>
      </w:r>
      <w:r w:rsidR="0067258E" w:rsidRPr="00993CB9">
        <w:t>Office</w:t>
      </w:r>
      <w:r w:rsidRPr="00993CB9">
        <w:t>’s functions.</w:t>
      </w:r>
    </w:p>
    <w:p w:rsidR="00D703FB" w:rsidRPr="00993CB9" w:rsidRDefault="00D703FB" w:rsidP="00993CB9">
      <w:pPr>
        <w:pStyle w:val="Head3"/>
      </w:pPr>
      <w:bookmarkStart w:id="22" w:name="_Toc124253915"/>
      <w:r w:rsidRPr="00993CB9">
        <w:t>Australian Government Solicitor</w:t>
      </w:r>
      <w:bookmarkEnd w:id="22"/>
    </w:p>
    <w:p w:rsidR="00D703FB" w:rsidRPr="00993CB9" w:rsidRDefault="00D703FB" w:rsidP="00D703FB">
      <w:pPr>
        <w:pStyle w:val="BodyNum"/>
      </w:pPr>
      <w:r w:rsidRPr="00993CB9">
        <w:t xml:space="preserve">Drafts should only be referred to </w:t>
      </w:r>
      <w:r w:rsidR="009E57A6" w:rsidRPr="00993CB9">
        <w:t>AGS</w:t>
      </w:r>
      <w:r w:rsidRPr="00993CB9">
        <w:t xml:space="preserve"> if they raise constitutional or other legal issues (e.g. whether there is constitutional power to enact the draft, or whether it involves an imposition of tax or an acquisition of property otherwise than on just terms, or whether proposed appointments under the draft would fall foul of the doctrine of inconsistent commissions).</w:t>
      </w:r>
    </w:p>
    <w:p w:rsidR="00D703FB" w:rsidRPr="00993CB9" w:rsidRDefault="00D703FB" w:rsidP="00993CB9">
      <w:pPr>
        <w:pStyle w:val="Head4"/>
      </w:pPr>
      <w:bookmarkStart w:id="23" w:name="_Toc124253916"/>
      <w:r w:rsidRPr="00993CB9">
        <w:t>How to refer drafts</w:t>
      </w:r>
      <w:bookmarkEnd w:id="23"/>
    </w:p>
    <w:p w:rsidR="00D703FB" w:rsidRPr="00993CB9" w:rsidRDefault="00D703FB" w:rsidP="00D703FB">
      <w:pPr>
        <w:pStyle w:val="BodyNum"/>
      </w:pPr>
      <w:r w:rsidRPr="00993CB9">
        <w:t xml:space="preserve">Advice provided by AGS will be charged to the instructing agency. Such referrals should only be made with the agreement of the instructing agency. As well as identifying the issues on which you require advice, you should name the instructing officers, and indicate the timetable for finalising the draft and how quickly you need advice or preliminary advice. See Drafting </w:t>
      </w:r>
      <w:r w:rsidR="00B00581">
        <w:t>Direction 4</w:t>
      </w:r>
      <w:r w:rsidRPr="00993CB9">
        <w:t>.5 (Legal advice on issues arising during drafting) for more information on this matter.</w:t>
      </w:r>
    </w:p>
    <w:p w:rsidR="00D703FB" w:rsidRPr="00993CB9" w:rsidRDefault="00D703FB" w:rsidP="00993CB9">
      <w:pPr>
        <w:pStyle w:val="Head4"/>
      </w:pPr>
      <w:bookmarkStart w:id="24" w:name="_Toc124253917"/>
      <w:r w:rsidRPr="00993CB9">
        <w:t>Need to follow up reference to AGS</w:t>
      </w:r>
      <w:bookmarkEnd w:id="24"/>
    </w:p>
    <w:p w:rsidR="00D703FB" w:rsidRPr="00993CB9" w:rsidRDefault="00D703FB" w:rsidP="00DD1881">
      <w:pPr>
        <w:pStyle w:val="BodyNum"/>
      </w:pPr>
      <w:r w:rsidRPr="00993CB9">
        <w:t>Advice sought from AGS will usually be needed before the draft can be finalised. This means that on occasions you might have to follow up the referral to AGS, if advice is not received within the requested deadlines.</w:t>
      </w:r>
    </w:p>
    <w:p w:rsidR="00786C02" w:rsidRPr="00993CB9" w:rsidRDefault="00EC3F48" w:rsidP="00993CB9">
      <w:pPr>
        <w:pStyle w:val="Head3"/>
      </w:pPr>
      <w:bookmarkStart w:id="25" w:name="_Toc124253918"/>
      <w:r w:rsidRPr="00993CB9">
        <w:t>Assisting AGD to obtain specific information from instructors</w:t>
      </w:r>
      <w:bookmarkEnd w:id="25"/>
    </w:p>
    <w:p w:rsidR="007F4F56" w:rsidRPr="00993CB9" w:rsidRDefault="00EC3F48" w:rsidP="00786C02">
      <w:pPr>
        <w:pStyle w:val="BodyNum"/>
      </w:pPr>
      <w:r w:rsidRPr="00993CB9">
        <w:t>Various</w:t>
      </w:r>
      <w:r w:rsidR="00786C02" w:rsidRPr="00993CB9">
        <w:t xml:space="preserve"> </w:t>
      </w:r>
      <w:r w:rsidRPr="00993CB9">
        <w:t>areas</w:t>
      </w:r>
      <w:r w:rsidR="00786C02" w:rsidRPr="00993CB9">
        <w:t xml:space="preserve"> of AGD would appreciate receiving</w:t>
      </w:r>
      <w:r w:rsidR="009E1917" w:rsidRPr="00993CB9">
        <w:t xml:space="preserve"> detailed specifi</w:t>
      </w:r>
      <w:r w:rsidR="007F4F56" w:rsidRPr="00993CB9">
        <w:t>c information from instructors. There are a variety of ways that AGD might advise instructors of the sort of information AGD would like to receive. For example, through scrutiny materials, presentations and publications relevant to the whole of government such as the Legislation Handbook or Cabinet Handbook.</w:t>
      </w:r>
    </w:p>
    <w:p w:rsidR="00EC3F48" w:rsidRDefault="007F4F56" w:rsidP="00EC3F48">
      <w:pPr>
        <w:pStyle w:val="BodyNum"/>
      </w:pPr>
      <w:r w:rsidRPr="00993CB9">
        <w:t>It would be most useful for AGD if</w:t>
      </w:r>
      <w:r w:rsidR="007A05F5" w:rsidRPr="00993CB9">
        <w:t xml:space="preserve"> instructor</w:t>
      </w:r>
      <w:r w:rsidRPr="00993CB9">
        <w:t>s provided the information as early as possible, preferably before</w:t>
      </w:r>
      <w:r w:rsidR="007A05F5" w:rsidRPr="00993CB9">
        <w:t xml:space="preserve"> the time of referral.</w:t>
      </w:r>
      <w:r w:rsidRPr="00993CB9">
        <w:t xml:space="preserve"> Drafters are encouraged to provide any practicable assistance.</w:t>
      </w:r>
    </w:p>
    <w:p w:rsidR="00D703FB" w:rsidRPr="00993CB9" w:rsidRDefault="00D703FB" w:rsidP="00993CB9">
      <w:pPr>
        <w:pStyle w:val="Head2"/>
        <w:pageBreakBefore/>
      </w:pPr>
      <w:bookmarkStart w:id="26" w:name="_Toc124253919"/>
      <w:r w:rsidRPr="00993CB9">
        <w:lastRenderedPageBreak/>
        <w:t>Part 3—Other agencies</w:t>
      </w:r>
      <w:bookmarkEnd w:id="26"/>
    </w:p>
    <w:p w:rsidR="00D703FB" w:rsidRPr="00993CB9" w:rsidRDefault="00D703FB" w:rsidP="00993CB9">
      <w:pPr>
        <w:pStyle w:val="Head3"/>
      </w:pPr>
      <w:bookmarkStart w:id="27" w:name="_Toc124253920"/>
      <w:r w:rsidRPr="00993CB9">
        <w:t>General referral requirements</w:t>
      </w:r>
      <w:bookmarkEnd w:id="27"/>
    </w:p>
    <w:p w:rsidR="00D703FB" w:rsidRPr="00993CB9" w:rsidRDefault="00D703FB" w:rsidP="00D703FB">
      <w:pPr>
        <w:pStyle w:val="BodyNum"/>
      </w:pPr>
      <w:r w:rsidRPr="00993CB9">
        <w:t>Attachment B is a list of draft provisions that should be referred to an agency other than AGD.</w:t>
      </w:r>
    </w:p>
    <w:p w:rsidR="00D703FB" w:rsidRPr="00993CB9" w:rsidRDefault="00D703FB" w:rsidP="00993CB9">
      <w:pPr>
        <w:pStyle w:val="Head3"/>
      </w:pPr>
      <w:bookmarkStart w:id="28" w:name="_Toc124253921"/>
      <w:r w:rsidRPr="00993CB9">
        <w:t>Routine distribution of drafts</w:t>
      </w:r>
      <w:bookmarkEnd w:id="28"/>
    </w:p>
    <w:p w:rsidR="00D703FB" w:rsidRPr="00993CB9" w:rsidRDefault="00D703FB" w:rsidP="00D703FB">
      <w:pPr>
        <w:pStyle w:val="BodyNum"/>
      </w:pPr>
      <w:r w:rsidRPr="00993CB9">
        <w:t>There is currently no routine distribution of drafts. This means that it is up to the instructors and the drafters to ensure that drafts are circulated to other government agencies that need to see them, and are circulated early enough for those agencies to look at them before finalisation.</w:t>
      </w:r>
    </w:p>
    <w:p w:rsidR="00D703FB" w:rsidRPr="00993CB9" w:rsidRDefault="00D703FB" w:rsidP="00993CB9">
      <w:pPr>
        <w:pStyle w:val="Head3"/>
      </w:pPr>
      <w:bookmarkStart w:id="29" w:name="_Toc124253922"/>
      <w:r w:rsidRPr="00993CB9">
        <w:t>Territories Branches—further matters</w:t>
      </w:r>
      <w:bookmarkEnd w:id="29"/>
    </w:p>
    <w:p w:rsidR="00D703FB" w:rsidRPr="00993CB9" w:rsidRDefault="00B00581" w:rsidP="00D703FB">
      <w:pPr>
        <w:pStyle w:val="BodyNum"/>
      </w:pPr>
      <w:r>
        <w:t>Items 1</w:t>
      </w:r>
      <w:r w:rsidR="002D255E" w:rsidRPr="00993CB9">
        <w:t>6</w:t>
      </w:r>
      <w:r w:rsidR="00D703FB" w:rsidRPr="00993CB9">
        <w:t xml:space="preserve"> to 1</w:t>
      </w:r>
      <w:r w:rsidR="002D255E" w:rsidRPr="00993CB9">
        <w:t>8</w:t>
      </w:r>
      <w:r w:rsidR="00D703FB" w:rsidRPr="00993CB9">
        <w:t xml:space="preserve"> in Attachment B require certain provisions to be referred to the </w:t>
      </w:r>
      <w:r w:rsidR="00A715C0" w:rsidRPr="00993CB9">
        <w:t xml:space="preserve">Territories Branches in the </w:t>
      </w:r>
      <w:r w:rsidR="00D703FB" w:rsidRPr="00993CB9">
        <w:t xml:space="preserve">Department of </w:t>
      </w:r>
      <w:r w:rsidR="00874063" w:rsidRPr="00993CB9">
        <w:t xml:space="preserve">Infrastructure, </w:t>
      </w:r>
      <w:r w:rsidR="009C19C0">
        <w:t xml:space="preserve">Transport, </w:t>
      </w:r>
      <w:r w:rsidR="00874063" w:rsidRPr="00993CB9">
        <w:t>Regional Development</w:t>
      </w:r>
      <w:r w:rsidR="00C26126">
        <w:t>,</w:t>
      </w:r>
      <w:r w:rsidR="00874063" w:rsidRPr="00993CB9">
        <w:t xml:space="preserve"> </w:t>
      </w:r>
      <w:r w:rsidR="009C19C0">
        <w:t>Communications</w:t>
      </w:r>
      <w:r w:rsidR="00C51A50" w:rsidRPr="00993CB9">
        <w:t xml:space="preserve"> </w:t>
      </w:r>
      <w:r w:rsidR="00C26126">
        <w:t xml:space="preserve">and the Arts </w:t>
      </w:r>
      <w:r w:rsidR="00D703FB" w:rsidRPr="00993CB9">
        <w:t xml:space="preserve">(the </w:t>
      </w:r>
      <w:r w:rsidR="00D703FB" w:rsidRPr="00993CB9">
        <w:rPr>
          <w:b/>
          <w:i/>
        </w:rPr>
        <w:t>Territories Branches</w:t>
      </w:r>
      <w:r w:rsidR="00D703FB" w:rsidRPr="00993CB9">
        <w:t xml:space="preserve">) </w:t>
      </w:r>
      <w:r w:rsidR="009D1C61" w:rsidRPr="00993CB9">
        <w:t xml:space="preserve">via the Legislation Liaison Officer </w:t>
      </w:r>
      <w:r w:rsidR="00D703FB" w:rsidRPr="00993CB9">
        <w:t xml:space="preserve">for comment because of their responsibilities in relation to </w:t>
      </w:r>
      <w:r w:rsidR="00A715C0" w:rsidRPr="00993CB9">
        <w:t>various territories</w:t>
      </w:r>
      <w:r w:rsidR="00D703FB" w:rsidRPr="00993CB9">
        <w:t>.</w:t>
      </w:r>
    </w:p>
    <w:p w:rsidR="00D703FB" w:rsidRPr="00993CB9" w:rsidRDefault="00A715C0" w:rsidP="00D703FB">
      <w:pPr>
        <w:pStyle w:val="BodyNum"/>
      </w:pPr>
      <w:r w:rsidRPr="00993CB9">
        <w:t>I</w:t>
      </w:r>
      <w:r w:rsidR="00D703FB" w:rsidRPr="00993CB9">
        <w:t>t is often not possible for drafters to know that a particular provision might have an effect</w:t>
      </w:r>
      <w:r w:rsidRPr="00993CB9">
        <w:t xml:space="preserve"> that the Territories Branches may find of interest</w:t>
      </w:r>
      <w:r w:rsidR="00D703FB" w:rsidRPr="00993CB9">
        <w:t xml:space="preserve">. The Territories Branches have been consulted about ways of ensuring that provisions not covered by </w:t>
      </w:r>
      <w:r w:rsidR="00B00581">
        <w:t>items 1</w:t>
      </w:r>
      <w:r w:rsidR="002D255E" w:rsidRPr="00993CB9">
        <w:t>6</w:t>
      </w:r>
      <w:r w:rsidR="00D703FB" w:rsidRPr="00993CB9">
        <w:t xml:space="preserve"> to 1</w:t>
      </w:r>
      <w:r w:rsidR="002D255E" w:rsidRPr="00993CB9">
        <w:t>8</w:t>
      </w:r>
      <w:r w:rsidR="00D703FB" w:rsidRPr="00993CB9">
        <w:t xml:space="preserve"> in Attachment B that might still </w:t>
      </w:r>
      <w:r w:rsidRPr="00993CB9">
        <w:t>be of interest</w:t>
      </w:r>
      <w:r w:rsidR="00D703FB" w:rsidRPr="00993CB9">
        <w:t xml:space="preserve"> are referred to the Territories Branches.</w:t>
      </w:r>
    </w:p>
    <w:p w:rsidR="00D703FB" w:rsidRPr="00993CB9" w:rsidRDefault="00D703FB" w:rsidP="00D703FB">
      <w:pPr>
        <w:pStyle w:val="BodyNum"/>
      </w:pPr>
      <w:r w:rsidRPr="00993CB9">
        <w:t xml:space="preserve">Cabinet submissions seeking approval for Bills are accompanied by coordination comments and the Territories Branches will contribute to these comments if the proposal </w:t>
      </w:r>
      <w:r w:rsidR="00A715C0" w:rsidRPr="00993CB9">
        <w:t>may be of interest</w:t>
      </w:r>
      <w:r w:rsidRPr="00993CB9">
        <w:t xml:space="preserve">. So, if you are drafting on the basis of Cabinet authority, you could use the coordination comments in the accompanying submission as one way of working out whether the Bill </w:t>
      </w:r>
      <w:r w:rsidR="00A715C0" w:rsidRPr="00993CB9">
        <w:t>should be referred</w:t>
      </w:r>
      <w:r w:rsidRPr="00993CB9">
        <w:t>.</w:t>
      </w:r>
    </w:p>
    <w:p w:rsidR="00D703FB" w:rsidRPr="00993CB9" w:rsidRDefault="00D703FB" w:rsidP="00D703FB">
      <w:pPr>
        <w:pStyle w:val="BodyNum"/>
      </w:pPr>
      <w:r w:rsidRPr="00993CB9">
        <w:t xml:space="preserve">In addition, the Territories Branches may provide First Parliamentary Counsel with a list of </w:t>
      </w:r>
      <w:r w:rsidR="0039348C" w:rsidRPr="00993CB9">
        <w:t>Bills</w:t>
      </w:r>
      <w:r w:rsidRPr="00993CB9">
        <w:t xml:space="preserve"> that they consider are likely to </w:t>
      </w:r>
      <w:r w:rsidR="00A715C0" w:rsidRPr="00993CB9">
        <w:t>be of interest</w:t>
      </w:r>
      <w:r w:rsidRPr="00993CB9">
        <w:t>. Drafters should refer any Bill on this list to the Territories Branches for comment.</w:t>
      </w:r>
    </w:p>
    <w:p w:rsidR="00D703FB" w:rsidRPr="00993CB9" w:rsidRDefault="00D703FB" w:rsidP="00D703FB">
      <w:pPr>
        <w:pStyle w:val="BodyNum"/>
      </w:pPr>
      <w:r w:rsidRPr="00993CB9">
        <w:t xml:space="preserve">There is no need to refer a provision to the Territories Branches merely because it will apply in </w:t>
      </w:r>
      <w:r w:rsidR="00A715C0" w:rsidRPr="00993CB9">
        <w:t>one of the relevant Territories</w:t>
      </w:r>
      <w:r w:rsidRPr="00993CB9">
        <w:t>.</w:t>
      </w:r>
    </w:p>
    <w:p w:rsidR="00D703FB" w:rsidRPr="00993CB9" w:rsidRDefault="00D703FB" w:rsidP="00993CB9">
      <w:pPr>
        <w:pStyle w:val="Head3"/>
      </w:pPr>
      <w:bookmarkStart w:id="30" w:name="_Toc124253923"/>
      <w:r w:rsidRPr="00993CB9">
        <w:t>Where instructions are received from an agency outside the administering portfolio</w:t>
      </w:r>
      <w:bookmarkEnd w:id="30"/>
    </w:p>
    <w:p w:rsidR="00D703FB" w:rsidRPr="00993CB9" w:rsidRDefault="00D703FB" w:rsidP="00D703FB">
      <w:pPr>
        <w:pStyle w:val="BodyNum"/>
      </w:pPr>
      <w:bookmarkStart w:id="31" w:name="_Ref269716661"/>
      <w:r w:rsidRPr="00993CB9">
        <w:t>Attachment B requires that copies of drafts be referred to the agency administering legislation that is amended or affected by the draft, where the instructing agency is within another portfolio. Normally, this will be done by sending the draft to the Legislation Liaison Officer for the relevant portfolio.</w:t>
      </w:r>
      <w:bookmarkEnd w:id="31"/>
    </w:p>
    <w:p w:rsidR="00837630" w:rsidRPr="00993CB9" w:rsidRDefault="00D703FB" w:rsidP="00837630">
      <w:pPr>
        <w:pStyle w:val="BodyNum"/>
      </w:pPr>
      <w:r w:rsidRPr="00993CB9">
        <w:t>Instructions to amend legislation administered by an agency within a different portfolio from that of the instructing agency should only be accepted where the amendments are clearly consequential on legislation being drafted for the instructing agency.</w:t>
      </w:r>
    </w:p>
    <w:p w:rsidR="00D703FB" w:rsidRPr="00993CB9" w:rsidRDefault="00D703FB" w:rsidP="00D703FB">
      <w:pPr>
        <w:pStyle w:val="BodyNum"/>
      </w:pPr>
      <w:bookmarkStart w:id="32" w:name="_Ref269716670"/>
      <w:r w:rsidRPr="00993CB9">
        <w:lastRenderedPageBreak/>
        <w:t>In some cases, the requirement to refer copies of drafts to the administering agency may be satisfied by obtaining an undertaking from the instructing agency to ensure that copies of the drafts reach the administering agency. However,</w:t>
      </w:r>
      <w:r w:rsidR="00F03B08" w:rsidRPr="00993CB9">
        <w:t xml:space="preserve"> for a Bill</w:t>
      </w:r>
      <w:r w:rsidRPr="00993CB9">
        <w:t xml:space="preserve"> this does not affect the drafter’s obligation to mention clearance by the administering Minister in the LAP memo. As well, this approach should not be used if the drafter has any reason to believe that the instructing agency may delay sending copies of drafts to the administering agency.</w:t>
      </w:r>
      <w:bookmarkEnd w:id="32"/>
    </w:p>
    <w:p w:rsidR="00C26126" w:rsidRPr="00AF0AC7" w:rsidRDefault="00C26126" w:rsidP="00D703FB">
      <w:pPr>
        <w:pStyle w:val="Body"/>
        <w:rPr>
          <w:i/>
        </w:rPr>
      </w:pPr>
    </w:p>
    <w:p w:rsidR="009A18F1" w:rsidRPr="00993CB9" w:rsidRDefault="00C26126" w:rsidP="00141ABB">
      <w:pPr>
        <w:pStyle w:val="Body"/>
        <w:rPr>
          <w:i/>
        </w:rPr>
      </w:pPr>
      <w:r>
        <w:t>Meredith Leigh</w:t>
      </w:r>
      <w:r w:rsidR="00D703FB" w:rsidRPr="00993CB9">
        <w:br/>
        <w:t>First Parliamentary Counsel</w:t>
      </w:r>
      <w:r w:rsidR="00D703FB" w:rsidRPr="00993CB9">
        <w:br/>
      </w:r>
      <w:r w:rsidR="00253B01">
        <w:t xml:space="preserve">10 January </w:t>
      </w:r>
      <w:r w:rsidR="00C4779F">
        <w:t>202</w:t>
      </w:r>
      <w:r w:rsidR="00253B01">
        <w:t>3</w:t>
      </w:r>
    </w:p>
    <w:p w:rsidR="00DC3A1F" w:rsidRPr="00993CB9" w:rsidRDefault="00DC3A1F" w:rsidP="00DC3A1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141ABB" w:rsidRPr="00993CB9" w:rsidTr="00547FF5">
        <w:trPr>
          <w:tblHeader/>
        </w:trPr>
        <w:tc>
          <w:tcPr>
            <w:tcW w:w="9027" w:type="dxa"/>
            <w:gridSpan w:val="3"/>
            <w:tcBorders>
              <w:top w:val="single" w:sz="12" w:space="0" w:color="auto"/>
              <w:bottom w:val="single" w:sz="6" w:space="0" w:color="auto"/>
            </w:tcBorders>
            <w:shd w:val="clear" w:color="auto" w:fill="auto"/>
          </w:tcPr>
          <w:p w:rsidR="00141ABB" w:rsidRPr="00993CB9" w:rsidRDefault="00141ABB" w:rsidP="00735F7F">
            <w:pPr>
              <w:pStyle w:val="Tabletext"/>
              <w:keepNext/>
              <w:rPr>
                <w:b/>
              </w:rPr>
            </w:pPr>
            <w:r w:rsidRPr="00993CB9">
              <w:rPr>
                <w:b/>
              </w:rPr>
              <w:t>Document History</w:t>
            </w:r>
          </w:p>
        </w:tc>
      </w:tr>
      <w:tr w:rsidR="00141ABB" w:rsidRPr="00993CB9" w:rsidTr="00547FF5">
        <w:trPr>
          <w:tblHeader/>
        </w:trPr>
        <w:tc>
          <w:tcPr>
            <w:tcW w:w="3009" w:type="dxa"/>
            <w:tcBorders>
              <w:top w:val="single" w:sz="6" w:space="0" w:color="auto"/>
              <w:bottom w:val="single" w:sz="12" w:space="0" w:color="auto"/>
            </w:tcBorders>
            <w:shd w:val="clear" w:color="auto" w:fill="auto"/>
          </w:tcPr>
          <w:p w:rsidR="00141ABB" w:rsidRPr="00993CB9" w:rsidRDefault="00141ABB" w:rsidP="00735F7F">
            <w:pPr>
              <w:pStyle w:val="Tabletext"/>
              <w:keepNext/>
              <w:rPr>
                <w:b/>
              </w:rPr>
            </w:pPr>
            <w:r w:rsidRPr="00993CB9">
              <w:rPr>
                <w:b/>
              </w:rPr>
              <w:t>Release</w:t>
            </w:r>
          </w:p>
        </w:tc>
        <w:tc>
          <w:tcPr>
            <w:tcW w:w="3009" w:type="dxa"/>
            <w:tcBorders>
              <w:top w:val="single" w:sz="6" w:space="0" w:color="auto"/>
              <w:bottom w:val="single" w:sz="12" w:space="0" w:color="auto"/>
            </w:tcBorders>
            <w:shd w:val="clear" w:color="auto" w:fill="auto"/>
          </w:tcPr>
          <w:p w:rsidR="00141ABB" w:rsidRPr="00993CB9" w:rsidRDefault="00141ABB" w:rsidP="00735F7F">
            <w:pPr>
              <w:pStyle w:val="Tabletext"/>
              <w:keepNext/>
              <w:rPr>
                <w:b/>
              </w:rPr>
            </w:pPr>
            <w:r w:rsidRPr="00993CB9">
              <w:rPr>
                <w:b/>
              </w:rPr>
              <w:t>Release date</w:t>
            </w:r>
          </w:p>
        </w:tc>
        <w:tc>
          <w:tcPr>
            <w:tcW w:w="3009" w:type="dxa"/>
            <w:tcBorders>
              <w:top w:val="single" w:sz="6" w:space="0" w:color="auto"/>
              <w:bottom w:val="single" w:sz="12" w:space="0" w:color="auto"/>
            </w:tcBorders>
            <w:shd w:val="clear" w:color="auto" w:fill="auto"/>
          </w:tcPr>
          <w:p w:rsidR="00141ABB" w:rsidRPr="00993CB9" w:rsidRDefault="00141ABB" w:rsidP="00735F7F">
            <w:pPr>
              <w:pStyle w:val="Tabletext"/>
              <w:keepNext/>
              <w:rPr>
                <w:b/>
              </w:rPr>
            </w:pPr>
            <w:r w:rsidRPr="00993CB9">
              <w:rPr>
                <w:b/>
              </w:rPr>
              <w:t>Document number</w:t>
            </w:r>
          </w:p>
        </w:tc>
      </w:tr>
      <w:tr w:rsidR="00141ABB" w:rsidRPr="00993CB9" w:rsidTr="00547FF5">
        <w:tc>
          <w:tcPr>
            <w:tcW w:w="3009" w:type="dxa"/>
            <w:tcBorders>
              <w:top w:val="single" w:sz="12" w:space="0" w:color="auto"/>
            </w:tcBorders>
            <w:shd w:val="clear" w:color="auto" w:fill="auto"/>
          </w:tcPr>
          <w:p w:rsidR="00141ABB" w:rsidRPr="00993CB9" w:rsidRDefault="00141ABB" w:rsidP="00735F7F">
            <w:pPr>
              <w:pStyle w:val="Tabletext"/>
            </w:pPr>
            <w:r w:rsidRPr="00993CB9">
              <w:t>1.0</w:t>
            </w:r>
          </w:p>
        </w:tc>
        <w:tc>
          <w:tcPr>
            <w:tcW w:w="3009" w:type="dxa"/>
            <w:tcBorders>
              <w:top w:val="single" w:sz="12" w:space="0" w:color="auto"/>
            </w:tcBorders>
            <w:shd w:val="clear" w:color="auto" w:fill="auto"/>
          </w:tcPr>
          <w:p w:rsidR="00141ABB" w:rsidRPr="00993CB9" w:rsidRDefault="00B00581" w:rsidP="00735F7F">
            <w:pPr>
              <w:pStyle w:val="Tabletext"/>
            </w:pPr>
            <w:r>
              <w:t>1 May</w:t>
            </w:r>
            <w:r w:rsidR="00141ABB" w:rsidRPr="00993CB9">
              <w:t xml:space="preserve"> 2006</w:t>
            </w:r>
          </w:p>
        </w:tc>
        <w:tc>
          <w:tcPr>
            <w:tcW w:w="3009" w:type="dxa"/>
            <w:tcBorders>
              <w:top w:val="single" w:sz="12" w:space="0" w:color="auto"/>
            </w:tcBorders>
            <w:shd w:val="clear" w:color="auto" w:fill="auto"/>
          </w:tcPr>
          <w:p w:rsidR="00141ABB" w:rsidRPr="00993CB9" w:rsidRDefault="00141ABB" w:rsidP="00735F7F">
            <w:pPr>
              <w:pStyle w:val="Tabletext"/>
            </w:pPr>
            <w:r w:rsidRPr="00993CB9">
              <w:t>s06rd391.v01.doc</w:t>
            </w:r>
          </w:p>
        </w:tc>
      </w:tr>
      <w:tr w:rsidR="00141ABB" w:rsidRPr="00993CB9" w:rsidTr="00547FF5">
        <w:tc>
          <w:tcPr>
            <w:tcW w:w="3009" w:type="dxa"/>
            <w:shd w:val="clear" w:color="auto" w:fill="auto"/>
          </w:tcPr>
          <w:p w:rsidR="00141ABB" w:rsidRPr="00993CB9" w:rsidRDefault="00141ABB" w:rsidP="00735F7F">
            <w:pPr>
              <w:pStyle w:val="Tabletext"/>
            </w:pPr>
            <w:r w:rsidRPr="00993CB9">
              <w:t>2.0</w:t>
            </w:r>
          </w:p>
        </w:tc>
        <w:tc>
          <w:tcPr>
            <w:tcW w:w="3009" w:type="dxa"/>
            <w:shd w:val="clear" w:color="auto" w:fill="auto"/>
          </w:tcPr>
          <w:p w:rsidR="00141ABB" w:rsidRPr="00993CB9" w:rsidRDefault="00141ABB" w:rsidP="00735F7F">
            <w:pPr>
              <w:pStyle w:val="Tabletext"/>
            </w:pPr>
            <w:r w:rsidRPr="00993CB9">
              <w:t>21 Feb 2008</w:t>
            </w:r>
          </w:p>
        </w:tc>
        <w:tc>
          <w:tcPr>
            <w:tcW w:w="3009" w:type="dxa"/>
            <w:shd w:val="clear" w:color="auto" w:fill="auto"/>
          </w:tcPr>
          <w:p w:rsidR="00141ABB" w:rsidRPr="00993CB9" w:rsidRDefault="00141ABB" w:rsidP="00735F7F">
            <w:pPr>
              <w:pStyle w:val="Tabletext"/>
            </w:pPr>
            <w:r w:rsidRPr="00993CB9">
              <w:t>s06rd391.v12.doc</w:t>
            </w:r>
          </w:p>
        </w:tc>
      </w:tr>
      <w:tr w:rsidR="00141ABB" w:rsidRPr="00993CB9" w:rsidTr="00547FF5">
        <w:tc>
          <w:tcPr>
            <w:tcW w:w="3009" w:type="dxa"/>
            <w:shd w:val="clear" w:color="auto" w:fill="auto"/>
          </w:tcPr>
          <w:p w:rsidR="00141ABB" w:rsidRPr="00993CB9" w:rsidRDefault="00141ABB" w:rsidP="00735F7F">
            <w:pPr>
              <w:pStyle w:val="Tabletext"/>
            </w:pPr>
            <w:r w:rsidRPr="00993CB9">
              <w:t>3.0</w:t>
            </w:r>
          </w:p>
        </w:tc>
        <w:tc>
          <w:tcPr>
            <w:tcW w:w="3009" w:type="dxa"/>
            <w:shd w:val="clear" w:color="auto" w:fill="auto"/>
          </w:tcPr>
          <w:p w:rsidR="00141ABB" w:rsidRPr="00993CB9" w:rsidRDefault="00141ABB" w:rsidP="00735F7F">
            <w:pPr>
              <w:pStyle w:val="Tabletext"/>
            </w:pPr>
            <w:r w:rsidRPr="00993CB9">
              <w:t>20 Mar 2008</w:t>
            </w:r>
          </w:p>
        </w:tc>
        <w:tc>
          <w:tcPr>
            <w:tcW w:w="3009" w:type="dxa"/>
            <w:shd w:val="clear" w:color="auto" w:fill="auto"/>
          </w:tcPr>
          <w:p w:rsidR="00141ABB" w:rsidRPr="00993CB9" w:rsidRDefault="00141ABB" w:rsidP="00735F7F">
            <w:pPr>
              <w:pStyle w:val="Tabletext"/>
            </w:pPr>
            <w:r w:rsidRPr="00993CB9">
              <w:t>s06rd391.v14.doc</w:t>
            </w:r>
          </w:p>
        </w:tc>
      </w:tr>
      <w:tr w:rsidR="00141ABB" w:rsidRPr="00993CB9" w:rsidTr="00547FF5">
        <w:tc>
          <w:tcPr>
            <w:tcW w:w="3009" w:type="dxa"/>
            <w:shd w:val="clear" w:color="auto" w:fill="auto"/>
          </w:tcPr>
          <w:p w:rsidR="00141ABB" w:rsidRPr="00993CB9" w:rsidRDefault="00141ABB" w:rsidP="00735F7F">
            <w:pPr>
              <w:pStyle w:val="Tabletext"/>
            </w:pPr>
            <w:r w:rsidRPr="00993CB9">
              <w:t>4.0</w:t>
            </w:r>
          </w:p>
        </w:tc>
        <w:tc>
          <w:tcPr>
            <w:tcW w:w="3009" w:type="dxa"/>
            <w:shd w:val="clear" w:color="auto" w:fill="auto"/>
          </w:tcPr>
          <w:p w:rsidR="00141ABB" w:rsidRPr="00993CB9" w:rsidRDefault="00141ABB" w:rsidP="00735F7F">
            <w:pPr>
              <w:pStyle w:val="Tabletext"/>
            </w:pPr>
            <w:r w:rsidRPr="00993CB9">
              <w:t>2</w:t>
            </w:r>
            <w:r w:rsidR="00B00581">
              <w:t>7 August</w:t>
            </w:r>
            <w:r w:rsidRPr="00993CB9">
              <w:t xml:space="preserve"> 2008</w:t>
            </w:r>
          </w:p>
        </w:tc>
        <w:tc>
          <w:tcPr>
            <w:tcW w:w="3009" w:type="dxa"/>
            <w:shd w:val="clear" w:color="auto" w:fill="auto"/>
          </w:tcPr>
          <w:p w:rsidR="00141ABB" w:rsidRPr="00993CB9" w:rsidRDefault="00141ABB" w:rsidP="00735F7F">
            <w:pPr>
              <w:pStyle w:val="Tabletext"/>
            </w:pPr>
            <w:r w:rsidRPr="00993CB9">
              <w:t>s06rd391.v18.doc</w:t>
            </w:r>
          </w:p>
        </w:tc>
      </w:tr>
      <w:tr w:rsidR="00141ABB" w:rsidRPr="00993CB9" w:rsidTr="00547FF5">
        <w:tc>
          <w:tcPr>
            <w:tcW w:w="3009" w:type="dxa"/>
            <w:shd w:val="clear" w:color="auto" w:fill="auto"/>
          </w:tcPr>
          <w:p w:rsidR="00141ABB" w:rsidRPr="00993CB9" w:rsidRDefault="00141ABB" w:rsidP="00735F7F">
            <w:pPr>
              <w:pStyle w:val="Tabletext"/>
            </w:pPr>
            <w:r w:rsidRPr="00993CB9">
              <w:t>5.0</w:t>
            </w:r>
          </w:p>
        </w:tc>
        <w:tc>
          <w:tcPr>
            <w:tcW w:w="3009" w:type="dxa"/>
            <w:shd w:val="clear" w:color="auto" w:fill="auto"/>
          </w:tcPr>
          <w:p w:rsidR="00141ABB" w:rsidRPr="00993CB9" w:rsidRDefault="00141ABB" w:rsidP="00735F7F">
            <w:pPr>
              <w:pStyle w:val="Tabletext"/>
            </w:pPr>
            <w:r w:rsidRPr="00993CB9">
              <w:t>2</w:t>
            </w:r>
            <w:r w:rsidR="00B00581">
              <w:t>6 June</w:t>
            </w:r>
            <w:r w:rsidRPr="00993CB9">
              <w:t xml:space="preserve"> 2009</w:t>
            </w:r>
          </w:p>
        </w:tc>
        <w:tc>
          <w:tcPr>
            <w:tcW w:w="3009" w:type="dxa"/>
            <w:shd w:val="clear" w:color="auto" w:fill="auto"/>
          </w:tcPr>
          <w:p w:rsidR="00141ABB" w:rsidRPr="00993CB9" w:rsidRDefault="00141ABB" w:rsidP="00735F7F">
            <w:pPr>
              <w:pStyle w:val="Tabletext"/>
            </w:pPr>
            <w:r w:rsidRPr="00993CB9">
              <w:t>s06rd391.v22.doc</w:t>
            </w:r>
          </w:p>
        </w:tc>
      </w:tr>
      <w:tr w:rsidR="00141ABB" w:rsidRPr="00993CB9" w:rsidTr="00547FF5">
        <w:tc>
          <w:tcPr>
            <w:tcW w:w="3009" w:type="dxa"/>
            <w:shd w:val="clear" w:color="auto" w:fill="auto"/>
          </w:tcPr>
          <w:p w:rsidR="00141ABB" w:rsidRPr="00993CB9" w:rsidRDefault="00141ABB" w:rsidP="00735F7F">
            <w:pPr>
              <w:pStyle w:val="Tabletext"/>
            </w:pPr>
            <w:r w:rsidRPr="00993CB9">
              <w:t>5.1</w:t>
            </w:r>
          </w:p>
        </w:tc>
        <w:tc>
          <w:tcPr>
            <w:tcW w:w="3009" w:type="dxa"/>
            <w:shd w:val="clear" w:color="auto" w:fill="auto"/>
          </w:tcPr>
          <w:p w:rsidR="00141ABB" w:rsidRPr="00993CB9" w:rsidRDefault="00141ABB" w:rsidP="00735F7F">
            <w:pPr>
              <w:pStyle w:val="Tabletext"/>
            </w:pPr>
            <w:r w:rsidRPr="00993CB9">
              <w:t>2</w:t>
            </w:r>
            <w:r w:rsidR="00B00581">
              <w:t>0 April</w:t>
            </w:r>
            <w:r w:rsidRPr="00993CB9">
              <w:t xml:space="preserve"> 2010</w:t>
            </w:r>
          </w:p>
        </w:tc>
        <w:tc>
          <w:tcPr>
            <w:tcW w:w="3009" w:type="dxa"/>
            <w:shd w:val="clear" w:color="auto" w:fill="auto"/>
          </w:tcPr>
          <w:p w:rsidR="00141ABB" w:rsidRPr="00993CB9" w:rsidRDefault="00141ABB" w:rsidP="00735F7F">
            <w:pPr>
              <w:pStyle w:val="Tabletext"/>
            </w:pPr>
            <w:r w:rsidRPr="00993CB9">
              <w:t>s06rd391.v24.docx</w:t>
            </w:r>
          </w:p>
        </w:tc>
      </w:tr>
      <w:tr w:rsidR="00141ABB" w:rsidRPr="00993CB9" w:rsidTr="00547FF5">
        <w:tc>
          <w:tcPr>
            <w:tcW w:w="3009" w:type="dxa"/>
            <w:shd w:val="clear" w:color="auto" w:fill="auto"/>
          </w:tcPr>
          <w:p w:rsidR="00141ABB" w:rsidRPr="00993CB9" w:rsidRDefault="00141ABB" w:rsidP="00735F7F">
            <w:pPr>
              <w:pStyle w:val="Tabletext"/>
            </w:pPr>
            <w:r w:rsidRPr="00993CB9">
              <w:t>6.0</w:t>
            </w:r>
          </w:p>
        </w:tc>
        <w:tc>
          <w:tcPr>
            <w:tcW w:w="3009" w:type="dxa"/>
            <w:shd w:val="clear" w:color="auto" w:fill="auto"/>
          </w:tcPr>
          <w:p w:rsidR="00141ABB" w:rsidRPr="00993CB9" w:rsidRDefault="00141ABB" w:rsidP="00735F7F">
            <w:pPr>
              <w:pStyle w:val="Tabletext"/>
            </w:pPr>
            <w:r w:rsidRPr="00993CB9">
              <w:t>3</w:t>
            </w:r>
            <w:r w:rsidR="00B00581">
              <w:t>0 June</w:t>
            </w:r>
            <w:r w:rsidRPr="00993CB9">
              <w:t xml:space="preserve"> 2010</w:t>
            </w:r>
          </w:p>
        </w:tc>
        <w:tc>
          <w:tcPr>
            <w:tcW w:w="3009" w:type="dxa"/>
            <w:shd w:val="clear" w:color="auto" w:fill="auto"/>
          </w:tcPr>
          <w:p w:rsidR="00141ABB" w:rsidRPr="00993CB9" w:rsidRDefault="00141ABB" w:rsidP="00735F7F">
            <w:pPr>
              <w:pStyle w:val="Tabletext"/>
            </w:pPr>
            <w:r w:rsidRPr="00993CB9">
              <w:t>s06rd391.v25.docx</w:t>
            </w:r>
          </w:p>
        </w:tc>
      </w:tr>
      <w:tr w:rsidR="00141ABB" w:rsidRPr="00993CB9" w:rsidTr="00547FF5">
        <w:tc>
          <w:tcPr>
            <w:tcW w:w="3009" w:type="dxa"/>
            <w:shd w:val="clear" w:color="auto" w:fill="auto"/>
          </w:tcPr>
          <w:p w:rsidR="00141ABB" w:rsidRPr="00993CB9" w:rsidRDefault="00141ABB" w:rsidP="00735F7F">
            <w:pPr>
              <w:pStyle w:val="Tabletext"/>
            </w:pPr>
            <w:r w:rsidRPr="00993CB9">
              <w:t>7.0</w:t>
            </w:r>
          </w:p>
        </w:tc>
        <w:tc>
          <w:tcPr>
            <w:tcW w:w="3009" w:type="dxa"/>
            <w:shd w:val="clear" w:color="auto" w:fill="auto"/>
          </w:tcPr>
          <w:p w:rsidR="00141ABB" w:rsidRPr="00993CB9" w:rsidRDefault="00141ABB" w:rsidP="00735F7F">
            <w:pPr>
              <w:pStyle w:val="Tabletext"/>
            </w:pPr>
            <w:r w:rsidRPr="00993CB9">
              <w:t>1</w:t>
            </w:r>
            <w:r w:rsidR="00B00581">
              <w:t>2 October</w:t>
            </w:r>
            <w:r w:rsidRPr="00993CB9">
              <w:t xml:space="preserve"> 2010</w:t>
            </w:r>
          </w:p>
        </w:tc>
        <w:tc>
          <w:tcPr>
            <w:tcW w:w="3009" w:type="dxa"/>
            <w:shd w:val="clear" w:color="auto" w:fill="auto"/>
          </w:tcPr>
          <w:p w:rsidR="00141ABB" w:rsidRPr="00993CB9" w:rsidRDefault="00141ABB" w:rsidP="00735F7F">
            <w:pPr>
              <w:pStyle w:val="Tabletext"/>
            </w:pPr>
            <w:r w:rsidRPr="00993CB9">
              <w:t>s06rd391.v28.docx</w:t>
            </w:r>
          </w:p>
        </w:tc>
      </w:tr>
      <w:tr w:rsidR="00141ABB" w:rsidRPr="00993CB9" w:rsidTr="00547FF5">
        <w:tc>
          <w:tcPr>
            <w:tcW w:w="3009" w:type="dxa"/>
            <w:shd w:val="clear" w:color="auto" w:fill="auto"/>
          </w:tcPr>
          <w:p w:rsidR="00141ABB" w:rsidRPr="00993CB9" w:rsidRDefault="00141ABB" w:rsidP="00735F7F">
            <w:pPr>
              <w:pStyle w:val="Tabletext"/>
            </w:pPr>
            <w:r w:rsidRPr="00993CB9">
              <w:t>7.1</w:t>
            </w:r>
          </w:p>
        </w:tc>
        <w:tc>
          <w:tcPr>
            <w:tcW w:w="3009" w:type="dxa"/>
            <w:shd w:val="clear" w:color="auto" w:fill="auto"/>
          </w:tcPr>
          <w:p w:rsidR="00141ABB" w:rsidRPr="00993CB9" w:rsidRDefault="00141ABB" w:rsidP="00735F7F">
            <w:pPr>
              <w:pStyle w:val="Tabletext"/>
              <w:rPr>
                <w:highlight w:val="yellow"/>
              </w:rPr>
            </w:pPr>
            <w:r w:rsidRPr="00993CB9">
              <w:t>2</w:t>
            </w:r>
            <w:r w:rsidR="00B00581">
              <w:t>1 February</w:t>
            </w:r>
            <w:r w:rsidRPr="00993CB9">
              <w:t xml:space="preserve"> 2011</w:t>
            </w:r>
          </w:p>
        </w:tc>
        <w:tc>
          <w:tcPr>
            <w:tcW w:w="3009" w:type="dxa"/>
            <w:shd w:val="clear" w:color="auto" w:fill="auto"/>
          </w:tcPr>
          <w:p w:rsidR="00141ABB" w:rsidRPr="00993CB9" w:rsidRDefault="00141ABB" w:rsidP="00735F7F">
            <w:pPr>
              <w:pStyle w:val="Tabletext"/>
              <w:rPr>
                <w:highlight w:val="yellow"/>
              </w:rPr>
            </w:pPr>
            <w:r w:rsidRPr="00993CB9">
              <w:t>s06rd391.v32.docx</w:t>
            </w:r>
          </w:p>
        </w:tc>
      </w:tr>
      <w:tr w:rsidR="00141ABB" w:rsidRPr="00993CB9" w:rsidTr="00547FF5">
        <w:tc>
          <w:tcPr>
            <w:tcW w:w="3009" w:type="dxa"/>
            <w:shd w:val="clear" w:color="auto" w:fill="auto"/>
          </w:tcPr>
          <w:p w:rsidR="00141ABB" w:rsidRPr="00993CB9" w:rsidRDefault="00141ABB" w:rsidP="00735F7F">
            <w:pPr>
              <w:pStyle w:val="Tabletext"/>
            </w:pPr>
            <w:r w:rsidRPr="00993CB9">
              <w:t>8.0</w:t>
            </w:r>
          </w:p>
        </w:tc>
        <w:tc>
          <w:tcPr>
            <w:tcW w:w="3009" w:type="dxa"/>
            <w:shd w:val="clear" w:color="auto" w:fill="auto"/>
          </w:tcPr>
          <w:p w:rsidR="00141ABB" w:rsidRPr="00993CB9" w:rsidRDefault="00141ABB" w:rsidP="00735F7F">
            <w:pPr>
              <w:pStyle w:val="Tabletext"/>
            </w:pPr>
            <w:r w:rsidRPr="00993CB9">
              <w:t>1</w:t>
            </w:r>
            <w:r w:rsidR="00B00581">
              <w:t>7 February</w:t>
            </w:r>
            <w:r w:rsidRPr="00993CB9">
              <w:t xml:space="preserve"> 2012</w:t>
            </w:r>
          </w:p>
        </w:tc>
        <w:tc>
          <w:tcPr>
            <w:tcW w:w="3009" w:type="dxa"/>
            <w:shd w:val="clear" w:color="auto" w:fill="auto"/>
          </w:tcPr>
          <w:p w:rsidR="00141ABB" w:rsidRPr="00993CB9" w:rsidRDefault="00141ABB" w:rsidP="00735F7F">
            <w:pPr>
              <w:pStyle w:val="Tabletext"/>
            </w:pPr>
            <w:r w:rsidRPr="00993CB9">
              <w:t>s06rd391.v45.docx</w:t>
            </w:r>
          </w:p>
        </w:tc>
      </w:tr>
      <w:tr w:rsidR="0027155D" w:rsidRPr="00993CB9" w:rsidTr="00547FF5">
        <w:tc>
          <w:tcPr>
            <w:tcW w:w="3009" w:type="dxa"/>
            <w:shd w:val="clear" w:color="auto" w:fill="auto"/>
          </w:tcPr>
          <w:p w:rsidR="0027155D" w:rsidRPr="00993CB9" w:rsidRDefault="00F9686D" w:rsidP="00735F7F">
            <w:pPr>
              <w:pStyle w:val="Tabletext"/>
            </w:pPr>
            <w:r w:rsidRPr="00993CB9">
              <w:t>8.1</w:t>
            </w:r>
          </w:p>
        </w:tc>
        <w:tc>
          <w:tcPr>
            <w:tcW w:w="3009" w:type="dxa"/>
            <w:shd w:val="clear" w:color="auto" w:fill="auto"/>
          </w:tcPr>
          <w:p w:rsidR="0027155D" w:rsidRPr="00993CB9" w:rsidRDefault="0027155D" w:rsidP="00F9686D">
            <w:pPr>
              <w:pStyle w:val="Tabletext"/>
            </w:pPr>
            <w:r w:rsidRPr="00993CB9">
              <w:t>1</w:t>
            </w:r>
            <w:r w:rsidR="00B00581">
              <w:t>2 February</w:t>
            </w:r>
            <w:r w:rsidRPr="00993CB9">
              <w:t xml:space="preserve"> 2013</w:t>
            </w:r>
          </w:p>
        </w:tc>
        <w:tc>
          <w:tcPr>
            <w:tcW w:w="3009" w:type="dxa"/>
            <w:shd w:val="clear" w:color="auto" w:fill="auto"/>
          </w:tcPr>
          <w:p w:rsidR="0027155D" w:rsidRPr="00993CB9" w:rsidRDefault="0027155D" w:rsidP="00F9686D">
            <w:pPr>
              <w:pStyle w:val="Tabletext"/>
            </w:pPr>
            <w:r w:rsidRPr="00993CB9">
              <w:t>s06rd391.v5</w:t>
            </w:r>
            <w:r w:rsidR="00F9686D" w:rsidRPr="00993CB9">
              <w:t>6</w:t>
            </w:r>
            <w:r w:rsidRPr="00993CB9">
              <w:t>.docx</w:t>
            </w:r>
          </w:p>
        </w:tc>
      </w:tr>
      <w:tr w:rsidR="00923EDB" w:rsidRPr="00993CB9" w:rsidTr="00547FF5">
        <w:tc>
          <w:tcPr>
            <w:tcW w:w="3009" w:type="dxa"/>
            <w:shd w:val="clear" w:color="auto" w:fill="auto"/>
          </w:tcPr>
          <w:p w:rsidR="00923EDB" w:rsidRPr="00993CB9" w:rsidRDefault="00CA6DD3" w:rsidP="00735F7F">
            <w:pPr>
              <w:pStyle w:val="Tabletext"/>
            </w:pPr>
            <w:r w:rsidRPr="00993CB9">
              <w:t>8.2</w:t>
            </w:r>
          </w:p>
        </w:tc>
        <w:tc>
          <w:tcPr>
            <w:tcW w:w="3009" w:type="dxa"/>
            <w:shd w:val="clear" w:color="auto" w:fill="auto"/>
          </w:tcPr>
          <w:p w:rsidR="00923EDB" w:rsidRPr="00993CB9" w:rsidRDefault="00D14303" w:rsidP="00CA6DD3">
            <w:pPr>
              <w:pStyle w:val="Tabletext"/>
            </w:pPr>
            <w:r w:rsidRPr="00993CB9">
              <w:t>1</w:t>
            </w:r>
            <w:r w:rsidR="00B00581">
              <w:t>5 October</w:t>
            </w:r>
            <w:r w:rsidRPr="00993CB9">
              <w:t xml:space="preserve"> 2013</w:t>
            </w:r>
          </w:p>
        </w:tc>
        <w:tc>
          <w:tcPr>
            <w:tcW w:w="3009" w:type="dxa"/>
            <w:shd w:val="clear" w:color="auto" w:fill="auto"/>
          </w:tcPr>
          <w:p w:rsidR="00923EDB" w:rsidRPr="00993CB9" w:rsidRDefault="00D14303" w:rsidP="00D14303">
            <w:pPr>
              <w:pStyle w:val="Tabletext"/>
              <w:rPr>
                <w:i/>
              </w:rPr>
            </w:pPr>
            <w:r w:rsidRPr="00993CB9">
              <w:t>s06rd391.v70.docx</w:t>
            </w:r>
          </w:p>
        </w:tc>
      </w:tr>
      <w:tr w:rsidR="001B7C2D" w:rsidRPr="00993CB9" w:rsidTr="00547FF5">
        <w:tc>
          <w:tcPr>
            <w:tcW w:w="3009" w:type="dxa"/>
            <w:shd w:val="clear" w:color="auto" w:fill="auto"/>
          </w:tcPr>
          <w:p w:rsidR="001B7C2D" w:rsidRPr="00993CB9" w:rsidRDefault="001B7C2D" w:rsidP="00CD603B">
            <w:pPr>
              <w:pStyle w:val="Tabletext"/>
            </w:pPr>
            <w:r w:rsidRPr="00993CB9">
              <w:t>8.3</w:t>
            </w:r>
          </w:p>
        </w:tc>
        <w:tc>
          <w:tcPr>
            <w:tcW w:w="3009" w:type="dxa"/>
            <w:shd w:val="clear" w:color="auto" w:fill="auto"/>
          </w:tcPr>
          <w:p w:rsidR="001B7C2D" w:rsidRPr="00993CB9" w:rsidRDefault="001B7C2D" w:rsidP="00CD603B">
            <w:pPr>
              <w:pStyle w:val="Tabletext"/>
            </w:pPr>
            <w:r w:rsidRPr="00993CB9">
              <w:t>2</w:t>
            </w:r>
            <w:r w:rsidR="00B00581">
              <w:t>4 March</w:t>
            </w:r>
            <w:r w:rsidRPr="00993CB9">
              <w:t xml:space="preserve"> 2014</w:t>
            </w:r>
          </w:p>
        </w:tc>
        <w:tc>
          <w:tcPr>
            <w:tcW w:w="3009" w:type="dxa"/>
            <w:shd w:val="clear" w:color="auto" w:fill="auto"/>
          </w:tcPr>
          <w:p w:rsidR="001B7C2D" w:rsidRPr="00993CB9" w:rsidRDefault="001B7C2D" w:rsidP="00CD603B">
            <w:pPr>
              <w:pStyle w:val="Tabletext"/>
            </w:pPr>
            <w:r w:rsidRPr="00993CB9">
              <w:t>s06rd391.v77.docx</w:t>
            </w:r>
          </w:p>
        </w:tc>
      </w:tr>
      <w:tr w:rsidR="006A1667" w:rsidRPr="00993CB9" w:rsidTr="00547FF5">
        <w:tc>
          <w:tcPr>
            <w:tcW w:w="3009" w:type="dxa"/>
            <w:shd w:val="clear" w:color="auto" w:fill="auto"/>
          </w:tcPr>
          <w:p w:rsidR="006A1667" w:rsidRPr="00993CB9" w:rsidRDefault="001B7C2D" w:rsidP="00735F7F">
            <w:pPr>
              <w:pStyle w:val="Tabletext"/>
            </w:pPr>
            <w:r w:rsidRPr="00993CB9">
              <w:t>8.4</w:t>
            </w:r>
          </w:p>
        </w:tc>
        <w:tc>
          <w:tcPr>
            <w:tcW w:w="3009" w:type="dxa"/>
            <w:shd w:val="clear" w:color="auto" w:fill="auto"/>
          </w:tcPr>
          <w:p w:rsidR="006A1667" w:rsidRPr="00993CB9" w:rsidRDefault="00B00581" w:rsidP="000A1483">
            <w:pPr>
              <w:pStyle w:val="Tabletext"/>
            </w:pPr>
            <w:r>
              <w:t>3 November</w:t>
            </w:r>
            <w:r w:rsidR="001B7C2D" w:rsidRPr="00993CB9">
              <w:t xml:space="preserve"> </w:t>
            </w:r>
            <w:r w:rsidR="00916508" w:rsidRPr="00993CB9">
              <w:t>2014</w:t>
            </w:r>
          </w:p>
        </w:tc>
        <w:tc>
          <w:tcPr>
            <w:tcW w:w="3009" w:type="dxa"/>
            <w:shd w:val="clear" w:color="auto" w:fill="auto"/>
          </w:tcPr>
          <w:p w:rsidR="006A1667" w:rsidRPr="00993CB9" w:rsidRDefault="00916508" w:rsidP="000A1483">
            <w:pPr>
              <w:pStyle w:val="Tabletext"/>
            </w:pPr>
            <w:r w:rsidRPr="00993CB9">
              <w:t>s06rd391.v</w:t>
            </w:r>
            <w:r w:rsidR="000A1483" w:rsidRPr="00993CB9">
              <w:t>82</w:t>
            </w:r>
            <w:r w:rsidRPr="00993CB9">
              <w:t>.docx</w:t>
            </w:r>
          </w:p>
        </w:tc>
      </w:tr>
      <w:tr w:rsidR="000854C2" w:rsidRPr="00993CB9" w:rsidTr="00547FF5">
        <w:tc>
          <w:tcPr>
            <w:tcW w:w="3009" w:type="dxa"/>
            <w:shd w:val="clear" w:color="auto" w:fill="auto"/>
          </w:tcPr>
          <w:p w:rsidR="000854C2" w:rsidRPr="00993CB9" w:rsidRDefault="000854C2" w:rsidP="00735F7F">
            <w:pPr>
              <w:pStyle w:val="Tabletext"/>
            </w:pPr>
            <w:r w:rsidRPr="00993CB9">
              <w:t>8.5</w:t>
            </w:r>
          </w:p>
        </w:tc>
        <w:tc>
          <w:tcPr>
            <w:tcW w:w="3009" w:type="dxa"/>
            <w:shd w:val="clear" w:color="auto" w:fill="auto"/>
          </w:tcPr>
          <w:p w:rsidR="000854C2" w:rsidRPr="00993CB9" w:rsidRDefault="00A873EF" w:rsidP="000A1483">
            <w:pPr>
              <w:pStyle w:val="Tabletext"/>
            </w:pPr>
            <w:r w:rsidRPr="00993CB9">
              <w:t>1</w:t>
            </w:r>
            <w:r w:rsidR="00B00581">
              <w:t>0 June</w:t>
            </w:r>
            <w:r w:rsidRPr="00993CB9">
              <w:t xml:space="preserve"> 2015</w:t>
            </w:r>
          </w:p>
        </w:tc>
        <w:tc>
          <w:tcPr>
            <w:tcW w:w="3009" w:type="dxa"/>
            <w:shd w:val="clear" w:color="auto" w:fill="auto"/>
          </w:tcPr>
          <w:p w:rsidR="000854C2" w:rsidRPr="00993CB9" w:rsidRDefault="000854C2" w:rsidP="00A873EF">
            <w:pPr>
              <w:pStyle w:val="Tabletext"/>
            </w:pPr>
            <w:r w:rsidRPr="00993CB9">
              <w:t>s06rd391.v</w:t>
            </w:r>
            <w:r w:rsidR="00A873EF" w:rsidRPr="00993CB9">
              <w:t>84</w:t>
            </w:r>
            <w:r w:rsidRPr="00993CB9">
              <w:t>.docx</w:t>
            </w:r>
          </w:p>
        </w:tc>
      </w:tr>
      <w:tr w:rsidR="00D0582F" w:rsidRPr="00993CB9" w:rsidTr="00547FF5">
        <w:tc>
          <w:tcPr>
            <w:tcW w:w="3009" w:type="dxa"/>
            <w:shd w:val="clear" w:color="auto" w:fill="auto"/>
          </w:tcPr>
          <w:p w:rsidR="00D0582F" w:rsidRPr="00993CB9" w:rsidRDefault="00D0582F" w:rsidP="001F42FC">
            <w:pPr>
              <w:pStyle w:val="Tabletext"/>
            </w:pPr>
            <w:r w:rsidRPr="00993CB9">
              <w:t>8.6</w:t>
            </w:r>
          </w:p>
        </w:tc>
        <w:tc>
          <w:tcPr>
            <w:tcW w:w="3009" w:type="dxa"/>
            <w:shd w:val="clear" w:color="auto" w:fill="auto"/>
          </w:tcPr>
          <w:p w:rsidR="00D0582F" w:rsidRPr="00993CB9" w:rsidRDefault="00B00581" w:rsidP="001F42FC">
            <w:pPr>
              <w:pStyle w:val="Tabletext"/>
            </w:pPr>
            <w:r>
              <w:t>6 October</w:t>
            </w:r>
            <w:r w:rsidR="00D0582F" w:rsidRPr="00993CB9">
              <w:t xml:space="preserve"> 2015</w:t>
            </w:r>
          </w:p>
        </w:tc>
        <w:tc>
          <w:tcPr>
            <w:tcW w:w="3009" w:type="dxa"/>
            <w:shd w:val="clear" w:color="auto" w:fill="auto"/>
          </w:tcPr>
          <w:p w:rsidR="00D0582F" w:rsidRPr="00993CB9" w:rsidRDefault="00D0582F" w:rsidP="001F42FC">
            <w:pPr>
              <w:pStyle w:val="Tabletext"/>
            </w:pPr>
            <w:r w:rsidRPr="00993CB9">
              <w:t>s06rd391.v91.docx</w:t>
            </w:r>
          </w:p>
        </w:tc>
      </w:tr>
      <w:tr w:rsidR="0033253D" w:rsidRPr="00993CB9" w:rsidTr="00547FF5">
        <w:tc>
          <w:tcPr>
            <w:tcW w:w="3009" w:type="dxa"/>
            <w:shd w:val="clear" w:color="auto" w:fill="auto"/>
          </w:tcPr>
          <w:p w:rsidR="0033253D" w:rsidRPr="00993CB9" w:rsidRDefault="0033253D" w:rsidP="00874063">
            <w:pPr>
              <w:pStyle w:val="Tabletext"/>
            </w:pPr>
            <w:r w:rsidRPr="00993CB9">
              <w:t>8.7</w:t>
            </w:r>
          </w:p>
        </w:tc>
        <w:tc>
          <w:tcPr>
            <w:tcW w:w="3009" w:type="dxa"/>
            <w:shd w:val="clear" w:color="auto" w:fill="auto"/>
          </w:tcPr>
          <w:p w:rsidR="0033253D" w:rsidRPr="00993CB9" w:rsidRDefault="0033253D" w:rsidP="00874063">
            <w:pPr>
              <w:pStyle w:val="Tabletext"/>
            </w:pPr>
            <w:r w:rsidRPr="00993CB9">
              <w:t>2</w:t>
            </w:r>
            <w:r w:rsidR="00B00581">
              <w:t>9 August</w:t>
            </w:r>
            <w:r w:rsidRPr="00993CB9">
              <w:t xml:space="preserve"> 2016</w:t>
            </w:r>
          </w:p>
        </w:tc>
        <w:tc>
          <w:tcPr>
            <w:tcW w:w="3009" w:type="dxa"/>
            <w:shd w:val="clear" w:color="auto" w:fill="auto"/>
          </w:tcPr>
          <w:p w:rsidR="0033253D" w:rsidRPr="00993CB9" w:rsidRDefault="0033253D" w:rsidP="00874063">
            <w:pPr>
              <w:pStyle w:val="Tabletext"/>
            </w:pPr>
            <w:r w:rsidRPr="00993CB9">
              <w:t>s06rd391.v113.docx</w:t>
            </w:r>
          </w:p>
        </w:tc>
      </w:tr>
      <w:tr w:rsidR="00C52F07" w:rsidRPr="00993CB9" w:rsidTr="00547FF5">
        <w:tc>
          <w:tcPr>
            <w:tcW w:w="3009" w:type="dxa"/>
            <w:shd w:val="clear" w:color="auto" w:fill="auto"/>
          </w:tcPr>
          <w:p w:rsidR="00C52F07" w:rsidRPr="00993CB9" w:rsidRDefault="00C52F07" w:rsidP="0033253D">
            <w:pPr>
              <w:pStyle w:val="Tabletext"/>
            </w:pPr>
            <w:r w:rsidRPr="00993CB9">
              <w:t>8.</w:t>
            </w:r>
            <w:r w:rsidR="0033253D" w:rsidRPr="00993CB9">
              <w:t>8</w:t>
            </w:r>
          </w:p>
        </w:tc>
        <w:tc>
          <w:tcPr>
            <w:tcW w:w="3009" w:type="dxa"/>
            <w:shd w:val="clear" w:color="auto" w:fill="auto"/>
          </w:tcPr>
          <w:p w:rsidR="00C52F07" w:rsidRPr="00993CB9" w:rsidRDefault="00385526" w:rsidP="00385526">
            <w:pPr>
              <w:pStyle w:val="Tabletext"/>
            </w:pPr>
            <w:r w:rsidRPr="00993CB9">
              <w:t>2</w:t>
            </w:r>
            <w:r w:rsidR="00B00581">
              <w:t>9 November</w:t>
            </w:r>
            <w:r w:rsidR="0033253D" w:rsidRPr="00993CB9">
              <w:t xml:space="preserve"> 2017</w:t>
            </w:r>
          </w:p>
        </w:tc>
        <w:tc>
          <w:tcPr>
            <w:tcW w:w="3009" w:type="dxa"/>
            <w:shd w:val="clear" w:color="auto" w:fill="auto"/>
          </w:tcPr>
          <w:p w:rsidR="00C52F07" w:rsidRPr="00993CB9" w:rsidRDefault="00C52F07" w:rsidP="009A18F1">
            <w:pPr>
              <w:pStyle w:val="Tabletext"/>
            </w:pPr>
            <w:r w:rsidRPr="00993CB9">
              <w:t>s06rd391.v</w:t>
            </w:r>
            <w:r w:rsidR="00385526" w:rsidRPr="00993CB9">
              <w:t>11</w:t>
            </w:r>
            <w:r w:rsidR="009A18F1" w:rsidRPr="00993CB9">
              <w:t>6</w:t>
            </w:r>
            <w:r w:rsidRPr="00993CB9">
              <w:t>.docx</w:t>
            </w:r>
          </w:p>
        </w:tc>
      </w:tr>
      <w:tr w:rsidR="00874063" w:rsidRPr="00993CB9" w:rsidTr="00547FF5">
        <w:tc>
          <w:tcPr>
            <w:tcW w:w="3009" w:type="dxa"/>
            <w:shd w:val="clear" w:color="auto" w:fill="auto"/>
          </w:tcPr>
          <w:p w:rsidR="00874063" w:rsidRPr="00993CB9" w:rsidRDefault="00874063" w:rsidP="0033253D">
            <w:pPr>
              <w:pStyle w:val="Tabletext"/>
            </w:pPr>
            <w:r w:rsidRPr="00993CB9">
              <w:t>8.9</w:t>
            </w:r>
          </w:p>
        </w:tc>
        <w:tc>
          <w:tcPr>
            <w:tcW w:w="3009" w:type="dxa"/>
            <w:shd w:val="clear" w:color="auto" w:fill="auto"/>
          </w:tcPr>
          <w:p w:rsidR="00874063" w:rsidRPr="00993CB9" w:rsidRDefault="00F236B0" w:rsidP="00385526">
            <w:pPr>
              <w:pStyle w:val="Tabletext"/>
            </w:pPr>
            <w:r w:rsidRPr="00993CB9">
              <w:t>1</w:t>
            </w:r>
            <w:r w:rsidR="00B00581">
              <w:t>9 November</w:t>
            </w:r>
            <w:r w:rsidR="00874063" w:rsidRPr="00993CB9">
              <w:t xml:space="preserve"> 2018</w:t>
            </w:r>
          </w:p>
        </w:tc>
        <w:tc>
          <w:tcPr>
            <w:tcW w:w="3009" w:type="dxa"/>
            <w:shd w:val="clear" w:color="auto" w:fill="auto"/>
          </w:tcPr>
          <w:p w:rsidR="00874063" w:rsidRPr="00993CB9" w:rsidRDefault="00874063" w:rsidP="00F236B0">
            <w:pPr>
              <w:pStyle w:val="Tabletext"/>
            </w:pPr>
            <w:r w:rsidRPr="00993CB9">
              <w:t>s06rd391.</w:t>
            </w:r>
            <w:r w:rsidR="00EC7927" w:rsidRPr="00993CB9">
              <w:t>v</w:t>
            </w:r>
            <w:r w:rsidR="00F236B0" w:rsidRPr="00993CB9">
              <w:t>121</w:t>
            </w:r>
            <w:r w:rsidRPr="00993CB9">
              <w:t>.docx</w:t>
            </w:r>
          </w:p>
        </w:tc>
      </w:tr>
      <w:tr w:rsidR="00EC7927" w:rsidRPr="00993CB9" w:rsidTr="00547FF5">
        <w:tc>
          <w:tcPr>
            <w:tcW w:w="3009" w:type="dxa"/>
            <w:shd w:val="clear" w:color="auto" w:fill="auto"/>
          </w:tcPr>
          <w:p w:rsidR="00EC7927" w:rsidRPr="00993CB9" w:rsidRDefault="00EC7927" w:rsidP="0033253D">
            <w:pPr>
              <w:pStyle w:val="Tabletext"/>
            </w:pPr>
            <w:r w:rsidRPr="00993CB9">
              <w:t>8.10</w:t>
            </w:r>
          </w:p>
        </w:tc>
        <w:tc>
          <w:tcPr>
            <w:tcW w:w="3009" w:type="dxa"/>
            <w:shd w:val="clear" w:color="auto" w:fill="auto"/>
          </w:tcPr>
          <w:p w:rsidR="00EC7927" w:rsidRPr="00993CB9" w:rsidRDefault="00AF34E1" w:rsidP="00385526">
            <w:pPr>
              <w:pStyle w:val="Tabletext"/>
            </w:pPr>
            <w:r w:rsidRPr="00993CB9">
              <w:t>1</w:t>
            </w:r>
            <w:r w:rsidR="00B00581">
              <w:t>8 February</w:t>
            </w:r>
            <w:r w:rsidRPr="00993CB9">
              <w:t xml:space="preserve"> 2019</w:t>
            </w:r>
          </w:p>
        </w:tc>
        <w:tc>
          <w:tcPr>
            <w:tcW w:w="3009" w:type="dxa"/>
            <w:shd w:val="clear" w:color="auto" w:fill="auto"/>
          </w:tcPr>
          <w:p w:rsidR="00EC7927" w:rsidRPr="00993CB9" w:rsidRDefault="00EC7927" w:rsidP="00EC7927">
            <w:pPr>
              <w:pStyle w:val="Tabletext"/>
            </w:pPr>
            <w:r w:rsidRPr="00993CB9">
              <w:t>s06rd391.</w:t>
            </w:r>
            <w:r w:rsidR="00F04421" w:rsidRPr="00993CB9">
              <w:t>v125</w:t>
            </w:r>
            <w:r w:rsidRPr="00993CB9">
              <w:t>.docx</w:t>
            </w:r>
          </w:p>
        </w:tc>
      </w:tr>
      <w:tr w:rsidR="00547FF5" w:rsidRPr="00993CB9" w:rsidTr="00547FF5">
        <w:tc>
          <w:tcPr>
            <w:tcW w:w="3009" w:type="dxa"/>
            <w:tcBorders>
              <w:bottom w:val="single" w:sz="2" w:space="0" w:color="auto"/>
            </w:tcBorders>
            <w:shd w:val="clear" w:color="auto" w:fill="auto"/>
          </w:tcPr>
          <w:p w:rsidR="00547FF5" w:rsidRPr="00993CB9" w:rsidRDefault="00547FF5" w:rsidP="007A0A2E">
            <w:pPr>
              <w:pStyle w:val="Tabletext"/>
            </w:pPr>
            <w:r w:rsidRPr="00993CB9">
              <w:t>8.11</w:t>
            </w:r>
          </w:p>
        </w:tc>
        <w:tc>
          <w:tcPr>
            <w:tcW w:w="3009" w:type="dxa"/>
            <w:tcBorders>
              <w:bottom w:val="single" w:sz="2" w:space="0" w:color="auto"/>
            </w:tcBorders>
            <w:shd w:val="clear" w:color="auto" w:fill="auto"/>
          </w:tcPr>
          <w:p w:rsidR="00547FF5" w:rsidRPr="006C2CBA" w:rsidRDefault="00547FF5" w:rsidP="007A0A2E">
            <w:pPr>
              <w:pStyle w:val="Tabletext"/>
            </w:pPr>
            <w:r>
              <w:t>5 December 2019</w:t>
            </w:r>
          </w:p>
        </w:tc>
        <w:tc>
          <w:tcPr>
            <w:tcW w:w="3009" w:type="dxa"/>
            <w:tcBorders>
              <w:bottom w:val="single" w:sz="2" w:space="0" w:color="auto"/>
            </w:tcBorders>
            <w:shd w:val="clear" w:color="auto" w:fill="auto"/>
          </w:tcPr>
          <w:p w:rsidR="00547FF5" w:rsidRPr="00993CB9" w:rsidRDefault="00547FF5" w:rsidP="007A0A2E">
            <w:pPr>
              <w:pStyle w:val="Tabletext"/>
            </w:pPr>
            <w:r w:rsidRPr="00993CB9">
              <w:t>s06rd391.v</w:t>
            </w:r>
            <w:r>
              <w:t>142</w:t>
            </w:r>
            <w:r w:rsidRPr="00993CB9">
              <w:t>.docx</w:t>
            </w:r>
          </w:p>
        </w:tc>
      </w:tr>
      <w:tr w:rsidR="00547FF5" w:rsidRPr="00993CB9" w:rsidTr="00C26126">
        <w:tc>
          <w:tcPr>
            <w:tcW w:w="3009" w:type="dxa"/>
            <w:tcBorders>
              <w:top w:val="single" w:sz="2" w:space="0" w:color="auto"/>
              <w:bottom w:val="single" w:sz="2" w:space="0" w:color="auto"/>
            </w:tcBorders>
            <w:shd w:val="clear" w:color="auto" w:fill="auto"/>
          </w:tcPr>
          <w:p w:rsidR="00547FF5" w:rsidRPr="00993CB9" w:rsidRDefault="00547FF5" w:rsidP="0033253D">
            <w:pPr>
              <w:pStyle w:val="Tabletext"/>
            </w:pPr>
            <w:r>
              <w:t>8.12</w:t>
            </w:r>
          </w:p>
        </w:tc>
        <w:tc>
          <w:tcPr>
            <w:tcW w:w="3009" w:type="dxa"/>
            <w:tcBorders>
              <w:top w:val="single" w:sz="2" w:space="0" w:color="auto"/>
              <w:bottom w:val="single" w:sz="2" w:space="0" w:color="auto"/>
            </w:tcBorders>
            <w:shd w:val="clear" w:color="auto" w:fill="auto"/>
          </w:tcPr>
          <w:p w:rsidR="00547FF5" w:rsidRPr="006C2CBA" w:rsidRDefault="00253B01" w:rsidP="005A1B45">
            <w:pPr>
              <w:pStyle w:val="Tabletext"/>
            </w:pPr>
            <w:r>
              <w:t>3 February</w:t>
            </w:r>
            <w:r w:rsidR="00547FF5">
              <w:t xml:space="preserve"> 2020</w:t>
            </w:r>
          </w:p>
        </w:tc>
        <w:tc>
          <w:tcPr>
            <w:tcW w:w="3009" w:type="dxa"/>
            <w:tcBorders>
              <w:top w:val="single" w:sz="2" w:space="0" w:color="auto"/>
              <w:bottom w:val="single" w:sz="2" w:space="0" w:color="auto"/>
            </w:tcBorders>
            <w:shd w:val="clear" w:color="auto" w:fill="auto"/>
          </w:tcPr>
          <w:p w:rsidR="00547FF5" w:rsidRPr="00993CB9" w:rsidRDefault="00547FF5" w:rsidP="005A1B45">
            <w:pPr>
              <w:pStyle w:val="Tabletext"/>
            </w:pPr>
            <w:r w:rsidRPr="00993CB9">
              <w:t>s06rd391.v</w:t>
            </w:r>
            <w:r w:rsidR="005A1B45">
              <w:t>144</w:t>
            </w:r>
            <w:r w:rsidRPr="00993CB9">
              <w:t>.docx</w:t>
            </w:r>
          </w:p>
        </w:tc>
      </w:tr>
      <w:tr w:rsidR="00C26126" w:rsidRPr="00993CB9" w:rsidTr="00547FF5">
        <w:tc>
          <w:tcPr>
            <w:tcW w:w="3009" w:type="dxa"/>
            <w:tcBorders>
              <w:top w:val="single" w:sz="2" w:space="0" w:color="auto"/>
              <w:bottom w:val="single" w:sz="12" w:space="0" w:color="auto"/>
            </w:tcBorders>
            <w:shd w:val="clear" w:color="auto" w:fill="auto"/>
          </w:tcPr>
          <w:p w:rsidR="00C26126" w:rsidRPr="00952B7C" w:rsidRDefault="00952B7C" w:rsidP="0033253D">
            <w:pPr>
              <w:pStyle w:val="Tabletext"/>
            </w:pPr>
            <w:r>
              <w:t>9.0</w:t>
            </w:r>
          </w:p>
        </w:tc>
        <w:tc>
          <w:tcPr>
            <w:tcW w:w="3009" w:type="dxa"/>
            <w:tcBorders>
              <w:top w:val="single" w:sz="2" w:space="0" w:color="auto"/>
              <w:bottom w:val="single" w:sz="12" w:space="0" w:color="auto"/>
            </w:tcBorders>
            <w:shd w:val="clear" w:color="auto" w:fill="auto"/>
          </w:tcPr>
          <w:p w:rsidR="00C26126" w:rsidRPr="00253B01" w:rsidRDefault="00253B01" w:rsidP="005A1B45">
            <w:pPr>
              <w:pStyle w:val="Tabletext"/>
            </w:pPr>
            <w:r>
              <w:t>10 January 2023</w:t>
            </w:r>
          </w:p>
        </w:tc>
        <w:tc>
          <w:tcPr>
            <w:tcW w:w="3009" w:type="dxa"/>
            <w:tcBorders>
              <w:top w:val="single" w:sz="2" w:space="0" w:color="auto"/>
              <w:bottom w:val="single" w:sz="12" w:space="0" w:color="auto"/>
            </w:tcBorders>
            <w:shd w:val="clear" w:color="auto" w:fill="auto"/>
          </w:tcPr>
          <w:p w:rsidR="00C26126" w:rsidRPr="004F1744" w:rsidRDefault="00253B01" w:rsidP="005A1B45">
            <w:pPr>
              <w:pStyle w:val="Tabletext"/>
              <w:rPr>
                <w:i/>
              </w:rPr>
            </w:pPr>
            <w:r w:rsidRPr="00993CB9">
              <w:t>s06rd391.v</w:t>
            </w:r>
            <w:r>
              <w:t>154</w:t>
            </w:r>
            <w:r w:rsidRPr="00993CB9">
              <w:t>.docx</w:t>
            </w:r>
          </w:p>
        </w:tc>
      </w:tr>
    </w:tbl>
    <w:p w:rsidR="00141ABB" w:rsidRPr="00993CB9" w:rsidRDefault="00141ABB" w:rsidP="00141ABB">
      <w:pPr>
        <w:pStyle w:val="notemargin"/>
      </w:pPr>
      <w:r w:rsidRPr="00993CB9">
        <w:t>Note:</w:t>
      </w:r>
      <w:r w:rsidRPr="00993CB9">
        <w:tab/>
        <w:t>Before the issue of the current series of Drafting Directions, this Drafting Direction was known as Drafting Direction No. 12 of 2005.</w:t>
      </w:r>
    </w:p>
    <w:p w:rsidR="004B5733" w:rsidRPr="00993CB9" w:rsidRDefault="00F449AB" w:rsidP="00993CB9">
      <w:pPr>
        <w:pStyle w:val="Head2"/>
      </w:pPr>
      <w:r w:rsidRPr="00993CB9">
        <w:rPr>
          <w:sz w:val="24"/>
        </w:rPr>
        <w:br w:type="page"/>
      </w:r>
      <w:bookmarkStart w:id="33" w:name="_Toc124253924"/>
      <w:r w:rsidR="004B5733" w:rsidRPr="00993CB9">
        <w:lastRenderedPageBreak/>
        <w:t>Attachment A—Attorney</w:t>
      </w:r>
      <w:r w:rsidR="00253B01">
        <w:noBreakHyphen/>
      </w:r>
      <w:r w:rsidR="004B5733" w:rsidRPr="00993CB9">
        <w:t>General’s Department</w:t>
      </w:r>
      <w:bookmarkEnd w:id="33"/>
    </w:p>
    <w:p w:rsidR="00D10311" w:rsidRPr="00993CB9" w:rsidRDefault="00D10311" w:rsidP="00D10311">
      <w:pPr>
        <w:pStyle w:val="Tabletext"/>
      </w:pPr>
    </w:p>
    <w:tbl>
      <w:tblPr>
        <w:tblW w:w="936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5"/>
        <w:gridCol w:w="4814"/>
        <w:gridCol w:w="3831"/>
      </w:tblGrid>
      <w:tr w:rsidR="004B5733" w:rsidRPr="00993CB9" w:rsidTr="00AC47D5">
        <w:trPr>
          <w:tblHeader/>
        </w:trPr>
        <w:tc>
          <w:tcPr>
            <w:tcW w:w="9360" w:type="dxa"/>
            <w:gridSpan w:val="3"/>
            <w:tcBorders>
              <w:top w:val="single" w:sz="12" w:space="0" w:color="auto"/>
              <w:bottom w:val="single" w:sz="6" w:space="0" w:color="auto"/>
            </w:tcBorders>
            <w:shd w:val="clear" w:color="auto" w:fill="auto"/>
          </w:tcPr>
          <w:p w:rsidR="004B5733" w:rsidRPr="00993CB9" w:rsidRDefault="004B5733" w:rsidP="00AC47D5">
            <w:pPr>
              <w:pStyle w:val="Tabletext"/>
              <w:rPr>
                <w:b/>
              </w:rPr>
            </w:pPr>
            <w:r w:rsidRPr="00993CB9">
              <w:rPr>
                <w:b/>
              </w:rPr>
              <w:t>Attorney</w:t>
            </w:r>
            <w:r w:rsidR="00253B01">
              <w:rPr>
                <w:b/>
              </w:rPr>
              <w:noBreakHyphen/>
            </w:r>
            <w:r w:rsidRPr="00993CB9">
              <w:rPr>
                <w:b/>
              </w:rPr>
              <w:t>General’s Department Referral Checklist</w:t>
            </w:r>
          </w:p>
        </w:tc>
      </w:tr>
      <w:tr w:rsidR="004B5733" w:rsidRPr="00993CB9" w:rsidTr="00AC47D5">
        <w:trPr>
          <w:tblHeader/>
        </w:trPr>
        <w:tc>
          <w:tcPr>
            <w:tcW w:w="715" w:type="dxa"/>
            <w:tcBorders>
              <w:top w:val="single" w:sz="6" w:space="0" w:color="auto"/>
              <w:bottom w:val="single" w:sz="12" w:space="0" w:color="auto"/>
            </w:tcBorders>
            <w:shd w:val="clear" w:color="auto" w:fill="auto"/>
          </w:tcPr>
          <w:p w:rsidR="004B5733" w:rsidRPr="00993CB9" w:rsidRDefault="004B5733" w:rsidP="00AC47D5">
            <w:pPr>
              <w:pStyle w:val="Tabletext"/>
              <w:rPr>
                <w:b/>
              </w:rPr>
            </w:pPr>
            <w:r w:rsidRPr="00993CB9">
              <w:rPr>
                <w:b/>
              </w:rPr>
              <w:t>Item</w:t>
            </w:r>
          </w:p>
        </w:tc>
        <w:tc>
          <w:tcPr>
            <w:tcW w:w="4814" w:type="dxa"/>
            <w:tcBorders>
              <w:top w:val="single" w:sz="6" w:space="0" w:color="auto"/>
              <w:bottom w:val="single" w:sz="12" w:space="0" w:color="auto"/>
            </w:tcBorders>
            <w:shd w:val="clear" w:color="auto" w:fill="auto"/>
          </w:tcPr>
          <w:p w:rsidR="004B5733" w:rsidRPr="00993CB9" w:rsidRDefault="004B5733" w:rsidP="00AC47D5">
            <w:pPr>
              <w:pStyle w:val="Tabletext"/>
              <w:rPr>
                <w:b/>
              </w:rPr>
            </w:pPr>
            <w:r w:rsidRPr="00993CB9">
              <w:rPr>
                <w:b/>
              </w:rPr>
              <w:t>If the provision...</w:t>
            </w:r>
          </w:p>
        </w:tc>
        <w:tc>
          <w:tcPr>
            <w:tcW w:w="3831" w:type="dxa"/>
            <w:tcBorders>
              <w:top w:val="single" w:sz="6" w:space="0" w:color="auto"/>
              <w:bottom w:val="single" w:sz="12" w:space="0" w:color="auto"/>
            </w:tcBorders>
            <w:shd w:val="clear" w:color="auto" w:fill="auto"/>
          </w:tcPr>
          <w:p w:rsidR="004B5733" w:rsidRPr="00993CB9" w:rsidRDefault="004B5733" w:rsidP="00AC47D5">
            <w:pPr>
              <w:pStyle w:val="Tabletext"/>
              <w:rPr>
                <w:b/>
              </w:rPr>
            </w:pPr>
            <w:r w:rsidRPr="00993CB9">
              <w:rPr>
                <w:b/>
              </w:rPr>
              <w:t>Refer it to... (see Note 12)</w:t>
            </w:r>
          </w:p>
        </w:tc>
      </w:tr>
      <w:tr w:rsidR="004B5733" w:rsidRPr="00993CB9" w:rsidTr="00AC47D5">
        <w:tc>
          <w:tcPr>
            <w:tcW w:w="715" w:type="dxa"/>
            <w:tcBorders>
              <w:top w:val="single" w:sz="12" w:space="0" w:color="auto"/>
            </w:tcBorders>
            <w:shd w:val="clear" w:color="auto" w:fill="auto"/>
          </w:tcPr>
          <w:p w:rsidR="004B5733" w:rsidRPr="00993CB9" w:rsidRDefault="00B00581" w:rsidP="00AC47D5">
            <w:pPr>
              <w:pStyle w:val="Tabletext"/>
            </w:pPr>
            <w:r>
              <w:t>1</w:t>
            </w:r>
          </w:p>
        </w:tc>
        <w:tc>
          <w:tcPr>
            <w:tcW w:w="4814" w:type="dxa"/>
            <w:tcBorders>
              <w:top w:val="single" w:sz="12" w:space="0" w:color="auto"/>
            </w:tcBorders>
            <w:shd w:val="clear" w:color="auto" w:fill="auto"/>
          </w:tcPr>
          <w:p w:rsidR="004B5733" w:rsidRPr="00993CB9" w:rsidRDefault="004B5733" w:rsidP="00AC47D5">
            <w:pPr>
              <w:pStyle w:val="Tabletext"/>
            </w:pPr>
            <w:r w:rsidRPr="00993CB9">
              <w:t>creates, abolishes or affects the power or jurisdiction of a court</w:t>
            </w:r>
          </w:p>
        </w:tc>
        <w:tc>
          <w:tcPr>
            <w:tcW w:w="3831" w:type="dxa"/>
            <w:tcBorders>
              <w:top w:val="single" w:sz="12" w:space="0" w:color="auto"/>
            </w:tcBorders>
            <w:shd w:val="clear" w:color="auto" w:fill="auto"/>
          </w:tcPr>
          <w:p w:rsidR="004B5733" w:rsidRPr="00993CB9" w:rsidRDefault="004B5733" w:rsidP="00AC47D5">
            <w:pPr>
              <w:pStyle w:val="Tabletext"/>
            </w:pPr>
            <w:r w:rsidRPr="00993CB9">
              <w:t>Courts Section</w:t>
            </w:r>
            <w:r w:rsidRPr="00993CB9">
              <w:br/>
            </w:r>
            <w:r w:rsidR="009F1CA1">
              <w:t>Courts and Tribunals</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w:t>
            </w:r>
          </w:p>
        </w:tc>
        <w:tc>
          <w:tcPr>
            <w:tcW w:w="4814" w:type="dxa"/>
            <w:shd w:val="clear" w:color="auto" w:fill="auto"/>
          </w:tcPr>
          <w:p w:rsidR="004B5733" w:rsidRPr="00993CB9" w:rsidRDefault="004B5733" w:rsidP="00AC47D5">
            <w:pPr>
              <w:pStyle w:val="Tabletext"/>
            </w:pPr>
            <w:r w:rsidRPr="00993CB9">
              <w:t xml:space="preserve">defines </w:t>
            </w:r>
            <w:r w:rsidRPr="00993CB9">
              <w:rPr>
                <w:b/>
                <w:i/>
              </w:rPr>
              <w:t>magistrate</w:t>
            </w:r>
            <w:r w:rsidRPr="00993CB9">
              <w:t xml:space="preserve">, </w:t>
            </w:r>
            <w:r w:rsidRPr="00993CB9">
              <w:rPr>
                <w:b/>
                <w:i/>
              </w:rPr>
              <w:t>judge</w:t>
            </w:r>
            <w:r w:rsidRPr="00993CB9">
              <w:t xml:space="preserve"> or </w:t>
            </w:r>
            <w:r w:rsidRPr="00993CB9">
              <w:rPr>
                <w:b/>
                <w:i/>
              </w:rPr>
              <w:t>court of summary jurisdiction</w:t>
            </w:r>
          </w:p>
        </w:tc>
        <w:tc>
          <w:tcPr>
            <w:tcW w:w="3831" w:type="dxa"/>
            <w:shd w:val="clear" w:color="auto" w:fill="auto"/>
          </w:tcPr>
          <w:p w:rsidR="004B5733" w:rsidRPr="00993CB9" w:rsidRDefault="004B5733" w:rsidP="00AC47D5">
            <w:pPr>
              <w:pStyle w:val="Tabletext"/>
            </w:pPr>
            <w:r w:rsidRPr="00993CB9">
              <w:t>Courts Section</w:t>
            </w:r>
            <w:r w:rsidRPr="00993CB9">
              <w:br/>
            </w:r>
            <w:r w:rsidR="009F1CA1">
              <w:t>Courts and Tribunals</w:t>
            </w:r>
            <w:r w:rsidR="009F1CA1"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w:t>
            </w:r>
          </w:p>
        </w:tc>
        <w:tc>
          <w:tcPr>
            <w:tcW w:w="4814" w:type="dxa"/>
            <w:shd w:val="clear" w:color="auto" w:fill="auto"/>
          </w:tcPr>
          <w:p w:rsidR="004B5733" w:rsidRPr="00993CB9" w:rsidRDefault="004B5733" w:rsidP="00AC47D5">
            <w:pPr>
              <w:pStyle w:val="Tabletext"/>
            </w:pPr>
            <w:r w:rsidRPr="00993CB9">
              <w:t>provides or amends a scheme for alternative dispute resolution (</w:t>
            </w:r>
            <w:r w:rsidRPr="00993CB9">
              <w:rPr>
                <w:b/>
                <w:i/>
              </w:rPr>
              <w:t>ADR</w:t>
            </w:r>
            <w:r w:rsidRPr="00993CB9">
              <w:t>) or a mechanism for encouraging the use of ADR</w:t>
            </w:r>
          </w:p>
        </w:tc>
        <w:tc>
          <w:tcPr>
            <w:tcW w:w="3831" w:type="dxa"/>
            <w:shd w:val="clear" w:color="auto" w:fill="auto"/>
          </w:tcPr>
          <w:p w:rsidR="004B5733" w:rsidRPr="00993CB9" w:rsidRDefault="008B46C4" w:rsidP="00AC47D5">
            <w:pPr>
              <w:pStyle w:val="Tabletext"/>
            </w:pPr>
            <w:r w:rsidRPr="00993CB9">
              <w:t>Administrative Appeals Tribunal Section</w:t>
            </w:r>
            <w:r w:rsidR="004B5733" w:rsidRPr="00993CB9">
              <w:br/>
            </w:r>
            <w:r w:rsidR="009F1CA1">
              <w:t>Courts and Tribunals</w:t>
            </w:r>
            <w:r w:rsidR="009F1CA1" w:rsidRPr="00993CB9">
              <w:t xml:space="preserve"> Branch</w:t>
            </w:r>
            <w:r w:rsidRPr="00993CB9">
              <w:br/>
              <w:t>and</w:t>
            </w:r>
            <w:r w:rsidRPr="00993CB9">
              <w:br/>
              <w:t>Legal Assistance Branch</w:t>
            </w:r>
          </w:p>
        </w:tc>
      </w:tr>
      <w:tr w:rsidR="006D024E" w:rsidRPr="00993CB9" w:rsidTr="007107D0">
        <w:tc>
          <w:tcPr>
            <w:tcW w:w="715" w:type="dxa"/>
            <w:shd w:val="clear" w:color="auto" w:fill="auto"/>
          </w:tcPr>
          <w:p w:rsidR="006D024E" w:rsidRPr="00993CB9" w:rsidRDefault="00B00581" w:rsidP="007107D0">
            <w:pPr>
              <w:pStyle w:val="Tabletext"/>
            </w:pPr>
            <w:r>
              <w:t>4</w:t>
            </w:r>
          </w:p>
        </w:tc>
        <w:tc>
          <w:tcPr>
            <w:tcW w:w="4814" w:type="dxa"/>
            <w:shd w:val="clear" w:color="auto" w:fill="auto"/>
          </w:tcPr>
          <w:p w:rsidR="006D024E" w:rsidRPr="00993CB9" w:rsidRDefault="007107D0" w:rsidP="007107D0">
            <w:pPr>
              <w:pStyle w:val="Tabletext"/>
            </w:pPr>
            <w:r w:rsidRPr="00993CB9">
              <w:t>creates the power or jurisdiction of the Administrative Appeals Tribunal</w:t>
            </w:r>
            <w:r>
              <w:t xml:space="preserve"> or</w:t>
            </w:r>
            <w:r w:rsidRPr="00993CB9">
              <w:t xml:space="preserve"> </w:t>
            </w:r>
            <w:r w:rsidRPr="00BC0A4B">
              <w:t>the Defence Force Discipline Appeal Tribunal</w:t>
            </w:r>
            <w:r>
              <w:t xml:space="preserve">, including by </w:t>
            </w:r>
            <w:r w:rsidR="006D024E" w:rsidRPr="00993CB9">
              <w:t>creat</w:t>
            </w:r>
            <w:r>
              <w:t>ing</w:t>
            </w:r>
            <w:r w:rsidR="006D024E" w:rsidRPr="00993CB9">
              <w:t xml:space="preserve"> new reviewable or appealable rights, entitlements or responsibilities relating to </w:t>
            </w:r>
            <w:r>
              <w:t>those tribunals</w:t>
            </w:r>
          </w:p>
        </w:tc>
        <w:tc>
          <w:tcPr>
            <w:tcW w:w="3831" w:type="dxa"/>
            <w:shd w:val="clear" w:color="auto" w:fill="auto"/>
          </w:tcPr>
          <w:p w:rsidR="006D024E" w:rsidRPr="00993CB9" w:rsidRDefault="006D024E" w:rsidP="007107D0">
            <w:pPr>
              <w:pStyle w:val="Tabletext"/>
            </w:pPr>
            <w:r w:rsidRPr="00993CB9">
              <w:t>Administrative Appeals Tribunal Section</w:t>
            </w:r>
            <w:r w:rsidRPr="00993CB9">
              <w:br/>
            </w:r>
            <w:r w:rsidR="009F1CA1">
              <w:t>Courts and Tribunals</w:t>
            </w:r>
            <w:r w:rsidR="009F1CA1" w:rsidRPr="00993CB9">
              <w:t xml:space="preserve"> Branch</w:t>
            </w:r>
            <w:r w:rsidRPr="00993CB9">
              <w:br/>
              <w:t>and</w:t>
            </w:r>
            <w:r w:rsidRPr="00993CB9">
              <w:br/>
              <w:t>Legal Assistance Branch</w:t>
            </w:r>
            <w:r w:rsidR="00E01956" w:rsidRPr="00993CB9">
              <w:br/>
              <w:t>and</w:t>
            </w:r>
            <w:r w:rsidR="00E01956" w:rsidRPr="00993CB9">
              <w:br/>
              <w:t>Administrative Law Section</w:t>
            </w:r>
            <w:r w:rsidR="00E01956" w:rsidRPr="00993CB9">
              <w:br/>
            </w:r>
            <w:r w:rsidR="009F1CA1">
              <w:t>Transparency and Administrative Law</w:t>
            </w:r>
            <w:r w:rsidR="00E01956" w:rsidRPr="00993CB9">
              <w:t xml:space="preserve"> Branch</w:t>
            </w:r>
          </w:p>
        </w:tc>
      </w:tr>
      <w:tr w:rsidR="00414ED4" w:rsidRPr="00993CB9" w:rsidTr="00D8779A">
        <w:tc>
          <w:tcPr>
            <w:tcW w:w="715" w:type="dxa"/>
            <w:shd w:val="clear" w:color="auto" w:fill="auto"/>
          </w:tcPr>
          <w:p w:rsidR="00414ED4" w:rsidRPr="00993CB9" w:rsidRDefault="009E54AF" w:rsidP="00D8779A">
            <w:pPr>
              <w:pStyle w:val="Tabletext"/>
            </w:pPr>
            <w:r>
              <w:t>5</w:t>
            </w:r>
          </w:p>
        </w:tc>
        <w:tc>
          <w:tcPr>
            <w:tcW w:w="4814" w:type="dxa"/>
            <w:shd w:val="clear" w:color="auto" w:fill="auto"/>
          </w:tcPr>
          <w:p w:rsidR="00414ED4" w:rsidRPr="00993CB9" w:rsidRDefault="00414ED4" w:rsidP="001B33A2">
            <w:pPr>
              <w:pStyle w:val="Tabletext"/>
            </w:pPr>
            <w:r w:rsidRPr="00993CB9">
              <w:t>abolishes or otherwise affects the power or jurisdiction of the Administrative Appeals Tribunal</w:t>
            </w:r>
            <w:r w:rsidR="001B33A2">
              <w:t xml:space="preserve"> or</w:t>
            </w:r>
            <w:r w:rsidRPr="00993CB9">
              <w:t xml:space="preserve"> </w:t>
            </w:r>
            <w:r w:rsidRPr="007107D0">
              <w:t>the Defence Force Discipline Appeal Tribunal</w:t>
            </w:r>
          </w:p>
        </w:tc>
        <w:tc>
          <w:tcPr>
            <w:tcW w:w="3831" w:type="dxa"/>
            <w:shd w:val="clear" w:color="auto" w:fill="auto"/>
          </w:tcPr>
          <w:p w:rsidR="00414ED4" w:rsidRPr="00993CB9" w:rsidRDefault="00414ED4" w:rsidP="009E54AF">
            <w:pPr>
              <w:pStyle w:val="Tabletext"/>
              <w:rPr>
                <w:i/>
              </w:rPr>
            </w:pPr>
            <w:r w:rsidRPr="00993CB9">
              <w:t>Administrative Appeals Tribunal Section</w:t>
            </w:r>
            <w:r w:rsidRPr="00993CB9">
              <w:br/>
            </w:r>
            <w:r w:rsidR="009F1CA1">
              <w:t>Courts and Tribunals</w:t>
            </w:r>
            <w:r w:rsidR="009F1CA1" w:rsidRPr="00993CB9">
              <w:t xml:space="preserve"> Branch</w:t>
            </w:r>
            <w:r w:rsidR="00E01956" w:rsidRPr="00993CB9">
              <w:br/>
              <w:t>and</w:t>
            </w:r>
            <w:r w:rsidR="00E01956" w:rsidRPr="00993CB9">
              <w:br/>
              <w:t>Legal Assistance Branch</w:t>
            </w:r>
            <w:r w:rsidR="00E01956" w:rsidRPr="00993CB9">
              <w:br/>
              <w:t>and</w:t>
            </w:r>
            <w:r w:rsidR="00E01956" w:rsidRPr="00993CB9">
              <w:br/>
              <w:t>Administrative Law Section</w:t>
            </w:r>
            <w:r w:rsidR="00E01956" w:rsidRPr="00993CB9">
              <w:br/>
            </w:r>
            <w:r w:rsidR="009F1CA1">
              <w:t>Transparency and Administrative Law</w:t>
            </w:r>
            <w:r w:rsidR="009F1CA1" w:rsidRPr="00993CB9">
              <w:t xml:space="preserve"> Branch</w:t>
            </w:r>
          </w:p>
        </w:tc>
      </w:tr>
      <w:tr w:rsidR="009E54AF" w:rsidRPr="00993CB9" w:rsidTr="00DD1DA0">
        <w:tc>
          <w:tcPr>
            <w:tcW w:w="715" w:type="dxa"/>
            <w:shd w:val="clear" w:color="auto" w:fill="auto"/>
          </w:tcPr>
          <w:p w:rsidR="009E54AF" w:rsidRPr="00993CB9" w:rsidRDefault="009E54AF" w:rsidP="00DD1DA0">
            <w:pPr>
              <w:pStyle w:val="Tabletext"/>
            </w:pPr>
            <w:r>
              <w:t>6</w:t>
            </w:r>
          </w:p>
        </w:tc>
        <w:tc>
          <w:tcPr>
            <w:tcW w:w="4814" w:type="dxa"/>
            <w:shd w:val="clear" w:color="auto" w:fill="auto"/>
          </w:tcPr>
          <w:p w:rsidR="009E54AF" w:rsidRPr="00993CB9" w:rsidRDefault="009E54AF" w:rsidP="00DD1DA0">
            <w:pPr>
              <w:pStyle w:val="Tabletext"/>
            </w:pPr>
            <w:r w:rsidRPr="00993CB9">
              <w:t xml:space="preserve">creates the power or jurisdiction of a service tribunal (see the </w:t>
            </w:r>
            <w:r w:rsidRPr="00993CB9">
              <w:rPr>
                <w:i/>
              </w:rPr>
              <w:t>Defence Force Discipline Act 1982</w:t>
            </w:r>
            <w:r w:rsidRPr="00993CB9">
              <w:t>)</w:t>
            </w:r>
          </w:p>
        </w:tc>
        <w:tc>
          <w:tcPr>
            <w:tcW w:w="3831" w:type="dxa"/>
            <w:shd w:val="clear" w:color="auto" w:fill="auto"/>
          </w:tcPr>
          <w:p w:rsidR="009E54AF" w:rsidRPr="00993CB9" w:rsidRDefault="009E54AF" w:rsidP="00DD1DA0">
            <w:pPr>
              <w:pStyle w:val="Tabletext"/>
              <w:rPr>
                <w:i/>
              </w:rPr>
            </w:pPr>
            <w:r w:rsidRPr="00993CB9">
              <w:t>Administrative Law Section</w:t>
            </w:r>
            <w:r w:rsidRPr="00993CB9">
              <w:br/>
            </w:r>
            <w:r w:rsidR="009F1CA1">
              <w:t>Transparency and Administrative Law</w:t>
            </w:r>
            <w:r w:rsidR="009F1CA1" w:rsidRPr="00993CB9">
              <w:t xml:space="preserve"> Branch</w:t>
            </w:r>
          </w:p>
        </w:tc>
      </w:tr>
      <w:tr w:rsidR="001B33A2" w:rsidRPr="00993CB9" w:rsidTr="00DD1DA0">
        <w:tc>
          <w:tcPr>
            <w:tcW w:w="715" w:type="dxa"/>
            <w:shd w:val="clear" w:color="auto" w:fill="auto"/>
          </w:tcPr>
          <w:p w:rsidR="001B33A2" w:rsidRPr="00993CB9" w:rsidRDefault="00B00581" w:rsidP="00DD1DA0">
            <w:pPr>
              <w:pStyle w:val="Tabletext"/>
            </w:pPr>
            <w:r>
              <w:t>7</w:t>
            </w:r>
          </w:p>
        </w:tc>
        <w:tc>
          <w:tcPr>
            <w:tcW w:w="4814" w:type="dxa"/>
            <w:shd w:val="clear" w:color="auto" w:fill="auto"/>
          </w:tcPr>
          <w:p w:rsidR="001B33A2" w:rsidRPr="00993CB9" w:rsidRDefault="001B33A2" w:rsidP="001B33A2">
            <w:pPr>
              <w:pStyle w:val="Tabletext"/>
            </w:pPr>
            <w:r w:rsidRPr="00993CB9">
              <w:t xml:space="preserve">abolishes or otherwise affects the power or jurisdiction of a service tribunal (see the </w:t>
            </w:r>
            <w:r w:rsidRPr="00993CB9">
              <w:rPr>
                <w:i/>
              </w:rPr>
              <w:t>Defence Force Discipline Act 1982</w:t>
            </w:r>
            <w:r w:rsidRPr="00993CB9">
              <w:t>)</w:t>
            </w:r>
          </w:p>
        </w:tc>
        <w:tc>
          <w:tcPr>
            <w:tcW w:w="3831" w:type="dxa"/>
            <w:shd w:val="clear" w:color="auto" w:fill="auto"/>
          </w:tcPr>
          <w:p w:rsidR="001B33A2" w:rsidRPr="00993CB9" w:rsidRDefault="001B33A2" w:rsidP="00DD1DA0">
            <w:pPr>
              <w:pStyle w:val="Tabletext"/>
              <w:rPr>
                <w:i/>
              </w:rPr>
            </w:pPr>
            <w:r w:rsidRPr="00993CB9">
              <w:t>Administrative Law Section</w:t>
            </w:r>
            <w:r w:rsidRPr="00993CB9">
              <w:br/>
            </w:r>
            <w:r w:rsidR="009F1CA1">
              <w:t>Transparency and Administrative Law</w:t>
            </w:r>
            <w:r w:rsidR="009F1CA1" w:rsidRPr="00993CB9">
              <w:t xml:space="preserve"> Branch</w:t>
            </w:r>
          </w:p>
        </w:tc>
      </w:tr>
      <w:tr w:rsidR="00314D9F" w:rsidRPr="00993CB9" w:rsidTr="00D8779A">
        <w:tc>
          <w:tcPr>
            <w:tcW w:w="715" w:type="dxa"/>
            <w:shd w:val="clear" w:color="auto" w:fill="auto"/>
          </w:tcPr>
          <w:p w:rsidR="00314D9F" w:rsidRPr="00993CB9" w:rsidRDefault="00B00581" w:rsidP="00D8779A">
            <w:pPr>
              <w:pStyle w:val="Tabletext"/>
            </w:pPr>
            <w:r>
              <w:t>8</w:t>
            </w:r>
          </w:p>
        </w:tc>
        <w:tc>
          <w:tcPr>
            <w:tcW w:w="4814" w:type="dxa"/>
            <w:shd w:val="clear" w:color="auto" w:fill="auto"/>
          </w:tcPr>
          <w:p w:rsidR="00314D9F" w:rsidRPr="00993CB9" w:rsidRDefault="00314D9F" w:rsidP="0022446F">
            <w:pPr>
              <w:pStyle w:val="Tabletext"/>
            </w:pPr>
            <w:r w:rsidRPr="00993CB9">
              <w:t>purports to abrogate</w:t>
            </w:r>
            <w:r w:rsidR="0022446F">
              <w:t>, or be an exhaustive statement of,</w:t>
            </w:r>
            <w:r w:rsidRPr="00993CB9">
              <w:t xml:space="preserve"> procedural fairness (e.g. notice of decision, disclosure of issues and the hearing rule)</w:t>
            </w:r>
          </w:p>
        </w:tc>
        <w:tc>
          <w:tcPr>
            <w:tcW w:w="3831" w:type="dxa"/>
            <w:shd w:val="clear" w:color="auto" w:fill="auto"/>
          </w:tcPr>
          <w:p w:rsidR="00314D9F" w:rsidRPr="00993CB9" w:rsidRDefault="00314D9F" w:rsidP="001B33A2">
            <w:pPr>
              <w:pStyle w:val="Tabletext"/>
            </w:pPr>
            <w:r w:rsidRPr="00993CB9">
              <w:t>Administrative Law Section</w:t>
            </w:r>
            <w:r w:rsidRPr="00993CB9">
              <w:br/>
            </w:r>
            <w:r w:rsidR="009F1CA1">
              <w:t>Transparency and Administrative Law</w:t>
            </w:r>
            <w:r w:rsidR="009F1CA1" w:rsidRPr="00993CB9">
              <w:t xml:space="preserve"> Branch</w:t>
            </w:r>
            <w:r w:rsidRPr="00993CB9">
              <w:br/>
              <w:t>and</w:t>
            </w:r>
            <w:r w:rsidRPr="00993CB9">
              <w:br/>
              <w:t>Cou</w:t>
            </w:r>
            <w:r w:rsidR="001B33A2">
              <w:t>rts Section</w:t>
            </w:r>
            <w:r w:rsidR="00DE35FD" w:rsidRPr="00993CB9">
              <w:br/>
            </w:r>
            <w:r w:rsidR="009F1CA1">
              <w:t>Courts and Tribunals</w:t>
            </w:r>
            <w:r w:rsidR="001B33A2">
              <w:t xml:space="preserve"> Branch</w:t>
            </w:r>
            <w:r w:rsidR="001B33A2" w:rsidRPr="00993CB9">
              <w:br/>
              <w:t>and</w:t>
            </w:r>
            <w:r w:rsidR="001B33A2" w:rsidRPr="00993CB9">
              <w:br/>
              <w:t>Legal Assistance Branch</w:t>
            </w:r>
          </w:p>
        </w:tc>
      </w:tr>
      <w:tr w:rsidR="004B5733" w:rsidRPr="00993CB9" w:rsidTr="00AC47D5">
        <w:tc>
          <w:tcPr>
            <w:tcW w:w="715" w:type="dxa"/>
            <w:shd w:val="clear" w:color="auto" w:fill="auto"/>
          </w:tcPr>
          <w:p w:rsidR="004B5733" w:rsidRPr="00993CB9" w:rsidRDefault="00B00581" w:rsidP="00AC47D5">
            <w:pPr>
              <w:pStyle w:val="Tabletext"/>
            </w:pPr>
            <w:r>
              <w:t>9</w:t>
            </w:r>
          </w:p>
        </w:tc>
        <w:tc>
          <w:tcPr>
            <w:tcW w:w="4814" w:type="dxa"/>
            <w:shd w:val="clear" w:color="auto" w:fill="auto"/>
          </w:tcPr>
          <w:p w:rsidR="004B5733" w:rsidRPr="00993CB9" w:rsidRDefault="004B5733" w:rsidP="00AC47D5">
            <w:pPr>
              <w:pStyle w:val="Tabletext"/>
            </w:pPr>
            <w:r w:rsidRPr="00993CB9">
              <w:t>might be viewed as a privative or ouster provision (see Note 1)</w:t>
            </w:r>
          </w:p>
        </w:tc>
        <w:tc>
          <w:tcPr>
            <w:tcW w:w="3831" w:type="dxa"/>
            <w:shd w:val="clear" w:color="auto" w:fill="auto"/>
          </w:tcPr>
          <w:p w:rsidR="004B5733" w:rsidRPr="00993CB9" w:rsidRDefault="004B5733" w:rsidP="00AC47D5">
            <w:pPr>
              <w:pStyle w:val="Tabletext"/>
            </w:pPr>
            <w:r w:rsidRPr="00993CB9">
              <w:t>Courts Section</w:t>
            </w:r>
            <w:r w:rsidRPr="00993CB9">
              <w:br/>
            </w:r>
            <w:r w:rsidR="009F1CA1">
              <w:t>Courts and Tribunals</w:t>
            </w:r>
            <w:r w:rsidR="009F1CA1" w:rsidRPr="00993CB9">
              <w:t xml:space="preserve"> Branch</w:t>
            </w:r>
            <w:r w:rsidRPr="00993CB9">
              <w:br/>
              <w:t>and</w:t>
            </w:r>
            <w:r w:rsidRPr="00993CB9">
              <w:br/>
              <w:t>Administrative Law Section</w:t>
            </w:r>
            <w:r w:rsidRPr="00993CB9">
              <w:br/>
            </w:r>
            <w:r w:rsidR="009F1CA1">
              <w:t>Transparency and Administrative Law</w:t>
            </w:r>
            <w:r w:rsidR="009F1CA1"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10</w:t>
            </w:r>
          </w:p>
        </w:tc>
        <w:tc>
          <w:tcPr>
            <w:tcW w:w="4814" w:type="dxa"/>
            <w:shd w:val="clear" w:color="auto" w:fill="auto"/>
          </w:tcPr>
          <w:p w:rsidR="004B5733" w:rsidRPr="00993CB9" w:rsidRDefault="004B5733" w:rsidP="00AC47D5">
            <w:pPr>
              <w:pStyle w:val="Tabletext"/>
            </w:pPr>
            <w:r w:rsidRPr="00993CB9">
              <w:t>provides that failure to do something does not affect validity</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2E2D0D">
              <w:t>Transparency and Administrative Law</w:t>
            </w:r>
            <w:r w:rsidR="002E2D0D" w:rsidRPr="00993CB9">
              <w:t xml:space="preserve"> Branch</w:t>
            </w:r>
          </w:p>
        </w:tc>
      </w:tr>
      <w:tr w:rsidR="009C2B42" w:rsidRPr="00993CB9" w:rsidTr="00AC47D5">
        <w:tc>
          <w:tcPr>
            <w:tcW w:w="715" w:type="dxa"/>
            <w:shd w:val="clear" w:color="auto" w:fill="auto"/>
          </w:tcPr>
          <w:p w:rsidR="009C2B42" w:rsidRPr="00993CB9" w:rsidRDefault="00B00581" w:rsidP="00AC47D5">
            <w:pPr>
              <w:pStyle w:val="Tabletext"/>
            </w:pPr>
            <w:r>
              <w:t>11</w:t>
            </w:r>
          </w:p>
        </w:tc>
        <w:tc>
          <w:tcPr>
            <w:tcW w:w="4814" w:type="dxa"/>
            <w:shd w:val="clear" w:color="auto" w:fill="auto"/>
          </w:tcPr>
          <w:p w:rsidR="009C2B42" w:rsidRPr="00993CB9" w:rsidRDefault="00282305" w:rsidP="00282305">
            <w:pPr>
              <w:pStyle w:val="Tabletext"/>
            </w:pPr>
            <w:r w:rsidRPr="00993CB9">
              <w:t>confers on a judge or member of the AAT a power to be exercised in a personal capacity (e.g. issuing a warrant</w:t>
            </w:r>
            <w:r w:rsidR="00B66EF5">
              <w:t xml:space="preserve"> </w:t>
            </w:r>
            <w:r w:rsidR="009E54AF">
              <w:t xml:space="preserve">as </w:t>
            </w:r>
            <w:r w:rsidR="00B66EF5">
              <w:t>persona designata</w:t>
            </w:r>
            <w:r w:rsidRPr="00993CB9">
              <w:t>) or repeals or amends such a power</w:t>
            </w:r>
            <w:r w:rsidR="000D41F1" w:rsidRPr="00993CB9">
              <w:t xml:space="preserve"> (see Note 1A)</w:t>
            </w:r>
          </w:p>
        </w:tc>
        <w:tc>
          <w:tcPr>
            <w:tcW w:w="3831" w:type="dxa"/>
            <w:shd w:val="clear" w:color="auto" w:fill="auto"/>
          </w:tcPr>
          <w:p w:rsidR="009C2B42" w:rsidRPr="00993CB9" w:rsidRDefault="009C2B42" w:rsidP="00AC47D5">
            <w:pPr>
              <w:pStyle w:val="Tabletext"/>
            </w:pPr>
            <w:r w:rsidRPr="00993CB9">
              <w:t>Courts Section</w:t>
            </w:r>
            <w:r w:rsidRPr="00993CB9">
              <w:br/>
            </w:r>
            <w:r w:rsidR="009F1CA1">
              <w:t>Courts and Tribunals</w:t>
            </w:r>
            <w:r w:rsidR="009F1CA1" w:rsidRPr="00993CB9">
              <w:t xml:space="preserve"> Branch</w:t>
            </w:r>
            <w:r w:rsidRPr="00993CB9">
              <w:br/>
              <w:t>and</w:t>
            </w:r>
            <w:r w:rsidRPr="00993CB9">
              <w:br/>
              <w:t>Administrative Appeals Tribunal Section</w:t>
            </w:r>
            <w:r w:rsidRPr="00993CB9">
              <w:br/>
            </w:r>
            <w:r w:rsidR="009F1CA1">
              <w:t>Courts and Tribunals</w:t>
            </w:r>
            <w:r w:rsidR="009F1CA1"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12</w:t>
            </w:r>
          </w:p>
        </w:tc>
        <w:tc>
          <w:tcPr>
            <w:tcW w:w="4814" w:type="dxa"/>
            <w:shd w:val="clear" w:color="auto" w:fill="auto"/>
          </w:tcPr>
          <w:p w:rsidR="004B5733" w:rsidRPr="00993CB9" w:rsidRDefault="004B5733" w:rsidP="00AC47D5">
            <w:pPr>
              <w:pStyle w:val="Tabletext"/>
            </w:pPr>
            <w:r w:rsidRPr="00993CB9">
              <w:t>provides for automated assistance in decision</w:t>
            </w:r>
            <w:r w:rsidR="00253B01">
              <w:noBreakHyphen/>
            </w:r>
            <w:r w:rsidRPr="00993CB9">
              <w:t>making or provides for decision</w:t>
            </w:r>
            <w:r w:rsidR="00253B01">
              <w:noBreakHyphen/>
            </w:r>
            <w:r w:rsidRPr="00993CB9">
              <w:t>making by computer programs</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9F1CA1">
              <w:t>Transparency and Administrative Law</w:t>
            </w:r>
            <w:r w:rsidR="009F1CA1"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13</w:t>
            </w:r>
          </w:p>
        </w:tc>
        <w:tc>
          <w:tcPr>
            <w:tcW w:w="4814" w:type="dxa"/>
            <w:shd w:val="clear" w:color="auto" w:fill="auto"/>
          </w:tcPr>
          <w:p w:rsidR="004B5733" w:rsidRPr="00993CB9" w:rsidRDefault="004B5733" w:rsidP="007E3484">
            <w:pPr>
              <w:pStyle w:val="Tabletext"/>
            </w:pPr>
            <w:r w:rsidRPr="00993CB9">
              <w:t xml:space="preserve">might discriminate against an individual (because of age, disability, nationality, race, religion, belief, sex, family responsibility, marital status, pregnancy, sexual </w:t>
            </w:r>
            <w:r w:rsidR="008B46C4" w:rsidRPr="00993CB9">
              <w:t>orientation, gender identi</w:t>
            </w:r>
            <w:r w:rsidR="007E3484" w:rsidRPr="00993CB9">
              <w:t>t</w:t>
            </w:r>
            <w:r w:rsidR="008B46C4" w:rsidRPr="00993CB9">
              <w:t>y, intersex status</w:t>
            </w:r>
            <w:r w:rsidRPr="00993CB9">
              <w:t xml:space="preserve"> or any other reason)</w:t>
            </w:r>
          </w:p>
        </w:tc>
        <w:tc>
          <w:tcPr>
            <w:tcW w:w="3831" w:type="dxa"/>
            <w:shd w:val="clear" w:color="auto" w:fill="auto"/>
          </w:tcPr>
          <w:p w:rsidR="004B5733" w:rsidRPr="00993CB9" w:rsidRDefault="004B5733" w:rsidP="00AC47D5">
            <w:pPr>
              <w:pStyle w:val="Tabletext"/>
            </w:pPr>
            <w:r w:rsidRPr="00993CB9">
              <w:t>Human Rights Unit</w:t>
            </w:r>
            <w:r w:rsidRPr="00993CB9">
              <w:br/>
            </w:r>
            <w:r w:rsidR="009F1CA1">
              <w:t>Human Rights</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14</w:t>
            </w:r>
          </w:p>
        </w:tc>
        <w:tc>
          <w:tcPr>
            <w:tcW w:w="4814" w:type="dxa"/>
            <w:shd w:val="clear" w:color="auto" w:fill="auto"/>
          </w:tcPr>
          <w:p w:rsidR="0070653F" w:rsidRPr="00993CB9" w:rsidRDefault="004B5733" w:rsidP="001514E3">
            <w:pPr>
              <w:pStyle w:val="Tabletext"/>
            </w:pPr>
            <w:r w:rsidRPr="00993CB9">
              <w:t xml:space="preserve">is specifically directed to </w:t>
            </w:r>
            <w:r w:rsidR="008B46C4" w:rsidRPr="00993CB9">
              <w:t>groups of people who may be</w:t>
            </w:r>
            <w:r w:rsidR="00414ED4" w:rsidRPr="00993CB9">
              <w:t xml:space="preserve"> experiencing disadvantage or may be in vulnerable circumstances, including </w:t>
            </w:r>
            <w:r w:rsidRPr="00993CB9">
              <w:t>children (i.e. persons under 18)</w:t>
            </w:r>
            <w:r w:rsidR="00414ED4" w:rsidRPr="00993CB9">
              <w:t>, LGBTIQ people, women, older people, persons with a disability and people from particular racial or ethnic backgrounds</w:t>
            </w:r>
            <w:r w:rsidR="007B5D48" w:rsidRPr="00993CB9">
              <w:t>,</w:t>
            </w:r>
            <w:r w:rsidRPr="00993CB9">
              <w:t xml:space="preserve"> or applies to </w:t>
            </w:r>
            <w:r w:rsidR="008A067E" w:rsidRPr="00993CB9">
              <w:t>these groups</w:t>
            </w:r>
            <w:r w:rsidRPr="00993CB9">
              <w:t xml:space="preserve"> differently fr</w:t>
            </w:r>
            <w:r w:rsidR="003806BC">
              <w:t>om the way it applies to others</w:t>
            </w:r>
          </w:p>
        </w:tc>
        <w:tc>
          <w:tcPr>
            <w:tcW w:w="3831" w:type="dxa"/>
            <w:shd w:val="clear" w:color="auto" w:fill="auto"/>
          </w:tcPr>
          <w:p w:rsidR="00FA647B" w:rsidRPr="00993CB9" w:rsidRDefault="004B5733" w:rsidP="00AC47D5">
            <w:pPr>
              <w:pStyle w:val="Tabletext"/>
            </w:pPr>
            <w:r w:rsidRPr="00993CB9">
              <w:t>Human Rights Unit</w:t>
            </w:r>
            <w:r w:rsidRPr="00993CB9">
              <w:br/>
            </w:r>
            <w:r w:rsidR="009F1CA1">
              <w:t>Human Rights Branch</w:t>
            </w:r>
            <w:r w:rsidR="00DE35FD" w:rsidRPr="00993CB9">
              <w:br/>
            </w:r>
            <w:r w:rsidR="00FA647B" w:rsidRPr="00993CB9">
              <w:t>and</w:t>
            </w:r>
            <w:r w:rsidR="00DE35FD" w:rsidRPr="00993CB9">
              <w:br/>
            </w:r>
            <w:r w:rsidR="00FA647B" w:rsidRPr="00993CB9">
              <w:t>Legal Assistance Branch</w:t>
            </w:r>
          </w:p>
        </w:tc>
      </w:tr>
      <w:tr w:rsidR="004B5733" w:rsidRPr="00993CB9" w:rsidTr="00AC47D5">
        <w:tc>
          <w:tcPr>
            <w:tcW w:w="715" w:type="dxa"/>
            <w:shd w:val="clear" w:color="auto" w:fill="auto"/>
          </w:tcPr>
          <w:p w:rsidR="004B5733" w:rsidRPr="00993CB9" w:rsidRDefault="00B00581" w:rsidP="00AC47D5">
            <w:pPr>
              <w:pStyle w:val="Tabletext"/>
            </w:pPr>
            <w:r>
              <w:t>15</w:t>
            </w:r>
          </w:p>
        </w:tc>
        <w:tc>
          <w:tcPr>
            <w:tcW w:w="4814" w:type="dxa"/>
            <w:shd w:val="clear" w:color="auto" w:fill="auto"/>
          </w:tcPr>
          <w:p w:rsidR="004B5733" w:rsidRPr="00993CB9" w:rsidRDefault="004B5733" w:rsidP="00AC47D5">
            <w:pPr>
              <w:pStyle w:val="Tabletext"/>
            </w:pPr>
            <w:r w:rsidRPr="00993CB9">
              <w:t>raises issues relating to evidence or procedure in civil matters, including evidentiary certificates</w:t>
            </w:r>
          </w:p>
        </w:tc>
        <w:tc>
          <w:tcPr>
            <w:tcW w:w="3831" w:type="dxa"/>
            <w:shd w:val="clear" w:color="auto" w:fill="auto"/>
          </w:tcPr>
          <w:p w:rsidR="00562526" w:rsidRPr="00993CB9" w:rsidRDefault="004B5733" w:rsidP="00AC47D5">
            <w:pPr>
              <w:pStyle w:val="Tabletext"/>
            </w:pPr>
            <w:r w:rsidRPr="00993CB9">
              <w:t>Courts Section</w:t>
            </w:r>
            <w:r w:rsidR="00DE35FD" w:rsidRPr="00993CB9">
              <w:br/>
            </w:r>
            <w:r w:rsidR="00562526">
              <w:t>Courts and Tribunals Branch</w:t>
            </w:r>
          </w:p>
        </w:tc>
      </w:tr>
      <w:tr w:rsidR="004B5733" w:rsidRPr="00993CB9" w:rsidTr="00AC47D5">
        <w:tc>
          <w:tcPr>
            <w:tcW w:w="715" w:type="dxa"/>
            <w:shd w:val="clear" w:color="auto" w:fill="auto"/>
          </w:tcPr>
          <w:p w:rsidR="004B5733" w:rsidRPr="00993CB9" w:rsidRDefault="00B00581" w:rsidP="00AC47D5">
            <w:pPr>
              <w:pStyle w:val="Tabletext"/>
            </w:pPr>
            <w:r>
              <w:t>16</w:t>
            </w:r>
          </w:p>
        </w:tc>
        <w:tc>
          <w:tcPr>
            <w:tcW w:w="4814" w:type="dxa"/>
            <w:shd w:val="clear" w:color="auto" w:fill="auto"/>
          </w:tcPr>
          <w:p w:rsidR="004B5733" w:rsidRPr="00993CB9" w:rsidRDefault="004B5733" w:rsidP="00AC47D5">
            <w:pPr>
              <w:pStyle w:val="Tabletext"/>
            </w:pPr>
            <w:r w:rsidRPr="00993CB9">
              <w:t xml:space="preserve">involves a legal cooperation or mutual recognition scheme </w:t>
            </w:r>
            <w:r w:rsidRPr="00993CB9">
              <w:rPr>
                <w:color w:val="000000" w:themeColor="text1"/>
              </w:rPr>
              <w:t xml:space="preserve">concerning private commercial or civil </w:t>
            </w:r>
            <w:r w:rsidR="00562526">
              <w:rPr>
                <w:color w:val="000000" w:themeColor="text1"/>
              </w:rPr>
              <w:t>matters</w:t>
            </w:r>
            <w:r w:rsidRPr="00993CB9">
              <w:rPr>
                <w:color w:val="000000" w:themeColor="text1"/>
              </w:rPr>
              <w:t xml:space="preserve"> and procedures</w:t>
            </w:r>
          </w:p>
        </w:tc>
        <w:tc>
          <w:tcPr>
            <w:tcW w:w="3831" w:type="dxa"/>
            <w:shd w:val="clear" w:color="auto" w:fill="auto"/>
          </w:tcPr>
          <w:p w:rsidR="004B5733" w:rsidRPr="00993CB9" w:rsidRDefault="004B5733" w:rsidP="00AC47D5">
            <w:pPr>
              <w:pStyle w:val="Tabletext"/>
              <w:rPr>
                <w:i/>
              </w:rPr>
            </w:pPr>
            <w:r w:rsidRPr="00993CB9">
              <w:t>Private International and Commercial Law Section</w:t>
            </w:r>
            <w:r w:rsidRPr="00993CB9">
              <w:br/>
            </w:r>
            <w:r w:rsidR="00562526">
              <w:t>Commercial and Copyright Law Branch</w:t>
            </w:r>
          </w:p>
        </w:tc>
      </w:tr>
      <w:tr w:rsidR="004B5733" w:rsidRPr="00993CB9" w:rsidTr="00AC47D5">
        <w:tc>
          <w:tcPr>
            <w:tcW w:w="715" w:type="dxa"/>
            <w:shd w:val="clear" w:color="auto" w:fill="auto"/>
          </w:tcPr>
          <w:p w:rsidR="004B5733" w:rsidRPr="00993CB9" w:rsidRDefault="00B00581" w:rsidP="00AC47D5">
            <w:pPr>
              <w:pStyle w:val="Tabletext"/>
            </w:pPr>
            <w:r>
              <w:t>17</w:t>
            </w:r>
          </w:p>
        </w:tc>
        <w:tc>
          <w:tcPr>
            <w:tcW w:w="4814" w:type="dxa"/>
            <w:shd w:val="clear" w:color="auto" w:fill="auto"/>
          </w:tcPr>
          <w:p w:rsidR="004B5733" w:rsidRPr="00993CB9" w:rsidRDefault="004B5733" w:rsidP="00AC47D5">
            <w:pPr>
              <w:pStyle w:val="Tabletext"/>
            </w:pPr>
            <w:r w:rsidRPr="00993CB9">
              <w:t>gives an administrative discretion that should perhaps be reviewable</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18</w:t>
            </w:r>
          </w:p>
        </w:tc>
        <w:tc>
          <w:tcPr>
            <w:tcW w:w="4814" w:type="dxa"/>
            <w:shd w:val="clear" w:color="auto" w:fill="auto"/>
          </w:tcPr>
          <w:p w:rsidR="004B5733" w:rsidRPr="00993CB9" w:rsidRDefault="004B5733" w:rsidP="00AC47D5">
            <w:pPr>
              <w:pStyle w:val="Tabletext"/>
              <w:rPr>
                <w:i/>
                <w:color w:val="000000" w:themeColor="text1"/>
              </w:rPr>
            </w:pPr>
            <w:r w:rsidRPr="00993CB9">
              <w:t xml:space="preserve">modifies or affects the operation of an administrative law (see Note 2) </w:t>
            </w:r>
            <w:r w:rsidRPr="00993CB9">
              <w:rPr>
                <w:color w:val="000000" w:themeColor="text1"/>
              </w:rPr>
              <w:t xml:space="preserve">or the </w:t>
            </w:r>
            <w:r w:rsidRPr="00993CB9">
              <w:rPr>
                <w:i/>
                <w:color w:val="000000" w:themeColor="text1"/>
              </w:rPr>
              <w:t>Legislation Act 2003</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8B0D9B" w:rsidRPr="00993CB9" w:rsidTr="00AC47D5">
        <w:tc>
          <w:tcPr>
            <w:tcW w:w="715" w:type="dxa"/>
            <w:shd w:val="clear" w:color="auto" w:fill="auto"/>
          </w:tcPr>
          <w:p w:rsidR="008B0D9B" w:rsidRPr="00993CB9" w:rsidRDefault="00B00581" w:rsidP="00AC47D5">
            <w:pPr>
              <w:pStyle w:val="Tabletext"/>
            </w:pPr>
            <w:r>
              <w:t>19</w:t>
            </w:r>
          </w:p>
        </w:tc>
        <w:tc>
          <w:tcPr>
            <w:tcW w:w="4814" w:type="dxa"/>
            <w:shd w:val="clear" w:color="auto" w:fill="auto"/>
          </w:tcPr>
          <w:p w:rsidR="008B0D9B" w:rsidRPr="00993CB9" w:rsidRDefault="008B0D9B" w:rsidP="008B0D9B">
            <w:pPr>
              <w:pStyle w:val="Tabletext"/>
            </w:pPr>
            <w:r>
              <w:t xml:space="preserve">modifies or affects the operation of the </w:t>
            </w:r>
            <w:r w:rsidRPr="008B0D9B">
              <w:rPr>
                <w:i/>
              </w:rPr>
              <w:t>Administrative Appeals Tribunal Act 1975</w:t>
            </w:r>
            <w:r>
              <w:t xml:space="preserve"> or the </w:t>
            </w:r>
            <w:r w:rsidRPr="008B0D9B">
              <w:rPr>
                <w:i/>
              </w:rPr>
              <w:t xml:space="preserve">Administrative Appeals Tribunal </w:t>
            </w:r>
            <w:r w:rsidR="00B00581">
              <w:rPr>
                <w:i/>
              </w:rPr>
              <w:t>Regulation 2</w:t>
            </w:r>
            <w:r>
              <w:rPr>
                <w:i/>
              </w:rPr>
              <w:t>015</w:t>
            </w:r>
          </w:p>
        </w:tc>
        <w:tc>
          <w:tcPr>
            <w:tcW w:w="3831" w:type="dxa"/>
            <w:shd w:val="clear" w:color="auto" w:fill="auto"/>
          </w:tcPr>
          <w:p w:rsidR="008B0D9B" w:rsidRPr="00993CB9" w:rsidRDefault="008B0D9B" w:rsidP="00AC47D5">
            <w:pPr>
              <w:pStyle w:val="Tabletext"/>
            </w:pPr>
            <w:r w:rsidRPr="00993CB9">
              <w:t>Administrative Appeals Tribu</w:t>
            </w:r>
            <w:r>
              <w:t>nal Section</w:t>
            </w:r>
            <w:r>
              <w:br/>
            </w:r>
            <w:r w:rsidR="00562526">
              <w:t>Courts and Tribunals</w:t>
            </w:r>
            <w:r>
              <w:t xml:space="preserve"> Branch</w:t>
            </w:r>
          </w:p>
        </w:tc>
      </w:tr>
      <w:tr w:rsidR="004B5733" w:rsidRPr="00993CB9" w:rsidTr="00AC47D5">
        <w:tc>
          <w:tcPr>
            <w:tcW w:w="715" w:type="dxa"/>
            <w:shd w:val="clear" w:color="auto" w:fill="auto"/>
          </w:tcPr>
          <w:p w:rsidR="004B5733" w:rsidRPr="00993CB9" w:rsidRDefault="00B00581" w:rsidP="00AC47D5">
            <w:pPr>
              <w:pStyle w:val="Tabletext"/>
            </w:pPr>
            <w:r>
              <w:t>20</w:t>
            </w:r>
          </w:p>
        </w:tc>
        <w:tc>
          <w:tcPr>
            <w:tcW w:w="4814" w:type="dxa"/>
            <w:shd w:val="clear" w:color="auto" w:fill="auto"/>
          </w:tcPr>
          <w:p w:rsidR="004B5733" w:rsidRPr="00993CB9" w:rsidRDefault="004B5733" w:rsidP="00AC47D5">
            <w:pPr>
              <w:pStyle w:val="Tabletext"/>
              <w:rPr>
                <w:i/>
              </w:rPr>
            </w:pPr>
            <w:r w:rsidRPr="00993CB9">
              <w:t xml:space="preserve">modifies or affects the operation of the </w:t>
            </w:r>
            <w:r w:rsidRPr="00993CB9">
              <w:rPr>
                <w:i/>
              </w:rPr>
              <w:t>Judiciary Act 1903</w:t>
            </w:r>
            <w:r w:rsidRPr="00993CB9">
              <w:t xml:space="preserve"> (</w:t>
            </w:r>
            <w:r w:rsidR="00B00581">
              <w:t>section 3</w:t>
            </w:r>
            <w:r w:rsidRPr="00993CB9">
              <w:t xml:space="preserve">9B) or the </w:t>
            </w:r>
            <w:r w:rsidRPr="00993CB9">
              <w:rPr>
                <w:i/>
              </w:rPr>
              <w:t>Law Officers Act 1964</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r w:rsidRPr="00993CB9">
              <w:br/>
              <w:t>and</w:t>
            </w:r>
            <w:r w:rsidRPr="00993CB9">
              <w:br/>
              <w:t>Courts Section</w:t>
            </w:r>
            <w:r w:rsidRPr="00993CB9">
              <w:br/>
            </w:r>
            <w:r w:rsidR="00562526">
              <w:t>Courts and Tribunals Branch</w:t>
            </w:r>
            <w:r w:rsidRPr="00993CB9">
              <w:br/>
              <w:t>and</w:t>
            </w:r>
            <w:r w:rsidRPr="00993CB9">
              <w:br/>
              <w:t>Office of Legal Services Coordination</w:t>
            </w:r>
          </w:p>
        </w:tc>
      </w:tr>
      <w:tr w:rsidR="004B5733" w:rsidRPr="00993CB9" w:rsidTr="00AC47D5">
        <w:tc>
          <w:tcPr>
            <w:tcW w:w="715" w:type="dxa"/>
            <w:shd w:val="clear" w:color="auto" w:fill="auto"/>
          </w:tcPr>
          <w:p w:rsidR="004B5733" w:rsidRPr="00993CB9" w:rsidRDefault="00B00581" w:rsidP="00AC47D5">
            <w:pPr>
              <w:pStyle w:val="Tabletext"/>
            </w:pPr>
            <w:r>
              <w:t>21</w:t>
            </w:r>
          </w:p>
        </w:tc>
        <w:tc>
          <w:tcPr>
            <w:tcW w:w="4814" w:type="dxa"/>
            <w:shd w:val="clear" w:color="auto" w:fill="auto"/>
          </w:tcPr>
          <w:p w:rsidR="004B5733" w:rsidRPr="00993CB9" w:rsidRDefault="004B5733" w:rsidP="00AC47D5">
            <w:pPr>
              <w:pStyle w:val="Tabletext"/>
            </w:pPr>
            <w:r w:rsidRPr="00993CB9">
              <w:t>creates new reviewable or appealable rights, entitlements or responsibilities</w:t>
            </w:r>
            <w:r w:rsidR="00E855C2" w:rsidRPr="00993CB9">
              <w:t xml:space="preserve"> (see </w:t>
            </w:r>
            <w:r w:rsidR="00562526">
              <w:t>N</w:t>
            </w:r>
            <w:r w:rsidR="00E855C2" w:rsidRPr="00993CB9">
              <w:t>ote 2A)</w:t>
            </w:r>
          </w:p>
        </w:tc>
        <w:tc>
          <w:tcPr>
            <w:tcW w:w="3831" w:type="dxa"/>
            <w:shd w:val="clear" w:color="auto" w:fill="auto"/>
          </w:tcPr>
          <w:p w:rsidR="004B5733" w:rsidRPr="00993CB9" w:rsidRDefault="004B5733" w:rsidP="00AC47D5">
            <w:pPr>
              <w:pStyle w:val="Tabletext"/>
            </w:pPr>
            <w:r w:rsidRPr="00993CB9">
              <w:t>Cour</w:t>
            </w:r>
            <w:r w:rsidR="0079019F" w:rsidRPr="00993CB9">
              <w:t>ts Section</w:t>
            </w:r>
            <w:r w:rsidR="0079019F" w:rsidRPr="00993CB9">
              <w:br/>
            </w:r>
            <w:r w:rsidR="00562526">
              <w:t>Courts and Tribunals Branch</w:t>
            </w:r>
            <w:r w:rsidR="00DE35FD" w:rsidRPr="00993CB9">
              <w:br/>
            </w:r>
            <w:r w:rsidRPr="00993CB9">
              <w:t>and</w:t>
            </w:r>
            <w:r w:rsidRPr="00993CB9">
              <w:br/>
              <w:t>Administrative Law Section</w:t>
            </w:r>
            <w:r w:rsidRPr="00993CB9">
              <w:br/>
            </w:r>
            <w:r w:rsidR="00562526">
              <w:t>Transparency and Administrative Law</w:t>
            </w:r>
            <w:r w:rsidR="00562526" w:rsidRPr="00993CB9">
              <w:t xml:space="preserve"> Branch</w:t>
            </w:r>
            <w:r w:rsidR="006E3F48" w:rsidRPr="00993CB9">
              <w:br/>
              <w:t>and</w:t>
            </w:r>
            <w:r w:rsidR="006E3F48" w:rsidRPr="00993CB9">
              <w:br/>
              <w:t>Legal Assistance Branch</w:t>
            </w:r>
          </w:p>
        </w:tc>
      </w:tr>
      <w:tr w:rsidR="004B5733" w:rsidRPr="00993CB9" w:rsidTr="00AC47D5">
        <w:tc>
          <w:tcPr>
            <w:tcW w:w="715" w:type="dxa"/>
            <w:shd w:val="clear" w:color="auto" w:fill="auto"/>
          </w:tcPr>
          <w:p w:rsidR="004B5733" w:rsidRPr="00993CB9" w:rsidRDefault="00B00581" w:rsidP="00AC47D5">
            <w:pPr>
              <w:pStyle w:val="Tabletext"/>
            </w:pPr>
            <w:r>
              <w:t>22</w:t>
            </w:r>
          </w:p>
        </w:tc>
        <w:tc>
          <w:tcPr>
            <w:tcW w:w="4814" w:type="dxa"/>
            <w:shd w:val="clear" w:color="auto" w:fill="auto"/>
          </w:tcPr>
          <w:p w:rsidR="004B5733" w:rsidRPr="00993CB9" w:rsidRDefault="004B5733" w:rsidP="00AC47D5">
            <w:pPr>
              <w:pStyle w:val="Tabletext"/>
            </w:pPr>
            <w:r w:rsidRPr="00993CB9">
              <w:t>creates a framework, skeleton or coat</w:t>
            </w:r>
            <w:r w:rsidR="00253B01">
              <w:noBreakHyphen/>
            </w:r>
            <w:r w:rsidRPr="00993CB9">
              <w:t>hanger scheme</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23</w:t>
            </w:r>
          </w:p>
        </w:tc>
        <w:tc>
          <w:tcPr>
            <w:tcW w:w="4814" w:type="dxa"/>
            <w:shd w:val="clear" w:color="auto" w:fill="auto"/>
          </w:tcPr>
          <w:p w:rsidR="004B5733" w:rsidRPr="00993CB9" w:rsidRDefault="004B5733" w:rsidP="00AC47D5">
            <w:pPr>
              <w:pStyle w:val="Tabletext"/>
            </w:pPr>
            <w:r w:rsidRPr="00993CB9">
              <w:t>confers or affects a power to make a subordinate instrument that modifies an Act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24</w:t>
            </w:r>
          </w:p>
        </w:tc>
        <w:tc>
          <w:tcPr>
            <w:tcW w:w="4814" w:type="dxa"/>
            <w:shd w:val="clear" w:color="auto" w:fill="auto"/>
          </w:tcPr>
          <w:p w:rsidR="004B5733" w:rsidRPr="00993CB9" w:rsidRDefault="004B5733" w:rsidP="00AC47D5">
            <w:pPr>
              <w:pStyle w:val="Tabletext"/>
            </w:pPr>
            <w:r w:rsidRPr="00993CB9">
              <w:t>confers a power to make a legislative instrument:</w:t>
            </w:r>
          </w:p>
          <w:p w:rsidR="004B5733" w:rsidRPr="00993CB9" w:rsidRDefault="004B5733" w:rsidP="00AC47D5">
            <w:pPr>
              <w:pStyle w:val="Tablea"/>
              <w:rPr>
                <w:color w:val="1F497D"/>
                <w:lang w:eastAsia="en-US"/>
              </w:rPr>
            </w:pPr>
            <w:r w:rsidRPr="00993CB9">
              <w:rPr>
                <w:color w:val="000000" w:themeColor="text1"/>
                <w:lang w:eastAsia="en-US"/>
              </w:rPr>
              <w:t xml:space="preserve">(a) </w:t>
            </w:r>
            <w:r w:rsidRPr="00993CB9">
              <w:rPr>
                <w:lang w:eastAsia="en-US"/>
              </w:rPr>
              <w:t xml:space="preserve">in relation to which an Act overrides </w:t>
            </w:r>
            <w:r w:rsidR="00B00581">
              <w:rPr>
                <w:lang w:eastAsia="en-US"/>
              </w:rPr>
              <w:t>subsection 1</w:t>
            </w:r>
            <w:r w:rsidRPr="00993CB9">
              <w:rPr>
                <w:lang w:eastAsia="en-US"/>
              </w:rPr>
              <w:t xml:space="preserve">2(2) or (3) of the </w:t>
            </w:r>
            <w:r w:rsidRPr="00993CB9">
              <w:rPr>
                <w:i/>
                <w:iCs/>
                <w:lang w:eastAsia="en-US"/>
              </w:rPr>
              <w:t>Legislation Act 2003</w:t>
            </w:r>
            <w:r w:rsidRPr="00993CB9">
              <w:rPr>
                <w:lang w:eastAsia="en-US"/>
              </w:rPr>
              <w:t>; or</w:t>
            </w:r>
          </w:p>
          <w:p w:rsidR="004B5733" w:rsidRPr="00993CB9" w:rsidRDefault="004B5733" w:rsidP="00AC47D5">
            <w:pPr>
              <w:pStyle w:val="Tablea"/>
            </w:pPr>
            <w:r w:rsidRPr="00993CB9">
              <w:t xml:space="preserve">(b) for which </w:t>
            </w:r>
            <w:r w:rsidR="00B00581">
              <w:t>section 4</w:t>
            </w:r>
            <w:r w:rsidRPr="00993CB9">
              <w:t xml:space="preserve">2 (disallowance) or </w:t>
            </w:r>
            <w:r w:rsidR="00B00581">
              <w:t>Part 4</w:t>
            </w:r>
            <w:r w:rsidRPr="00993CB9">
              <w:t xml:space="preserve"> of </w:t>
            </w:r>
            <w:r w:rsidR="00B00581">
              <w:t>Chapter 3</w:t>
            </w:r>
            <w:r w:rsidRPr="00993CB9">
              <w:t xml:space="preserve"> (sunsetting) of the </w:t>
            </w:r>
            <w:r w:rsidRPr="00993CB9">
              <w:rPr>
                <w:i/>
              </w:rPr>
              <w:t>Legislation Act 2003</w:t>
            </w:r>
            <w:r w:rsidRPr="00993CB9">
              <w:t xml:space="preserve"> does not apply (see Note 3)</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25</w:t>
            </w:r>
          </w:p>
        </w:tc>
        <w:tc>
          <w:tcPr>
            <w:tcW w:w="4814" w:type="dxa"/>
            <w:shd w:val="clear" w:color="auto" w:fill="auto"/>
          </w:tcPr>
          <w:p w:rsidR="004B5733" w:rsidRPr="00993CB9" w:rsidRDefault="004B5733" w:rsidP="00AC47D5">
            <w:pPr>
              <w:pStyle w:val="Tabletext"/>
              <w:rPr>
                <w:color w:val="000000" w:themeColor="text1"/>
              </w:rPr>
            </w:pPr>
            <w:r w:rsidRPr="00993CB9">
              <w:rPr>
                <w:color w:val="000000" w:themeColor="text1"/>
              </w:rPr>
              <w:t xml:space="preserve">overrides </w:t>
            </w:r>
            <w:r w:rsidR="00B00581">
              <w:rPr>
                <w:color w:val="000000" w:themeColor="text1"/>
              </w:rPr>
              <w:t>subsection 1</w:t>
            </w:r>
            <w:r w:rsidRPr="00993CB9">
              <w:rPr>
                <w:color w:val="000000" w:themeColor="text1"/>
              </w:rPr>
              <w:t xml:space="preserve">4(2) of the </w:t>
            </w:r>
            <w:r w:rsidRPr="00993CB9">
              <w:rPr>
                <w:i/>
                <w:color w:val="000000" w:themeColor="text1"/>
              </w:rPr>
              <w:t>Legislation Act 2003</w:t>
            </w:r>
            <w:r w:rsidRPr="00993CB9">
              <w:rPr>
                <w:color w:val="000000" w:themeColor="text1"/>
              </w:rPr>
              <w:t xml:space="preserve"> by conferring a power to make a legislative instrument that applies, adopts or incorporates any matter contained in an </w:t>
            </w:r>
            <w:hyperlink r:id="rId8" w:anchor="instrument" w:history="1">
              <w:r w:rsidRPr="00993CB9">
                <w:rPr>
                  <w:rStyle w:val="Hyperlink"/>
                  <w:color w:val="000000" w:themeColor="text1"/>
                  <w:u w:val="none"/>
                </w:rPr>
                <w:t>instrument</w:t>
              </w:r>
            </w:hyperlink>
            <w:r w:rsidRPr="00993CB9">
              <w:rPr>
                <w:color w:val="000000" w:themeColor="text1"/>
              </w:rPr>
              <w:t xml:space="preserve"> or other writing as in force or existing from time to time</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26</w:t>
            </w:r>
          </w:p>
        </w:tc>
        <w:tc>
          <w:tcPr>
            <w:tcW w:w="4814" w:type="dxa"/>
            <w:shd w:val="clear" w:color="auto" w:fill="auto"/>
          </w:tcPr>
          <w:p w:rsidR="004B5733" w:rsidRPr="00993CB9" w:rsidRDefault="004B5733" w:rsidP="00AC47D5">
            <w:pPr>
              <w:pStyle w:val="Tabletext"/>
            </w:pPr>
            <w:r w:rsidRPr="00993CB9">
              <w:t>confers a power to make an instrument that is stated not to be a legislative instrument (see Note 4) or stated to be a notifiable instrument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27</w:t>
            </w:r>
          </w:p>
        </w:tc>
        <w:tc>
          <w:tcPr>
            <w:tcW w:w="4814" w:type="dxa"/>
            <w:shd w:val="clear" w:color="auto" w:fill="auto"/>
          </w:tcPr>
          <w:p w:rsidR="004B5733" w:rsidRPr="00993CB9" w:rsidRDefault="004B5733" w:rsidP="00AC47D5">
            <w:pPr>
              <w:pStyle w:val="Tabletext"/>
            </w:pPr>
            <w:r w:rsidRPr="00993CB9">
              <w:t>establishes a civil penalty scheme (including conduct rules, breach of which may create liability to a civil penalty)</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28</w:t>
            </w:r>
          </w:p>
        </w:tc>
        <w:tc>
          <w:tcPr>
            <w:tcW w:w="4814" w:type="dxa"/>
            <w:shd w:val="clear" w:color="auto" w:fill="auto"/>
          </w:tcPr>
          <w:p w:rsidR="004B5733" w:rsidRPr="00993CB9" w:rsidRDefault="004B5733" w:rsidP="00AC47D5">
            <w:pPr>
              <w:pStyle w:val="Tabletext"/>
            </w:pPr>
            <w:r w:rsidRPr="00993CB9">
              <w:t>allows a person to administratively delegate a function or power or provide for another person to perform a function or exercise a power</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29</w:t>
            </w:r>
          </w:p>
        </w:tc>
        <w:tc>
          <w:tcPr>
            <w:tcW w:w="4814" w:type="dxa"/>
            <w:shd w:val="clear" w:color="auto" w:fill="auto"/>
          </w:tcPr>
          <w:p w:rsidR="004B5733" w:rsidRPr="00993CB9" w:rsidRDefault="004B5733" w:rsidP="00AC47D5">
            <w:pPr>
              <w:pStyle w:val="Tabletext"/>
            </w:pPr>
            <w:r w:rsidRPr="00993CB9">
              <w:t xml:space="preserve">specifies, for the purposes of the </w:t>
            </w:r>
            <w:r w:rsidRPr="00993CB9">
              <w:rPr>
                <w:i/>
              </w:rPr>
              <w:t>Archives Act 1983</w:t>
            </w:r>
            <w:r w:rsidRPr="00993CB9">
              <w:t xml:space="preserve"> (see </w:t>
            </w:r>
            <w:r w:rsidR="00B00581">
              <w:t>section 3</w:t>
            </w:r>
            <w:r w:rsidRPr="00993CB9">
              <w:t>A), that a body established for a public purpose is taken never to have been so established (usually in the context of corporatisation or privatisation)</w:t>
            </w:r>
          </w:p>
        </w:tc>
        <w:tc>
          <w:tcPr>
            <w:tcW w:w="3831" w:type="dxa"/>
            <w:shd w:val="clear" w:color="auto" w:fill="auto"/>
          </w:tcPr>
          <w:p w:rsidR="004B5733" w:rsidRPr="00993CB9" w:rsidRDefault="004B5733" w:rsidP="00AC47D5">
            <w:pPr>
              <w:pStyle w:val="Tabletext"/>
            </w:pPr>
            <w:r w:rsidRPr="00993CB9">
              <w:t>Information Law Unit</w:t>
            </w:r>
            <w:r w:rsidRPr="00993CB9">
              <w:br/>
            </w:r>
            <w:r w:rsidR="00562526">
              <w:t>Information Law Branch</w:t>
            </w:r>
          </w:p>
        </w:tc>
      </w:tr>
      <w:tr w:rsidR="004B5733" w:rsidRPr="00993CB9" w:rsidTr="00AC47D5">
        <w:tc>
          <w:tcPr>
            <w:tcW w:w="715" w:type="dxa"/>
            <w:shd w:val="clear" w:color="auto" w:fill="auto"/>
          </w:tcPr>
          <w:p w:rsidR="004B5733" w:rsidRPr="00993CB9" w:rsidRDefault="00B00581" w:rsidP="00AC47D5">
            <w:pPr>
              <w:pStyle w:val="Tabletext"/>
            </w:pPr>
            <w:r>
              <w:t>30</w:t>
            </w:r>
          </w:p>
        </w:tc>
        <w:tc>
          <w:tcPr>
            <w:tcW w:w="4814" w:type="dxa"/>
            <w:shd w:val="clear" w:color="auto" w:fill="auto"/>
          </w:tcPr>
          <w:p w:rsidR="004B5733" w:rsidRPr="00993CB9" w:rsidRDefault="004B5733" w:rsidP="00AC47D5">
            <w:pPr>
              <w:pStyle w:val="Tabletext"/>
            </w:pPr>
            <w:r w:rsidRPr="00993CB9">
              <w:t>may result in the creation, transfer or disposal of Commonwealth records</w:t>
            </w:r>
          </w:p>
        </w:tc>
        <w:tc>
          <w:tcPr>
            <w:tcW w:w="3831" w:type="dxa"/>
            <w:shd w:val="clear" w:color="auto" w:fill="auto"/>
          </w:tcPr>
          <w:p w:rsidR="004B5733" w:rsidRPr="00993CB9" w:rsidRDefault="004B5733" w:rsidP="00AC47D5">
            <w:pPr>
              <w:pStyle w:val="Tabletext"/>
            </w:pPr>
            <w:r w:rsidRPr="00993CB9">
              <w:t>Information Law Unit</w:t>
            </w:r>
            <w:r w:rsidRPr="00993CB9">
              <w:br/>
              <w:t>I</w:t>
            </w:r>
            <w:r w:rsidR="00562526">
              <w:t>nformation Law</w:t>
            </w:r>
            <w:r w:rsidRPr="00993CB9">
              <w:t xml:space="preserve"> Branch</w:t>
            </w:r>
          </w:p>
        </w:tc>
      </w:tr>
      <w:tr w:rsidR="009937C4" w:rsidRPr="00993CB9" w:rsidTr="00AC47D5">
        <w:tc>
          <w:tcPr>
            <w:tcW w:w="715" w:type="dxa"/>
            <w:shd w:val="clear" w:color="auto" w:fill="auto"/>
          </w:tcPr>
          <w:p w:rsidR="009937C4" w:rsidRDefault="009937C4" w:rsidP="00AC47D5">
            <w:pPr>
              <w:pStyle w:val="Tabletext"/>
            </w:pPr>
            <w:r>
              <w:t>31</w:t>
            </w:r>
          </w:p>
        </w:tc>
        <w:tc>
          <w:tcPr>
            <w:tcW w:w="4814" w:type="dxa"/>
            <w:shd w:val="clear" w:color="auto" w:fill="auto"/>
          </w:tcPr>
          <w:p w:rsidR="009937C4" w:rsidRDefault="009937C4" w:rsidP="009937C4">
            <w:pPr>
              <w:pStyle w:val="Tabletext"/>
            </w:pPr>
            <w:r>
              <w:t>allows</w:t>
            </w:r>
            <w:r>
              <w:rPr>
                <w:spacing w:val="-1"/>
              </w:rPr>
              <w:t xml:space="preserve"> </w:t>
            </w:r>
            <w:r>
              <w:t>search, seizure, arrest, detention</w:t>
            </w:r>
            <w:r>
              <w:rPr>
                <w:spacing w:val="-1"/>
              </w:rPr>
              <w:t xml:space="preserve"> </w:t>
            </w:r>
            <w:r>
              <w:t>or entry</w:t>
            </w:r>
            <w:r>
              <w:rPr>
                <w:spacing w:val="-4"/>
              </w:rPr>
              <w:t xml:space="preserve"> </w:t>
            </w:r>
            <w:r>
              <w:t>onto premises,</w:t>
            </w:r>
            <w:r>
              <w:rPr>
                <w:spacing w:val="-6"/>
              </w:rPr>
              <w:t xml:space="preserve"> </w:t>
            </w:r>
            <w:r>
              <w:t>or</w:t>
            </w:r>
            <w:r>
              <w:rPr>
                <w:spacing w:val="-6"/>
              </w:rPr>
              <w:t xml:space="preserve"> </w:t>
            </w:r>
            <w:r>
              <w:t>gives</w:t>
            </w:r>
            <w:r>
              <w:rPr>
                <w:spacing w:val="-7"/>
              </w:rPr>
              <w:t xml:space="preserve"> </w:t>
            </w:r>
            <w:r>
              <w:t>other</w:t>
            </w:r>
            <w:r>
              <w:rPr>
                <w:spacing w:val="-5"/>
              </w:rPr>
              <w:t xml:space="preserve"> </w:t>
            </w:r>
            <w:r>
              <w:t>coercive</w:t>
            </w:r>
            <w:r>
              <w:rPr>
                <w:spacing w:val="-6"/>
              </w:rPr>
              <w:t xml:space="preserve"> </w:t>
            </w:r>
            <w:r>
              <w:t>powers</w:t>
            </w:r>
            <w:r>
              <w:rPr>
                <w:spacing w:val="-7"/>
              </w:rPr>
              <w:t xml:space="preserve"> </w:t>
            </w:r>
            <w:r>
              <w:t>(e.g.</w:t>
            </w:r>
            <w:r>
              <w:rPr>
                <w:spacing w:val="-6"/>
              </w:rPr>
              <w:t xml:space="preserve"> </w:t>
            </w:r>
            <w:r>
              <w:t>to</w:t>
            </w:r>
            <w:r>
              <w:rPr>
                <w:spacing w:val="-5"/>
              </w:rPr>
              <w:t xml:space="preserve"> </w:t>
            </w:r>
            <w:r>
              <w:t>take blood samples) (see Note 5), and:</w:t>
            </w:r>
          </w:p>
          <w:p w:rsidR="009937C4" w:rsidRDefault="009937C4" w:rsidP="009937C4">
            <w:pPr>
              <w:pStyle w:val="TableParagraph"/>
              <w:spacing w:before="50"/>
              <w:ind w:left="440" w:hanging="284"/>
              <w:rPr>
                <w:sz w:val="20"/>
              </w:rPr>
            </w:pPr>
            <w:r>
              <w:rPr>
                <w:sz w:val="20"/>
              </w:rPr>
              <w:t>(a) contains a novel or complex issue that the Guide to Framing Commonwealth Offences, Infringement Notices</w:t>
            </w:r>
            <w:r>
              <w:rPr>
                <w:spacing w:val="-7"/>
                <w:sz w:val="20"/>
              </w:rPr>
              <w:t xml:space="preserve"> </w:t>
            </w:r>
            <w:r>
              <w:rPr>
                <w:sz w:val="20"/>
              </w:rPr>
              <w:t>and</w:t>
            </w:r>
            <w:r>
              <w:rPr>
                <w:spacing w:val="-6"/>
                <w:sz w:val="20"/>
              </w:rPr>
              <w:t xml:space="preserve"> </w:t>
            </w:r>
            <w:r>
              <w:rPr>
                <w:sz w:val="20"/>
              </w:rPr>
              <w:t>Enforcement</w:t>
            </w:r>
            <w:r>
              <w:rPr>
                <w:spacing w:val="-7"/>
                <w:sz w:val="20"/>
              </w:rPr>
              <w:t xml:space="preserve"> </w:t>
            </w:r>
            <w:r>
              <w:rPr>
                <w:sz w:val="20"/>
              </w:rPr>
              <w:t>Powers</w:t>
            </w:r>
            <w:r>
              <w:rPr>
                <w:spacing w:val="-7"/>
                <w:sz w:val="20"/>
              </w:rPr>
              <w:t xml:space="preserve"> </w:t>
            </w:r>
            <w:r>
              <w:rPr>
                <w:sz w:val="20"/>
              </w:rPr>
              <w:t>(the</w:t>
            </w:r>
            <w:r>
              <w:rPr>
                <w:spacing w:val="-3"/>
                <w:sz w:val="20"/>
              </w:rPr>
              <w:t xml:space="preserve"> </w:t>
            </w:r>
            <w:r>
              <w:rPr>
                <w:b/>
                <w:i/>
                <w:sz w:val="20"/>
              </w:rPr>
              <w:t>Criminal</w:t>
            </w:r>
            <w:r>
              <w:rPr>
                <w:b/>
                <w:i/>
                <w:spacing w:val="-7"/>
                <w:sz w:val="20"/>
              </w:rPr>
              <w:t xml:space="preserve"> </w:t>
            </w:r>
            <w:r>
              <w:rPr>
                <w:b/>
                <w:i/>
                <w:sz w:val="20"/>
              </w:rPr>
              <w:t>Law Guide</w:t>
            </w:r>
            <w:r>
              <w:rPr>
                <w:sz w:val="20"/>
              </w:rPr>
              <w:t>) does not address; or</w:t>
            </w:r>
          </w:p>
          <w:p w:rsidR="009937C4" w:rsidRPr="009937C4" w:rsidRDefault="009937C4" w:rsidP="009937C4">
            <w:pPr>
              <w:pStyle w:val="TableParagraph"/>
              <w:spacing w:before="50"/>
              <w:ind w:left="440" w:hanging="284"/>
              <w:rPr>
                <w:sz w:val="20"/>
              </w:rPr>
            </w:pPr>
            <w:r>
              <w:rPr>
                <w:sz w:val="20"/>
              </w:rPr>
              <w:t>(b) would constitute a significant departure from the principles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Criminal</w:t>
            </w:r>
            <w:r>
              <w:rPr>
                <w:spacing w:val="-5"/>
                <w:sz w:val="20"/>
              </w:rPr>
              <w:t xml:space="preserve"> </w:t>
            </w:r>
            <w:r>
              <w:rPr>
                <w:sz w:val="20"/>
              </w:rPr>
              <w:t>Law</w:t>
            </w:r>
            <w:r>
              <w:rPr>
                <w:spacing w:val="-7"/>
                <w:sz w:val="20"/>
              </w:rPr>
              <w:t xml:space="preserve"> </w:t>
            </w:r>
            <w:r>
              <w:rPr>
                <w:sz w:val="20"/>
              </w:rPr>
              <w:t>Guide</w:t>
            </w:r>
            <w:r>
              <w:rPr>
                <w:spacing w:val="-5"/>
                <w:sz w:val="20"/>
              </w:rPr>
              <w:t xml:space="preserve"> </w:t>
            </w:r>
            <w:r>
              <w:rPr>
                <w:sz w:val="20"/>
              </w:rPr>
              <w:t>(see</w:t>
            </w:r>
            <w:r>
              <w:rPr>
                <w:spacing w:val="-5"/>
                <w:sz w:val="20"/>
              </w:rPr>
              <w:t xml:space="preserve"> </w:t>
            </w:r>
            <w:r>
              <w:rPr>
                <w:sz w:val="20"/>
              </w:rPr>
              <w:t>Note</w:t>
            </w:r>
            <w:r>
              <w:rPr>
                <w:spacing w:val="-5"/>
                <w:sz w:val="20"/>
              </w:rPr>
              <w:t xml:space="preserve"> </w:t>
            </w:r>
            <w:r>
              <w:rPr>
                <w:sz w:val="20"/>
              </w:rPr>
              <w:t>6)</w:t>
            </w:r>
          </w:p>
        </w:tc>
        <w:tc>
          <w:tcPr>
            <w:tcW w:w="3831" w:type="dxa"/>
            <w:shd w:val="clear" w:color="auto" w:fill="auto"/>
          </w:tcPr>
          <w:p w:rsidR="002119F8" w:rsidRPr="00993CB9" w:rsidRDefault="009937C4" w:rsidP="00AC47D5">
            <w:pPr>
              <w:pStyle w:val="Tabletext"/>
            </w:pPr>
            <w:r w:rsidRPr="00993CB9">
              <w:t>Criminal Law Section</w:t>
            </w:r>
            <w:r w:rsidRPr="00993CB9">
              <w:br/>
            </w:r>
            <w:r>
              <w:t>Criminal Law Policy</w:t>
            </w:r>
            <w:r w:rsidRPr="00993CB9">
              <w:t xml:space="preserve"> Branch</w:t>
            </w:r>
            <w:r w:rsidRPr="00993CB9">
              <w:br/>
            </w:r>
            <w:r>
              <w:t>and</w:t>
            </w:r>
            <w:r w:rsidRPr="00993CB9">
              <w:br/>
            </w:r>
            <w:r w:rsidR="002119F8">
              <w:t>Law Enforcement Powers Section</w:t>
            </w:r>
            <w:r w:rsidR="002119F8" w:rsidRPr="00993CB9">
              <w:br/>
            </w:r>
            <w:r w:rsidR="002119F8">
              <w:t>Criminal Law Policy</w:t>
            </w:r>
            <w:r w:rsidR="002119F8" w:rsidRPr="00993CB9">
              <w:t xml:space="preserve"> Branch</w:t>
            </w:r>
          </w:p>
        </w:tc>
      </w:tr>
      <w:tr w:rsidR="004B5733" w:rsidRPr="00993CB9" w:rsidTr="00AC47D5">
        <w:tc>
          <w:tcPr>
            <w:tcW w:w="715" w:type="dxa"/>
            <w:tcBorders>
              <w:top w:val="single" w:sz="4" w:space="0" w:color="auto"/>
            </w:tcBorders>
            <w:shd w:val="clear" w:color="auto" w:fill="auto"/>
          </w:tcPr>
          <w:p w:rsidR="004B5733" w:rsidRPr="00993CB9" w:rsidRDefault="00B00581" w:rsidP="00AC47D5">
            <w:pPr>
              <w:pStyle w:val="Tabletext"/>
            </w:pPr>
            <w:r>
              <w:t>32</w:t>
            </w:r>
          </w:p>
        </w:tc>
        <w:tc>
          <w:tcPr>
            <w:tcW w:w="4814" w:type="dxa"/>
            <w:tcBorders>
              <w:top w:val="single" w:sz="4" w:space="0" w:color="auto"/>
            </w:tcBorders>
            <w:shd w:val="clear" w:color="auto" w:fill="auto"/>
          </w:tcPr>
          <w:p w:rsidR="004B5733" w:rsidRPr="00993CB9" w:rsidRDefault="004B5733" w:rsidP="00AC47D5">
            <w:pPr>
              <w:pStyle w:val="Tabletext"/>
            </w:pPr>
            <w:r w:rsidRPr="00993CB9">
              <w:t>creates or changes an offence or a criminal penalty, or impacts on criminal liability (e.g. Crown immunity),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(b) would constitute a significant departure from the principles of the Criminal Law Guide (see Note 6)</w:t>
            </w:r>
          </w:p>
        </w:tc>
        <w:tc>
          <w:tcPr>
            <w:tcW w:w="3831" w:type="dxa"/>
            <w:tcBorders>
              <w:top w:val="single" w:sz="4" w:space="0" w:color="auto"/>
            </w:tcBorders>
            <w:shd w:val="clear" w:color="auto" w:fill="auto"/>
          </w:tcPr>
          <w:p w:rsidR="008D2D37" w:rsidRPr="00993CB9" w:rsidRDefault="004B5733" w:rsidP="009D2078">
            <w:pPr>
              <w:pStyle w:val="Tabletext"/>
            </w:pPr>
            <w:r w:rsidRPr="00993CB9">
              <w:t>Criminal Law Section</w:t>
            </w:r>
            <w:r w:rsidRPr="00993CB9">
              <w:br/>
            </w:r>
            <w:r w:rsidR="00562526">
              <w:t>Criminal Law Policy</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33</w:t>
            </w:r>
          </w:p>
        </w:tc>
        <w:tc>
          <w:tcPr>
            <w:tcW w:w="4814" w:type="dxa"/>
            <w:shd w:val="clear" w:color="auto" w:fill="auto"/>
          </w:tcPr>
          <w:p w:rsidR="004B5733" w:rsidRPr="00993CB9" w:rsidRDefault="004B5733" w:rsidP="00AC47D5">
            <w:pPr>
              <w:pStyle w:val="Tabletext"/>
            </w:pPr>
            <w:r w:rsidRPr="00993CB9">
              <w:t>provides for on</w:t>
            </w:r>
            <w:r w:rsidR="00253B01">
              <w:noBreakHyphen/>
            </w:r>
            <w:r w:rsidRPr="00993CB9">
              <w:t>the</w:t>
            </w:r>
            <w:r w:rsidR="00253B01">
              <w:noBreakHyphen/>
            </w:r>
            <w:r w:rsidRPr="00993CB9">
              <w:t>spot fines or infringement notices in relation to offences, or offences and civil penalties,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(b) would constitute a significant departure from the principles of the Criminal Law Guide (see Note 6)</w:t>
            </w:r>
          </w:p>
        </w:tc>
        <w:tc>
          <w:tcPr>
            <w:tcW w:w="3831" w:type="dxa"/>
            <w:shd w:val="clear" w:color="auto" w:fill="auto"/>
          </w:tcPr>
          <w:p w:rsidR="004B5733" w:rsidRPr="00993CB9" w:rsidRDefault="004B5733" w:rsidP="009D2078">
            <w:pPr>
              <w:pStyle w:val="Tabletext"/>
            </w:pPr>
            <w:r w:rsidRPr="00993CB9">
              <w:t>Administrative Law Section</w:t>
            </w:r>
            <w:r w:rsidRPr="00993CB9">
              <w:br/>
            </w:r>
            <w:r w:rsidR="00562526">
              <w:t>Transparency and Administrative Law</w:t>
            </w:r>
            <w:r w:rsidR="00562526" w:rsidRPr="00993CB9">
              <w:t xml:space="preserve"> Branch</w:t>
            </w:r>
            <w:r w:rsidR="009937C4" w:rsidRPr="00993CB9">
              <w:br/>
            </w:r>
            <w:r w:rsidR="009937C4">
              <w:t>and</w:t>
            </w:r>
            <w:r w:rsidR="00DE35FD" w:rsidRPr="00993CB9">
              <w:br/>
            </w:r>
            <w:r w:rsidRPr="00993CB9">
              <w:t>Criminal Law Section</w:t>
            </w:r>
            <w:r w:rsidRPr="00993CB9">
              <w:br/>
            </w:r>
            <w:r w:rsidR="00562526">
              <w:t xml:space="preserve">Criminal Law Policy </w:t>
            </w:r>
            <w:r w:rsidRPr="00993CB9">
              <w:t>Branch</w:t>
            </w:r>
          </w:p>
        </w:tc>
      </w:tr>
      <w:tr w:rsidR="004B5733" w:rsidRPr="00993CB9" w:rsidTr="00AC47D5">
        <w:tc>
          <w:tcPr>
            <w:tcW w:w="715" w:type="dxa"/>
            <w:shd w:val="clear" w:color="auto" w:fill="auto"/>
          </w:tcPr>
          <w:p w:rsidR="004B5733" w:rsidRPr="00993CB9" w:rsidRDefault="00B00581" w:rsidP="00AC47D5">
            <w:pPr>
              <w:pStyle w:val="Tabletext"/>
            </w:pPr>
            <w:r>
              <w:t>34</w:t>
            </w:r>
          </w:p>
        </w:tc>
        <w:tc>
          <w:tcPr>
            <w:tcW w:w="4814" w:type="dxa"/>
            <w:shd w:val="clear" w:color="auto" w:fill="auto"/>
          </w:tcPr>
          <w:p w:rsidR="004B5733" w:rsidRPr="00993CB9" w:rsidRDefault="004B5733" w:rsidP="00AC47D5">
            <w:pPr>
              <w:pStyle w:val="Tabletext"/>
            </w:pPr>
            <w:r w:rsidRPr="00993CB9">
              <w:t>provides another method of criminal law enforcement (e.g. forfeiture),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(b) would constitute a significant departure from the principles of the Criminal Law Guide (see Note 6)</w:t>
            </w:r>
          </w:p>
        </w:tc>
        <w:tc>
          <w:tcPr>
            <w:tcW w:w="3831" w:type="dxa"/>
            <w:shd w:val="clear" w:color="auto" w:fill="auto"/>
          </w:tcPr>
          <w:p w:rsidR="00BA532E" w:rsidRPr="00993CB9" w:rsidRDefault="00BA532E" w:rsidP="00AC47D5">
            <w:pPr>
              <w:pStyle w:val="Tabletext"/>
            </w:pPr>
            <w:r w:rsidRPr="00993CB9">
              <w:t>Criminal Law Section</w:t>
            </w:r>
            <w:r w:rsidRPr="00993CB9">
              <w:br/>
            </w:r>
            <w:r>
              <w:t>Criminal Law Policy</w:t>
            </w:r>
            <w:r w:rsidRPr="00993CB9">
              <w:t xml:space="preserve"> Branc</w:t>
            </w:r>
            <w:r>
              <w:t>h</w:t>
            </w:r>
            <w:r w:rsidRPr="00993CB9">
              <w:br/>
              <w:t>and</w:t>
            </w:r>
            <w:r w:rsidRPr="00993CB9">
              <w:br/>
            </w:r>
            <w:r>
              <w:t>Law Enforcement Powers</w:t>
            </w:r>
            <w:r w:rsidRPr="00993CB9">
              <w:t xml:space="preserve"> Section</w:t>
            </w:r>
            <w:r w:rsidRPr="00993CB9">
              <w:br/>
            </w:r>
            <w:r>
              <w:t>Criminal Law Policy</w:t>
            </w:r>
            <w:r w:rsidRPr="00993CB9">
              <w:t xml:space="preserve"> Branc</w:t>
            </w:r>
            <w:r>
              <w:t>h</w:t>
            </w:r>
          </w:p>
        </w:tc>
      </w:tr>
      <w:tr w:rsidR="004B5733" w:rsidRPr="00993CB9" w:rsidTr="00AC47D5">
        <w:tc>
          <w:tcPr>
            <w:tcW w:w="715" w:type="dxa"/>
            <w:shd w:val="clear" w:color="auto" w:fill="auto"/>
          </w:tcPr>
          <w:p w:rsidR="004B5733" w:rsidRPr="00993CB9" w:rsidRDefault="00B00581" w:rsidP="00AC47D5">
            <w:pPr>
              <w:pStyle w:val="Tabletext"/>
            </w:pPr>
            <w:r>
              <w:t>35</w:t>
            </w:r>
          </w:p>
        </w:tc>
        <w:tc>
          <w:tcPr>
            <w:tcW w:w="4814" w:type="dxa"/>
            <w:shd w:val="clear" w:color="auto" w:fill="auto"/>
          </w:tcPr>
          <w:p w:rsidR="004B5733" w:rsidRPr="00993CB9" w:rsidRDefault="004B5733" w:rsidP="00AC47D5">
            <w:pPr>
              <w:pStyle w:val="Tabletext"/>
            </w:pPr>
            <w:r w:rsidRPr="00993CB9">
              <w:t>relates in any other way to criminal law or law enforcement,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 xml:space="preserve">(b) would constitute a significant departure from the principles </w:t>
            </w:r>
            <w:r w:rsidR="003B231B">
              <w:t xml:space="preserve">of </w:t>
            </w:r>
            <w:r w:rsidRPr="00993CB9">
              <w:t>the Criminal Law Guide (see Note 6)</w:t>
            </w:r>
          </w:p>
        </w:tc>
        <w:tc>
          <w:tcPr>
            <w:tcW w:w="3831" w:type="dxa"/>
            <w:shd w:val="clear" w:color="auto" w:fill="auto"/>
          </w:tcPr>
          <w:p w:rsidR="004B5733" w:rsidRPr="00993CB9" w:rsidRDefault="00BA532E" w:rsidP="00AC47D5">
            <w:pPr>
              <w:pStyle w:val="Tabletext"/>
            </w:pPr>
            <w:r w:rsidRPr="00993CB9">
              <w:t>Criminal Law Section</w:t>
            </w:r>
            <w:r w:rsidRPr="00993CB9">
              <w:br/>
            </w:r>
            <w:r>
              <w:t>Criminal Law Policy</w:t>
            </w:r>
            <w:r w:rsidRPr="00993CB9">
              <w:t xml:space="preserve"> Branc</w:t>
            </w:r>
            <w:r>
              <w:t>h</w:t>
            </w:r>
            <w:r w:rsidRPr="00993CB9">
              <w:br/>
              <w:t>and</w:t>
            </w:r>
            <w:r w:rsidRPr="00993CB9">
              <w:br/>
            </w:r>
            <w:r>
              <w:t>Law Enforcement Powers</w:t>
            </w:r>
            <w:r w:rsidRPr="00993CB9">
              <w:t xml:space="preserve"> Section</w:t>
            </w:r>
            <w:r w:rsidRPr="00993CB9">
              <w:br/>
            </w:r>
            <w:r>
              <w:t>Criminal Law Policy</w:t>
            </w:r>
            <w:r w:rsidRPr="00993CB9">
              <w:t xml:space="preserve"> Branc</w:t>
            </w:r>
            <w:r>
              <w:t>h</w:t>
            </w:r>
          </w:p>
        </w:tc>
      </w:tr>
      <w:tr w:rsidR="004B5733" w:rsidRPr="00993CB9" w:rsidTr="00AC47D5">
        <w:tc>
          <w:tcPr>
            <w:tcW w:w="715" w:type="dxa"/>
            <w:shd w:val="clear" w:color="auto" w:fill="auto"/>
          </w:tcPr>
          <w:p w:rsidR="004B5733" w:rsidRPr="00993CB9" w:rsidRDefault="00B00581" w:rsidP="00AC47D5">
            <w:pPr>
              <w:pStyle w:val="Tabletext"/>
            </w:pPr>
            <w:r>
              <w:t>36</w:t>
            </w:r>
          </w:p>
        </w:tc>
        <w:tc>
          <w:tcPr>
            <w:tcW w:w="4814" w:type="dxa"/>
            <w:shd w:val="clear" w:color="auto" w:fill="auto"/>
          </w:tcPr>
          <w:p w:rsidR="004B5733" w:rsidRPr="00993CB9" w:rsidRDefault="004B5733" w:rsidP="00B00581">
            <w:pPr>
              <w:pStyle w:val="Tabletext"/>
            </w:pPr>
            <w:r w:rsidRPr="00993CB9">
              <w:t xml:space="preserve">relates in any way to criminal law or law enforcement (including as mentioned in </w:t>
            </w:r>
            <w:r w:rsidR="00B00581">
              <w:t>items 3</w:t>
            </w:r>
            <w:r w:rsidR="005D64F5">
              <w:t>1</w:t>
            </w:r>
            <w:r w:rsidR="00253B01">
              <w:noBreakHyphen/>
            </w:r>
            <w:r w:rsidRPr="00993CB9">
              <w:t>3</w:t>
            </w:r>
            <w:r w:rsidR="00B00581">
              <w:t>5</w:t>
            </w:r>
            <w:r w:rsidRPr="00993CB9">
              <w:t>), and may be thought likely to be sensitive or contentious (see Note 6)</w:t>
            </w:r>
          </w:p>
        </w:tc>
        <w:tc>
          <w:tcPr>
            <w:tcW w:w="3831" w:type="dxa"/>
            <w:shd w:val="clear" w:color="auto" w:fill="auto"/>
          </w:tcPr>
          <w:p w:rsidR="00562526" w:rsidRPr="00993CB9" w:rsidRDefault="004B5733" w:rsidP="00AC47D5">
            <w:pPr>
              <w:pStyle w:val="Tabletext"/>
            </w:pPr>
            <w:r w:rsidRPr="00993CB9">
              <w:t>Criminal Law Section</w:t>
            </w:r>
            <w:r w:rsidRPr="00993CB9">
              <w:br/>
            </w:r>
            <w:r w:rsidR="00562526">
              <w:t>Criminal Law Policy</w:t>
            </w:r>
            <w:r w:rsidRPr="00993CB9">
              <w:t xml:space="preserve"> Branc</w:t>
            </w:r>
            <w:r w:rsidR="006E4DE7">
              <w:t>h</w:t>
            </w:r>
            <w:r w:rsidR="006E4DE7" w:rsidRPr="00993CB9">
              <w:br/>
              <w:t>and</w:t>
            </w:r>
            <w:r w:rsidR="006E4DE7" w:rsidRPr="00993CB9">
              <w:br/>
            </w:r>
            <w:r w:rsidR="006E4DE7">
              <w:t>Law Enforcement Powers</w:t>
            </w:r>
            <w:r w:rsidR="006E4DE7" w:rsidRPr="00993CB9">
              <w:t xml:space="preserve"> Section</w:t>
            </w:r>
            <w:r w:rsidR="006E4DE7" w:rsidRPr="00993CB9">
              <w:br/>
            </w:r>
            <w:r w:rsidR="006E4DE7">
              <w:t>Criminal Law Policy</w:t>
            </w:r>
            <w:r w:rsidR="006E4DE7" w:rsidRPr="00993CB9">
              <w:t xml:space="preserve"> Branc</w:t>
            </w:r>
            <w:r w:rsidR="006E4DE7">
              <w:t>h</w:t>
            </w:r>
          </w:p>
        </w:tc>
      </w:tr>
      <w:tr w:rsidR="004B5733" w:rsidRPr="00993CB9" w:rsidTr="00AC47D5">
        <w:tc>
          <w:tcPr>
            <w:tcW w:w="715" w:type="dxa"/>
            <w:shd w:val="clear" w:color="auto" w:fill="auto"/>
          </w:tcPr>
          <w:p w:rsidR="004B5733" w:rsidRPr="00993CB9" w:rsidRDefault="00B00581" w:rsidP="00AC47D5">
            <w:pPr>
              <w:pStyle w:val="Tabletext"/>
            </w:pPr>
            <w:r>
              <w:t>37</w:t>
            </w:r>
          </w:p>
        </w:tc>
        <w:tc>
          <w:tcPr>
            <w:tcW w:w="4814" w:type="dxa"/>
            <w:shd w:val="clear" w:color="auto" w:fill="auto"/>
          </w:tcPr>
          <w:p w:rsidR="004B5733" w:rsidRPr="00993CB9" w:rsidRDefault="004B5733" w:rsidP="00AC47D5">
            <w:pPr>
              <w:pStyle w:val="Tabletext"/>
            </w:pPr>
            <w:r w:rsidRPr="00993CB9">
              <w:t xml:space="preserve">triggers powers under the </w:t>
            </w:r>
            <w:r w:rsidRPr="00993CB9">
              <w:rPr>
                <w:i/>
              </w:rPr>
              <w:t>Regulatory Powers (Standard Provisions) Act 2014</w:t>
            </w:r>
            <w:r w:rsidRPr="00993CB9">
              <w:t xml:space="preserve"> and in doing so adds to or departs in any way from the policy set out in the Act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6E4DE7">
              <w:t>Transparency and Administrative Law</w:t>
            </w:r>
            <w:r w:rsidR="006E4DE7"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38</w:t>
            </w:r>
          </w:p>
        </w:tc>
        <w:tc>
          <w:tcPr>
            <w:tcW w:w="4814" w:type="dxa"/>
            <w:shd w:val="clear" w:color="auto" w:fill="auto"/>
          </w:tcPr>
          <w:p w:rsidR="000B4659" w:rsidRPr="00993CB9" w:rsidRDefault="004B5733" w:rsidP="008D1A7E">
            <w:pPr>
              <w:pStyle w:val="Tabletext"/>
            </w:pPr>
            <w:r w:rsidRPr="00993CB9">
              <w:t xml:space="preserve">includes investigation, monitoring or enforcement schemes of the kind dealt with in the </w:t>
            </w:r>
            <w:r w:rsidRPr="00993CB9">
              <w:rPr>
                <w:i/>
              </w:rPr>
              <w:t>Regulatory Powers (Standard Provisions) Act 2014</w:t>
            </w:r>
            <w:r w:rsidRPr="00993CB9">
              <w:t xml:space="preserve"> but does not trigger that</w:t>
            </w:r>
            <w:r w:rsidR="00DC4810" w:rsidRPr="00993CB9">
              <w:t xml:space="preserve"> Act to create the scheme (see N</w:t>
            </w:r>
            <w:r w:rsidR="008D1A7E">
              <w:t>ote 7)</w:t>
            </w:r>
          </w:p>
        </w:tc>
        <w:tc>
          <w:tcPr>
            <w:tcW w:w="3831" w:type="dxa"/>
            <w:shd w:val="clear" w:color="auto" w:fill="auto"/>
          </w:tcPr>
          <w:p w:rsidR="004B5733" w:rsidRPr="00993CB9" w:rsidRDefault="004B5733" w:rsidP="008D2D37">
            <w:pPr>
              <w:pStyle w:val="Tabletext"/>
            </w:pPr>
            <w:r w:rsidRPr="00993CB9">
              <w:t>Administrative Law Section</w:t>
            </w:r>
            <w:r w:rsidRPr="00993CB9">
              <w:br/>
            </w:r>
            <w:r w:rsidR="006E4DE7">
              <w:t>Transparency and Administrative Law</w:t>
            </w:r>
            <w:r w:rsidR="006E4DE7"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39</w:t>
            </w:r>
          </w:p>
        </w:tc>
        <w:tc>
          <w:tcPr>
            <w:tcW w:w="4814" w:type="dxa"/>
            <w:shd w:val="clear" w:color="auto" w:fill="auto"/>
          </w:tcPr>
          <w:p w:rsidR="004B5733" w:rsidRPr="00993CB9" w:rsidRDefault="004B5733" w:rsidP="00AC47D5">
            <w:pPr>
              <w:pStyle w:val="Tabletext"/>
            </w:pPr>
            <w:r w:rsidRPr="00993CB9">
              <w:t>raises issues relating to evidence or procedure in criminal matters, including a reversed burden of proof and evidentiary certificate</w:t>
            </w:r>
          </w:p>
        </w:tc>
        <w:tc>
          <w:tcPr>
            <w:tcW w:w="3831" w:type="dxa"/>
            <w:shd w:val="clear" w:color="auto" w:fill="auto"/>
          </w:tcPr>
          <w:p w:rsidR="004B5733" w:rsidRPr="00993CB9" w:rsidRDefault="004B5733" w:rsidP="00AC47D5">
            <w:pPr>
              <w:pStyle w:val="Tabletext"/>
            </w:pPr>
            <w:r w:rsidRPr="00993CB9">
              <w:t>Criminal Law Section</w:t>
            </w:r>
            <w:r w:rsidRPr="00993CB9">
              <w:br/>
            </w:r>
            <w:r w:rsidR="006E4DE7">
              <w:t>Criminal Law Policy</w:t>
            </w:r>
            <w:r w:rsidRPr="00993CB9">
              <w:t xml:space="preserve"> Branch</w:t>
            </w:r>
            <w:r w:rsidRPr="00993CB9">
              <w:br/>
              <w:t>and</w:t>
            </w:r>
            <w:r w:rsidRPr="00993CB9">
              <w:br/>
              <w:t>Courts Section</w:t>
            </w:r>
            <w:r w:rsidRPr="00993CB9">
              <w:br/>
            </w:r>
            <w:r w:rsidR="006E4DE7">
              <w:t xml:space="preserve">Courts and Tribunals </w:t>
            </w:r>
            <w:r w:rsidRPr="00993CB9">
              <w:t>Branch</w:t>
            </w:r>
          </w:p>
        </w:tc>
      </w:tr>
      <w:tr w:rsidR="004B5733" w:rsidRPr="00993CB9" w:rsidTr="00AC47D5">
        <w:tc>
          <w:tcPr>
            <w:tcW w:w="715" w:type="dxa"/>
            <w:shd w:val="clear" w:color="auto" w:fill="auto"/>
          </w:tcPr>
          <w:p w:rsidR="004B5733" w:rsidRPr="00993CB9" w:rsidRDefault="00B00581" w:rsidP="00AC47D5">
            <w:pPr>
              <w:pStyle w:val="Tabletext"/>
            </w:pPr>
            <w:r>
              <w:t>40</w:t>
            </w:r>
          </w:p>
        </w:tc>
        <w:tc>
          <w:tcPr>
            <w:tcW w:w="4814" w:type="dxa"/>
            <w:shd w:val="clear" w:color="auto" w:fill="auto"/>
          </w:tcPr>
          <w:p w:rsidR="004B5733" w:rsidRPr="00993CB9" w:rsidRDefault="004B5733" w:rsidP="00AC47D5">
            <w:pPr>
              <w:pStyle w:val="Tabletext"/>
            </w:pPr>
            <w:r w:rsidRPr="00993CB9">
              <w:t xml:space="preserve">requires disclosure of prior criminal conduct or convictions or amends </w:t>
            </w:r>
            <w:r w:rsidR="00B00581">
              <w:t>Part V</w:t>
            </w:r>
            <w:r w:rsidRPr="00993CB9">
              <w:t xml:space="preserve">IIC of the </w:t>
            </w:r>
            <w:r w:rsidRPr="00993CB9">
              <w:rPr>
                <w:i/>
              </w:rPr>
              <w:t xml:space="preserve">Crimes Act 1914 </w:t>
            </w:r>
            <w:r w:rsidRPr="00993CB9">
              <w:t>relating to spent convictions (particularly if an exemption is proposed) (see Note 8)</w:t>
            </w:r>
          </w:p>
        </w:tc>
        <w:tc>
          <w:tcPr>
            <w:tcW w:w="3831" w:type="dxa"/>
            <w:shd w:val="clear" w:color="auto" w:fill="auto"/>
          </w:tcPr>
          <w:p w:rsidR="004B5733" w:rsidRPr="00993CB9" w:rsidRDefault="004B5733" w:rsidP="00AC47D5">
            <w:pPr>
              <w:pStyle w:val="Tabletext"/>
            </w:pPr>
            <w:r w:rsidRPr="00993CB9">
              <w:t>Criminal Law Section</w:t>
            </w:r>
            <w:r w:rsidRPr="00993CB9">
              <w:br/>
            </w:r>
            <w:r w:rsidR="006E4DE7">
              <w:t>Criminal Law Policy</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rPr>
                <w:highlight w:val="yellow"/>
              </w:rPr>
            </w:pPr>
            <w:r>
              <w:t>41</w:t>
            </w:r>
          </w:p>
        </w:tc>
        <w:tc>
          <w:tcPr>
            <w:tcW w:w="4814" w:type="dxa"/>
            <w:shd w:val="clear" w:color="auto" w:fill="auto"/>
          </w:tcPr>
          <w:p w:rsidR="004B5733" w:rsidRPr="00993CB9" w:rsidRDefault="004B5733" w:rsidP="00AC47D5">
            <w:pPr>
              <w:pStyle w:val="Tabletext"/>
            </w:pPr>
            <w:r w:rsidRPr="00993CB9">
              <w:t>confers a power to require production of documents or to question a person, removes the privilege against self</w:t>
            </w:r>
            <w:r w:rsidR="00253B01">
              <w:noBreakHyphen/>
            </w:r>
            <w:r w:rsidRPr="00993CB9">
              <w:t xml:space="preserve">incrimination or </w:t>
            </w:r>
            <w:r w:rsidRPr="00993CB9">
              <w:rPr>
                <w:color w:val="000000" w:themeColor="text1"/>
              </w:rPr>
              <w:t>abrogates legal professional privilege (see Note 9)</w:t>
            </w:r>
          </w:p>
        </w:tc>
        <w:tc>
          <w:tcPr>
            <w:tcW w:w="3831" w:type="dxa"/>
            <w:shd w:val="clear" w:color="auto" w:fill="auto"/>
          </w:tcPr>
          <w:p w:rsidR="004B5733" w:rsidRPr="00993CB9" w:rsidRDefault="004B5733" w:rsidP="00AC47D5">
            <w:pPr>
              <w:pStyle w:val="Tabletext"/>
            </w:pPr>
            <w:r w:rsidRPr="00993CB9">
              <w:t>Courts Section</w:t>
            </w:r>
            <w:r w:rsidRPr="00993CB9">
              <w:br/>
            </w:r>
            <w:r w:rsidR="006E4DE7">
              <w:t xml:space="preserve">Courts and Tribunals </w:t>
            </w:r>
            <w:r w:rsidR="006E4DE7" w:rsidRPr="00993CB9">
              <w:t>Branch</w:t>
            </w:r>
            <w:r w:rsidR="008D1A7E" w:rsidRPr="00993CB9">
              <w:br/>
            </w:r>
            <w:r w:rsidR="008D1A7E">
              <w:t>and</w:t>
            </w:r>
            <w:r w:rsidR="008D1A7E">
              <w:br/>
              <w:t>Legal Assistance Branch</w:t>
            </w:r>
          </w:p>
        </w:tc>
      </w:tr>
      <w:tr w:rsidR="004B5733" w:rsidRPr="00993CB9" w:rsidTr="00AC47D5">
        <w:tc>
          <w:tcPr>
            <w:tcW w:w="715" w:type="dxa"/>
            <w:shd w:val="clear" w:color="auto" w:fill="auto"/>
          </w:tcPr>
          <w:p w:rsidR="004B5733" w:rsidRPr="00993CB9" w:rsidRDefault="00B00581" w:rsidP="00AC47D5">
            <w:pPr>
              <w:pStyle w:val="Tabletext"/>
              <w:rPr>
                <w:highlight w:val="yellow"/>
              </w:rPr>
            </w:pPr>
            <w:r>
              <w:t>42</w:t>
            </w:r>
          </w:p>
        </w:tc>
        <w:tc>
          <w:tcPr>
            <w:tcW w:w="4814" w:type="dxa"/>
            <w:shd w:val="clear" w:color="auto" w:fill="auto"/>
          </w:tcPr>
          <w:p w:rsidR="004B5733" w:rsidRPr="00993CB9" w:rsidRDefault="004B5733" w:rsidP="00AC47D5">
            <w:pPr>
              <w:pStyle w:val="Tabletext"/>
            </w:pPr>
            <w:r w:rsidRPr="00993CB9">
              <w:t>provides for secrecy or non</w:t>
            </w:r>
            <w:r w:rsidR="00253B01">
              <w:noBreakHyphen/>
            </w:r>
            <w:r w:rsidRPr="00993CB9">
              <w:t>disclosure obligation with respect to official information</w:t>
            </w:r>
          </w:p>
        </w:tc>
        <w:tc>
          <w:tcPr>
            <w:tcW w:w="3831" w:type="dxa"/>
            <w:shd w:val="clear" w:color="auto" w:fill="auto"/>
          </w:tcPr>
          <w:p w:rsidR="004B5733" w:rsidRPr="00993CB9" w:rsidRDefault="006E4DE7" w:rsidP="00AC47D5">
            <w:pPr>
              <w:pStyle w:val="Tabletext"/>
            </w:pPr>
            <w:r>
              <w:t>Information Protection Section</w:t>
            </w:r>
            <w:r w:rsidR="00464119" w:rsidRPr="00993CB9">
              <w:br/>
            </w:r>
            <w:r>
              <w:t>National Security Information Branch</w:t>
            </w:r>
            <w:r w:rsidR="00464119" w:rsidRPr="00993CB9">
              <w:br/>
            </w:r>
            <w:r w:rsidR="004B5733" w:rsidRPr="00993CB9">
              <w:t>and</w:t>
            </w:r>
            <w:r w:rsidR="004B5733" w:rsidRPr="00993CB9">
              <w:br/>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43</w:t>
            </w:r>
          </w:p>
        </w:tc>
        <w:tc>
          <w:tcPr>
            <w:tcW w:w="4814" w:type="dxa"/>
            <w:shd w:val="clear" w:color="auto" w:fill="auto"/>
          </w:tcPr>
          <w:p w:rsidR="004B5733" w:rsidRPr="00993CB9" w:rsidRDefault="004B5733" w:rsidP="00AC47D5">
            <w:pPr>
              <w:pStyle w:val="Tabletext"/>
            </w:pPr>
            <w:r w:rsidRPr="00993CB9">
              <w:t>overrides a secrecy law or a non</w:t>
            </w:r>
            <w:r w:rsidR="00253B01">
              <w:noBreakHyphen/>
            </w:r>
            <w:r w:rsidRPr="00993CB9">
              <w:t>disclosure obligation with respect to official information or excuses a person from liability for disclosure of information under a secrecy law</w:t>
            </w:r>
          </w:p>
        </w:tc>
        <w:tc>
          <w:tcPr>
            <w:tcW w:w="3831" w:type="dxa"/>
            <w:shd w:val="clear" w:color="auto" w:fill="auto"/>
          </w:tcPr>
          <w:p w:rsidR="004B5733" w:rsidRPr="00993CB9" w:rsidRDefault="006E4DE7" w:rsidP="00464119">
            <w:pPr>
              <w:pStyle w:val="Tabletext"/>
            </w:pPr>
            <w:r>
              <w:t>Information Protection Section</w:t>
            </w:r>
            <w:r w:rsidR="004B5733" w:rsidRPr="00993CB9">
              <w:br/>
            </w:r>
            <w:r>
              <w:t>National Security Information Branch</w:t>
            </w:r>
            <w:r w:rsidR="004B5733" w:rsidRPr="00993CB9">
              <w:br/>
              <w:t>and</w:t>
            </w:r>
            <w:r w:rsidR="004B5733" w:rsidRPr="00993CB9">
              <w:br/>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44</w:t>
            </w:r>
          </w:p>
        </w:tc>
        <w:tc>
          <w:tcPr>
            <w:tcW w:w="4814" w:type="dxa"/>
            <w:shd w:val="clear" w:color="auto" w:fill="auto"/>
          </w:tcPr>
          <w:p w:rsidR="004B5733" w:rsidRPr="00993CB9" w:rsidRDefault="004B5733" w:rsidP="00AC47D5">
            <w:pPr>
              <w:pStyle w:val="Tabletext"/>
            </w:pPr>
            <w:r w:rsidRPr="00993CB9">
              <w:t xml:space="preserve">potentially impacts on the </w:t>
            </w:r>
            <w:r w:rsidRPr="00993CB9">
              <w:rPr>
                <w:i/>
              </w:rPr>
              <w:t>Electronic Transactions Act 1999</w:t>
            </w:r>
            <w:r w:rsidRPr="00993CB9">
              <w:t xml:space="preserve"> (see Note 10)</w:t>
            </w:r>
          </w:p>
        </w:tc>
        <w:tc>
          <w:tcPr>
            <w:tcW w:w="3831" w:type="dxa"/>
            <w:shd w:val="clear" w:color="auto" w:fill="auto"/>
          </w:tcPr>
          <w:p w:rsidR="004B5733" w:rsidRPr="00993CB9" w:rsidRDefault="00572B2B" w:rsidP="00AC47D5">
            <w:pPr>
              <w:pStyle w:val="Tabletext"/>
            </w:pPr>
            <w:r>
              <w:t>Modernising Document Execution Section</w:t>
            </w:r>
            <w:r w:rsidR="004B5733" w:rsidRPr="00993CB9">
              <w:br/>
            </w:r>
            <w:r>
              <w:t>Commercial and Copyright Law Branch</w:t>
            </w:r>
          </w:p>
        </w:tc>
      </w:tr>
      <w:tr w:rsidR="004B5733" w:rsidRPr="00993CB9" w:rsidTr="00AC47D5">
        <w:tc>
          <w:tcPr>
            <w:tcW w:w="715" w:type="dxa"/>
            <w:shd w:val="clear" w:color="auto" w:fill="auto"/>
          </w:tcPr>
          <w:p w:rsidR="004B5733" w:rsidRPr="00993CB9" w:rsidRDefault="00B00581" w:rsidP="00AC47D5">
            <w:pPr>
              <w:pStyle w:val="Tabletext"/>
            </w:pPr>
            <w:r>
              <w:t>45</w:t>
            </w:r>
          </w:p>
        </w:tc>
        <w:tc>
          <w:tcPr>
            <w:tcW w:w="4814" w:type="dxa"/>
            <w:shd w:val="clear" w:color="auto" w:fill="auto"/>
          </w:tcPr>
          <w:p w:rsidR="004B5733" w:rsidRPr="00993CB9" w:rsidRDefault="004B5733" w:rsidP="00AC47D5">
            <w:pPr>
              <w:pStyle w:val="Tabletext"/>
            </w:pPr>
            <w:r w:rsidRPr="00993CB9">
              <w:t>relates specifically to citizenship or to refugees</w:t>
            </w:r>
          </w:p>
        </w:tc>
        <w:tc>
          <w:tcPr>
            <w:tcW w:w="3831" w:type="dxa"/>
            <w:shd w:val="clear" w:color="auto" w:fill="auto"/>
          </w:tcPr>
          <w:p w:rsidR="004B5733" w:rsidRPr="00993CB9" w:rsidRDefault="004B5733" w:rsidP="00AC47D5">
            <w:pPr>
              <w:pStyle w:val="Tabletext"/>
            </w:pPr>
            <w:r w:rsidRPr="00993CB9">
              <w:t>Office of International Law</w:t>
            </w:r>
            <w:r w:rsidR="00CB25C8" w:rsidRPr="00993CB9">
              <w:br/>
              <w:t>and</w:t>
            </w:r>
            <w:r w:rsidR="00CB25C8" w:rsidRPr="00993CB9">
              <w:br/>
              <w:t>Legal Assistance Branch</w:t>
            </w:r>
          </w:p>
        </w:tc>
      </w:tr>
      <w:tr w:rsidR="004B5733" w:rsidRPr="00993CB9" w:rsidTr="00AC47D5">
        <w:tc>
          <w:tcPr>
            <w:tcW w:w="715" w:type="dxa"/>
            <w:shd w:val="clear" w:color="auto" w:fill="auto"/>
          </w:tcPr>
          <w:p w:rsidR="004B5733" w:rsidRPr="00993CB9" w:rsidRDefault="00B00581" w:rsidP="00AC47D5">
            <w:pPr>
              <w:pStyle w:val="Tabletext"/>
            </w:pPr>
            <w:r>
              <w:t>46</w:t>
            </w:r>
          </w:p>
        </w:tc>
        <w:tc>
          <w:tcPr>
            <w:tcW w:w="4814" w:type="dxa"/>
            <w:shd w:val="clear" w:color="auto" w:fill="auto"/>
          </w:tcPr>
          <w:p w:rsidR="004B5733" w:rsidRPr="00993CB9" w:rsidRDefault="004B5733" w:rsidP="00AC47D5">
            <w:pPr>
              <w:pStyle w:val="Tabletext"/>
            </w:pPr>
            <w:r w:rsidRPr="00993CB9">
              <w:t>is based on the external affairs power</w:t>
            </w:r>
          </w:p>
        </w:tc>
        <w:tc>
          <w:tcPr>
            <w:tcW w:w="3831" w:type="dxa"/>
            <w:shd w:val="clear" w:color="auto" w:fill="auto"/>
          </w:tcPr>
          <w:p w:rsidR="004B5733" w:rsidRPr="00993CB9" w:rsidRDefault="004B5733" w:rsidP="00AC47D5">
            <w:pPr>
              <w:pStyle w:val="Tabletext"/>
            </w:pPr>
            <w:r w:rsidRPr="00993CB9">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47</w:t>
            </w:r>
          </w:p>
        </w:tc>
        <w:tc>
          <w:tcPr>
            <w:tcW w:w="4814" w:type="dxa"/>
            <w:shd w:val="clear" w:color="auto" w:fill="auto"/>
          </w:tcPr>
          <w:p w:rsidR="004B5733" w:rsidRPr="00993CB9" w:rsidRDefault="004B5733" w:rsidP="00AC47D5">
            <w:pPr>
              <w:pStyle w:val="Tabletext"/>
            </w:pPr>
            <w:r w:rsidRPr="00993CB9">
              <w:t>seeks to implement an international agreement</w:t>
            </w:r>
          </w:p>
        </w:tc>
        <w:tc>
          <w:tcPr>
            <w:tcW w:w="3831" w:type="dxa"/>
            <w:shd w:val="clear" w:color="auto" w:fill="auto"/>
          </w:tcPr>
          <w:p w:rsidR="004B5733" w:rsidRPr="00993CB9" w:rsidRDefault="004B5733" w:rsidP="00AC47D5">
            <w:pPr>
              <w:pStyle w:val="Tabletext"/>
            </w:pPr>
            <w:r w:rsidRPr="00993CB9">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48</w:t>
            </w:r>
          </w:p>
        </w:tc>
        <w:tc>
          <w:tcPr>
            <w:tcW w:w="4814" w:type="dxa"/>
            <w:shd w:val="clear" w:color="auto" w:fill="auto"/>
          </w:tcPr>
          <w:p w:rsidR="004B5733" w:rsidRPr="00993CB9" w:rsidRDefault="004B5733" w:rsidP="00AC47D5">
            <w:pPr>
              <w:pStyle w:val="Tabletext"/>
              <w:rPr>
                <w:color w:val="000000" w:themeColor="text1"/>
              </w:rPr>
            </w:pPr>
            <w:r w:rsidRPr="00993CB9">
              <w:rPr>
                <w:color w:val="000000" w:themeColor="text1"/>
              </w:rPr>
              <w:t xml:space="preserve">seeks to implement an international agreement that deals with private commercial or civil </w:t>
            </w:r>
            <w:r w:rsidR="00572B2B">
              <w:rPr>
                <w:color w:val="000000" w:themeColor="text1"/>
              </w:rPr>
              <w:t>matters</w:t>
            </w:r>
            <w:r w:rsidRPr="00993CB9">
              <w:rPr>
                <w:color w:val="000000" w:themeColor="text1"/>
              </w:rPr>
              <w:t xml:space="preserve"> and procedures</w:t>
            </w:r>
          </w:p>
        </w:tc>
        <w:tc>
          <w:tcPr>
            <w:tcW w:w="3831" w:type="dxa"/>
            <w:shd w:val="clear" w:color="auto" w:fill="auto"/>
          </w:tcPr>
          <w:p w:rsidR="004B5733" w:rsidRPr="00993CB9" w:rsidRDefault="004B5733" w:rsidP="00AC47D5">
            <w:pPr>
              <w:pStyle w:val="Tabletext"/>
              <w:rPr>
                <w:color w:val="000000" w:themeColor="text1"/>
              </w:rPr>
            </w:pPr>
            <w:r w:rsidRPr="00993CB9">
              <w:t>Private International and Commercial Law Section</w:t>
            </w:r>
            <w:r w:rsidRPr="00993CB9">
              <w:br/>
            </w:r>
            <w:r w:rsidR="00572B2B">
              <w:t>Commercial and Copyright Law</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49</w:t>
            </w:r>
          </w:p>
        </w:tc>
        <w:tc>
          <w:tcPr>
            <w:tcW w:w="4814" w:type="dxa"/>
            <w:shd w:val="clear" w:color="auto" w:fill="auto"/>
          </w:tcPr>
          <w:p w:rsidR="003340C4" w:rsidRDefault="003340C4" w:rsidP="003340C4">
            <w:pPr>
              <w:pStyle w:val="Tabletext"/>
            </w:pPr>
            <w:r>
              <w:t>will apply:</w:t>
            </w:r>
          </w:p>
          <w:p w:rsidR="003340C4" w:rsidRDefault="003340C4" w:rsidP="003340C4">
            <w:pPr>
              <w:pStyle w:val="Tabletext"/>
            </w:pPr>
            <w:r>
              <w:t>(a) in the contiguous zone; or</w:t>
            </w:r>
          </w:p>
          <w:p w:rsidR="003340C4" w:rsidRDefault="003340C4" w:rsidP="003340C4">
            <w:pPr>
              <w:pStyle w:val="Tabletext"/>
            </w:pPr>
            <w:r>
              <w:t>(b) in the exclusive economic zone; or</w:t>
            </w:r>
          </w:p>
          <w:p w:rsidR="003340C4" w:rsidRDefault="003340C4" w:rsidP="003340C4">
            <w:pPr>
              <w:pStyle w:val="Tabletext"/>
            </w:pPr>
            <w:r>
              <w:t>(c) in relation to the continental shelf; or</w:t>
            </w:r>
          </w:p>
          <w:p w:rsidR="003340C4" w:rsidRDefault="003340C4" w:rsidP="003340C4">
            <w:pPr>
              <w:pStyle w:val="Tabletext"/>
            </w:pPr>
            <w:r>
              <w:t>(d) in relation to the offshore areas in respect of the States and Territories; or</w:t>
            </w:r>
          </w:p>
          <w:p w:rsidR="003340C4" w:rsidRDefault="003340C4" w:rsidP="003340C4">
            <w:pPr>
              <w:pStyle w:val="Tablea"/>
            </w:pPr>
            <w:r w:rsidRPr="002D14F9">
              <w:t xml:space="preserve">(e) </w:t>
            </w:r>
            <w:r>
              <w:t xml:space="preserve">to </w:t>
            </w:r>
            <w:r w:rsidRPr="002D14F9">
              <w:t>foreign citizens or nationals</w:t>
            </w:r>
            <w:r>
              <w:t xml:space="preserve"> </w:t>
            </w:r>
            <w:r w:rsidRPr="002D14F9">
              <w:t>in the Australian Antarctic Territory or adjacent maritime areas</w:t>
            </w:r>
            <w:r w:rsidR="000013C1">
              <w:t xml:space="preserve"> </w:t>
            </w:r>
            <w:r w:rsidR="000013C1" w:rsidRPr="009F1CA1">
              <w:t>(including where the provision will apply to all persons in that territory or such areas, and there is no carve out for foreign citizens or nationals)</w:t>
            </w:r>
          </w:p>
          <w:p w:rsidR="004B5733" w:rsidRPr="00993CB9" w:rsidRDefault="004B5733" w:rsidP="003340C4">
            <w:pPr>
              <w:pStyle w:val="Tablea"/>
            </w:pPr>
            <w:r w:rsidRPr="00993CB9">
              <w:t>(see Note 11)</w:t>
            </w:r>
          </w:p>
        </w:tc>
        <w:tc>
          <w:tcPr>
            <w:tcW w:w="3831" w:type="dxa"/>
            <w:shd w:val="clear" w:color="auto" w:fill="auto"/>
          </w:tcPr>
          <w:p w:rsidR="004B5733" w:rsidRPr="00993CB9" w:rsidRDefault="004B5733" w:rsidP="00AC47D5">
            <w:pPr>
              <w:pStyle w:val="Tabletext"/>
            </w:pPr>
            <w:r w:rsidRPr="00993CB9">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50</w:t>
            </w:r>
          </w:p>
        </w:tc>
        <w:tc>
          <w:tcPr>
            <w:tcW w:w="4814" w:type="dxa"/>
            <w:shd w:val="clear" w:color="auto" w:fill="auto"/>
          </w:tcPr>
          <w:p w:rsidR="004B5733" w:rsidRPr="00993CB9" w:rsidRDefault="004B5733" w:rsidP="00AC47D5">
            <w:pPr>
              <w:pStyle w:val="Tabletext"/>
            </w:pPr>
            <w:r w:rsidRPr="00993CB9">
              <w:t>involves another international law issue (including</w:t>
            </w:r>
            <w:r w:rsidR="00572B2B">
              <w:t xml:space="preserve"> </w:t>
            </w:r>
            <w:r w:rsidR="00131293">
              <w:t xml:space="preserve">a </w:t>
            </w:r>
            <w:r w:rsidR="00572B2B">
              <w:t xml:space="preserve">limitation on </w:t>
            </w:r>
            <w:r w:rsidR="00131293">
              <w:t xml:space="preserve">a </w:t>
            </w:r>
            <w:r w:rsidR="00572B2B">
              <w:t>right under the core international</w:t>
            </w:r>
            <w:r w:rsidRPr="00993CB9">
              <w:t xml:space="preserve"> human rights </w:t>
            </w:r>
            <w:r w:rsidR="00572B2B">
              <w:t xml:space="preserve">treaties e.g. </w:t>
            </w:r>
            <w:r w:rsidR="00131293">
              <w:t>a lim</w:t>
            </w:r>
            <w:r w:rsidR="0016564C">
              <w:t>itation</w:t>
            </w:r>
            <w:r w:rsidR="00131293">
              <w:t xml:space="preserve"> on </w:t>
            </w:r>
            <w:r w:rsidR="00572B2B">
              <w:t xml:space="preserve">the right to privacy or </w:t>
            </w:r>
            <w:r w:rsidR="00131293">
              <w:t xml:space="preserve">the right to </w:t>
            </w:r>
            <w:r w:rsidR="00572B2B">
              <w:t>non</w:t>
            </w:r>
            <w:r w:rsidR="00253B01">
              <w:noBreakHyphen/>
            </w:r>
            <w:r w:rsidR="00572B2B">
              <w:t>discrimination</w:t>
            </w:r>
            <w:r w:rsidRPr="00993CB9">
              <w:t>)</w:t>
            </w:r>
          </w:p>
        </w:tc>
        <w:tc>
          <w:tcPr>
            <w:tcW w:w="3831" w:type="dxa"/>
            <w:shd w:val="clear" w:color="auto" w:fill="auto"/>
          </w:tcPr>
          <w:p w:rsidR="004B5733" w:rsidRPr="00993CB9" w:rsidRDefault="004B5733" w:rsidP="00AC47D5">
            <w:pPr>
              <w:pStyle w:val="Tabletext"/>
            </w:pPr>
            <w:r w:rsidRPr="00993CB9">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51</w:t>
            </w:r>
          </w:p>
        </w:tc>
        <w:tc>
          <w:tcPr>
            <w:tcW w:w="4814" w:type="dxa"/>
            <w:shd w:val="clear" w:color="auto" w:fill="auto"/>
          </w:tcPr>
          <w:p w:rsidR="004B5733" w:rsidRPr="00993CB9" w:rsidRDefault="004B5733" w:rsidP="00AC47D5">
            <w:pPr>
              <w:pStyle w:val="Tabletext"/>
              <w:rPr>
                <w:color w:val="000000" w:themeColor="text1"/>
              </w:rPr>
            </w:pPr>
            <w:r w:rsidRPr="00993CB9">
              <w:rPr>
                <w:color w:val="000000" w:themeColor="text1"/>
              </w:rPr>
              <w:t>raises a conflict of law or private international law issue (e.g. where there is a foreign element to a private commercial or civil transaction)</w:t>
            </w:r>
          </w:p>
        </w:tc>
        <w:tc>
          <w:tcPr>
            <w:tcW w:w="3831" w:type="dxa"/>
            <w:shd w:val="clear" w:color="auto" w:fill="auto"/>
          </w:tcPr>
          <w:p w:rsidR="004B5733" w:rsidRPr="00993CB9" w:rsidRDefault="004B5733" w:rsidP="00AC47D5">
            <w:pPr>
              <w:pStyle w:val="Tabletext"/>
              <w:rPr>
                <w:color w:val="000000" w:themeColor="text1"/>
              </w:rPr>
            </w:pPr>
            <w:r w:rsidRPr="00993CB9">
              <w:t>Private International and Commercial Law Section</w:t>
            </w:r>
            <w:r w:rsidRPr="00993CB9">
              <w:br/>
            </w:r>
            <w:r w:rsidR="00942ED4">
              <w:t>Commercial and Copyright Law</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52</w:t>
            </w:r>
          </w:p>
        </w:tc>
        <w:tc>
          <w:tcPr>
            <w:tcW w:w="4814" w:type="dxa"/>
            <w:shd w:val="clear" w:color="auto" w:fill="auto"/>
          </w:tcPr>
          <w:p w:rsidR="004B5733" w:rsidRPr="00993CB9" w:rsidRDefault="004B5733" w:rsidP="00AC47D5">
            <w:pPr>
              <w:pStyle w:val="Tabletext"/>
            </w:pPr>
            <w:r w:rsidRPr="00993CB9">
              <w:t>raises a novel issue relating to the conduct of litigation by the Commonwealth</w:t>
            </w:r>
          </w:p>
        </w:tc>
        <w:tc>
          <w:tcPr>
            <w:tcW w:w="3831" w:type="dxa"/>
            <w:shd w:val="clear" w:color="auto" w:fill="auto"/>
          </w:tcPr>
          <w:p w:rsidR="004B5733" w:rsidRPr="00993CB9" w:rsidRDefault="004B5733" w:rsidP="00AC47D5">
            <w:pPr>
              <w:pStyle w:val="Tabletext"/>
            </w:pPr>
            <w:r w:rsidRPr="00993CB9">
              <w:t>Office of Legal Services Coordination</w:t>
            </w:r>
          </w:p>
        </w:tc>
      </w:tr>
      <w:tr w:rsidR="004B5733" w:rsidRPr="00993CB9" w:rsidTr="00AC47D5">
        <w:tc>
          <w:tcPr>
            <w:tcW w:w="715" w:type="dxa"/>
            <w:shd w:val="clear" w:color="auto" w:fill="auto"/>
          </w:tcPr>
          <w:p w:rsidR="004B5733" w:rsidRPr="00993CB9" w:rsidRDefault="00B00581" w:rsidP="00AC47D5">
            <w:pPr>
              <w:pStyle w:val="Tabletext"/>
            </w:pPr>
            <w:r>
              <w:t>53</w:t>
            </w:r>
          </w:p>
        </w:tc>
        <w:tc>
          <w:tcPr>
            <w:tcW w:w="4814" w:type="dxa"/>
            <w:shd w:val="clear" w:color="auto" w:fill="auto"/>
          </w:tcPr>
          <w:p w:rsidR="004B5733" w:rsidRPr="00993CB9" w:rsidRDefault="004B5733" w:rsidP="00AC47D5">
            <w:pPr>
              <w:pStyle w:val="Tabletext"/>
            </w:pPr>
            <w:r w:rsidRPr="00993CB9">
              <w:t>concerns or affects the delivery of legal services to or by the Commonwealth</w:t>
            </w:r>
          </w:p>
        </w:tc>
        <w:tc>
          <w:tcPr>
            <w:tcW w:w="3831" w:type="dxa"/>
            <w:shd w:val="clear" w:color="auto" w:fill="auto"/>
          </w:tcPr>
          <w:p w:rsidR="004B5733" w:rsidRPr="00993CB9" w:rsidRDefault="004B5733" w:rsidP="00AC47D5">
            <w:pPr>
              <w:pStyle w:val="Tabletext"/>
            </w:pPr>
            <w:r w:rsidRPr="00993CB9">
              <w:t>Office of Legal Services Coordination</w:t>
            </w:r>
          </w:p>
        </w:tc>
      </w:tr>
      <w:tr w:rsidR="004B5733" w:rsidRPr="00993CB9" w:rsidTr="00AC47D5">
        <w:tc>
          <w:tcPr>
            <w:tcW w:w="715" w:type="dxa"/>
            <w:shd w:val="clear" w:color="auto" w:fill="auto"/>
          </w:tcPr>
          <w:p w:rsidR="004B5733" w:rsidRPr="00993CB9" w:rsidRDefault="00B00581" w:rsidP="00AC47D5">
            <w:pPr>
              <w:pStyle w:val="Tabletext"/>
            </w:pPr>
            <w:r>
              <w:t>54</w:t>
            </w:r>
          </w:p>
        </w:tc>
        <w:tc>
          <w:tcPr>
            <w:tcW w:w="4814" w:type="dxa"/>
            <w:shd w:val="clear" w:color="auto" w:fill="auto"/>
          </w:tcPr>
          <w:p w:rsidR="004B5733" w:rsidRPr="00993CB9" w:rsidRDefault="004B5733" w:rsidP="00AC47D5">
            <w:pPr>
              <w:pStyle w:val="Tabletext"/>
            </w:pPr>
            <w:r w:rsidRPr="00993CB9">
              <w:t>provides for</w:t>
            </w:r>
            <w:r w:rsidR="00E57CA1" w:rsidRPr="00993CB9">
              <w:t>, or relates to the provision of,</w:t>
            </w:r>
            <w:r w:rsidRPr="00993CB9">
              <w:t xml:space="preserve"> financial assistance in legal proceedings or legal assistance (e.g. legal aid commissions, Indigenous legal assistance providers, community legal centres</w:t>
            </w:r>
            <w:r w:rsidR="00E57CA1" w:rsidRPr="00993CB9">
              <w:t xml:space="preserve"> and family violence </w:t>
            </w:r>
            <w:r w:rsidR="006C15E1" w:rsidRPr="00993CB9">
              <w:t>prevention legal services</w:t>
            </w:r>
            <w:r w:rsidRPr="00993CB9">
              <w:t>)</w:t>
            </w:r>
          </w:p>
        </w:tc>
        <w:tc>
          <w:tcPr>
            <w:tcW w:w="3831" w:type="dxa"/>
            <w:shd w:val="clear" w:color="auto" w:fill="auto"/>
          </w:tcPr>
          <w:p w:rsidR="00E57CA1" w:rsidRPr="00993CB9" w:rsidRDefault="004B5733" w:rsidP="00E57CA1">
            <w:pPr>
              <w:pStyle w:val="Tabletext"/>
            </w:pPr>
            <w:r w:rsidRPr="00993CB9">
              <w:t>Legal Assistance Branch</w:t>
            </w:r>
          </w:p>
        </w:tc>
      </w:tr>
      <w:tr w:rsidR="004B5733" w:rsidRPr="00993CB9" w:rsidTr="00AC47D5">
        <w:tc>
          <w:tcPr>
            <w:tcW w:w="715" w:type="dxa"/>
            <w:shd w:val="clear" w:color="auto" w:fill="auto"/>
          </w:tcPr>
          <w:p w:rsidR="004B5733" w:rsidRPr="00993CB9" w:rsidRDefault="00B00581" w:rsidP="00AC47D5">
            <w:pPr>
              <w:pStyle w:val="Tabletext"/>
            </w:pPr>
            <w:r>
              <w:t>55</w:t>
            </w:r>
          </w:p>
        </w:tc>
        <w:tc>
          <w:tcPr>
            <w:tcW w:w="4814" w:type="dxa"/>
            <w:shd w:val="clear" w:color="auto" w:fill="auto"/>
          </w:tcPr>
          <w:p w:rsidR="004B5733" w:rsidRPr="00993CB9" w:rsidRDefault="004B5733" w:rsidP="00AC47D5">
            <w:pPr>
              <w:pStyle w:val="Tabletext"/>
            </w:pPr>
            <w:r w:rsidRPr="00993CB9">
              <w:t>involves Commonwealth officers or bodies performing functions or duties, or exercising powers, under State legislation (</w:t>
            </w:r>
            <w:r w:rsidRPr="00993CB9">
              <w:rPr>
                <w:i/>
              </w:rPr>
              <w:t>Hughes</w:t>
            </w:r>
            <w:r w:rsidRPr="00993CB9">
              <w:t xml:space="preserve"> issues)</w:t>
            </w:r>
          </w:p>
        </w:tc>
        <w:tc>
          <w:tcPr>
            <w:tcW w:w="3831" w:type="dxa"/>
            <w:shd w:val="clear" w:color="auto" w:fill="auto"/>
          </w:tcPr>
          <w:p w:rsidR="004B5733" w:rsidRPr="00993CB9" w:rsidRDefault="004B5733" w:rsidP="00AC47D5">
            <w:pPr>
              <w:pStyle w:val="Tabletext"/>
            </w:pPr>
            <w:r w:rsidRPr="00993CB9">
              <w:t>General Counsel (Constitutional)</w:t>
            </w:r>
            <w:r w:rsidRPr="00993CB9">
              <w:br/>
              <w:t>Office of Constitutional Law</w:t>
            </w:r>
          </w:p>
        </w:tc>
      </w:tr>
      <w:tr w:rsidR="004B5733" w:rsidRPr="00993CB9" w:rsidTr="00AC47D5">
        <w:tc>
          <w:tcPr>
            <w:tcW w:w="715" w:type="dxa"/>
            <w:shd w:val="clear" w:color="auto" w:fill="auto"/>
          </w:tcPr>
          <w:p w:rsidR="004B5733" w:rsidRPr="00993CB9" w:rsidRDefault="00B00581" w:rsidP="00AC47D5">
            <w:pPr>
              <w:pStyle w:val="Tabletext"/>
            </w:pPr>
            <w:r>
              <w:t>56</w:t>
            </w:r>
          </w:p>
        </w:tc>
        <w:tc>
          <w:tcPr>
            <w:tcW w:w="4814" w:type="dxa"/>
            <w:shd w:val="clear" w:color="auto" w:fill="auto"/>
          </w:tcPr>
          <w:p w:rsidR="004B5733" w:rsidRPr="00993CB9" w:rsidRDefault="004B5733" w:rsidP="00AC47D5">
            <w:pPr>
              <w:pStyle w:val="Tabletext"/>
            </w:pPr>
            <w:r w:rsidRPr="00993CB9">
              <w:t>involves State officers or bodies performing functions or duties, or exercising powers, under Commonwealth legislation (</w:t>
            </w:r>
            <w:r w:rsidRPr="00993CB9">
              <w:rPr>
                <w:i/>
              </w:rPr>
              <w:t>Zentai</w:t>
            </w:r>
            <w:r w:rsidRPr="00993CB9">
              <w:t xml:space="preserve"> issues)</w:t>
            </w:r>
          </w:p>
        </w:tc>
        <w:tc>
          <w:tcPr>
            <w:tcW w:w="3831" w:type="dxa"/>
            <w:shd w:val="clear" w:color="auto" w:fill="auto"/>
          </w:tcPr>
          <w:p w:rsidR="004B5733" w:rsidRPr="00993CB9" w:rsidRDefault="004B5733" w:rsidP="00AC47D5">
            <w:pPr>
              <w:pStyle w:val="Tabletext"/>
            </w:pPr>
            <w:r w:rsidRPr="00993CB9">
              <w:t>General Counsel (Constitutional)</w:t>
            </w:r>
            <w:r w:rsidRPr="00993CB9">
              <w:br/>
              <w:t>Office of Constitutional Law</w:t>
            </w:r>
          </w:p>
        </w:tc>
      </w:tr>
      <w:tr w:rsidR="004B5733" w:rsidRPr="00993CB9" w:rsidTr="00AC47D5">
        <w:tc>
          <w:tcPr>
            <w:tcW w:w="715" w:type="dxa"/>
            <w:tcBorders>
              <w:bottom w:val="single" w:sz="4" w:space="0" w:color="auto"/>
            </w:tcBorders>
            <w:shd w:val="clear" w:color="auto" w:fill="auto"/>
          </w:tcPr>
          <w:p w:rsidR="004B5733" w:rsidRPr="00993CB9" w:rsidRDefault="00B00581" w:rsidP="00AC47D5">
            <w:pPr>
              <w:pStyle w:val="Tabletext"/>
            </w:pPr>
            <w:r>
              <w:t>57</w:t>
            </w:r>
          </w:p>
        </w:tc>
        <w:tc>
          <w:tcPr>
            <w:tcW w:w="4814" w:type="dxa"/>
            <w:tcBorders>
              <w:bottom w:val="single" w:sz="4" w:space="0" w:color="auto"/>
            </w:tcBorders>
            <w:shd w:val="clear" w:color="auto" w:fill="auto"/>
          </w:tcPr>
          <w:p w:rsidR="004B5733" w:rsidRPr="00993CB9" w:rsidRDefault="004B5733" w:rsidP="00AC47D5">
            <w:pPr>
              <w:pStyle w:val="Tabletext"/>
            </w:pPr>
            <w:r w:rsidRPr="00993CB9">
              <w:t>involves an issue relating to Chapter III of the Constitution (by conferring non</w:t>
            </w:r>
            <w:r w:rsidR="00253B01">
              <w:noBreakHyphen/>
            </w:r>
            <w:r w:rsidRPr="00993CB9">
              <w:t>judicial functions or powers on judicial officers, or by conferring judicial functions or powers on non</w:t>
            </w:r>
            <w:r w:rsidR="00253B01">
              <w:noBreakHyphen/>
            </w:r>
            <w:r w:rsidRPr="00993CB9">
              <w:t>judicial officers) where AGS advice on the issue has been sought</w:t>
            </w:r>
          </w:p>
        </w:tc>
        <w:tc>
          <w:tcPr>
            <w:tcW w:w="3831" w:type="dxa"/>
            <w:tcBorders>
              <w:bottom w:val="single" w:sz="4" w:space="0" w:color="auto"/>
            </w:tcBorders>
            <w:shd w:val="clear" w:color="auto" w:fill="auto"/>
          </w:tcPr>
          <w:p w:rsidR="004B5733" w:rsidRPr="00993CB9" w:rsidRDefault="004B5733" w:rsidP="00AC47D5">
            <w:pPr>
              <w:pStyle w:val="Tabletext"/>
            </w:pPr>
            <w:r w:rsidRPr="00993CB9">
              <w:t>General Counsel (Constitutional)</w:t>
            </w:r>
            <w:r w:rsidRPr="00993CB9">
              <w:br/>
              <w:t>Office of Constitutional Law</w:t>
            </w:r>
            <w:r w:rsidRPr="00993CB9">
              <w:br/>
              <w:t>and</w:t>
            </w:r>
            <w:r w:rsidRPr="00993CB9">
              <w:br/>
              <w:t>Courts Section</w:t>
            </w:r>
            <w:r w:rsidRPr="00993CB9">
              <w:br/>
            </w:r>
            <w:r w:rsidR="00942ED4">
              <w:t>Courts and Tribunals</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bookmarkStart w:id="34" w:name="_Hlk119417432"/>
            <w:r>
              <w:t>58</w:t>
            </w:r>
          </w:p>
        </w:tc>
        <w:tc>
          <w:tcPr>
            <w:tcW w:w="4814" w:type="dxa"/>
            <w:shd w:val="clear" w:color="auto" w:fill="auto"/>
          </w:tcPr>
          <w:p w:rsidR="004B5733" w:rsidRPr="00993CB9" w:rsidRDefault="004B5733" w:rsidP="00AC47D5">
            <w:pPr>
              <w:pStyle w:val="Tabletext"/>
            </w:pPr>
            <w:r w:rsidRPr="00993CB9">
              <w:t>might affect relations between the Commonwealth and the States and Territories</w:t>
            </w:r>
            <w:r w:rsidR="009328D0">
              <w:t xml:space="preserve"> (see Note 11A)</w:t>
            </w:r>
          </w:p>
        </w:tc>
        <w:tc>
          <w:tcPr>
            <w:tcW w:w="3831" w:type="dxa"/>
            <w:shd w:val="clear" w:color="auto" w:fill="auto"/>
          </w:tcPr>
          <w:p w:rsidR="004B5733" w:rsidRPr="00993CB9" w:rsidRDefault="004B5733" w:rsidP="00AC47D5">
            <w:pPr>
              <w:pStyle w:val="Tabletext"/>
            </w:pPr>
            <w:r w:rsidRPr="00993CB9">
              <w:t>General Counsel (Constitutional)</w:t>
            </w:r>
            <w:r w:rsidRPr="00993CB9">
              <w:br/>
              <w:t>Office of Constitutional Law</w:t>
            </w:r>
          </w:p>
        </w:tc>
      </w:tr>
      <w:bookmarkEnd w:id="34"/>
      <w:tr w:rsidR="00FA647B" w:rsidRPr="00993CB9" w:rsidTr="00AC47D5">
        <w:tc>
          <w:tcPr>
            <w:tcW w:w="715" w:type="dxa"/>
            <w:shd w:val="clear" w:color="auto" w:fill="auto"/>
          </w:tcPr>
          <w:p w:rsidR="00FA647B" w:rsidRPr="00993CB9" w:rsidRDefault="00B00581" w:rsidP="00AC47D5">
            <w:pPr>
              <w:pStyle w:val="Tabletext"/>
            </w:pPr>
            <w:r>
              <w:t>59</w:t>
            </w:r>
          </w:p>
        </w:tc>
        <w:tc>
          <w:tcPr>
            <w:tcW w:w="4814" w:type="dxa"/>
            <w:shd w:val="clear" w:color="auto" w:fill="auto"/>
          </w:tcPr>
          <w:p w:rsidR="00B62BB4" w:rsidRPr="00993CB9" w:rsidRDefault="00DD1DA0" w:rsidP="00681D8A">
            <w:pPr>
              <w:pStyle w:val="Tabletext"/>
            </w:pPr>
            <w:r>
              <w:t xml:space="preserve">refers to parliamentary privilege, or is </w:t>
            </w:r>
            <w:r w:rsidR="00681D8A">
              <w:t>intended to</w:t>
            </w:r>
            <w:r>
              <w:t xml:space="preserve"> relate to parliamentary privilege</w:t>
            </w:r>
          </w:p>
        </w:tc>
        <w:tc>
          <w:tcPr>
            <w:tcW w:w="3831" w:type="dxa"/>
            <w:shd w:val="clear" w:color="auto" w:fill="auto"/>
          </w:tcPr>
          <w:p w:rsidR="00FA647B" w:rsidRPr="00993CB9" w:rsidRDefault="00FA647B" w:rsidP="00AC47D5">
            <w:pPr>
              <w:pStyle w:val="Tabletext"/>
            </w:pPr>
            <w:r w:rsidRPr="00993CB9">
              <w:t>General Counsel (Constitutional)</w:t>
            </w:r>
            <w:r w:rsidRPr="00993CB9">
              <w:br/>
              <w:t>Office of Constitutional Law</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60</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provides for collection, storage, use or disclosure of tax file numbers</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61</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provides for collection, storage, use or disclosure of other personal information</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62</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creates or affects a data base or register of personal information</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63</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might infringe civil, political or other human rights relating to privacy or freedom of speech</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Human Rights Unit</w:t>
            </w:r>
            <w:r w:rsidRPr="00993CB9">
              <w:br/>
            </w:r>
            <w:r w:rsidR="00942ED4">
              <w:t>Human Rights</w:t>
            </w:r>
            <w:r w:rsidRPr="00993CB9">
              <w:t xml:space="preserve"> Branch</w:t>
            </w:r>
            <w:r w:rsidRPr="00993CB9">
              <w:br/>
              <w:t>and</w:t>
            </w:r>
            <w:r w:rsidRPr="00993CB9">
              <w:br/>
              <w:t>Information Law Unit</w:t>
            </w:r>
            <w:r w:rsidRPr="00993CB9">
              <w:br/>
            </w:r>
            <w:r w:rsidR="00942ED4">
              <w:t>Information Law Branch</w:t>
            </w:r>
            <w:r w:rsidRPr="00993CB9">
              <w:br/>
              <w:t>and</w:t>
            </w:r>
            <w:r w:rsidRPr="00993CB9">
              <w:br/>
              <w:t>Office of International Law</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64</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allows automated marketing of personal data</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65</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modifies or affects the operation of the Freedom of Information Act</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c>
          <w:tcPr>
            <w:tcW w:w="715" w:type="dxa"/>
            <w:shd w:val="clear" w:color="auto" w:fill="auto"/>
          </w:tcPr>
          <w:p w:rsidR="004B5733" w:rsidRPr="00993CB9" w:rsidRDefault="00B00581" w:rsidP="00AC47D5">
            <w:pPr>
              <w:pStyle w:val="Tabletext"/>
            </w:pPr>
            <w:r>
              <w:t>66</w:t>
            </w:r>
          </w:p>
        </w:tc>
        <w:tc>
          <w:tcPr>
            <w:tcW w:w="4814" w:type="dxa"/>
            <w:shd w:val="clear" w:color="auto" w:fill="auto"/>
          </w:tcPr>
          <w:p w:rsidR="004B5733" w:rsidRPr="00993CB9" w:rsidRDefault="004B5733" w:rsidP="00AC47D5">
            <w:pPr>
              <w:pStyle w:val="Tabletext"/>
            </w:pPr>
            <w:r w:rsidRPr="00993CB9">
              <w:t>affects access to Government</w:t>
            </w:r>
            <w:r w:rsidR="00253B01">
              <w:noBreakHyphen/>
            </w:r>
            <w:r w:rsidRPr="00993CB9">
              <w:t>held information or affects correction of Government</w:t>
            </w:r>
            <w:r w:rsidR="00253B01">
              <w:noBreakHyphen/>
            </w:r>
            <w:r w:rsidRPr="00993CB9">
              <w:t>held personal information</w:t>
            </w:r>
          </w:p>
        </w:tc>
        <w:tc>
          <w:tcPr>
            <w:tcW w:w="3831" w:type="dxa"/>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c>
          <w:tcPr>
            <w:tcW w:w="715" w:type="dxa"/>
            <w:shd w:val="clear" w:color="auto" w:fill="auto"/>
          </w:tcPr>
          <w:p w:rsidR="004B5733" w:rsidRPr="00993CB9" w:rsidRDefault="00B00581" w:rsidP="00AC47D5">
            <w:pPr>
              <w:pStyle w:val="Tabletext"/>
            </w:pPr>
            <w:r>
              <w:t>67</w:t>
            </w:r>
          </w:p>
        </w:tc>
        <w:tc>
          <w:tcPr>
            <w:tcW w:w="4814" w:type="dxa"/>
            <w:shd w:val="clear" w:color="auto" w:fill="auto"/>
          </w:tcPr>
          <w:p w:rsidR="004B5733" w:rsidRPr="00993CB9" w:rsidRDefault="004B5733" w:rsidP="00AC47D5">
            <w:pPr>
              <w:pStyle w:val="Tabletext"/>
            </w:pPr>
            <w:r w:rsidRPr="00993CB9">
              <w:t>affects native title rights and interests (e.g. interests in land or regulatory schemes concerning use, taking, preservation or extraction of resources, flora or fauna)</w:t>
            </w:r>
          </w:p>
        </w:tc>
        <w:tc>
          <w:tcPr>
            <w:tcW w:w="3831" w:type="dxa"/>
            <w:shd w:val="clear" w:color="auto" w:fill="auto"/>
          </w:tcPr>
          <w:p w:rsidR="004B5733" w:rsidRPr="00993CB9" w:rsidRDefault="00B8302B" w:rsidP="00B8302B">
            <w:pPr>
              <w:pStyle w:val="Tabletext"/>
            </w:pPr>
            <w:r w:rsidRPr="00993CB9">
              <w:t xml:space="preserve">Native Title </w:t>
            </w:r>
            <w:r w:rsidR="00942ED4">
              <w:t>and Priority Reforms Branch</w:t>
            </w:r>
          </w:p>
        </w:tc>
      </w:tr>
      <w:tr w:rsidR="004B5733" w:rsidRPr="00993CB9" w:rsidTr="00942ED4">
        <w:tc>
          <w:tcPr>
            <w:tcW w:w="715" w:type="dxa"/>
            <w:shd w:val="clear" w:color="auto" w:fill="auto"/>
          </w:tcPr>
          <w:p w:rsidR="004B5733" w:rsidRPr="00993CB9" w:rsidRDefault="00B00581" w:rsidP="00AC47D5">
            <w:pPr>
              <w:pStyle w:val="Tabletext"/>
            </w:pPr>
            <w:r>
              <w:t>68</w:t>
            </w:r>
          </w:p>
        </w:tc>
        <w:tc>
          <w:tcPr>
            <w:tcW w:w="4814" w:type="dxa"/>
            <w:shd w:val="clear" w:color="auto" w:fill="auto"/>
          </w:tcPr>
          <w:p w:rsidR="004B5733" w:rsidRPr="00993CB9" w:rsidRDefault="004B5733" w:rsidP="00B8302B">
            <w:pPr>
              <w:pStyle w:val="Tabletext"/>
            </w:pPr>
            <w:r w:rsidRPr="00993CB9">
              <w:t>seeks to implement an international agreement creating extradition</w:t>
            </w:r>
            <w:r w:rsidR="00B8302B" w:rsidRPr="00993CB9">
              <w:t>,</w:t>
            </w:r>
            <w:r w:rsidRPr="00993CB9">
              <w:t xml:space="preserve"> mutual legal assistance</w:t>
            </w:r>
            <w:r w:rsidR="009B0B09" w:rsidRPr="00993CB9">
              <w:t xml:space="preserve"> in criminal matters</w:t>
            </w:r>
            <w:r w:rsidR="00710CC3" w:rsidRPr="00993CB9">
              <w:t>,</w:t>
            </w:r>
            <w:r w:rsidR="00B8302B" w:rsidRPr="00993CB9">
              <w:t xml:space="preserve"> or international transfer of prisoner,</w:t>
            </w:r>
            <w:r w:rsidRPr="00993CB9">
              <w:t xml:space="preserve"> obligations for Australia</w:t>
            </w:r>
          </w:p>
        </w:tc>
        <w:tc>
          <w:tcPr>
            <w:tcW w:w="3831" w:type="dxa"/>
            <w:shd w:val="clear" w:color="auto" w:fill="auto"/>
          </w:tcPr>
          <w:p w:rsidR="004B5733" w:rsidRPr="00993CB9" w:rsidRDefault="00B8302B" w:rsidP="00AC47D5">
            <w:pPr>
              <w:pStyle w:val="Tabletext"/>
            </w:pPr>
            <w:r w:rsidRPr="00993CB9">
              <w:t>International Crime Treaties and Policy Section</w:t>
            </w:r>
            <w:r w:rsidRPr="00993CB9">
              <w:br/>
              <w:t>International Cooperation Unit</w:t>
            </w:r>
          </w:p>
        </w:tc>
      </w:tr>
      <w:tr w:rsidR="00942ED4" w:rsidRPr="00993CB9" w:rsidTr="00AC47D5">
        <w:tc>
          <w:tcPr>
            <w:tcW w:w="715" w:type="dxa"/>
            <w:tcBorders>
              <w:bottom w:val="single" w:sz="12" w:space="0" w:color="auto"/>
            </w:tcBorders>
            <w:shd w:val="clear" w:color="auto" w:fill="auto"/>
          </w:tcPr>
          <w:p w:rsidR="00942ED4" w:rsidRDefault="00942ED4" w:rsidP="00AC47D5">
            <w:pPr>
              <w:pStyle w:val="Tabletext"/>
            </w:pPr>
            <w:r>
              <w:t>69</w:t>
            </w:r>
          </w:p>
        </w:tc>
        <w:tc>
          <w:tcPr>
            <w:tcW w:w="4814" w:type="dxa"/>
            <w:tcBorders>
              <w:bottom w:val="single" w:sz="12" w:space="0" w:color="auto"/>
            </w:tcBorders>
            <w:shd w:val="clear" w:color="auto" w:fill="auto"/>
          </w:tcPr>
          <w:p w:rsidR="00942ED4" w:rsidRPr="00993CB9" w:rsidRDefault="00942ED4" w:rsidP="00B8302B">
            <w:pPr>
              <w:pStyle w:val="Tabletext"/>
            </w:pPr>
            <w:r>
              <w:t>concerns firearms</w:t>
            </w:r>
          </w:p>
        </w:tc>
        <w:tc>
          <w:tcPr>
            <w:tcW w:w="3831" w:type="dxa"/>
            <w:tcBorders>
              <w:bottom w:val="single" w:sz="12" w:space="0" w:color="auto"/>
            </w:tcBorders>
            <w:shd w:val="clear" w:color="auto" w:fill="auto"/>
          </w:tcPr>
          <w:p w:rsidR="00942ED4" w:rsidRPr="00993CB9" w:rsidRDefault="00942ED4" w:rsidP="00AC47D5">
            <w:pPr>
              <w:pStyle w:val="Tabletext"/>
            </w:pPr>
            <w:r>
              <w:t>Transnational Crime Branch</w:t>
            </w:r>
          </w:p>
        </w:tc>
      </w:tr>
    </w:tbl>
    <w:p w:rsidR="004B5733" w:rsidRPr="00993CB9" w:rsidRDefault="004B5733" w:rsidP="004B5733">
      <w:pPr>
        <w:pStyle w:val="notemargin"/>
      </w:pPr>
      <w:r w:rsidRPr="00993CB9">
        <w:t>Note 1:</w:t>
      </w:r>
      <w:r w:rsidRPr="00993CB9">
        <w:tab/>
        <w:t>A privative or ouster provision is one that tries to put particular questions beyond the jurisdiction of the courts.</w:t>
      </w:r>
    </w:p>
    <w:p w:rsidR="000D41F1" w:rsidRPr="00993CB9" w:rsidRDefault="000D41F1" w:rsidP="004B5733">
      <w:pPr>
        <w:pStyle w:val="notemargin"/>
      </w:pPr>
      <w:r w:rsidRPr="00993CB9">
        <w:t>Note 1A:</w:t>
      </w:r>
      <w:r w:rsidRPr="00993CB9">
        <w:tab/>
        <w:t xml:space="preserve">Even very minor changes (e.g. changes in headings and numbering) should be referred as they might impact on </w:t>
      </w:r>
      <w:r w:rsidR="00783C07" w:rsidRPr="00993CB9">
        <w:t xml:space="preserve">appointment/nomination of AAT members to perform these functions or </w:t>
      </w:r>
      <w:r w:rsidRPr="00993CB9">
        <w:t>instruments.</w:t>
      </w:r>
    </w:p>
    <w:p w:rsidR="004B5733" w:rsidRPr="00993CB9" w:rsidRDefault="004B5733" w:rsidP="004B5733">
      <w:pPr>
        <w:pStyle w:val="notemargin"/>
      </w:pPr>
      <w:r w:rsidRPr="00993CB9">
        <w:t>Note 2:</w:t>
      </w:r>
      <w:r w:rsidRPr="00993CB9">
        <w:tab/>
        <w:t>The administrative laws are:</w:t>
      </w:r>
    </w:p>
    <w:p w:rsidR="004B5733" w:rsidRPr="00993CB9" w:rsidRDefault="004B5733" w:rsidP="004B5733">
      <w:pPr>
        <w:pStyle w:val="Blocks"/>
        <w:tabs>
          <w:tab w:val="left" w:pos="360"/>
          <w:tab w:val="num" w:pos="1069"/>
        </w:tabs>
        <w:ind w:left="1069" w:hanging="360"/>
        <w:rPr>
          <w:sz w:val="18"/>
        </w:rPr>
      </w:pPr>
      <w:r w:rsidRPr="00993CB9">
        <w:rPr>
          <w:sz w:val="18"/>
        </w:rPr>
        <w:t>a)</w:t>
      </w:r>
      <w:r w:rsidRPr="00993CB9">
        <w:rPr>
          <w:sz w:val="18"/>
        </w:rPr>
        <w:tab/>
        <w:t xml:space="preserve">the </w:t>
      </w:r>
      <w:r w:rsidRPr="00993CB9">
        <w:rPr>
          <w:i/>
          <w:sz w:val="18"/>
        </w:rPr>
        <w:t>Administrative Decisions (Judicial Review) Act 1977</w:t>
      </w:r>
      <w:r w:rsidRPr="00993CB9">
        <w:rPr>
          <w:sz w:val="18"/>
        </w:rPr>
        <w:t>; and</w:t>
      </w:r>
    </w:p>
    <w:p w:rsidR="004B5733" w:rsidRPr="00993CB9" w:rsidRDefault="00DC4810" w:rsidP="004B5733">
      <w:pPr>
        <w:pStyle w:val="Blocks"/>
        <w:tabs>
          <w:tab w:val="left" w:pos="360"/>
          <w:tab w:val="num" w:pos="1069"/>
        </w:tabs>
        <w:ind w:left="1069" w:hanging="360"/>
        <w:rPr>
          <w:sz w:val="18"/>
        </w:rPr>
      </w:pPr>
      <w:r w:rsidRPr="00993CB9">
        <w:rPr>
          <w:sz w:val="18"/>
        </w:rPr>
        <w:t>b</w:t>
      </w:r>
      <w:r w:rsidR="004B5733" w:rsidRPr="00993CB9">
        <w:rPr>
          <w:sz w:val="18"/>
        </w:rPr>
        <w:t>)</w:t>
      </w:r>
      <w:r w:rsidR="004B5733" w:rsidRPr="00993CB9">
        <w:rPr>
          <w:sz w:val="18"/>
        </w:rPr>
        <w:tab/>
        <w:t xml:space="preserve">the </w:t>
      </w:r>
      <w:r w:rsidR="004B5733" w:rsidRPr="00993CB9">
        <w:rPr>
          <w:i/>
          <w:sz w:val="18"/>
        </w:rPr>
        <w:t xml:space="preserve">Administrative Decisions (Judicial Review) </w:t>
      </w:r>
      <w:r w:rsidR="00B00581">
        <w:rPr>
          <w:i/>
          <w:sz w:val="18"/>
        </w:rPr>
        <w:t>Regulations 2</w:t>
      </w:r>
      <w:r w:rsidR="00875494" w:rsidRPr="00993CB9">
        <w:rPr>
          <w:i/>
          <w:sz w:val="18"/>
        </w:rPr>
        <w:t>017</w:t>
      </w:r>
      <w:r w:rsidRPr="00993CB9">
        <w:rPr>
          <w:sz w:val="18"/>
        </w:rPr>
        <w:t>; and</w:t>
      </w:r>
    </w:p>
    <w:p w:rsidR="00AB4E3F" w:rsidRPr="00993CB9" w:rsidRDefault="00AB4E3F" w:rsidP="004B5733">
      <w:pPr>
        <w:pStyle w:val="Blocks"/>
        <w:tabs>
          <w:tab w:val="left" w:pos="360"/>
          <w:tab w:val="num" w:pos="1069"/>
        </w:tabs>
        <w:ind w:left="1069" w:hanging="360"/>
        <w:rPr>
          <w:sz w:val="18"/>
        </w:rPr>
      </w:pPr>
      <w:r w:rsidRPr="00993CB9">
        <w:rPr>
          <w:sz w:val="18"/>
        </w:rPr>
        <w:t>c)</w:t>
      </w:r>
      <w:r w:rsidRPr="00993CB9">
        <w:rPr>
          <w:sz w:val="18"/>
        </w:rPr>
        <w:tab/>
        <w:t xml:space="preserve">the </w:t>
      </w:r>
      <w:r w:rsidRPr="00993CB9">
        <w:rPr>
          <w:i/>
          <w:sz w:val="18"/>
        </w:rPr>
        <w:t>Administrative Appeals Tribunal Act 1975</w:t>
      </w:r>
      <w:r w:rsidRPr="00993CB9">
        <w:rPr>
          <w:sz w:val="18"/>
        </w:rPr>
        <w:t>; and</w:t>
      </w:r>
    </w:p>
    <w:p w:rsidR="00DC4810" w:rsidRPr="00993CB9" w:rsidRDefault="00AB4E3F" w:rsidP="004B5733">
      <w:pPr>
        <w:pStyle w:val="Blocks"/>
        <w:tabs>
          <w:tab w:val="left" w:pos="360"/>
          <w:tab w:val="num" w:pos="1069"/>
        </w:tabs>
        <w:ind w:left="1069" w:hanging="360"/>
        <w:rPr>
          <w:sz w:val="18"/>
        </w:rPr>
      </w:pPr>
      <w:r w:rsidRPr="00993CB9">
        <w:rPr>
          <w:sz w:val="18"/>
        </w:rPr>
        <w:t>d</w:t>
      </w:r>
      <w:r w:rsidR="00DC4810" w:rsidRPr="00993CB9">
        <w:rPr>
          <w:sz w:val="18"/>
        </w:rPr>
        <w:t>)</w:t>
      </w:r>
      <w:r w:rsidR="00DC4810" w:rsidRPr="00993CB9">
        <w:rPr>
          <w:sz w:val="18"/>
        </w:rPr>
        <w:tab/>
        <w:t xml:space="preserve">the </w:t>
      </w:r>
      <w:r w:rsidR="00DC4810" w:rsidRPr="00993CB9">
        <w:rPr>
          <w:i/>
          <w:sz w:val="18"/>
        </w:rPr>
        <w:t xml:space="preserve">Administrative Appeals Tribunal </w:t>
      </w:r>
      <w:r w:rsidR="00B00581">
        <w:rPr>
          <w:i/>
          <w:sz w:val="18"/>
        </w:rPr>
        <w:t>Regulation 2</w:t>
      </w:r>
      <w:r w:rsidR="00DC4810" w:rsidRPr="00993CB9">
        <w:rPr>
          <w:i/>
          <w:sz w:val="18"/>
        </w:rPr>
        <w:t>015</w:t>
      </w:r>
      <w:r w:rsidR="00DC4810" w:rsidRPr="00993CB9">
        <w:rPr>
          <w:sz w:val="18"/>
        </w:rPr>
        <w:t>.</w:t>
      </w:r>
    </w:p>
    <w:p w:rsidR="00E855C2" w:rsidRPr="00993CB9" w:rsidRDefault="00E855C2" w:rsidP="004B5733">
      <w:pPr>
        <w:pStyle w:val="notemargin"/>
      </w:pPr>
      <w:r w:rsidRPr="00993CB9">
        <w:t>Note 2A:</w:t>
      </w:r>
      <w:r w:rsidRPr="00993CB9">
        <w:tab/>
        <w:t>To avoid doubt, if the new reviewable or appealable rights, entitlements or responsibilities relate to the AAT or the Defence Force Discipline Appeals Tribunal then they should also be referred under another, specific, item.</w:t>
      </w:r>
    </w:p>
    <w:p w:rsidR="004B5733" w:rsidRPr="00993CB9" w:rsidRDefault="004B5733" w:rsidP="004B5733">
      <w:pPr>
        <w:pStyle w:val="notemargin"/>
      </w:pPr>
      <w:r w:rsidRPr="00993CB9">
        <w:t>Note 3:</w:t>
      </w:r>
      <w:r w:rsidRPr="00993CB9">
        <w:tab/>
        <w:t xml:space="preserve">It is the policy of </w:t>
      </w:r>
      <w:r w:rsidR="00DE35FD">
        <w:rPr>
          <w:lang w:eastAsia="en-US"/>
        </w:rPr>
        <w:t>Transparency and Administrative Law</w:t>
      </w:r>
      <w:r w:rsidRPr="00993CB9">
        <w:rPr>
          <w:lang w:eastAsia="en-US"/>
        </w:rPr>
        <w:t xml:space="preserve"> Branch that all exemptions from the sunsetting regime must be included in the Legislative Instruments Regulations and must not be included in the Act containing the power to make the instrument (see Drafting </w:t>
      </w:r>
      <w:r w:rsidR="00B00581">
        <w:rPr>
          <w:lang w:eastAsia="en-US"/>
        </w:rPr>
        <w:t>Direction 3</w:t>
      </w:r>
      <w:r w:rsidRPr="00993CB9">
        <w:rPr>
          <w:lang w:eastAsia="en-US"/>
        </w:rPr>
        <w:t>.8).</w:t>
      </w:r>
    </w:p>
    <w:p w:rsidR="004B5733" w:rsidRPr="00993CB9" w:rsidRDefault="004B5733" w:rsidP="004B5733">
      <w:pPr>
        <w:pStyle w:val="notemargin"/>
      </w:pPr>
      <w:r w:rsidRPr="00993CB9">
        <w:t>Note 4:</w:t>
      </w:r>
      <w:r w:rsidRPr="00993CB9">
        <w:tab/>
        <w:t>Please include a drafter’s note:</w:t>
      </w:r>
    </w:p>
    <w:p w:rsidR="004B5733" w:rsidRPr="00993CB9" w:rsidRDefault="004B5733" w:rsidP="004B5733">
      <w:pPr>
        <w:pStyle w:val="Blocks"/>
        <w:tabs>
          <w:tab w:val="left" w:pos="360"/>
          <w:tab w:val="num" w:pos="1069"/>
        </w:tabs>
        <w:ind w:left="1069" w:hanging="360"/>
        <w:rPr>
          <w:sz w:val="18"/>
        </w:rPr>
      </w:pPr>
      <w:r w:rsidRPr="00993CB9">
        <w:rPr>
          <w:sz w:val="18"/>
        </w:rPr>
        <w:t>a)</w:t>
      </w:r>
      <w:r w:rsidRPr="00993CB9">
        <w:rPr>
          <w:sz w:val="18"/>
        </w:rPr>
        <w:tab/>
        <w:t>indicating that the instrument is specified not to be a legislative instrument because it does not have a legislative character; or</w:t>
      </w:r>
    </w:p>
    <w:p w:rsidR="004B5733" w:rsidRPr="00993CB9" w:rsidRDefault="004B5733" w:rsidP="004B5733">
      <w:pPr>
        <w:pStyle w:val="Blocks"/>
        <w:tabs>
          <w:tab w:val="left" w:pos="360"/>
          <w:tab w:val="num" w:pos="1069"/>
        </w:tabs>
        <w:ind w:left="1069" w:hanging="360"/>
        <w:rPr>
          <w:sz w:val="18"/>
        </w:rPr>
      </w:pPr>
      <w:r w:rsidRPr="00993CB9">
        <w:rPr>
          <w:sz w:val="18"/>
        </w:rPr>
        <w:t>b)</w:t>
      </w:r>
      <w:r w:rsidRPr="00993CB9">
        <w:rPr>
          <w:sz w:val="18"/>
        </w:rPr>
        <w:tab/>
        <w:t xml:space="preserve">indicating that the instrument is specified not to be a legislative instrument because it is being exempted from the </w:t>
      </w:r>
      <w:r w:rsidRPr="00993CB9">
        <w:rPr>
          <w:i/>
          <w:sz w:val="18"/>
        </w:rPr>
        <w:t>Legislation Act 2003</w:t>
      </w:r>
      <w:r w:rsidRPr="00993CB9">
        <w:rPr>
          <w:sz w:val="18"/>
        </w:rPr>
        <w:t>; or</w:t>
      </w:r>
    </w:p>
    <w:p w:rsidR="004B5733" w:rsidRPr="00993CB9" w:rsidRDefault="004B5733" w:rsidP="004B5733">
      <w:pPr>
        <w:pStyle w:val="Blocks"/>
        <w:tabs>
          <w:tab w:val="left" w:pos="360"/>
          <w:tab w:val="num" w:pos="1069"/>
        </w:tabs>
        <w:ind w:left="1069" w:hanging="360"/>
      </w:pPr>
      <w:r w:rsidRPr="00993CB9">
        <w:rPr>
          <w:sz w:val="18"/>
        </w:rPr>
        <w:t>c)</w:t>
      </w:r>
      <w:r w:rsidRPr="00993CB9">
        <w:rPr>
          <w:sz w:val="18"/>
        </w:rPr>
        <w:tab/>
        <w:t>stating that it is unclear whether or not the instrument has a legislative character and requesting AGD’s advice.</w:t>
      </w:r>
    </w:p>
    <w:p w:rsidR="00376F15" w:rsidRDefault="00376F15" w:rsidP="004B5733">
      <w:pPr>
        <w:pStyle w:val="notemargin"/>
      </w:pPr>
      <w:r w:rsidRPr="00376F15">
        <w:t>Note 5:</w:t>
      </w:r>
      <w:r w:rsidRPr="00376F15">
        <w:tab/>
        <w:t>It doesn’t matter whether these things are in connection with a criminal investigation, the monitoring of compliance with the law, or the protection of the revenue.</w:t>
      </w:r>
    </w:p>
    <w:p w:rsidR="004B5733" w:rsidRPr="00993CB9" w:rsidRDefault="004B5733" w:rsidP="004B5733">
      <w:pPr>
        <w:pStyle w:val="notemargin"/>
      </w:pPr>
      <w:r w:rsidRPr="00993CB9">
        <w:t>Note 6:</w:t>
      </w:r>
      <w:r w:rsidRPr="00993CB9">
        <w:tab/>
      </w:r>
      <w:r w:rsidRPr="00993CB9">
        <w:rPr>
          <w:b/>
        </w:rPr>
        <w:t>Departures from fundamental criminal law principles</w:t>
      </w:r>
      <w:r w:rsidRPr="00993CB9">
        <w:t xml:space="preserve">  The Criminal Law Guide requires instructors to consult with </w:t>
      </w:r>
      <w:r w:rsidR="00DE35FD">
        <w:t>Criminal Justice</w:t>
      </w:r>
      <w:r w:rsidRPr="00993CB9">
        <w:t xml:space="preserve"> Division about any departures from fundamental criminal law principles. If draft legislation includes an approach that would constitute such a departure, the draft should be referred to </w:t>
      </w:r>
      <w:r w:rsidR="00DE35FD">
        <w:t>Criminal Justice</w:t>
      </w:r>
      <w:r w:rsidRPr="00993CB9">
        <w:t xml:space="preserve"> Division. Such departures from these principles may require the positive approval of the Attorney</w:t>
      </w:r>
      <w:r w:rsidR="00253B01">
        <w:noBreakHyphen/>
      </w:r>
      <w:r w:rsidRPr="00993CB9">
        <w:t>General. The following examples are listed in the Guide, Pt 1.3.2:</w:t>
      </w:r>
    </w:p>
    <w:p w:rsidR="004B5733" w:rsidRPr="00993CB9" w:rsidRDefault="004B5733" w:rsidP="004B5733">
      <w:pPr>
        <w:pStyle w:val="notemargin"/>
        <w:numPr>
          <w:ilvl w:val="0"/>
          <w:numId w:val="14"/>
        </w:numPr>
      </w:pPr>
      <w:r w:rsidRPr="00993CB9">
        <w:t>retrospectively applying offences (Pt 2.1.3);</w:t>
      </w:r>
    </w:p>
    <w:p w:rsidR="004B5733" w:rsidRPr="00993CB9" w:rsidRDefault="004B5733" w:rsidP="004B5733">
      <w:pPr>
        <w:pStyle w:val="notemargin"/>
        <w:numPr>
          <w:ilvl w:val="0"/>
          <w:numId w:val="14"/>
        </w:numPr>
      </w:pPr>
      <w:r w:rsidRPr="00993CB9">
        <w:t>regulation</w:t>
      </w:r>
      <w:r w:rsidR="00253B01">
        <w:noBreakHyphen/>
      </w:r>
      <w:r w:rsidRPr="00993CB9">
        <w:t>making power for regulations to include offences punishable by imprisonment (Pt 3.3);</w:t>
      </w:r>
    </w:p>
    <w:p w:rsidR="004B5733" w:rsidRPr="00993CB9" w:rsidRDefault="004B5733" w:rsidP="004B5733">
      <w:pPr>
        <w:pStyle w:val="notemargin"/>
        <w:numPr>
          <w:ilvl w:val="0"/>
          <w:numId w:val="14"/>
        </w:numPr>
      </w:pPr>
      <w:r w:rsidRPr="00993CB9">
        <w:t>evidentiary certificates as conclusive evidence of fact (Pt 5.3);</w:t>
      </w:r>
    </w:p>
    <w:p w:rsidR="004B5733" w:rsidRPr="00993CB9" w:rsidRDefault="004B5733" w:rsidP="004B5733">
      <w:pPr>
        <w:pStyle w:val="notemargin"/>
        <w:numPr>
          <w:ilvl w:val="0"/>
          <w:numId w:val="14"/>
        </w:numPr>
      </w:pPr>
      <w:r w:rsidRPr="00993CB9">
        <w:t>infringement notices for fault</w:t>
      </w:r>
      <w:r w:rsidR="00253B01">
        <w:noBreakHyphen/>
      </w:r>
      <w:r w:rsidRPr="00993CB9">
        <w:t>based offences (Pt 6.2.1);</w:t>
      </w:r>
    </w:p>
    <w:p w:rsidR="004B5733" w:rsidRPr="00993CB9" w:rsidRDefault="004B5733" w:rsidP="004B5733">
      <w:pPr>
        <w:pStyle w:val="notemargin"/>
        <w:numPr>
          <w:ilvl w:val="0"/>
          <w:numId w:val="14"/>
        </w:numPr>
      </w:pPr>
      <w:r w:rsidRPr="00993CB9">
        <w:t>removal of privilege against self</w:t>
      </w:r>
      <w:r w:rsidR="00253B01">
        <w:noBreakHyphen/>
      </w:r>
      <w:r w:rsidRPr="00993CB9">
        <w:t>incrimination without “use” or “derivative use” immunity (Pt 9.5);</w:t>
      </w:r>
    </w:p>
    <w:p w:rsidR="004B5733" w:rsidRPr="00993CB9" w:rsidRDefault="004B5733" w:rsidP="004B5733">
      <w:pPr>
        <w:pStyle w:val="notemargin"/>
        <w:numPr>
          <w:ilvl w:val="0"/>
          <w:numId w:val="14"/>
        </w:numPr>
      </w:pPr>
      <w:r w:rsidRPr="00993CB9">
        <w:t>persons assisting an authority empowered to use force against a person (Pt 8.3.4);</w:t>
      </w:r>
    </w:p>
    <w:p w:rsidR="004B5733" w:rsidRPr="00993CB9" w:rsidRDefault="004B5733" w:rsidP="004B5733">
      <w:pPr>
        <w:pStyle w:val="notemargin"/>
        <w:numPr>
          <w:ilvl w:val="0"/>
          <w:numId w:val="14"/>
        </w:numPr>
      </w:pPr>
      <w:r w:rsidRPr="00993CB9">
        <w:t>use of lethal force;</w:t>
      </w:r>
    </w:p>
    <w:p w:rsidR="004B5733" w:rsidRPr="00993CB9" w:rsidRDefault="004B5733" w:rsidP="004B5733">
      <w:pPr>
        <w:pStyle w:val="notemargin"/>
        <w:numPr>
          <w:ilvl w:val="0"/>
          <w:numId w:val="14"/>
        </w:numPr>
      </w:pPr>
      <w:r w:rsidRPr="00993CB9">
        <w:t>invasive personal searches (Pt 10.3);</w:t>
      </w:r>
    </w:p>
    <w:p w:rsidR="004B5733" w:rsidRPr="00993CB9" w:rsidRDefault="004B5733" w:rsidP="004B5733">
      <w:pPr>
        <w:pStyle w:val="notemargin"/>
        <w:numPr>
          <w:ilvl w:val="0"/>
          <w:numId w:val="14"/>
        </w:numPr>
      </w:pPr>
      <w:r w:rsidRPr="00993CB9">
        <w:t>entry, search and seizure without warrant or consent (Pt 8.6).</w:t>
      </w:r>
    </w:p>
    <w:p w:rsidR="004B5733" w:rsidRPr="00993CB9" w:rsidRDefault="004B5733" w:rsidP="004B5733">
      <w:pPr>
        <w:pStyle w:val="notemargin"/>
      </w:pPr>
      <w:r w:rsidRPr="00993CB9">
        <w:tab/>
      </w:r>
      <w:r w:rsidRPr="00993CB9">
        <w:rPr>
          <w:b/>
        </w:rPr>
        <w:t xml:space="preserve">Exceptional circumstances </w:t>
      </w:r>
      <w:r w:rsidRPr="00993CB9">
        <w:rPr>
          <w:i/>
        </w:rPr>
        <w:t xml:space="preserve"> </w:t>
      </w:r>
      <w:r w:rsidRPr="00993CB9">
        <w:t xml:space="preserve">In addition, the Criminal Law Guide recommends that certain approaches to criminal law policy should be adopted only in exceptional circumstances. If these approaches are proposed in draft legislation, the draft should be referred to </w:t>
      </w:r>
      <w:r w:rsidR="00DE35FD">
        <w:t>Criminal Justice</w:t>
      </w:r>
      <w:r w:rsidRPr="00993CB9">
        <w:t xml:space="preserve"> Division. Examples of relevant topics are as follows (however, there may be others not listed here):</w:t>
      </w:r>
    </w:p>
    <w:p w:rsidR="004B5733" w:rsidRPr="00993CB9" w:rsidRDefault="004B5733" w:rsidP="004B5733">
      <w:pPr>
        <w:pStyle w:val="notemargin"/>
        <w:ind w:left="720" w:firstLine="0"/>
      </w:pPr>
      <w:r w:rsidRPr="00993CB9">
        <w:t>a)</w:t>
      </w:r>
      <w:r w:rsidRPr="00993CB9">
        <w:tab/>
        <w:t>Entry of authorised persons without requirement to identify themselves (Pt 8.3.2);</w:t>
      </w:r>
    </w:p>
    <w:p w:rsidR="004B5733" w:rsidRPr="00993CB9" w:rsidRDefault="004B5733" w:rsidP="004B5733">
      <w:pPr>
        <w:pStyle w:val="notemargin"/>
        <w:ind w:left="720" w:firstLine="0"/>
      </w:pPr>
      <w:r w:rsidRPr="00993CB9">
        <w:t>b)</w:t>
      </w:r>
      <w:r w:rsidRPr="00993CB9">
        <w:tab/>
        <w:t>Arrest powers conferred on non</w:t>
      </w:r>
      <w:r w:rsidR="00253B01">
        <w:noBreakHyphen/>
      </w:r>
      <w:r w:rsidRPr="00993CB9">
        <w:t>police officers (Pt 10.1).</w:t>
      </w:r>
    </w:p>
    <w:p w:rsidR="004B5733" w:rsidRPr="00993CB9" w:rsidRDefault="004B5733" w:rsidP="004B5733">
      <w:pPr>
        <w:pStyle w:val="notemargin"/>
      </w:pPr>
      <w:r w:rsidRPr="00993CB9">
        <w:tab/>
      </w:r>
      <w:r w:rsidRPr="00993CB9">
        <w:rPr>
          <w:b/>
        </w:rPr>
        <w:t>Sensitive or contentious legislation</w:t>
      </w:r>
      <w:r w:rsidRPr="00993CB9">
        <w:t xml:space="preserve">  The Criminal Law Guide requires instructors to consult with </w:t>
      </w:r>
      <w:r w:rsidR="00DE35FD">
        <w:t>Criminal Justice</w:t>
      </w:r>
      <w:r w:rsidRPr="00993CB9">
        <w:t xml:space="preserve"> Division about draft legislation relating to criminal law or law enforcement that may be thought likely to be sensitive or contentious. Such draft legislation should be referred to </w:t>
      </w:r>
      <w:r w:rsidR="00DE35FD">
        <w:t>Criminal Justice</w:t>
      </w:r>
      <w:r w:rsidRPr="00993CB9">
        <w:t xml:space="preserve"> Division, and may require the positive approval of the Attorney</w:t>
      </w:r>
      <w:r w:rsidR="00253B01">
        <w:noBreakHyphen/>
      </w:r>
      <w:r w:rsidRPr="00993CB9">
        <w:t>General (see the Guide, Pt 1.3.2).</w:t>
      </w:r>
    </w:p>
    <w:p w:rsidR="004B5733" w:rsidRPr="00993CB9" w:rsidRDefault="004B5733" w:rsidP="004B5733">
      <w:pPr>
        <w:pStyle w:val="notemargin"/>
      </w:pPr>
      <w:r w:rsidRPr="00993CB9">
        <w:tab/>
      </w:r>
      <w:r w:rsidRPr="00993CB9">
        <w:rPr>
          <w:b/>
        </w:rPr>
        <w:t xml:space="preserve">Other circumstances </w:t>
      </w:r>
      <w:r w:rsidRPr="00993CB9">
        <w:rPr>
          <w:i/>
        </w:rPr>
        <w:t xml:space="preserve"> </w:t>
      </w:r>
      <w:r w:rsidRPr="00993CB9">
        <w:t xml:space="preserve">In other respects, the Office will continue to work with </w:t>
      </w:r>
      <w:r w:rsidR="00DE35FD">
        <w:t>Criminal Justice</w:t>
      </w:r>
      <w:r w:rsidRPr="00993CB9">
        <w:t xml:space="preserve"> Division to clarify matters that should, or should not, be referred to that Division under the Criminal Law Guide, Pt 1.3.2. If in doubt, drafters should contact the Criminal Law Section of that Division to discuss whether a particular matter should be referred.</w:t>
      </w:r>
    </w:p>
    <w:p w:rsidR="004B5733" w:rsidRPr="00993CB9" w:rsidRDefault="004B5733" w:rsidP="004B5733">
      <w:pPr>
        <w:pStyle w:val="notemargin"/>
      </w:pPr>
      <w:r w:rsidRPr="00993CB9">
        <w:t>Note 7:</w:t>
      </w:r>
      <w:r w:rsidRPr="00993CB9">
        <w:tab/>
        <w:t xml:space="preserve">Schemes of the kind dealt with in the </w:t>
      </w:r>
      <w:r w:rsidRPr="00993CB9">
        <w:rPr>
          <w:i/>
        </w:rPr>
        <w:t>Regulatory Powers (Standard Provisions) Act 2014</w:t>
      </w:r>
      <w:r w:rsidRPr="00993CB9">
        <w:t xml:space="preserve"> include the following:</w:t>
      </w:r>
    </w:p>
    <w:p w:rsidR="004B5733" w:rsidRPr="00993CB9" w:rsidRDefault="004B5733" w:rsidP="004B5733">
      <w:pPr>
        <w:pStyle w:val="notemargin"/>
      </w:pPr>
      <w:r w:rsidRPr="00993CB9">
        <w:tab/>
        <w:t>a)</w:t>
      </w:r>
      <w:r w:rsidRPr="00993CB9">
        <w:tab/>
        <w:t>investigation involving entry, search and seizure by consent or under warrant;</w:t>
      </w:r>
    </w:p>
    <w:p w:rsidR="004B5733" w:rsidRPr="00993CB9" w:rsidRDefault="004B5733" w:rsidP="004B5733">
      <w:pPr>
        <w:pStyle w:val="notemargin"/>
      </w:pPr>
      <w:r w:rsidRPr="00993CB9">
        <w:tab/>
        <w:t>b)</w:t>
      </w:r>
      <w:r w:rsidRPr="00993CB9">
        <w:tab/>
        <w:t>monitoring involving entry and search by consent under warrant;</w:t>
      </w:r>
    </w:p>
    <w:p w:rsidR="004B5733" w:rsidRPr="00993CB9" w:rsidRDefault="004B5733" w:rsidP="004B5733">
      <w:pPr>
        <w:pStyle w:val="notemargin"/>
      </w:pPr>
      <w:r w:rsidRPr="00993CB9">
        <w:tab/>
        <w:t>c)</w:t>
      </w:r>
      <w:r w:rsidRPr="00993CB9">
        <w:tab/>
        <w:t>civil penalty orders;</w:t>
      </w:r>
    </w:p>
    <w:p w:rsidR="004B5733" w:rsidRPr="00993CB9" w:rsidRDefault="004B5733" w:rsidP="004B5733">
      <w:pPr>
        <w:pStyle w:val="notemargin"/>
      </w:pPr>
      <w:r w:rsidRPr="00993CB9">
        <w:tab/>
        <w:t>d)</w:t>
      </w:r>
      <w:r w:rsidRPr="00993CB9">
        <w:tab/>
        <w:t>infringement notices;</w:t>
      </w:r>
    </w:p>
    <w:p w:rsidR="004B5733" w:rsidRPr="00993CB9" w:rsidRDefault="004B5733" w:rsidP="004B5733">
      <w:pPr>
        <w:pStyle w:val="notemargin"/>
      </w:pPr>
      <w:r w:rsidRPr="00993CB9">
        <w:tab/>
        <w:t>e)</w:t>
      </w:r>
      <w:r w:rsidRPr="00993CB9">
        <w:tab/>
        <w:t>enforceable undertakings;</w:t>
      </w:r>
    </w:p>
    <w:p w:rsidR="004B5733" w:rsidRPr="00993CB9" w:rsidRDefault="004B5733" w:rsidP="004B5733">
      <w:pPr>
        <w:pStyle w:val="notemargin"/>
      </w:pPr>
      <w:r w:rsidRPr="00993CB9">
        <w:tab/>
        <w:t>f)</w:t>
      </w:r>
      <w:r w:rsidRPr="00993CB9">
        <w:tab/>
        <w:t>injunctions in aid of enforcement.</w:t>
      </w:r>
    </w:p>
    <w:p w:rsidR="004B5733" w:rsidRPr="00993CB9" w:rsidRDefault="004B5733" w:rsidP="004B5733">
      <w:pPr>
        <w:pStyle w:val="notemargin"/>
      </w:pPr>
      <w:r w:rsidRPr="00993CB9">
        <w:t>Note 8:</w:t>
      </w:r>
      <w:r w:rsidRPr="00993CB9">
        <w:tab/>
        <w:t>If an exemption from the spent convictions scheme is proposed, you should advise your instructors to contact the</w:t>
      </w:r>
      <w:r w:rsidR="00DE35FD">
        <w:t xml:space="preserve"> Criminal Justice</w:t>
      </w:r>
      <w:r w:rsidRPr="00993CB9">
        <w:t xml:space="preserve"> Division. That Division will then discuss the matter with your instructors and require your instructors to consult the Australian Information Commissioner.</w:t>
      </w:r>
    </w:p>
    <w:p w:rsidR="004B5733" w:rsidRPr="00993CB9" w:rsidRDefault="004B5733" w:rsidP="004B5733">
      <w:pPr>
        <w:pStyle w:val="notemargin"/>
      </w:pPr>
      <w:r w:rsidRPr="00993CB9">
        <w:t>Note 9:</w:t>
      </w:r>
      <w:r w:rsidRPr="00993CB9">
        <w:tab/>
      </w:r>
      <w:r w:rsidRPr="00993CB9">
        <w:rPr>
          <w:color w:val="000000" w:themeColor="text1"/>
          <w:szCs w:val="18"/>
        </w:rPr>
        <w:t>If it is proposed to remove the privilege against self</w:t>
      </w:r>
      <w:r w:rsidR="00253B01">
        <w:rPr>
          <w:color w:val="000000" w:themeColor="text1"/>
          <w:szCs w:val="18"/>
        </w:rPr>
        <w:noBreakHyphen/>
      </w:r>
      <w:r w:rsidRPr="00993CB9">
        <w:rPr>
          <w:color w:val="000000" w:themeColor="text1"/>
          <w:szCs w:val="18"/>
        </w:rPr>
        <w:t>incrimination without providing for a “use” or “derivative use” immunity, the provision must be referred to</w:t>
      </w:r>
      <w:r w:rsidR="00A14E5E">
        <w:rPr>
          <w:color w:val="000000" w:themeColor="text1"/>
          <w:szCs w:val="18"/>
        </w:rPr>
        <w:t xml:space="preserve"> the Law Enforcement Powers Section</w:t>
      </w:r>
      <w:r w:rsidR="00AF0AC7">
        <w:t xml:space="preserve"> under </w:t>
      </w:r>
      <w:r w:rsidR="00253B01">
        <w:t>item 3</w:t>
      </w:r>
      <w:r w:rsidR="00AF0AC7">
        <w:t>1</w:t>
      </w:r>
      <w:r w:rsidRPr="00993CB9">
        <w:rPr>
          <w:color w:val="000000" w:themeColor="text1"/>
          <w:szCs w:val="18"/>
        </w:rPr>
        <w:t xml:space="preserve"> (see Note 6(e)).</w:t>
      </w:r>
    </w:p>
    <w:p w:rsidR="004B5733" w:rsidRPr="00993CB9" w:rsidRDefault="004B5733" w:rsidP="004B5733">
      <w:pPr>
        <w:pStyle w:val="notemargin"/>
      </w:pPr>
      <w:r w:rsidRPr="00993CB9">
        <w:t>Note 10:</w:t>
      </w:r>
      <w:r w:rsidRPr="00993CB9">
        <w:tab/>
        <w:t xml:space="preserve">A provision may potentially impact on the </w:t>
      </w:r>
      <w:r w:rsidRPr="00993CB9">
        <w:rPr>
          <w:i/>
        </w:rPr>
        <w:t>Electronic Transactions Act 1999</w:t>
      </w:r>
      <w:r w:rsidRPr="00993CB9">
        <w:t xml:space="preserve"> by, for example, exempting an electronic transaction from that Act, being similar to a provision of that Act or dealing with electronic transactions.</w:t>
      </w:r>
    </w:p>
    <w:p w:rsidR="004B5733" w:rsidRDefault="004B5733" w:rsidP="004B5733">
      <w:pPr>
        <w:pStyle w:val="notemargin"/>
      </w:pPr>
      <w:r w:rsidRPr="00993CB9">
        <w:t>Note 11:</w:t>
      </w:r>
      <w:r w:rsidRPr="00993CB9">
        <w:tab/>
        <w:t>For further information, see Drafting Direction No. 3.3 (Application of legislation in relation to various maritime and external areas).</w:t>
      </w:r>
    </w:p>
    <w:p w:rsidR="003B2B81" w:rsidRPr="00993CB9" w:rsidRDefault="009328D0" w:rsidP="00F40373">
      <w:pPr>
        <w:pStyle w:val="notemargin"/>
      </w:pPr>
      <w:bookmarkStart w:id="35" w:name="_Hlk119417334"/>
      <w:r>
        <w:t xml:space="preserve">Note 11A: </w:t>
      </w:r>
      <w:bookmarkStart w:id="36" w:name="_Hlk121735554"/>
      <w:r w:rsidR="00753B97">
        <w:t xml:space="preserve">A </w:t>
      </w:r>
      <w:r w:rsidR="00B33B5B">
        <w:t>prov</w:t>
      </w:r>
      <w:r w:rsidR="005C6307">
        <w:t>i</w:t>
      </w:r>
      <w:r w:rsidR="00B33B5B">
        <w:t>sion might affect relations between the Commonwealth and the States and Territories</w:t>
      </w:r>
      <w:r w:rsidR="00753B97">
        <w:t xml:space="preserve"> </w:t>
      </w:r>
      <w:r w:rsidR="005C6307">
        <w:t>if</w:t>
      </w:r>
      <w:r w:rsidR="00753B97">
        <w:t>, for example,</w:t>
      </w:r>
      <w:r w:rsidR="00B33B5B">
        <w:t xml:space="preserve"> </w:t>
      </w:r>
      <w:r w:rsidR="005C6307">
        <w:t xml:space="preserve">the provision </w:t>
      </w:r>
      <w:r w:rsidR="00753B97">
        <w:t>appl</w:t>
      </w:r>
      <w:r w:rsidR="005C6307">
        <w:t>ies</w:t>
      </w:r>
      <w:r w:rsidR="00B33B5B">
        <w:t xml:space="preserve"> to State or Territory government employee</w:t>
      </w:r>
      <w:r w:rsidR="00F40373">
        <w:t>s</w:t>
      </w:r>
      <w:r w:rsidR="00753B97">
        <w:t>,</w:t>
      </w:r>
      <w:r w:rsidR="005C6307">
        <w:t xml:space="preserve"> </w:t>
      </w:r>
      <w:r w:rsidR="009F1CA1">
        <w:t xml:space="preserve">if </w:t>
      </w:r>
      <w:r w:rsidR="005C6307">
        <w:t xml:space="preserve">the provision is in </w:t>
      </w:r>
      <w:r w:rsidR="00F40373">
        <w:t>legislation</w:t>
      </w:r>
      <w:r w:rsidR="00B33B5B">
        <w:t xml:space="preserve"> relying on the refe</w:t>
      </w:r>
      <w:r w:rsidR="00F40373">
        <w:t>r</w:t>
      </w:r>
      <w:r w:rsidR="00B33B5B">
        <w:t>ral power in s 51(xxxvii</w:t>
      </w:r>
      <w:r w:rsidR="005C6307">
        <w:t xml:space="preserve">) and raises a particular </w:t>
      </w:r>
      <w:r w:rsidR="00363340">
        <w:t>constitutional</w:t>
      </w:r>
      <w:r w:rsidR="00A14E5E">
        <w:t xml:space="preserve">, </w:t>
      </w:r>
      <w:r w:rsidR="005C6307">
        <w:t>legal</w:t>
      </w:r>
      <w:r w:rsidR="00A14E5E">
        <w:t xml:space="preserve"> or policy</w:t>
      </w:r>
      <w:r w:rsidR="005C6307">
        <w:t xml:space="preserve"> issue</w:t>
      </w:r>
      <w:r w:rsidR="003B2B81">
        <w:t>, or if the provision might give rise to concerns from a State or Territory.</w:t>
      </w:r>
      <w:bookmarkEnd w:id="36"/>
    </w:p>
    <w:bookmarkEnd w:id="35"/>
    <w:p w:rsidR="004B5733" w:rsidRPr="00993CB9" w:rsidRDefault="004B5733" w:rsidP="004B5733">
      <w:pPr>
        <w:pStyle w:val="notemargin"/>
      </w:pPr>
      <w:r w:rsidRPr="00993CB9">
        <w:t>Note 12:</w:t>
      </w:r>
      <w:r w:rsidRPr="00993CB9">
        <w:tab/>
        <w:t>See the Commonwealth Government Directory, or www.gold.gov.au, for contact information.</w:t>
      </w:r>
    </w:p>
    <w:p w:rsidR="001B1BBB" w:rsidRPr="00993CB9" w:rsidRDefault="00F449AB" w:rsidP="00993CB9">
      <w:pPr>
        <w:pStyle w:val="Head2"/>
      </w:pPr>
      <w:r w:rsidRPr="00993CB9">
        <w:br w:type="page"/>
      </w:r>
      <w:bookmarkStart w:id="37" w:name="_Toc124253925"/>
      <w:r w:rsidRPr="00993CB9">
        <w:t>Attachment B—Other agencies</w:t>
      </w:r>
      <w:bookmarkEnd w:id="37"/>
      <w:r w:rsidRPr="00993CB9">
        <w:br/>
      </w:r>
    </w:p>
    <w:tbl>
      <w:tblPr>
        <w:tblW w:w="893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15"/>
        <w:gridCol w:w="4325"/>
        <w:gridCol w:w="3891"/>
      </w:tblGrid>
      <w:tr w:rsidR="00F449AB" w:rsidRPr="00993CB9" w:rsidTr="00B00581">
        <w:trPr>
          <w:tblHeader/>
        </w:trPr>
        <w:tc>
          <w:tcPr>
            <w:tcW w:w="8931" w:type="dxa"/>
            <w:gridSpan w:val="3"/>
            <w:tcBorders>
              <w:top w:val="single" w:sz="12" w:space="0" w:color="auto"/>
              <w:bottom w:val="single" w:sz="6" w:space="0" w:color="auto"/>
            </w:tcBorders>
            <w:shd w:val="clear" w:color="auto" w:fill="auto"/>
          </w:tcPr>
          <w:p w:rsidR="00F449AB" w:rsidRPr="00993CB9" w:rsidRDefault="00F449AB" w:rsidP="00D6791E">
            <w:pPr>
              <w:pStyle w:val="Tabletext"/>
              <w:rPr>
                <w:b/>
              </w:rPr>
            </w:pPr>
            <w:r w:rsidRPr="00993CB9">
              <w:rPr>
                <w:b/>
              </w:rPr>
              <w:t>Provisions to be referred to other agencies</w:t>
            </w:r>
          </w:p>
        </w:tc>
      </w:tr>
      <w:tr w:rsidR="00F449AB" w:rsidRPr="00993CB9" w:rsidTr="00B00581">
        <w:trPr>
          <w:tblHeader/>
        </w:trPr>
        <w:tc>
          <w:tcPr>
            <w:tcW w:w="715" w:type="dxa"/>
            <w:tcBorders>
              <w:top w:val="single" w:sz="6" w:space="0" w:color="auto"/>
              <w:bottom w:val="single" w:sz="12" w:space="0" w:color="auto"/>
            </w:tcBorders>
            <w:shd w:val="clear" w:color="auto" w:fill="auto"/>
          </w:tcPr>
          <w:p w:rsidR="00F449AB" w:rsidRPr="00993CB9" w:rsidRDefault="00F449AB" w:rsidP="00D6791E">
            <w:pPr>
              <w:pStyle w:val="Tabletext"/>
              <w:rPr>
                <w:b/>
              </w:rPr>
            </w:pPr>
            <w:r w:rsidRPr="00993CB9">
              <w:rPr>
                <w:b/>
              </w:rPr>
              <w:t>Item</w:t>
            </w:r>
          </w:p>
        </w:tc>
        <w:tc>
          <w:tcPr>
            <w:tcW w:w="4325" w:type="dxa"/>
            <w:tcBorders>
              <w:top w:val="single" w:sz="6" w:space="0" w:color="auto"/>
              <w:bottom w:val="single" w:sz="12" w:space="0" w:color="auto"/>
            </w:tcBorders>
            <w:shd w:val="clear" w:color="auto" w:fill="auto"/>
          </w:tcPr>
          <w:p w:rsidR="00F449AB" w:rsidRPr="00993CB9" w:rsidRDefault="00F449AB" w:rsidP="00D6791E">
            <w:pPr>
              <w:pStyle w:val="Tabletext"/>
              <w:rPr>
                <w:b/>
              </w:rPr>
            </w:pPr>
            <w:r w:rsidRPr="00993CB9">
              <w:rPr>
                <w:b/>
              </w:rPr>
              <w:t>If the provision...</w:t>
            </w:r>
          </w:p>
        </w:tc>
        <w:tc>
          <w:tcPr>
            <w:tcW w:w="3891" w:type="dxa"/>
            <w:tcBorders>
              <w:top w:val="single" w:sz="6" w:space="0" w:color="auto"/>
              <w:bottom w:val="single" w:sz="12" w:space="0" w:color="auto"/>
            </w:tcBorders>
            <w:shd w:val="clear" w:color="auto" w:fill="auto"/>
          </w:tcPr>
          <w:p w:rsidR="00F449AB" w:rsidRPr="00993CB9" w:rsidRDefault="00F449AB" w:rsidP="00D6791E">
            <w:pPr>
              <w:pStyle w:val="Tabletext"/>
              <w:rPr>
                <w:b/>
              </w:rPr>
            </w:pPr>
            <w:r w:rsidRPr="00993CB9">
              <w:rPr>
                <w:b/>
              </w:rPr>
              <w:t>Refer it to... (see Note</w:t>
            </w:r>
            <w:r w:rsidR="001B3EB6" w:rsidRPr="00993CB9">
              <w:rPr>
                <w:b/>
              </w:rPr>
              <w:t xml:space="preserve"> 1</w:t>
            </w:r>
            <w:r w:rsidRPr="00993CB9">
              <w:rPr>
                <w:b/>
              </w:rPr>
              <w:t>)</w:t>
            </w:r>
          </w:p>
        </w:tc>
      </w:tr>
      <w:tr w:rsidR="00F449AB" w:rsidRPr="00993CB9" w:rsidTr="00B00581">
        <w:tc>
          <w:tcPr>
            <w:tcW w:w="715" w:type="dxa"/>
            <w:tcBorders>
              <w:top w:val="single" w:sz="12" w:space="0" w:color="auto"/>
            </w:tcBorders>
            <w:shd w:val="clear" w:color="auto" w:fill="auto"/>
          </w:tcPr>
          <w:p w:rsidR="00F449AB" w:rsidRPr="00993CB9" w:rsidRDefault="00B00581" w:rsidP="00D6791E">
            <w:pPr>
              <w:pStyle w:val="Tabletext"/>
            </w:pPr>
            <w:r>
              <w:t>1</w:t>
            </w:r>
          </w:p>
        </w:tc>
        <w:tc>
          <w:tcPr>
            <w:tcW w:w="4325" w:type="dxa"/>
            <w:tcBorders>
              <w:top w:val="single" w:sz="12" w:space="0" w:color="auto"/>
            </w:tcBorders>
            <w:shd w:val="clear" w:color="auto" w:fill="auto"/>
          </w:tcPr>
          <w:p w:rsidR="00F449AB" w:rsidRPr="00993CB9" w:rsidRDefault="00F449AB" w:rsidP="00D6791E">
            <w:pPr>
              <w:pStyle w:val="Tabletext"/>
            </w:pPr>
            <w:r w:rsidRPr="00993CB9">
              <w:t>creates or abolishes an agency</w:t>
            </w:r>
          </w:p>
        </w:tc>
        <w:tc>
          <w:tcPr>
            <w:tcW w:w="3891" w:type="dxa"/>
            <w:tcBorders>
              <w:top w:val="single" w:sz="12" w:space="0" w:color="auto"/>
            </w:tcBorders>
            <w:shd w:val="clear" w:color="auto" w:fill="auto"/>
          </w:tcPr>
          <w:p w:rsidR="00F449AB" w:rsidRPr="00993CB9" w:rsidRDefault="00F449AB"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D6791E">
            <w:pPr>
              <w:pStyle w:val="Tabletext"/>
            </w:pPr>
            <w:r>
              <w:t>2</w:t>
            </w:r>
          </w:p>
        </w:tc>
        <w:tc>
          <w:tcPr>
            <w:tcW w:w="4325" w:type="dxa"/>
            <w:shd w:val="clear" w:color="auto" w:fill="auto"/>
          </w:tcPr>
          <w:p w:rsidR="004F4479" w:rsidRPr="00993CB9" w:rsidRDefault="004F4479" w:rsidP="00D6791E">
            <w:pPr>
              <w:pStyle w:val="Tabletext"/>
            </w:pPr>
            <w:r w:rsidRPr="00993CB9">
              <w:t>creates a statutory office</w:t>
            </w:r>
          </w:p>
        </w:tc>
        <w:tc>
          <w:tcPr>
            <w:tcW w:w="3891" w:type="dxa"/>
            <w:shd w:val="clear" w:color="auto" w:fill="auto"/>
          </w:tcPr>
          <w:p w:rsidR="004F4479" w:rsidRPr="00993CB9" w:rsidRDefault="004F4479"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3</w:t>
            </w:r>
          </w:p>
        </w:tc>
        <w:tc>
          <w:tcPr>
            <w:tcW w:w="4325" w:type="dxa"/>
            <w:shd w:val="clear" w:color="auto" w:fill="auto"/>
          </w:tcPr>
          <w:p w:rsidR="00F449AB" w:rsidRPr="00993CB9" w:rsidRDefault="00F449AB" w:rsidP="00D6791E">
            <w:pPr>
              <w:pStyle w:val="Tabletext"/>
            </w:pPr>
            <w:r w:rsidRPr="00993CB9">
              <w:t>relates to the terms and conditions of statutory office</w:t>
            </w:r>
            <w:r w:rsidR="00253B01">
              <w:noBreakHyphen/>
            </w:r>
            <w:r w:rsidRPr="00993CB9">
              <w:t>holders</w:t>
            </w:r>
          </w:p>
        </w:tc>
        <w:tc>
          <w:tcPr>
            <w:tcW w:w="3891" w:type="dxa"/>
            <w:shd w:val="clear" w:color="auto" w:fill="auto"/>
          </w:tcPr>
          <w:p w:rsidR="00F449AB" w:rsidRPr="00993CB9" w:rsidRDefault="00F449AB" w:rsidP="009662C6">
            <w:pPr>
              <w:pStyle w:val="Tabletext"/>
            </w:pPr>
            <w:r w:rsidRPr="00993CB9">
              <w:t>APSC</w:t>
            </w:r>
          </w:p>
        </w:tc>
      </w:tr>
      <w:tr w:rsidR="00F449AB" w:rsidRPr="00993CB9" w:rsidTr="00B00581">
        <w:tc>
          <w:tcPr>
            <w:tcW w:w="715" w:type="dxa"/>
            <w:shd w:val="clear" w:color="auto" w:fill="auto"/>
          </w:tcPr>
          <w:p w:rsidR="00F449AB" w:rsidRPr="00993CB9" w:rsidRDefault="00B00581" w:rsidP="00D6791E">
            <w:pPr>
              <w:pStyle w:val="Tabletext"/>
            </w:pPr>
            <w:r>
              <w:t>4</w:t>
            </w:r>
          </w:p>
        </w:tc>
        <w:tc>
          <w:tcPr>
            <w:tcW w:w="4325" w:type="dxa"/>
            <w:shd w:val="clear" w:color="auto" w:fill="auto"/>
          </w:tcPr>
          <w:p w:rsidR="00F449AB" w:rsidRPr="00993CB9" w:rsidRDefault="00F449AB" w:rsidP="00C93E9B">
            <w:pPr>
              <w:pStyle w:val="Tabletext"/>
            </w:pPr>
            <w:r w:rsidRPr="00993CB9">
              <w:t xml:space="preserve">amends, or refers to, the </w:t>
            </w:r>
            <w:r w:rsidRPr="00993CB9">
              <w:rPr>
                <w:i/>
              </w:rPr>
              <w:t>Public Service Act 1999</w:t>
            </w:r>
            <w:r w:rsidR="00BF6CDE" w:rsidRPr="00993CB9">
              <w:t xml:space="preserve">, the </w:t>
            </w:r>
            <w:r w:rsidR="00BF6CDE" w:rsidRPr="00993CB9">
              <w:rPr>
                <w:i/>
              </w:rPr>
              <w:t>Long Service Leave (Commonwealth Employees) Act 1976</w:t>
            </w:r>
            <w:r w:rsidR="00BF6CDE" w:rsidRPr="00993CB9">
              <w:t xml:space="preserve">, the </w:t>
            </w:r>
            <w:r w:rsidR="00BF6CDE" w:rsidRPr="00993CB9">
              <w:rPr>
                <w:i/>
              </w:rPr>
              <w:t>Maternity Leave (Commonwealth Employees) Act 1973</w:t>
            </w:r>
            <w:r w:rsidR="00BF6CDE" w:rsidRPr="00993CB9">
              <w:t xml:space="preserve">, the </w:t>
            </w:r>
            <w:r w:rsidR="00BF6CDE" w:rsidRPr="00993CB9">
              <w:rPr>
                <w:i/>
              </w:rPr>
              <w:t>Remuneration Tribunal Act 1973</w:t>
            </w:r>
            <w:r w:rsidR="00BF6CDE" w:rsidRPr="00993CB9">
              <w:t xml:space="preserve">, the </w:t>
            </w:r>
            <w:r w:rsidR="00BF6CDE" w:rsidRPr="00993CB9">
              <w:rPr>
                <w:i/>
              </w:rPr>
              <w:t>Equal Employment Opportunity (Commonwealth Authorities) Act 1987</w:t>
            </w:r>
            <w:r w:rsidR="00BF6CDE" w:rsidRPr="00993CB9">
              <w:t xml:space="preserve"> </w:t>
            </w:r>
            <w:r w:rsidR="00C93E9B" w:rsidRPr="00993CB9">
              <w:t>or</w:t>
            </w:r>
            <w:r w:rsidR="00BF6CDE" w:rsidRPr="00993CB9">
              <w:t xml:space="preserve"> the </w:t>
            </w:r>
            <w:r w:rsidR="00BF6CDE" w:rsidRPr="00993CB9">
              <w:rPr>
                <w:i/>
              </w:rPr>
              <w:t>Defence Act 1903</w:t>
            </w:r>
            <w:r w:rsidR="00BF6CDE" w:rsidRPr="00993CB9">
              <w:t xml:space="preserve"> to the extent it relates to the Defence Force Remuneration Tribunal</w:t>
            </w:r>
          </w:p>
        </w:tc>
        <w:tc>
          <w:tcPr>
            <w:tcW w:w="3891" w:type="dxa"/>
            <w:shd w:val="clear" w:color="auto" w:fill="auto"/>
          </w:tcPr>
          <w:p w:rsidR="00F449AB" w:rsidRPr="00993CB9" w:rsidRDefault="00F449AB"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5</w:t>
            </w:r>
          </w:p>
        </w:tc>
        <w:tc>
          <w:tcPr>
            <w:tcW w:w="4325" w:type="dxa"/>
            <w:shd w:val="clear" w:color="auto" w:fill="auto"/>
          </w:tcPr>
          <w:p w:rsidR="003F32DD" w:rsidRPr="00993CB9" w:rsidRDefault="00F449AB" w:rsidP="00D6791E">
            <w:pPr>
              <w:pStyle w:val="Tabletext"/>
            </w:pPr>
            <w:r w:rsidRPr="00993CB9">
              <w:t>relates to staffing powers (e</w:t>
            </w:r>
            <w:r w:rsidR="005B5003" w:rsidRPr="00993CB9">
              <w:t>.</w:t>
            </w:r>
            <w:r w:rsidRPr="00993CB9">
              <w:t>g</w:t>
            </w:r>
            <w:r w:rsidR="005B5003" w:rsidRPr="00993CB9">
              <w:t>.</w:t>
            </w:r>
            <w:r w:rsidRPr="00993CB9">
              <w:t xml:space="preserve"> by providing for the staffing of a Commonwealth body (whether or not under the </w:t>
            </w:r>
            <w:r w:rsidRPr="00993CB9">
              <w:rPr>
                <w:i/>
              </w:rPr>
              <w:t>Public Service Act 1999</w:t>
            </w:r>
            <w:r w:rsidRPr="00993CB9">
              <w:t>) or empowering a Commonweal</w:t>
            </w:r>
            <w:r w:rsidR="00F720B4" w:rsidRPr="00993CB9">
              <w:t>th body to appoint consultants)</w:t>
            </w:r>
          </w:p>
        </w:tc>
        <w:tc>
          <w:tcPr>
            <w:tcW w:w="3891" w:type="dxa"/>
            <w:shd w:val="clear" w:color="auto" w:fill="auto"/>
          </w:tcPr>
          <w:p w:rsidR="00F449AB" w:rsidRPr="00993CB9" w:rsidRDefault="00F449AB"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6</w:t>
            </w:r>
          </w:p>
        </w:tc>
        <w:tc>
          <w:tcPr>
            <w:tcW w:w="4325" w:type="dxa"/>
            <w:shd w:val="clear" w:color="auto" w:fill="auto"/>
          </w:tcPr>
          <w:p w:rsidR="003F32DD" w:rsidRPr="00993CB9" w:rsidRDefault="00F449AB" w:rsidP="00D6791E">
            <w:pPr>
              <w:pStyle w:val="Tabletext"/>
            </w:pPr>
            <w:r w:rsidRPr="00993CB9">
              <w:t>provides APS employees will assist a non</w:t>
            </w:r>
            <w:r w:rsidR="00253B01">
              <w:noBreakHyphen/>
            </w:r>
            <w:r w:rsidRPr="00993CB9">
              <w:t>APS agency (e</w:t>
            </w:r>
            <w:r w:rsidR="005B5003" w:rsidRPr="00993CB9">
              <w:t>.</w:t>
            </w:r>
            <w:r w:rsidRPr="00993CB9">
              <w:t>g</w:t>
            </w:r>
            <w:r w:rsidR="005B5003" w:rsidRPr="00993CB9">
              <w:t>.</w:t>
            </w:r>
            <w:r w:rsidRPr="00993CB9">
              <w:t xml:space="preserve"> </w:t>
            </w:r>
            <w:r w:rsidR="00B00581">
              <w:t>subsection 4</w:t>
            </w:r>
            <w:r w:rsidRPr="00993CB9">
              <w:t xml:space="preserve">9(2) of the </w:t>
            </w:r>
            <w:r w:rsidRPr="00993CB9">
              <w:rPr>
                <w:i/>
              </w:rPr>
              <w:t>Public Service Act 1999</w:t>
            </w:r>
            <w:r w:rsidR="00F720B4" w:rsidRPr="00993CB9">
              <w:t>)</w:t>
            </w:r>
          </w:p>
        </w:tc>
        <w:tc>
          <w:tcPr>
            <w:tcW w:w="3891" w:type="dxa"/>
            <w:shd w:val="clear" w:color="auto" w:fill="auto"/>
          </w:tcPr>
          <w:p w:rsidR="00F449AB" w:rsidRPr="00993CB9" w:rsidRDefault="00F449AB" w:rsidP="009662C6">
            <w:pPr>
              <w:pStyle w:val="Tabletext"/>
            </w:pPr>
            <w:r w:rsidRPr="00993CB9">
              <w:t>APS</w:t>
            </w:r>
            <w:r w:rsidR="00F720B4" w:rsidRPr="00993CB9">
              <w:t>C</w:t>
            </w:r>
          </w:p>
        </w:tc>
      </w:tr>
      <w:tr w:rsidR="000227EC" w:rsidRPr="00993CB9" w:rsidTr="00B00581">
        <w:tc>
          <w:tcPr>
            <w:tcW w:w="715" w:type="dxa"/>
            <w:shd w:val="clear" w:color="auto" w:fill="auto"/>
          </w:tcPr>
          <w:p w:rsidR="000227EC" w:rsidRPr="00993CB9" w:rsidRDefault="00B00581" w:rsidP="00D6791E">
            <w:pPr>
              <w:pStyle w:val="Tabletext"/>
            </w:pPr>
            <w:r>
              <w:t>7</w:t>
            </w:r>
          </w:p>
        </w:tc>
        <w:tc>
          <w:tcPr>
            <w:tcW w:w="4325" w:type="dxa"/>
            <w:shd w:val="clear" w:color="auto" w:fill="auto"/>
          </w:tcPr>
          <w:p w:rsidR="000227EC" w:rsidRPr="00993CB9" w:rsidRDefault="000227EC" w:rsidP="00D6791E">
            <w:pPr>
              <w:pStyle w:val="Tabletext"/>
            </w:pPr>
            <w:r w:rsidRPr="00993CB9">
              <w:t>relates to the terms and conditions of APS employment</w:t>
            </w:r>
          </w:p>
        </w:tc>
        <w:tc>
          <w:tcPr>
            <w:tcW w:w="3891" w:type="dxa"/>
            <w:shd w:val="clear" w:color="auto" w:fill="auto"/>
          </w:tcPr>
          <w:p w:rsidR="000227EC" w:rsidRPr="00993CB9" w:rsidRDefault="000227EC"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D6791E">
            <w:pPr>
              <w:pStyle w:val="Tabletext"/>
            </w:pPr>
            <w:r>
              <w:t>8</w:t>
            </w:r>
          </w:p>
        </w:tc>
        <w:tc>
          <w:tcPr>
            <w:tcW w:w="4325" w:type="dxa"/>
            <w:shd w:val="clear" w:color="auto" w:fill="auto"/>
          </w:tcPr>
          <w:p w:rsidR="004F4479" w:rsidRPr="00993CB9" w:rsidRDefault="004F4479" w:rsidP="00D6791E">
            <w:pPr>
              <w:pStyle w:val="Tabletext"/>
            </w:pPr>
            <w:r w:rsidRPr="00993CB9">
              <w:t xml:space="preserve">imposes a standard of conduct </w:t>
            </w:r>
            <w:r w:rsidR="0064190E" w:rsidRPr="00993CB9">
              <w:t xml:space="preserve">specifically </w:t>
            </w:r>
            <w:r w:rsidRPr="00993CB9">
              <w:t>on APS employees</w:t>
            </w:r>
          </w:p>
        </w:tc>
        <w:tc>
          <w:tcPr>
            <w:tcW w:w="3891" w:type="dxa"/>
            <w:shd w:val="clear" w:color="auto" w:fill="auto"/>
          </w:tcPr>
          <w:p w:rsidR="004F4479" w:rsidRPr="00993CB9" w:rsidRDefault="004F4479"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0227EC">
            <w:pPr>
              <w:pStyle w:val="Tabletext"/>
            </w:pPr>
            <w:r>
              <w:t>9</w:t>
            </w:r>
          </w:p>
        </w:tc>
        <w:tc>
          <w:tcPr>
            <w:tcW w:w="4325" w:type="dxa"/>
            <w:shd w:val="clear" w:color="auto" w:fill="auto"/>
          </w:tcPr>
          <w:p w:rsidR="004F4479" w:rsidRPr="00993CB9" w:rsidRDefault="004F4479" w:rsidP="00D6791E">
            <w:pPr>
              <w:pStyle w:val="Tabletext"/>
            </w:pPr>
            <w:r w:rsidRPr="00993CB9">
              <w:t xml:space="preserve">imposes offences or penalties </w:t>
            </w:r>
            <w:r w:rsidR="0064190E" w:rsidRPr="00993CB9">
              <w:t xml:space="preserve">specifically </w:t>
            </w:r>
            <w:r w:rsidRPr="00993CB9">
              <w:t>on APS employees</w:t>
            </w:r>
          </w:p>
        </w:tc>
        <w:tc>
          <w:tcPr>
            <w:tcW w:w="3891" w:type="dxa"/>
            <w:shd w:val="clear" w:color="auto" w:fill="auto"/>
          </w:tcPr>
          <w:p w:rsidR="004F4479" w:rsidRPr="00993CB9" w:rsidRDefault="004F4479"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D6791E">
            <w:pPr>
              <w:pStyle w:val="Tabletext"/>
            </w:pPr>
            <w:r>
              <w:t>10</w:t>
            </w:r>
          </w:p>
        </w:tc>
        <w:tc>
          <w:tcPr>
            <w:tcW w:w="4325" w:type="dxa"/>
            <w:shd w:val="clear" w:color="auto" w:fill="auto"/>
          </w:tcPr>
          <w:p w:rsidR="004F4479" w:rsidRPr="00993CB9" w:rsidRDefault="00851362" w:rsidP="00D6791E">
            <w:pPr>
              <w:pStyle w:val="Tabletext"/>
            </w:pPr>
            <w:r w:rsidRPr="00993CB9">
              <w:t>provides for secrecy or non</w:t>
            </w:r>
            <w:r w:rsidR="00253B01">
              <w:noBreakHyphen/>
            </w:r>
            <w:r w:rsidRPr="00993CB9">
              <w:t>disclosure obligation with respect to official information</w:t>
            </w:r>
          </w:p>
        </w:tc>
        <w:tc>
          <w:tcPr>
            <w:tcW w:w="3891" w:type="dxa"/>
            <w:shd w:val="clear" w:color="auto" w:fill="auto"/>
          </w:tcPr>
          <w:p w:rsidR="004F4479" w:rsidRPr="00993CB9" w:rsidRDefault="000227EC"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11</w:t>
            </w:r>
          </w:p>
        </w:tc>
        <w:tc>
          <w:tcPr>
            <w:tcW w:w="4325" w:type="dxa"/>
            <w:shd w:val="clear" w:color="auto" w:fill="auto"/>
          </w:tcPr>
          <w:p w:rsidR="003F32DD" w:rsidRPr="00993CB9" w:rsidRDefault="00F449AB" w:rsidP="00D6791E">
            <w:pPr>
              <w:pStyle w:val="Tabletext"/>
            </w:pPr>
            <w:r w:rsidRPr="00993CB9">
              <w:t>refers to information published by the Australian Bureau</w:t>
            </w:r>
            <w:r w:rsidR="00F720B4" w:rsidRPr="00993CB9">
              <w:t xml:space="preserve"> of Statistics</w:t>
            </w:r>
          </w:p>
        </w:tc>
        <w:tc>
          <w:tcPr>
            <w:tcW w:w="3891" w:type="dxa"/>
            <w:shd w:val="clear" w:color="auto" w:fill="auto"/>
          </w:tcPr>
          <w:p w:rsidR="00F449AB" w:rsidRPr="00993CB9" w:rsidRDefault="00F449AB" w:rsidP="009662C6">
            <w:pPr>
              <w:pStyle w:val="Tabletext"/>
            </w:pPr>
            <w:r w:rsidRPr="00993CB9">
              <w:t>Australian Bureau of Statistics</w:t>
            </w:r>
          </w:p>
        </w:tc>
      </w:tr>
      <w:tr w:rsidR="00F449AB" w:rsidRPr="00993CB9" w:rsidTr="00B00581">
        <w:tc>
          <w:tcPr>
            <w:tcW w:w="715" w:type="dxa"/>
            <w:shd w:val="clear" w:color="auto" w:fill="auto"/>
          </w:tcPr>
          <w:p w:rsidR="00F449AB" w:rsidRPr="00993CB9" w:rsidRDefault="00B00581" w:rsidP="00D6791E">
            <w:pPr>
              <w:pStyle w:val="Tabletext"/>
            </w:pPr>
            <w:r>
              <w:t>12</w:t>
            </w:r>
          </w:p>
        </w:tc>
        <w:tc>
          <w:tcPr>
            <w:tcW w:w="4325" w:type="dxa"/>
            <w:shd w:val="clear" w:color="auto" w:fill="auto"/>
          </w:tcPr>
          <w:p w:rsidR="00F449AB" w:rsidRPr="00993CB9" w:rsidRDefault="00402333" w:rsidP="00157F22">
            <w:pPr>
              <w:pStyle w:val="Tabletext"/>
            </w:pPr>
            <w:r w:rsidRPr="00993CB9">
              <w:t xml:space="preserve">affects </w:t>
            </w:r>
            <w:r w:rsidR="00F449AB" w:rsidRPr="00993CB9">
              <w:t xml:space="preserve">a </w:t>
            </w:r>
            <w:r w:rsidR="00157F22" w:rsidRPr="00993CB9">
              <w:t>function</w:t>
            </w:r>
            <w:r w:rsidR="00416314" w:rsidRPr="00993CB9">
              <w:t>, duty</w:t>
            </w:r>
            <w:r w:rsidR="00157F22" w:rsidRPr="00993CB9">
              <w:t xml:space="preserve"> or </w:t>
            </w:r>
            <w:r w:rsidR="00F449AB" w:rsidRPr="00993CB9">
              <w:t xml:space="preserve">power </w:t>
            </w:r>
            <w:r w:rsidRPr="00993CB9">
              <w:t>of</w:t>
            </w:r>
            <w:r w:rsidR="00F449AB" w:rsidRPr="00993CB9">
              <w:t xml:space="preserve"> the Auditor</w:t>
            </w:r>
            <w:r w:rsidR="00253B01">
              <w:noBreakHyphen/>
            </w:r>
            <w:r w:rsidR="00F449AB" w:rsidRPr="00993CB9">
              <w:t>General</w:t>
            </w:r>
          </w:p>
        </w:tc>
        <w:tc>
          <w:tcPr>
            <w:tcW w:w="3891" w:type="dxa"/>
            <w:shd w:val="clear" w:color="auto" w:fill="auto"/>
          </w:tcPr>
          <w:p w:rsidR="00F449AB" w:rsidRPr="00993CB9" w:rsidRDefault="00F449AB" w:rsidP="009662C6">
            <w:pPr>
              <w:pStyle w:val="Tabletext"/>
            </w:pPr>
            <w:r w:rsidRPr="00993CB9">
              <w:t>Australian National Audit Offic</w:t>
            </w:r>
            <w:r w:rsidR="00F720B4" w:rsidRPr="00993CB9">
              <w:t>e</w:t>
            </w:r>
          </w:p>
        </w:tc>
      </w:tr>
      <w:tr w:rsidR="00F449AB" w:rsidRPr="00993CB9" w:rsidTr="00B00581">
        <w:tc>
          <w:tcPr>
            <w:tcW w:w="715" w:type="dxa"/>
            <w:shd w:val="clear" w:color="auto" w:fill="auto"/>
          </w:tcPr>
          <w:p w:rsidR="00F449AB" w:rsidRPr="00993CB9" w:rsidRDefault="00B00581" w:rsidP="00D6791E">
            <w:pPr>
              <w:pStyle w:val="Tabletext"/>
            </w:pPr>
            <w:r>
              <w:t>13</w:t>
            </w:r>
          </w:p>
        </w:tc>
        <w:tc>
          <w:tcPr>
            <w:tcW w:w="4325" w:type="dxa"/>
            <w:shd w:val="clear" w:color="auto" w:fill="auto"/>
          </w:tcPr>
          <w:p w:rsidR="003F32DD" w:rsidRPr="00993CB9" w:rsidRDefault="003340C4" w:rsidP="00D6791E">
            <w:pPr>
              <w:pStyle w:val="Tabletext"/>
            </w:pPr>
            <w:r w:rsidRPr="00F73228">
              <w:t>will apply differently in the Territory of Heard Island and McDonald Islands or the Australian Antarctic Territory to the way in which it applies elsewhere</w:t>
            </w:r>
            <w:r>
              <w:t xml:space="preserve"> (see Note 1A)</w:t>
            </w:r>
          </w:p>
        </w:tc>
        <w:tc>
          <w:tcPr>
            <w:tcW w:w="3891" w:type="dxa"/>
            <w:shd w:val="clear" w:color="auto" w:fill="auto"/>
          </w:tcPr>
          <w:p w:rsidR="00F449AB" w:rsidRPr="00993CB9" w:rsidRDefault="00F449AB" w:rsidP="009C19C0">
            <w:pPr>
              <w:pStyle w:val="Tabletext"/>
            </w:pPr>
            <w:r w:rsidRPr="00993CB9">
              <w:t>Department of</w:t>
            </w:r>
            <w:r w:rsidR="00C26126">
              <w:t xml:space="preserve"> Climate Change, Energy, the Environment and Water</w:t>
            </w:r>
          </w:p>
        </w:tc>
      </w:tr>
      <w:tr w:rsidR="00F449AB" w:rsidRPr="00993CB9" w:rsidTr="00B00581">
        <w:tc>
          <w:tcPr>
            <w:tcW w:w="715" w:type="dxa"/>
            <w:shd w:val="clear" w:color="auto" w:fill="auto"/>
          </w:tcPr>
          <w:p w:rsidR="00F449AB" w:rsidRPr="00993CB9" w:rsidRDefault="00B00581" w:rsidP="00D6791E">
            <w:pPr>
              <w:pStyle w:val="Tabletext"/>
            </w:pPr>
            <w:r>
              <w:t>14</w:t>
            </w:r>
          </w:p>
        </w:tc>
        <w:tc>
          <w:tcPr>
            <w:tcW w:w="4325" w:type="dxa"/>
            <w:shd w:val="clear" w:color="auto" w:fill="auto"/>
          </w:tcPr>
          <w:p w:rsidR="003F32DD" w:rsidRPr="00993CB9" w:rsidRDefault="00F449AB" w:rsidP="00D6791E">
            <w:pPr>
              <w:pStyle w:val="Tabletext"/>
            </w:pPr>
            <w:r w:rsidRPr="00993CB9">
              <w:t>is specifically directed at the Territory of Heard Island and McDonald Islands or the</w:t>
            </w:r>
            <w:r w:rsidR="00F720B4" w:rsidRPr="00993CB9">
              <w:t xml:space="preserve"> Australian Antarctic Territory</w:t>
            </w:r>
          </w:p>
        </w:tc>
        <w:tc>
          <w:tcPr>
            <w:tcW w:w="3891" w:type="dxa"/>
            <w:shd w:val="clear" w:color="auto" w:fill="auto"/>
          </w:tcPr>
          <w:p w:rsidR="00F449AB" w:rsidRPr="00993CB9" w:rsidRDefault="00C26126" w:rsidP="009662C6">
            <w:pPr>
              <w:pStyle w:val="Tabletext"/>
            </w:pPr>
            <w:r w:rsidRPr="00993CB9">
              <w:t>Department of</w:t>
            </w:r>
            <w:r>
              <w:t xml:space="preserve"> Climate Change, Energy, the Environment and Water</w:t>
            </w:r>
          </w:p>
        </w:tc>
      </w:tr>
      <w:tr w:rsidR="00F449AB" w:rsidRPr="00993CB9" w:rsidTr="00B00581">
        <w:tc>
          <w:tcPr>
            <w:tcW w:w="715" w:type="dxa"/>
            <w:shd w:val="clear" w:color="auto" w:fill="auto"/>
          </w:tcPr>
          <w:p w:rsidR="00F449AB" w:rsidRPr="00993CB9" w:rsidRDefault="00B00581" w:rsidP="00D6791E">
            <w:pPr>
              <w:pStyle w:val="Tabletext"/>
            </w:pPr>
            <w:r>
              <w:t>15</w:t>
            </w:r>
          </w:p>
        </w:tc>
        <w:tc>
          <w:tcPr>
            <w:tcW w:w="4325" w:type="dxa"/>
            <w:shd w:val="clear" w:color="auto" w:fill="auto"/>
          </w:tcPr>
          <w:p w:rsidR="003F32DD" w:rsidRPr="00993CB9" w:rsidRDefault="00F449AB" w:rsidP="00D6791E">
            <w:pPr>
              <w:pStyle w:val="Tabletext"/>
            </w:pPr>
            <w:r w:rsidRPr="00993CB9">
              <w:t>is of a kind that the drafter considers will be particularly controversial in its application in relation to the Territory of Heard Island and McDonald Islands or the</w:t>
            </w:r>
            <w:r w:rsidR="00F720B4" w:rsidRPr="00993CB9">
              <w:t xml:space="preserve"> Australian Antarctic Territory</w:t>
            </w:r>
          </w:p>
        </w:tc>
        <w:tc>
          <w:tcPr>
            <w:tcW w:w="3891" w:type="dxa"/>
            <w:shd w:val="clear" w:color="auto" w:fill="auto"/>
          </w:tcPr>
          <w:p w:rsidR="00F449AB" w:rsidRPr="00993CB9" w:rsidRDefault="00DB4465" w:rsidP="009662C6">
            <w:pPr>
              <w:pStyle w:val="Tabletext"/>
            </w:pPr>
            <w:r w:rsidRPr="00993CB9">
              <w:t>Department of</w:t>
            </w:r>
            <w:r>
              <w:t xml:space="preserve"> Climate Change, Energy, the Environment and Water</w:t>
            </w:r>
          </w:p>
        </w:tc>
      </w:tr>
      <w:tr w:rsidR="0039362D" w:rsidRPr="00993CB9" w:rsidTr="00B00581">
        <w:tc>
          <w:tcPr>
            <w:tcW w:w="715" w:type="dxa"/>
            <w:shd w:val="clear" w:color="auto" w:fill="auto"/>
          </w:tcPr>
          <w:p w:rsidR="0039362D" w:rsidRPr="00993CB9" w:rsidRDefault="00B00581" w:rsidP="002D255E">
            <w:pPr>
              <w:pStyle w:val="Tabletext"/>
            </w:pPr>
            <w:r>
              <w:t>16</w:t>
            </w:r>
          </w:p>
        </w:tc>
        <w:tc>
          <w:tcPr>
            <w:tcW w:w="4325" w:type="dxa"/>
            <w:shd w:val="clear" w:color="auto" w:fill="auto"/>
          </w:tcPr>
          <w:p w:rsidR="0039362D" w:rsidRPr="00993CB9" w:rsidRDefault="003340C4" w:rsidP="00727062">
            <w:pPr>
              <w:pStyle w:val="Tabletext"/>
            </w:pPr>
            <w:r w:rsidRPr="004A7038">
              <w:t>will apply differently in an external territory or the Jervis Bay Territory to the way in which it applies elsewhere</w:t>
            </w:r>
            <w:r>
              <w:t xml:space="preserve"> (see Notes 1A and 2)</w:t>
            </w:r>
          </w:p>
        </w:tc>
        <w:tc>
          <w:tcPr>
            <w:tcW w:w="3891" w:type="dxa"/>
            <w:shd w:val="clear" w:color="auto" w:fill="auto"/>
          </w:tcPr>
          <w:p w:rsidR="0039362D" w:rsidRPr="00993CB9" w:rsidRDefault="0039362D" w:rsidP="009C19C0">
            <w:pPr>
              <w:pStyle w:val="Tabletext"/>
            </w:pPr>
            <w:r w:rsidRPr="00993CB9">
              <w:t>Department of</w:t>
            </w:r>
            <w:r w:rsidR="00874063" w:rsidRPr="00993CB9">
              <w:t xml:space="preserve"> Infrastructure, </w:t>
            </w:r>
            <w:r w:rsidR="0040431F" w:rsidRPr="00993CB9">
              <w:t>Transport, Regional Development</w:t>
            </w:r>
            <w:r w:rsidR="00DB4465">
              <w:t>, Communications and the Arts</w:t>
            </w:r>
          </w:p>
        </w:tc>
      </w:tr>
      <w:tr w:rsidR="0039362D" w:rsidRPr="00993CB9" w:rsidTr="00B00581">
        <w:tc>
          <w:tcPr>
            <w:tcW w:w="715" w:type="dxa"/>
            <w:shd w:val="clear" w:color="auto" w:fill="auto"/>
          </w:tcPr>
          <w:p w:rsidR="0039362D" w:rsidRPr="00993CB9" w:rsidRDefault="00B00581" w:rsidP="002D255E">
            <w:pPr>
              <w:pStyle w:val="Tabletext"/>
            </w:pPr>
            <w:r>
              <w:t>17</w:t>
            </w:r>
          </w:p>
        </w:tc>
        <w:tc>
          <w:tcPr>
            <w:tcW w:w="4325" w:type="dxa"/>
            <w:shd w:val="clear" w:color="auto" w:fill="auto"/>
          </w:tcPr>
          <w:p w:rsidR="0039362D" w:rsidRPr="00993CB9" w:rsidRDefault="0039362D" w:rsidP="00727062">
            <w:pPr>
              <w:pStyle w:val="Tabletext"/>
            </w:pPr>
            <w:r w:rsidRPr="00993CB9">
              <w:t xml:space="preserve">is specifically directed at </w:t>
            </w:r>
            <w:r w:rsidR="00F41D51" w:rsidRPr="00993CB9">
              <w:t>an external territory or the Jervis Bay Territory</w:t>
            </w:r>
            <w:r w:rsidR="00676E77" w:rsidRPr="00993CB9">
              <w:t xml:space="preserve"> (see Note 2)</w:t>
            </w:r>
          </w:p>
        </w:tc>
        <w:tc>
          <w:tcPr>
            <w:tcW w:w="3891" w:type="dxa"/>
            <w:shd w:val="clear" w:color="auto" w:fill="auto"/>
          </w:tcPr>
          <w:p w:rsidR="0039362D" w:rsidRPr="00993CB9" w:rsidRDefault="00DB4465" w:rsidP="009662C6">
            <w:pPr>
              <w:pStyle w:val="Tabletext"/>
            </w:pPr>
            <w:r w:rsidRPr="00993CB9">
              <w:t>Department of Infrastructure, Transport, Regional Development</w:t>
            </w:r>
            <w:r>
              <w:t>, Communications and the Arts</w:t>
            </w:r>
          </w:p>
        </w:tc>
      </w:tr>
      <w:tr w:rsidR="0039362D" w:rsidRPr="00993CB9" w:rsidTr="00B00581">
        <w:tc>
          <w:tcPr>
            <w:tcW w:w="715" w:type="dxa"/>
            <w:shd w:val="clear" w:color="auto" w:fill="auto"/>
          </w:tcPr>
          <w:p w:rsidR="0039362D" w:rsidRPr="00993CB9" w:rsidRDefault="00B00581" w:rsidP="002D255E">
            <w:pPr>
              <w:pStyle w:val="Tabletext"/>
            </w:pPr>
            <w:r>
              <w:t>18</w:t>
            </w:r>
          </w:p>
        </w:tc>
        <w:tc>
          <w:tcPr>
            <w:tcW w:w="4325" w:type="dxa"/>
            <w:shd w:val="clear" w:color="auto" w:fill="auto"/>
          </w:tcPr>
          <w:p w:rsidR="0039362D" w:rsidRPr="00993CB9" w:rsidRDefault="0039362D" w:rsidP="00727062">
            <w:pPr>
              <w:pStyle w:val="Tabletext"/>
            </w:pPr>
            <w:r w:rsidRPr="00993CB9">
              <w:t xml:space="preserve">is of a kind that the drafter considers will be particularly controversial in its application in relation to </w:t>
            </w:r>
            <w:r w:rsidR="00F41D51" w:rsidRPr="00993CB9">
              <w:t>an external territory or the Jervis Bay Territory</w:t>
            </w:r>
            <w:r w:rsidR="00676E77" w:rsidRPr="00993CB9">
              <w:t xml:space="preserve"> (see Note 2)</w:t>
            </w:r>
          </w:p>
        </w:tc>
        <w:tc>
          <w:tcPr>
            <w:tcW w:w="3891" w:type="dxa"/>
            <w:shd w:val="clear" w:color="auto" w:fill="auto"/>
          </w:tcPr>
          <w:p w:rsidR="0039362D" w:rsidRPr="00993CB9" w:rsidRDefault="00DB4465" w:rsidP="009662C6">
            <w:pPr>
              <w:pStyle w:val="Tabletext"/>
            </w:pPr>
            <w:r w:rsidRPr="00993CB9">
              <w:t>Department of Infrastructure, Transport, Regional Development</w:t>
            </w:r>
            <w:r>
              <w:t>, Communications and the Arts</w:t>
            </w:r>
          </w:p>
        </w:tc>
      </w:tr>
      <w:tr w:rsidR="00F449AB" w:rsidRPr="00993CB9" w:rsidTr="00B00581">
        <w:tc>
          <w:tcPr>
            <w:tcW w:w="715" w:type="dxa"/>
            <w:shd w:val="clear" w:color="auto" w:fill="auto"/>
          </w:tcPr>
          <w:p w:rsidR="00F449AB" w:rsidRPr="00993CB9" w:rsidRDefault="00B00581" w:rsidP="002D255E">
            <w:pPr>
              <w:pStyle w:val="Tabletext"/>
            </w:pPr>
            <w:r>
              <w:t>19</w:t>
            </w:r>
          </w:p>
        </w:tc>
        <w:tc>
          <w:tcPr>
            <w:tcW w:w="4325" w:type="dxa"/>
            <w:shd w:val="clear" w:color="auto" w:fill="auto"/>
          </w:tcPr>
          <w:p w:rsidR="003F32DD" w:rsidRPr="00993CB9" w:rsidRDefault="00F449AB" w:rsidP="00D6791E">
            <w:pPr>
              <w:pStyle w:val="Tabletext"/>
            </w:pPr>
            <w:r w:rsidRPr="00993CB9">
              <w:t xml:space="preserve">creates a statutory </w:t>
            </w:r>
            <w:r w:rsidR="004710A3" w:rsidRPr="00993CB9">
              <w:t>entity</w:t>
            </w:r>
            <w:r w:rsidRPr="00993CB9">
              <w:t xml:space="preserve">, whether or not the </w:t>
            </w:r>
            <w:r w:rsidR="004710A3" w:rsidRPr="00993CB9">
              <w:t xml:space="preserve">entity </w:t>
            </w:r>
            <w:r w:rsidRPr="00993CB9">
              <w:t>is to be a body corporate</w:t>
            </w:r>
            <w:r w:rsidR="00F720B4" w:rsidRPr="00993CB9">
              <w:t xml:space="preserve"> separate from the Commonwealth</w:t>
            </w:r>
          </w:p>
        </w:tc>
        <w:tc>
          <w:tcPr>
            <w:tcW w:w="3891" w:type="dxa"/>
            <w:shd w:val="clear" w:color="auto" w:fill="auto"/>
          </w:tcPr>
          <w:p w:rsidR="00BA758C" w:rsidRDefault="00F449AB" w:rsidP="00A34F68">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BA758C" w:rsidRPr="00993CB9" w:rsidRDefault="00BA758C" w:rsidP="00A34F68">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20</w:t>
            </w:r>
          </w:p>
        </w:tc>
        <w:tc>
          <w:tcPr>
            <w:tcW w:w="4325" w:type="dxa"/>
            <w:shd w:val="clear" w:color="auto" w:fill="auto"/>
          </w:tcPr>
          <w:p w:rsidR="003F32DD" w:rsidRPr="00993CB9" w:rsidRDefault="00F449AB" w:rsidP="00D6791E">
            <w:pPr>
              <w:pStyle w:val="Tabletext"/>
            </w:pPr>
            <w:r w:rsidRPr="00993CB9">
              <w:t xml:space="preserve">amends or repeals legislation creating or continuing a statutory </w:t>
            </w:r>
            <w:r w:rsidR="004710A3" w:rsidRPr="00993CB9">
              <w:t xml:space="preserve">entity </w:t>
            </w:r>
            <w:r w:rsidRPr="00993CB9">
              <w:t xml:space="preserve">(including varying the governance arrangements for the </w:t>
            </w:r>
            <w:r w:rsidR="004710A3" w:rsidRPr="00993CB9">
              <w:t>entity</w:t>
            </w:r>
            <w:r w:rsidRPr="00993CB9">
              <w:t xml:space="preserve">), whether or not the </w:t>
            </w:r>
            <w:r w:rsidR="004710A3" w:rsidRPr="00993CB9">
              <w:t xml:space="preserve">entity </w:t>
            </w:r>
            <w:r w:rsidRPr="00993CB9">
              <w:t xml:space="preserve">is a body corporate </w:t>
            </w:r>
            <w:r w:rsidR="003F32DD" w:rsidRPr="00993CB9">
              <w:t>separate from the Commonwealth</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21</w:t>
            </w:r>
          </w:p>
        </w:tc>
        <w:tc>
          <w:tcPr>
            <w:tcW w:w="4325" w:type="dxa"/>
            <w:shd w:val="clear" w:color="auto" w:fill="auto"/>
          </w:tcPr>
          <w:p w:rsidR="003F32DD" w:rsidRPr="00993CB9" w:rsidRDefault="00F449AB" w:rsidP="00D6791E">
            <w:pPr>
              <w:pStyle w:val="Tabletext"/>
            </w:pPr>
            <w:r w:rsidRPr="00993CB9">
              <w:t xml:space="preserve">exempts a statutory </w:t>
            </w:r>
            <w:r w:rsidR="004710A3" w:rsidRPr="00993CB9">
              <w:t xml:space="preserve">entity </w:t>
            </w:r>
            <w:r w:rsidRPr="00993CB9">
              <w:t xml:space="preserve">from some or all of the </w:t>
            </w:r>
            <w:r w:rsidR="004710A3" w:rsidRPr="00993CB9">
              <w:t xml:space="preserve">PGPA </w:t>
            </w:r>
            <w:r w:rsidRPr="00993CB9">
              <w:t xml:space="preserve">Act, or </w:t>
            </w:r>
            <w:r w:rsidR="006A5168" w:rsidRPr="00993CB9">
              <w:t xml:space="preserve">makes a statutory </w:t>
            </w:r>
            <w:r w:rsidR="004710A3" w:rsidRPr="00993CB9">
              <w:t xml:space="preserve">entity </w:t>
            </w:r>
            <w:r w:rsidR="006A5168" w:rsidRPr="00993CB9">
              <w:t xml:space="preserve">not subject to </w:t>
            </w:r>
            <w:r w:rsidR="005B189B" w:rsidRPr="00993CB9">
              <w:t xml:space="preserve">that </w:t>
            </w:r>
            <w:r w:rsidR="006A5168" w:rsidRPr="00993CB9">
              <w:t>Act</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22</w:t>
            </w:r>
          </w:p>
        </w:tc>
        <w:tc>
          <w:tcPr>
            <w:tcW w:w="4325" w:type="dxa"/>
            <w:shd w:val="clear" w:color="auto" w:fill="auto"/>
          </w:tcPr>
          <w:p w:rsidR="003F32DD" w:rsidRPr="00993CB9" w:rsidRDefault="00F449AB" w:rsidP="00D6791E">
            <w:pPr>
              <w:pStyle w:val="Tabletext"/>
            </w:pPr>
            <w:r w:rsidRPr="00993CB9">
              <w:t>creates an organisation (e</w:t>
            </w:r>
            <w:r w:rsidR="005B5003" w:rsidRPr="00993CB9">
              <w:t>.</w:t>
            </w:r>
            <w:r w:rsidRPr="00993CB9">
              <w:t>g</w:t>
            </w:r>
            <w:r w:rsidR="005B5003" w:rsidRPr="00993CB9">
              <w:t>.</w:t>
            </w:r>
            <w:r w:rsidRPr="00993CB9">
              <w:t xml:space="preserve"> a company</w:t>
            </w:r>
            <w:r w:rsidR="00EC5F87" w:rsidRPr="00993CB9">
              <w:t>, incorporated association, joint venture, partnership or trust</w:t>
            </w:r>
            <w:r w:rsidRPr="00993CB9">
              <w:t>) in which the Commonw</w:t>
            </w:r>
            <w:r w:rsidR="00F720B4" w:rsidRPr="00993CB9">
              <w:t>ealth has an ownership interest</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23</w:t>
            </w:r>
          </w:p>
        </w:tc>
        <w:tc>
          <w:tcPr>
            <w:tcW w:w="4325" w:type="dxa"/>
            <w:shd w:val="clear" w:color="auto" w:fill="auto"/>
          </w:tcPr>
          <w:p w:rsidR="003F32DD" w:rsidRPr="00993CB9" w:rsidRDefault="00F449AB" w:rsidP="00D6791E">
            <w:pPr>
              <w:pStyle w:val="Tabletext"/>
            </w:pPr>
            <w:r w:rsidRPr="00993CB9">
              <w:t>authorises a Commonwealth body to borrow from the Commonw</w:t>
            </w:r>
            <w:r w:rsidR="00F720B4" w:rsidRPr="00993CB9">
              <w:t>ealth or from financial markets</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24</w:t>
            </w:r>
          </w:p>
        </w:tc>
        <w:tc>
          <w:tcPr>
            <w:tcW w:w="4325" w:type="dxa"/>
            <w:shd w:val="clear" w:color="auto" w:fill="auto"/>
          </w:tcPr>
          <w:p w:rsidR="003F32DD" w:rsidRPr="00993CB9" w:rsidRDefault="00F449AB" w:rsidP="00D6791E">
            <w:pPr>
              <w:pStyle w:val="Tabletext"/>
            </w:pPr>
            <w:r w:rsidRPr="00993CB9">
              <w:t xml:space="preserve">authorises the collection of </w:t>
            </w:r>
            <w:r w:rsidR="004710A3" w:rsidRPr="00993CB9">
              <w:t xml:space="preserve">relevant </w:t>
            </w:r>
            <w:r w:rsidRPr="00993CB9">
              <w:t>money by entities that are not part of the Commonwealth and ar</w:t>
            </w:r>
            <w:r w:rsidR="00F720B4" w:rsidRPr="00993CB9">
              <w:t>e not owned by the Commonwealth</w:t>
            </w:r>
          </w:p>
        </w:tc>
        <w:tc>
          <w:tcPr>
            <w:tcW w:w="3891" w:type="dxa"/>
            <w:shd w:val="clear" w:color="auto" w:fill="auto"/>
          </w:tcPr>
          <w:p w:rsidR="00F449AB" w:rsidRPr="00993CB9" w:rsidRDefault="00F449AB" w:rsidP="00A34F68">
            <w:pPr>
              <w:pStyle w:val="Tabletext"/>
            </w:pPr>
            <w:r w:rsidRPr="00993CB9">
              <w:t>Department of Finance</w:t>
            </w:r>
            <w:r w:rsidRPr="00993CB9">
              <w:br/>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D6791E">
            <w:pPr>
              <w:pStyle w:val="Tabletext"/>
            </w:pPr>
            <w:r>
              <w:t>25</w:t>
            </w:r>
          </w:p>
        </w:tc>
        <w:tc>
          <w:tcPr>
            <w:tcW w:w="4325" w:type="dxa"/>
            <w:shd w:val="clear" w:color="auto" w:fill="auto"/>
          </w:tcPr>
          <w:p w:rsidR="003F32DD" w:rsidRPr="00993CB9" w:rsidRDefault="00F449AB" w:rsidP="00D6791E">
            <w:pPr>
              <w:pStyle w:val="Tabletext"/>
            </w:pPr>
            <w:r w:rsidRPr="00993CB9">
              <w:t xml:space="preserve">exempts from all or any part of the </w:t>
            </w:r>
            <w:r w:rsidR="004710A3" w:rsidRPr="00993CB9">
              <w:t xml:space="preserve">PGPA </w:t>
            </w:r>
            <w:r w:rsidRPr="00993CB9">
              <w:t>Act money that is part o</w:t>
            </w:r>
            <w:r w:rsidR="00F720B4" w:rsidRPr="00993CB9">
              <w:t>f the Consolidated Revenue Fund</w:t>
            </w:r>
          </w:p>
        </w:tc>
        <w:tc>
          <w:tcPr>
            <w:tcW w:w="3891" w:type="dxa"/>
            <w:shd w:val="clear" w:color="auto" w:fill="auto"/>
          </w:tcPr>
          <w:p w:rsidR="00F449AB" w:rsidRPr="00993CB9" w:rsidRDefault="00F449AB" w:rsidP="00A34F68">
            <w:pPr>
              <w:pStyle w:val="Tabletext"/>
            </w:pPr>
            <w:r w:rsidRPr="00993CB9">
              <w:t>Department of Finance</w:t>
            </w:r>
            <w:r w:rsidRPr="00993CB9">
              <w:br/>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2D255E">
            <w:pPr>
              <w:pStyle w:val="Tabletext"/>
            </w:pPr>
            <w:r>
              <w:t>26</w:t>
            </w:r>
          </w:p>
        </w:tc>
        <w:tc>
          <w:tcPr>
            <w:tcW w:w="4325" w:type="dxa"/>
            <w:shd w:val="clear" w:color="auto" w:fill="auto"/>
          </w:tcPr>
          <w:p w:rsidR="003F32DD" w:rsidRPr="00993CB9" w:rsidRDefault="00F449AB" w:rsidP="005F703A">
            <w:pPr>
              <w:pStyle w:val="Tabletext"/>
            </w:pPr>
            <w:r w:rsidRPr="00993CB9">
              <w:t xml:space="preserve">is a special or standing appropriation, whether or not it is affected </w:t>
            </w:r>
            <w:r w:rsidR="00F720B4" w:rsidRPr="00993CB9">
              <w:t>by a sunset clause</w:t>
            </w:r>
            <w:r w:rsidR="00BB4147" w:rsidRPr="00993CB9">
              <w:t xml:space="preserve"> (see Note 2A)</w:t>
            </w:r>
          </w:p>
        </w:tc>
        <w:tc>
          <w:tcPr>
            <w:tcW w:w="3891" w:type="dxa"/>
            <w:shd w:val="clear" w:color="auto" w:fill="auto"/>
          </w:tcPr>
          <w:p w:rsidR="00BB4147" w:rsidRPr="00993CB9" w:rsidRDefault="00BB4147" w:rsidP="00A34F68">
            <w:pPr>
              <w:pStyle w:val="Tabletext"/>
            </w:pPr>
            <w:r w:rsidRPr="00993CB9">
              <w:t>Department of Finance</w:t>
            </w:r>
            <w:r w:rsidRPr="00993CB9">
              <w:br/>
              <w:t xml:space="preserve">[Branch Manager, </w:t>
            </w:r>
            <w:r w:rsidR="00D16F02" w:rsidRPr="00993CB9">
              <w:t>Financial</w:t>
            </w:r>
            <w:r w:rsidRPr="00993CB9">
              <w:t xml:space="preserve"> Management Branch]</w:t>
            </w:r>
            <w:r w:rsidRPr="00993CB9">
              <w:br/>
              <w:t>and</w:t>
            </w:r>
          </w:p>
          <w:p w:rsidR="00F449AB" w:rsidRPr="00993CB9" w:rsidRDefault="00F449AB" w:rsidP="00A34F68">
            <w:pPr>
              <w:pStyle w:val="Tabletext"/>
            </w:pPr>
            <w:r w:rsidRPr="00993CB9">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2D255E">
            <w:pPr>
              <w:pStyle w:val="Tabletext"/>
            </w:pPr>
            <w:r>
              <w:t>27</w:t>
            </w:r>
          </w:p>
        </w:tc>
        <w:tc>
          <w:tcPr>
            <w:tcW w:w="4325" w:type="dxa"/>
            <w:shd w:val="clear" w:color="auto" w:fill="auto"/>
          </w:tcPr>
          <w:p w:rsidR="003F32DD" w:rsidRPr="00993CB9" w:rsidRDefault="00F449AB" w:rsidP="00D6791E">
            <w:pPr>
              <w:pStyle w:val="Tabletext"/>
            </w:pPr>
            <w:r w:rsidRPr="00993CB9">
              <w:t xml:space="preserve">creates, or amends provisions creating, a </w:t>
            </w:r>
            <w:r w:rsidR="004710A3" w:rsidRPr="00993CB9">
              <w:t>s</w:t>
            </w:r>
            <w:r w:rsidRPr="00993CB9">
              <w:t xml:space="preserve">pecial </w:t>
            </w:r>
            <w:r w:rsidR="004710A3" w:rsidRPr="00993CB9">
              <w:t>a</w:t>
            </w:r>
            <w:r w:rsidRPr="00993CB9">
              <w:t xml:space="preserve">ccount or relates to the administrative arrangements applying to a </w:t>
            </w:r>
            <w:r w:rsidR="004710A3" w:rsidRPr="00993CB9">
              <w:t>s</w:t>
            </w:r>
            <w:r w:rsidRPr="00993CB9">
              <w:t xml:space="preserve">pecial </w:t>
            </w:r>
            <w:r w:rsidR="004710A3" w:rsidRPr="00993CB9">
              <w:t>a</w:t>
            </w:r>
            <w:r w:rsidR="00F720B4" w:rsidRPr="00993CB9">
              <w:t>ccount</w:t>
            </w:r>
            <w:r w:rsidR="00BB4147" w:rsidRPr="00993CB9">
              <w:t xml:space="preserve"> (see Note 2A)</w:t>
            </w:r>
          </w:p>
        </w:tc>
        <w:tc>
          <w:tcPr>
            <w:tcW w:w="3891" w:type="dxa"/>
            <w:shd w:val="clear" w:color="auto" w:fill="auto"/>
          </w:tcPr>
          <w:p w:rsidR="00BB4147" w:rsidRPr="00993CB9" w:rsidRDefault="00BB4147" w:rsidP="00BB4147">
            <w:pPr>
              <w:pStyle w:val="Tabletext"/>
            </w:pPr>
            <w:r w:rsidRPr="00993CB9">
              <w:t>Department of Finance</w:t>
            </w:r>
            <w:r w:rsidRPr="00993CB9">
              <w:br/>
              <w:t xml:space="preserve">[Branch Manager, </w:t>
            </w:r>
            <w:r w:rsidR="00D16F02" w:rsidRPr="00993CB9">
              <w:t>Financial</w:t>
            </w:r>
            <w:r w:rsidRPr="00993CB9">
              <w:t xml:space="preserve"> Management Branch]</w:t>
            </w:r>
            <w:r w:rsidRPr="00993CB9">
              <w:br/>
              <w:t>and</w:t>
            </w:r>
          </w:p>
          <w:p w:rsidR="00F449AB" w:rsidRPr="00993CB9" w:rsidRDefault="00F449AB" w:rsidP="00A34F68">
            <w:pPr>
              <w:pStyle w:val="Tabletext"/>
            </w:pPr>
            <w:r w:rsidRPr="00993CB9">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2D255E">
            <w:pPr>
              <w:pStyle w:val="Tabletext"/>
            </w:pPr>
            <w:r>
              <w:t>28</w:t>
            </w:r>
          </w:p>
        </w:tc>
        <w:tc>
          <w:tcPr>
            <w:tcW w:w="4325" w:type="dxa"/>
            <w:shd w:val="clear" w:color="auto" w:fill="auto"/>
          </w:tcPr>
          <w:p w:rsidR="003F32DD" w:rsidRPr="00993CB9" w:rsidRDefault="00F449AB" w:rsidP="00D6791E">
            <w:pPr>
              <w:pStyle w:val="Tabletext"/>
            </w:pPr>
            <w:r w:rsidRPr="00993CB9">
              <w:t xml:space="preserve">creates a fund or account for the Commonwealth or a statutory </w:t>
            </w:r>
            <w:r w:rsidR="004710A3" w:rsidRPr="00993CB9">
              <w:t>entity</w:t>
            </w:r>
          </w:p>
        </w:tc>
        <w:tc>
          <w:tcPr>
            <w:tcW w:w="3891" w:type="dxa"/>
            <w:shd w:val="clear" w:color="auto" w:fill="auto"/>
          </w:tcPr>
          <w:p w:rsidR="00F449AB" w:rsidRPr="00993CB9" w:rsidRDefault="00F449AB" w:rsidP="00A34F68">
            <w:pPr>
              <w:pStyle w:val="Tabletext"/>
            </w:pPr>
            <w:r w:rsidRPr="00993CB9">
              <w:t>Department of Finance</w:t>
            </w:r>
            <w:r w:rsidRPr="00993CB9">
              <w:br/>
              <w:t xml:space="preserve">[Branch Manager, </w:t>
            </w:r>
            <w:r w:rsidR="00BB4147" w:rsidRPr="00993CB9">
              <w:t>PGPA Advisory Branch</w:t>
            </w:r>
            <w:r w:rsidRPr="00993CB9">
              <w:t>]</w:t>
            </w:r>
          </w:p>
        </w:tc>
      </w:tr>
      <w:tr w:rsidR="0093584E" w:rsidRPr="00993CB9" w:rsidTr="00B00581">
        <w:tc>
          <w:tcPr>
            <w:tcW w:w="715" w:type="dxa"/>
            <w:shd w:val="clear" w:color="auto" w:fill="auto"/>
          </w:tcPr>
          <w:p w:rsidR="0093584E" w:rsidRDefault="0093584E" w:rsidP="002D255E">
            <w:pPr>
              <w:pStyle w:val="Tabletext"/>
            </w:pPr>
            <w:r>
              <w:t>28A</w:t>
            </w:r>
          </w:p>
        </w:tc>
        <w:tc>
          <w:tcPr>
            <w:tcW w:w="4325" w:type="dxa"/>
            <w:shd w:val="clear" w:color="auto" w:fill="auto"/>
          </w:tcPr>
          <w:p w:rsidR="0093584E" w:rsidRPr="009328D0" w:rsidRDefault="0093584E" w:rsidP="00D6791E">
            <w:pPr>
              <w:pStyle w:val="Tabletext"/>
              <w:rPr>
                <w:i/>
              </w:rPr>
            </w:pPr>
            <w:r>
              <w:t>relates to elections or referendums</w:t>
            </w:r>
          </w:p>
        </w:tc>
        <w:tc>
          <w:tcPr>
            <w:tcW w:w="3891" w:type="dxa"/>
            <w:shd w:val="clear" w:color="auto" w:fill="auto"/>
          </w:tcPr>
          <w:p w:rsidR="0093584E" w:rsidRDefault="009328D0" w:rsidP="00A34F68">
            <w:pPr>
              <w:pStyle w:val="Tabletext"/>
            </w:pPr>
            <w:r>
              <w:t>Department of Finance</w:t>
            </w:r>
          </w:p>
          <w:p w:rsidR="009328D0" w:rsidRPr="00993CB9" w:rsidRDefault="009328D0" w:rsidP="00A34F68">
            <w:pPr>
              <w:pStyle w:val="Tabletext"/>
            </w:pPr>
            <w:r>
              <w:t>[Branch Manager, Resource Management Branch]</w:t>
            </w:r>
          </w:p>
        </w:tc>
      </w:tr>
      <w:tr w:rsidR="009328D0" w:rsidRPr="00993CB9" w:rsidTr="00B00581">
        <w:tc>
          <w:tcPr>
            <w:tcW w:w="715" w:type="dxa"/>
            <w:shd w:val="clear" w:color="auto" w:fill="auto"/>
          </w:tcPr>
          <w:p w:rsidR="009328D0" w:rsidRPr="009328D0" w:rsidRDefault="009328D0" w:rsidP="002D255E">
            <w:pPr>
              <w:pStyle w:val="Tabletext"/>
              <w:rPr>
                <w:b/>
              </w:rPr>
            </w:pPr>
            <w:r>
              <w:t>28B</w:t>
            </w:r>
          </w:p>
        </w:tc>
        <w:tc>
          <w:tcPr>
            <w:tcW w:w="4325" w:type="dxa"/>
            <w:shd w:val="clear" w:color="auto" w:fill="auto"/>
          </w:tcPr>
          <w:p w:rsidR="009328D0" w:rsidRDefault="009328D0" w:rsidP="00D6791E">
            <w:pPr>
              <w:pStyle w:val="Tabletext"/>
            </w:pPr>
            <w:r>
              <w:t>refers to the Australian Electoral Commission or the Australian Electoral Commissioner</w:t>
            </w:r>
          </w:p>
        </w:tc>
        <w:tc>
          <w:tcPr>
            <w:tcW w:w="3891" w:type="dxa"/>
            <w:shd w:val="clear" w:color="auto" w:fill="auto"/>
          </w:tcPr>
          <w:p w:rsidR="009328D0" w:rsidRDefault="009328D0" w:rsidP="009328D0">
            <w:pPr>
              <w:pStyle w:val="Tabletext"/>
            </w:pPr>
            <w:r>
              <w:t>Department of Finance</w:t>
            </w:r>
          </w:p>
          <w:p w:rsidR="009328D0" w:rsidRDefault="009328D0" w:rsidP="009328D0">
            <w:pPr>
              <w:pStyle w:val="Tabletext"/>
            </w:pPr>
            <w:r>
              <w:t>[Branch Manager, Resource Management Branch]</w:t>
            </w:r>
          </w:p>
        </w:tc>
      </w:tr>
      <w:tr w:rsidR="00F449AB" w:rsidRPr="00993CB9" w:rsidTr="00B00581">
        <w:tc>
          <w:tcPr>
            <w:tcW w:w="715" w:type="dxa"/>
            <w:shd w:val="clear" w:color="auto" w:fill="auto"/>
          </w:tcPr>
          <w:p w:rsidR="00F449AB" w:rsidRPr="00993CB9" w:rsidRDefault="00B00581" w:rsidP="002D255E">
            <w:pPr>
              <w:pStyle w:val="Tabletext"/>
            </w:pPr>
            <w:r>
              <w:t>29</w:t>
            </w:r>
          </w:p>
        </w:tc>
        <w:tc>
          <w:tcPr>
            <w:tcW w:w="4325" w:type="dxa"/>
            <w:shd w:val="clear" w:color="auto" w:fill="auto"/>
          </w:tcPr>
          <w:p w:rsidR="003F32DD" w:rsidRPr="00993CB9" w:rsidRDefault="00F449AB" w:rsidP="00D6791E">
            <w:pPr>
              <w:pStyle w:val="Tabletext"/>
            </w:pPr>
            <w:r w:rsidRPr="00993CB9">
              <w:t xml:space="preserve">specifies, for the purposes of the </w:t>
            </w:r>
            <w:r w:rsidRPr="00993CB9">
              <w:rPr>
                <w:i/>
              </w:rPr>
              <w:t>Archives Act 1983</w:t>
            </w:r>
            <w:r w:rsidRPr="00993CB9">
              <w:t xml:space="preserve"> (see </w:t>
            </w:r>
            <w:r w:rsidR="00B00581">
              <w:t>section 3</w:t>
            </w:r>
            <w:r w:rsidRPr="00993CB9">
              <w:t>A), that a body established for a public purpose is taken never to have been so established (usually in the context of co</w:t>
            </w:r>
            <w:r w:rsidR="00F720B4" w:rsidRPr="00993CB9">
              <w:t>rporatisation or privatisation)</w:t>
            </w:r>
          </w:p>
        </w:tc>
        <w:tc>
          <w:tcPr>
            <w:tcW w:w="3891" w:type="dxa"/>
            <w:shd w:val="clear" w:color="auto" w:fill="auto"/>
          </w:tcPr>
          <w:p w:rsidR="00F449AB" w:rsidRPr="00993CB9" w:rsidRDefault="00827FC9" w:rsidP="00827FC9">
            <w:pPr>
              <w:pStyle w:val="Tabletext"/>
            </w:pPr>
            <w:r w:rsidRPr="00993CB9">
              <w:t>National Archives of Australia</w:t>
            </w:r>
          </w:p>
        </w:tc>
      </w:tr>
      <w:tr w:rsidR="00F449AB" w:rsidRPr="00993CB9" w:rsidTr="00B00581">
        <w:tc>
          <w:tcPr>
            <w:tcW w:w="715" w:type="dxa"/>
            <w:shd w:val="clear" w:color="auto" w:fill="auto"/>
          </w:tcPr>
          <w:p w:rsidR="00F449AB" w:rsidRPr="00993CB9" w:rsidRDefault="00B00581" w:rsidP="00D6791E">
            <w:pPr>
              <w:pStyle w:val="Tabletext"/>
            </w:pPr>
            <w:r>
              <w:t>30</w:t>
            </w:r>
          </w:p>
        </w:tc>
        <w:tc>
          <w:tcPr>
            <w:tcW w:w="4325" w:type="dxa"/>
            <w:shd w:val="clear" w:color="auto" w:fill="auto"/>
          </w:tcPr>
          <w:p w:rsidR="00F449AB" w:rsidRPr="00993CB9" w:rsidRDefault="00F16601" w:rsidP="00B77240">
            <w:pPr>
              <w:pStyle w:val="Tabletext"/>
            </w:pPr>
            <w:r w:rsidRPr="00993CB9">
              <w:t xml:space="preserve">may result in the </w:t>
            </w:r>
            <w:r w:rsidR="00B77240" w:rsidRPr="00993CB9">
              <w:t xml:space="preserve">creation, </w:t>
            </w:r>
            <w:r w:rsidRPr="00993CB9">
              <w:t>transfer</w:t>
            </w:r>
            <w:r w:rsidR="00B77240" w:rsidRPr="00993CB9">
              <w:t xml:space="preserve"> or disposal</w:t>
            </w:r>
            <w:r w:rsidRPr="00993CB9">
              <w:t xml:space="preserve"> of</w:t>
            </w:r>
            <w:r w:rsidR="00F449AB" w:rsidRPr="00993CB9">
              <w:t xml:space="preserve"> </w:t>
            </w:r>
            <w:r w:rsidRPr="00993CB9">
              <w:t>Commonwealth records</w:t>
            </w:r>
          </w:p>
        </w:tc>
        <w:tc>
          <w:tcPr>
            <w:tcW w:w="3891" w:type="dxa"/>
            <w:shd w:val="clear" w:color="auto" w:fill="auto"/>
          </w:tcPr>
          <w:p w:rsidR="00964325" w:rsidRPr="00993CB9" w:rsidRDefault="00F449AB" w:rsidP="00827FC9">
            <w:pPr>
              <w:pStyle w:val="Tabletext"/>
            </w:pPr>
            <w:r w:rsidRPr="00993CB9">
              <w:t>National</w:t>
            </w:r>
            <w:r w:rsidR="00827FC9" w:rsidRPr="00993CB9">
              <w:t xml:space="preserve"> Archives of Australia</w:t>
            </w:r>
          </w:p>
        </w:tc>
      </w:tr>
      <w:tr w:rsidR="00F449AB" w:rsidRPr="00993CB9" w:rsidTr="00B00581">
        <w:tc>
          <w:tcPr>
            <w:tcW w:w="715" w:type="dxa"/>
            <w:shd w:val="clear" w:color="auto" w:fill="auto"/>
          </w:tcPr>
          <w:p w:rsidR="00F449AB" w:rsidRPr="00993CB9" w:rsidRDefault="00B00581" w:rsidP="00D6791E">
            <w:pPr>
              <w:pStyle w:val="Tabletext"/>
            </w:pPr>
            <w:r>
              <w:t>31</w:t>
            </w:r>
          </w:p>
        </w:tc>
        <w:tc>
          <w:tcPr>
            <w:tcW w:w="4325" w:type="dxa"/>
            <w:shd w:val="clear" w:color="auto" w:fill="auto"/>
          </w:tcPr>
          <w:p w:rsidR="00F449AB" w:rsidRPr="00993CB9" w:rsidRDefault="00F449AB" w:rsidP="00D6791E">
            <w:pPr>
              <w:pStyle w:val="Tabletext"/>
            </w:pPr>
            <w:r w:rsidRPr="00993CB9">
              <w:t>allows termination of an appointment without cause</w:t>
            </w:r>
          </w:p>
        </w:tc>
        <w:tc>
          <w:tcPr>
            <w:tcW w:w="3891" w:type="dxa"/>
            <w:shd w:val="clear" w:color="auto" w:fill="auto"/>
          </w:tcPr>
          <w:p w:rsidR="00F449AB" w:rsidRPr="00993CB9" w:rsidRDefault="00827FC9" w:rsidP="00827FC9">
            <w:pPr>
              <w:pStyle w:val="Tabletext"/>
            </w:pPr>
            <w:r w:rsidRPr="00993CB9">
              <w:t>PM&amp;C</w:t>
            </w:r>
          </w:p>
        </w:tc>
      </w:tr>
      <w:tr w:rsidR="00F449AB" w:rsidRPr="00993CB9" w:rsidTr="00B00581">
        <w:tc>
          <w:tcPr>
            <w:tcW w:w="715" w:type="dxa"/>
            <w:shd w:val="clear" w:color="auto" w:fill="auto"/>
          </w:tcPr>
          <w:p w:rsidR="00F449AB" w:rsidRPr="00993CB9" w:rsidRDefault="00B00581" w:rsidP="00D6791E">
            <w:pPr>
              <w:pStyle w:val="Tabletext"/>
            </w:pPr>
            <w:r>
              <w:t>32</w:t>
            </w:r>
          </w:p>
        </w:tc>
        <w:tc>
          <w:tcPr>
            <w:tcW w:w="4325" w:type="dxa"/>
            <w:shd w:val="clear" w:color="auto" w:fill="auto"/>
          </w:tcPr>
          <w:p w:rsidR="00F449AB" w:rsidRPr="00993CB9" w:rsidRDefault="00F449AB" w:rsidP="00D6791E">
            <w:pPr>
              <w:pStyle w:val="Tabletext"/>
            </w:pPr>
            <w:r w:rsidRPr="00993CB9">
              <w:t>refers to a specific agency’s status as an Executive Agency or Departmental Agency</w:t>
            </w:r>
          </w:p>
        </w:tc>
        <w:tc>
          <w:tcPr>
            <w:tcW w:w="3891" w:type="dxa"/>
            <w:shd w:val="clear" w:color="auto" w:fill="auto"/>
          </w:tcPr>
          <w:p w:rsidR="00F449AB" w:rsidRPr="00993CB9" w:rsidRDefault="00827FC9" w:rsidP="00827FC9">
            <w:pPr>
              <w:pStyle w:val="Tabletext"/>
            </w:pPr>
            <w:r w:rsidRPr="00993CB9">
              <w:t>PM&amp;C</w:t>
            </w:r>
          </w:p>
        </w:tc>
      </w:tr>
      <w:tr w:rsidR="00261F6C" w:rsidRPr="00993CB9" w:rsidTr="00B00581">
        <w:tc>
          <w:tcPr>
            <w:tcW w:w="715" w:type="dxa"/>
            <w:shd w:val="clear" w:color="auto" w:fill="auto"/>
          </w:tcPr>
          <w:p w:rsidR="00261F6C" w:rsidRPr="00993CB9" w:rsidRDefault="00B00581" w:rsidP="00D6791E">
            <w:pPr>
              <w:pStyle w:val="Tabletext"/>
            </w:pPr>
            <w:r>
              <w:t>33</w:t>
            </w:r>
          </w:p>
        </w:tc>
        <w:tc>
          <w:tcPr>
            <w:tcW w:w="4325" w:type="dxa"/>
            <w:shd w:val="clear" w:color="auto" w:fill="auto"/>
          </w:tcPr>
          <w:p w:rsidR="00261F6C" w:rsidRPr="00993CB9" w:rsidRDefault="00261F6C" w:rsidP="00D6791E">
            <w:pPr>
              <w:pStyle w:val="Tabletext"/>
            </w:pPr>
            <w:r w:rsidRPr="00993CB9">
              <w:t>might affect social justice for Aboriginals, Torres Strait Islanders or South Sea Islanders</w:t>
            </w:r>
          </w:p>
        </w:tc>
        <w:tc>
          <w:tcPr>
            <w:tcW w:w="3891" w:type="dxa"/>
            <w:shd w:val="clear" w:color="auto" w:fill="auto"/>
          </w:tcPr>
          <w:p w:rsidR="00D818E3" w:rsidRPr="00993CB9" w:rsidRDefault="00AB7897" w:rsidP="00AB7897">
            <w:pPr>
              <w:pStyle w:val="Tabletext"/>
            </w:pPr>
            <w:r w:rsidRPr="00993CB9">
              <w:t>National Indigenous Australian</w:t>
            </w:r>
            <w:r w:rsidR="0049141E" w:rsidRPr="00993CB9">
              <w:t>s</w:t>
            </w:r>
            <w:r w:rsidRPr="00993CB9">
              <w:t xml:space="preserve"> Agency</w:t>
            </w:r>
          </w:p>
        </w:tc>
      </w:tr>
      <w:tr w:rsidR="00F449AB" w:rsidRPr="00993CB9" w:rsidTr="00B00581">
        <w:tc>
          <w:tcPr>
            <w:tcW w:w="715" w:type="dxa"/>
            <w:shd w:val="clear" w:color="auto" w:fill="auto"/>
          </w:tcPr>
          <w:p w:rsidR="00F449AB" w:rsidRPr="00993CB9" w:rsidRDefault="00B00581" w:rsidP="00D6791E">
            <w:pPr>
              <w:pStyle w:val="Tabletext"/>
            </w:pPr>
            <w:r>
              <w:t>34</w:t>
            </w:r>
          </w:p>
        </w:tc>
        <w:tc>
          <w:tcPr>
            <w:tcW w:w="4325" w:type="dxa"/>
            <w:shd w:val="clear" w:color="auto" w:fill="auto"/>
          </w:tcPr>
          <w:p w:rsidR="00F449AB" w:rsidRPr="00993CB9" w:rsidRDefault="00F449AB" w:rsidP="001E3407">
            <w:pPr>
              <w:pStyle w:val="Tabletext"/>
            </w:pPr>
            <w:r w:rsidRPr="00993CB9">
              <w:t xml:space="preserve">amends the </w:t>
            </w:r>
            <w:r w:rsidR="001E3407" w:rsidRPr="00993CB9">
              <w:rPr>
                <w:i/>
              </w:rPr>
              <w:t>Competition and Consumer Act 2010</w:t>
            </w:r>
            <w:r w:rsidR="0005760A" w:rsidRPr="00993CB9">
              <w:rPr>
                <w:i/>
              </w:rPr>
              <w:t xml:space="preserve"> </w:t>
            </w:r>
            <w:r w:rsidR="0005760A" w:rsidRPr="00993CB9">
              <w:t>or the</w:t>
            </w:r>
            <w:r w:rsidR="0005760A" w:rsidRPr="00993CB9">
              <w:rPr>
                <w:i/>
              </w:rPr>
              <w:t xml:space="preserve"> Competition and Consumer </w:t>
            </w:r>
            <w:r w:rsidR="00B00581">
              <w:rPr>
                <w:i/>
              </w:rPr>
              <w:t>Regulations 2</w:t>
            </w:r>
            <w:r w:rsidR="0005760A" w:rsidRPr="00993CB9">
              <w:rPr>
                <w:i/>
              </w:rPr>
              <w:t>010</w:t>
            </w:r>
          </w:p>
        </w:tc>
        <w:tc>
          <w:tcPr>
            <w:tcW w:w="3891" w:type="dxa"/>
            <w:shd w:val="clear" w:color="auto" w:fill="auto"/>
          </w:tcPr>
          <w:p w:rsidR="00F449AB" w:rsidRPr="00993CB9" w:rsidRDefault="00827FC9" w:rsidP="00827FC9">
            <w:pPr>
              <w:pStyle w:val="Tabletext"/>
            </w:pPr>
            <w:r w:rsidRPr="00993CB9">
              <w:t>Treasury</w:t>
            </w:r>
          </w:p>
        </w:tc>
      </w:tr>
      <w:tr w:rsidR="00F449AB" w:rsidRPr="00993CB9" w:rsidTr="00B00581">
        <w:tc>
          <w:tcPr>
            <w:tcW w:w="715" w:type="dxa"/>
            <w:shd w:val="clear" w:color="auto" w:fill="auto"/>
          </w:tcPr>
          <w:p w:rsidR="00F449AB" w:rsidRPr="00993CB9" w:rsidRDefault="00B00581" w:rsidP="00D6791E">
            <w:pPr>
              <w:pStyle w:val="Tabletext"/>
            </w:pPr>
            <w:r>
              <w:t>35</w:t>
            </w:r>
          </w:p>
        </w:tc>
        <w:tc>
          <w:tcPr>
            <w:tcW w:w="4325" w:type="dxa"/>
            <w:shd w:val="clear" w:color="auto" w:fill="auto"/>
          </w:tcPr>
          <w:p w:rsidR="003F32DD" w:rsidRPr="00993CB9" w:rsidRDefault="00F449AB" w:rsidP="00D6791E">
            <w:pPr>
              <w:pStyle w:val="Tabletext"/>
            </w:pPr>
            <w:r w:rsidRPr="00993CB9">
              <w:t xml:space="preserve">might affect the operations of the </w:t>
            </w:r>
            <w:r w:rsidRPr="00993CB9">
              <w:rPr>
                <w:i/>
              </w:rPr>
              <w:t>Corporations Act 2001</w:t>
            </w:r>
            <w:r w:rsidRPr="00993CB9">
              <w:t xml:space="preserve"> or related legislation</w:t>
            </w:r>
            <w:r w:rsidR="0005760A" w:rsidRPr="00993CB9">
              <w:t xml:space="preserve"> including the </w:t>
            </w:r>
            <w:r w:rsidR="0005760A" w:rsidRPr="00993CB9">
              <w:rPr>
                <w:i/>
              </w:rPr>
              <w:t xml:space="preserve">Corporations </w:t>
            </w:r>
            <w:r w:rsidR="00B00581">
              <w:rPr>
                <w:i/>
              </w:rPr>
              <w:t>Regulations 2</w:t>
            </w:r>
            <w:r w:rsidR="0005760A" w:rsidRPr="00993CB9">
              <w:rPr>
                <w:i/>
              </w:rPr>
              <w:t>001</w:t>
            </w:r>
          </w:p>
        </w:tc>
        <w:tc>
          <w:tcPr>
            <w:tcW w:w="3891" w:type="dxa"/>
            <w:shd w:val="clear" w:color="auto" w:fill="auto"/>
          </w:tcPr>
          <w:p w:rsidR="00F449AB" w:rsidRPr="00993CB9" w:rsidRDefault="00827FC9" w:rsidP="00827FC9">
            <w:pPr>
              <w:pStyle w:val="Tabletext"/>
            </w:pPr>
            <w:r w:rsidRPr="00993CB9">
              <w:t>Treasury</w:t>
            </w:r>
          </w:p>
        </w:tc>
      </w:tr>
      <w:tr w:rsidR="00F449AB" w:rsidRPr="00993CB9" w:rsidTr="00B00581">
        <w:tc>
          <w:tcPr>
            <w:tcW w:w="715" w:type="dxa"/>
            <w:shd w:val="clear" w:color="auto" w:fill="auto"/>
          </w:tcPr>
          <w:p w:rsidR="00F449AB" w:rsidRPr="00993CB9" w:rsidRDefault="00B00581" w:rsidP="00D6791E">
            <w:pPr>
              <w:pStyle w:val="Tabletext"/>
            </w:pPr>
            <w:r>
              <w:t>36</w:t>
            </w:r>
          </w:p>
        </w:tc>
        <w:tc>
          <w:tcPr>
            <w:tcW w:w="4325" w:type="dxa"/>
            <w:shd w:val="clear" w:color="auto" w:fill="auto"/>
          </w:tcPr>
          <w:p w:rsidR="003F32DD" w:rsidRPr="00993CB9" w:rsidRDefault="00F449AB" w:rsidP="00D6791E">
            <w:pPr>
              <w:pStyle w:val="Tabletext"/>
            </w:pPr>
            <w:r w:rsidRPr="00993CB9">
              <w:t>provides for corporatisation or privatisati</w:t>
            </w:r>
            <w:r w:rsidR="00F720B4" w:rsidRPr="00993CB9">
              <w:t>on of a Government organisation</w:t>
            </w:r>
          </w:p>
        </w:tc>
        <w:tc>
          <w:tcPr>
            <w:tcW w:w="3891" w:type="dxa"/>
            <w:shd w:val="clear" w:color="auto" w:fill="auto"/>
          </w:tcPr>
          <w:p w:rsidR="00F449AB" w:rsidRPr="00993CB9" w:rsidRDefault="00827FC9" w:rsidP="00827FC9">
            <w:pPr>
              <w:pStyle w:val="Tabletext"/>
            </w:pPr>
            <w:r w:rsidRPr="00993CB9">
              <w:t>Treasury</w:t>
            </w:r>
          </w:p>
        </w:tc>
      </w:tr>
      <w:tr w:rsidR="00BD4479" w:rsidRPr="00993CB9" w:rsidTr="00B00581">
        <w:tc>
          <w:tcPr>
            <w:tcW w:w="715" w:type="dxa"/>
            <w:shd w:val="clear" w:color="auto" w:fill="auto"/>
          </w:tcPr>
          <w:p w:rsidR="00BD4479" w:rsidRPr="00993CB9" w:rsidRDefault="00B00581" w:rsidP="00D6791E">
            <w:pPr>
              <w:pStyle w:val="Tabletext"/>
            </w:pPr>
            <w:r>
              <w:t>37</w:t>
            </w:r>
          </w:p>
        </w:tc>
        <w:tc>
          <w:tcPr>
            <w:tcW w:w="4325" w:type="dxa"/>
            <w:shd w:val="clear" w:color="auto" w:fill="auto"/>
          </w:tcPr>
          <w:p w:rsidR="003F32DD" w:rsidRPr="00993CB9" w:rsidRDefault="00BD4479" w:rsidP="00D6791E">
            <w:pPr>
              <w:pStyle w:val="Tabletext"/>
              <w:rPr>
                <w:bCs/>
              </w:rPr>
            </w:pPr>
            <w:r w:rsidRPr="00993CB9">
              <w:rPr>
                <w:bCs/>
              </w:rPr>
              <w:t xml:space="preserve">imposes personal criminal </w:t>
            </w:r>
            <w:r w:rsidR="005D2132" w:rsidRPr="00993CB9">
              <w:rPr>
                <w:bCs/>
              </w:rPr>
              <w:t xml:space="preserve">or civil </w:t>
            </w:r>
            <w:r w:rsidRPr="00993CB9">
              <w:rPr>
                <w:bCs/>
              </w:rPr>
              <w:t xml:space="preserve">liability for corporate criminal </w:t>
            </w:r>
            <w:r w:rsidR="00860BE7" w:rsidRPr="00993CB9">
              <w:rPr>
                <w:bCs/>
              </w:rPr>
              <w:t xml:space="preserve">or civil </w:t>
            </w:r>
            <w:r w:rsidR="00F720B4" w:rsidRPr="00993CB9">
              <w:rPr>
                <w:bCs/>
              </w:rPr>
              <w:t>fault</w:t>
            </w:r>
          </w:p>
        </w:tc>
        <w:tc>
          <w:tcPr>
            <w:tcW w:w="3891" w:type="dxa"/>
            <w:shd w:val="clear" w:color="auto" w:fill="auto"/>
          </w:tcPr>
          <w:p w:rsidR="00BD4479" w:rsidRPr="00993CB9" w:rsidRDefault="00827FC9" w:rsidP="00827FC9">
            <w:pPr>
              <w:pStyle w:val="Tabletext"/>
            </w:pPr>
            <w:r w:rsidRPr="00993CB9">
              <w:rPr>
                <w:bCs/>
              </w:rPr>
              <w:t>Treasury</w:t>
            </w:r>
          </w:p>
        </w:tc>
      </w:tr>
      <w:tr w:rsidR="005349E7" w:rsidRPr="00993CB9" w:rsidTr="00B00581">
        <w:tc>
          <w:tcPr>
            <w:tcW w:w="715" w:type="dxa"/>
            <w:shd w:val="clear" w:color="auto" w:fill="auto"/>
          </w:tcPr>
          <w:p w:rsidR="005349E7" w:rsidRPr="00993CB9" w:rsidRDefault="00B00581" w:rsidP="00D6791E">
            <w:pPr>
              <w:pStyle w:val="Tabletext"/>
            </w:pPr>
            <w:r>
              <w:t>38</w:t>
            </w:r>
          </w:p>
        </w:tc>
        <w:tc>
          <w:tcPr>
            <w:tcW w:w="4325" w:type="dxa"/>
            <w:shd w:val="clear" w:color="auto" w:fill="auto"/>
          </w:tcPr>
          <w:p w:rsidR="005349E7" w:rsidRPr="00993CB9" w:rsidRDefault="005349E7" w:rsidP="00D6791E">
            <w:pPr>
              <w:pStyle w:val="Tabletext"/>
              <w:rPr>
                <w:bCs/>
              </w:rPr>
            </w:pPr>
            <w:r w:rsidRPr="00993CB9">
              <w:rPr>
                <w:bCs/>
              </w:rPr>
              <w:t>exempts an</w:t>
            </w:r>
            <w:r w:rsidR="001916E5" w:rsidRPr="00993CB9">
              <w:rPr>
                <w:bCs/>
              </w:rPr>
              <w:t xml:space="preserve"> incorporated statutory body fr</w:t>
            </w:r>
            <w:r w:rsidR="00F720B4" w:rsidRPr="00993CB9">
              <w:rPr>
                <w:bCs/>
              </w:rPr>
              <w:t>om Commonwealth taxes</w:t>
            </w:r>
          </w:p>
        </w:tc>
        <w:tc>
          <w:tcPr>
            <w:tcW w:w="3891" w:type="dxa"/>
            <w:shd w:val="clear" w:color="auto" w:fill="auto"/>
          </w:tcPr>
          <w:p w:rsidR="005349E7" w:rsidRPr="00993CB9" w:rsidRDefault="00827FC9" w:rsidP="00827FC9">
            <w:pPr>
              <w:pStyle w:val="Tabletext"/>
              <w:rPr>
                <w:bCs/>
              </w:rPr>
            </w:pPr>
            <w:r w:rsidRPr="00993CB9">
              <w:rPr>
                <w:bCs/>
              </w:rPr>
              <w:t>Treasury</w:t>
            </w:r>
          </w:p>
        </w:tc>
      </w:tr>
      <w:tr w:rsidR="00F449AB" w:rsidRPr="00993CB9" w:rsidTr="00B00581">
        <w:tc>
          <w:tcPr>
            <w:tcW w:w="715" w:type="dxa"/>
            <w:shd w:val="clear" w:color="auto" w:fill="auto"/>
          </w:tcPr>
          <w:p w:rsidR="00F449AB" w:rsidRPr="00993CB9" w:rsidRDefault="00B00581" w:rsidP="00BD4479">
            <w:pPr>
              <w:pStyle w:val="Tabletext"/>
            </w:pPr>
            <w:r>
              <w:t>39</w:t>
            </w:r>
          </w:p>
        </w:tc>
        <w:tc>
          <w:tcPr>
            <w:tcW w:w="4325" w:type="dxa"/>
            <w:shd w:val="clear" w:color="auto" w:fill="auto"/>
          </w:tcPr>
          <w:p w:rsidR="00852BD2" w:rsidRPr="00993CB9" w:rsidRDefault="00852BD2" w:rsidP="00852BD2">
            <w:pPr>
              <w:pStyle w:val="Tabletext"/>
            </w:pPr>
            <w:r w:rsidRPr="00993CB9">
              <w:t xml:space="preserve">describes any point, line or area by reference to its location on the Earth’s surface </w:t>
            </w:r>
            <w:r w:rsidRPr="00993CB9">
              <w:rPr>
                <w:iCs/>
              </w:rPr>
              <w:t>(see Note 3)</w:t>
            </w:r>
          </w:p>
        </w:tc>
        <w:tc>
          <w:tcPr>
            <w:tcW w:w="3891" w:type="dxa"/>
            <w:shd w:val="clear" w:color="auto" w:fill="auto"/>
          </w:tcPr>
          <w:p w:rsidR="00F449AB" w:rsidRPr="00993CB9" w:rsidRDefault="00827FC9" w:rsidP="00D6791E">
            <w:pPr>
              <w:pStyle w:val="Tabletext"/>
            </w:pPr>
            <w:r w:rsidRPr="00993CB9">
              <w:t>Geoscience Australia</w:t>
            </w:r>
          </w:p>
        </w:tc>
      </w:tr>
      <w:tr w:rsidR="00F449AB" w:rsidRPr="00993CB9" w:rsidTr="00B00581">
        <w:tc>
          <w:tcPr>
            <w:tcW w:w="715" w:type="dxa"/>
            <w:shd w:val="clear" w:color="auto" w:fill="auto"/>
          </w:tcPr>
          <w:p w:rsidR="00F449AB" w:rsidRPr="00993CB9" w:rsidRDefault="00B00581" w:rsidP="00D6791E">
            <w:pPr>
              <w:pStyle w:val="Tabletext"/>
            </w:pPr>
            <w:r>
              <w:t>40</w:t>
            </w:r>
          </w:p>
        </w:tc>
        <w:tc>
          <w:tcPr>
            <w:tcW w:w="4325" w:type="dxa"/>
            <w:shd w:val="clear" w:color="auto" w:fill="auto"/>
          </w:tcPr>
          <w:p w:rsidR="00F449AB" w:rsidRPr="00993CB9" w:rsidRDefault="00F449AB" w:rsidP="00D6791E">
            <w:pPr>
              <w:pStyle w:val="Tabletext"/>
            </w:pPr>
            <w:r w:rsidRPr="00993CB9">
              <w:t>seeks to implement an international agreement</w:t>
            </w:r>
          </w:p>
        </w:tc>
        <w:tc>
          <w:tcPr>
            <w:tcW w:w="3891" w:type="dxa"/>
            <w:shd w:val="clear" w:color="auto" w:fill="auto"/>
          </w:tcPr>
          <w:p w:rsidR="00F449AB" w:rsidRPr="00993CB9" w:rsidRDefault="00F449AB" w:rsidP="007E4686">
            <w:pPr>
              <w:pStyle w:val="Tabletext"/>
            </w:pPr>
            <w:r w:rsidRPr="00993CB9">
              <w:t>Departme</w:t>
            </w:r>
            <w:r w:rsidR="00827FC9" w:rsidRPr="00993CB9">
              <w:t>nt of Foreign Affairs and Trade</w:t>
            </w:r>
          </w:p>
        </w:tc>
      </w:tr>
      <w:tr w:rsidR="00DC4A25" w:rsidRPr="00993CB9" w:rsidTr="00B00581">
        <w:tc>
          <w:tcPr>
            <w:tcW w:w="715" w:type="dxa"/>
            <w:shd w:val="clear" w:color="auto" w:fill="auto"/>
          </w:tcPr>
          <w:p w:rsidR="00DC4A25" w:rsidRPr="00993CB9" w:rsidRDefault="00B00581" w:rsidP="001B3EB6">
            <w:pPr>
              <w:pStyle w:val="Tabletext"/>
            </w:pPr>
            <w:r>
              <w:t>41</w:t>
            </w:r>
          </w:p>
        </w:tc>
        <w:tc>
          <w:tcPr>
            <w:tcW w:w="4325" w:type="dxa"/>
            <w:shd w:val="clear" w:color="auto" w:fill="auto"/>
          </w:tcPr>
          <w:p w:rsidR="00DC4A25" w:rsidRPr="00993CB9" w:rsidRDefault="00DC4A25" w:rsidP="001B3EB6">
            <w:pPr>
              <w:pStyle w:val="Tabletext"/>
            </w:pPr>
            <w:r w:rsidRPr="00993CB9">
              <w:t>repeals or amends a law of the Northern Territory or an enactment of the Australian Capital Territory</w:t>
            </w:r>
          </w:p>
        </w:tc>
        <w:tc>
          <w:tcPr>
            <w:tcW w:w="3891" w:type="dxa"/>
            <w:shd w:val="clear" w:color="auto" w:fill="auto"/>
          </w:tcPr>
          <w:p w:rsidR="00DC4A25" w:rsidRPr="00993CB9" w:rsidRDefault="00DB4465" w:rsidP="00DC4A25">
            <w:pPr>
              <w:pStyle w:val="Tabletext"/>
            </w:pPr>
            <w:r w:rsidRPr="00993CB9">
              <w:t>Department of Infrastructure, Transport, Regional Development</w:t>
            </w:r>
            <w:r>
              <w:t>, Communications and the Arts</w:t>
            </w:r>
          </w:p>
        </w:tc>
      </w:tr>
      <w:tr w:rsidR="00E40EFE" w:rsidRPr="00993CB9" w:rsidTr="00B00581">
        <w:tc>
          <w:tcPr>
            <w:tcW w:w="715" w:type="dxa"/>
            <w:shd w:val="clear" w:color="auto" w:fill="auto"/>
          </w:tcPr>
          <w:p w:rsidR="00E40EFE" w:rsidRPr="00993CB9" w:rsidRDefault="00B00581" w:rsidP="00D6791E">
            <w:pPr>
              <w:pStyle w:val="Tabletext"/>
            </w:pPr>
            <w:r>
              <w:t>42</w:t>
            </w:r>
          </w:p>
        </w:tc>
        <w:tc>
          <w:tcPr>
            <w:tcW w:w="4325" w:type="dxa"/>
            <w:shd w:val="clear" w:color="auto" w:fill="auto"/>
          </w:tcPr>
          <w:p w:rsidR="00E40EFE" w:rsidRPr="00993CB9" w:rsidRDefault="00E40EFE" w:rsidP="00D6791E">
            <w:pPr>
              <w:pStyle w:val="Tabletext"/>
              <w:rPr>
                <w:i/>
              </w:rPr>
            </w:pPr>
            <w:r w:rsidRPr="00993CB9">
              <w:t xml:space="preserve">repeals or amends an Ordinance under the </w:t>
            </w:r>
            <w:r w:rsidRPr="00993CB9">
              <w:rPr>
                <w:i/>
              </w:rPr>
              <w:t>Seat of Government (Administration) Act 1910</w:t>
            </w:r>
          </w:p>
        </w:tc>
        <w:tc>
          <w:tcPr>
            <w:tcW w:w="3891" w:type="dxa"/>
            <w:shd w:val="clear" w:color="auto" w:fill="auto"/>
          </w:tcPr>
          <w:p w:rsidR="007F0FE3" w:rsidRPr="00993CB9" w:rsidRDefault="00DB4465" w:rsidP="00D6791E">
            <w:pPr>
              <w:pStyle w:val="Tabletext"/>
            </w:pPr>
            <w:r w:rsidRPr="00993CB9">
              <w:t>Department of Infrastructure, Transport, Regional Development</w:t>
            </w:r>
            <w:r>
              <w:t>, Communications and the Arts</w:t>
            </w:r>
          </w:p>
        </w:tc>
      </w:tr>
      <w:tr w:rsidR="008C6AE2" w:rsidRPr="00993CB9" w:rsidTr="00B00581">
        <w:tc>
          <w:tcPr>
            <w:tcW w:w="715" w:type="dxa"/>
            <w:shd w:val="clear" w:color="auto" w:fill="auto"/>
          </w:tcPr>
          <w:p w:rsidR="008C6AE2" w:rsidRPr="00993CB9" w:rsidRDefault="00B00581" w:rsidP="007215BC">
            <w:pPr>
              <w:pStyle w:val="Tabletext"/>
            </w:pPr>
            <w:r>
              <w:t>43</w:t>
            </w:r>
          </w:p>
        </w:tc>
        <w:tc>
          <w:tcPr>
            <w:tcW w:w="4325" w:type="dxa"/>
            <w:shd w:val="clear" w:color="auto" w:fill="auto"/>
          </w:tcPr>
          <w:p w:rsidR="008C6AE2" w:rsidRPr="00993CB9" w:rsidRDefault="00CF232A" w:rsidP="00B42CA2">
            <w:pPr>
              <w:pStyle w:val="Tabletext"/>
            </w:pPr>
            <w:r w:rsidRPr="00993CB9">
              <w:t>Refers to</w:t>
            </w:r>
            <w:r w:rsidR="008C6AE2" w:rsidRPr="00993CB9">
              <w:t>:</w:t>
            </w:r>
          </w:p>
          <w:p w:rsidR="008C6AE2" w:rsidRPr="00993CB9" w:rsidRDefault="008C6AE2" w:rsidP="008C6AE2">
            <w:pPr>
              <w:pStyle w:val="Tablea"/>
            </w:pPr>
            <w:r w:rsidRPr="00993CB9">
              <w:t>(a) the Commonwealth Ombudsman; or</w:t>
            </w:r>
          </w:p>
          <w:p w:rsidR="008C6AE2" w:rsidRPr="00993CB9" w:rsidRDefault="008C6AE2" w:rsidP="008C6AE2">
            <w:pPr>
              <w:pStyle w:val="Tablea"/>
            </w:pPr>
            <w:r w:rsidRPr="00993CB9">
              <w:t>(b) the Defence Force Ombudsman; or</w:t>
            </w:r>
          </w:p>
          <w:p w:rsidR="008C6AE2" w:rsidRPr="00993CB9" w:rsidRDefault="008C6AE2" w:rsidP="008C6AE2">
            <w:pPr>
              <w:pStyle w:val="Tablea"/>
            </w:pPr>
            <w:r w:rsidRPr="00993CB9">
              <w:t>(c) the Postal Industry Ombudsman; or</w:t>
            </w:r>
          </w:p>
          <w:p w:rsidR="008C6AE2" w:rsidRPr="00993CB9" w:rsidRDefault="008C6AE2" w:rsidP="008C6AE2">
            <w:pPr>
              <w:pStyle w:val="Tablea"/>
            </w:pPr>
            <w:r w:rsidRPr="00993CB9">
              <w:t>(d) the Overseas Students Ombudsman; or</w:t>
            </w:r>
          </w:p>
          <w:p w:rsidR="008C6AE2" w:rsidRPr="00993CB9" w:rsidRDefault="008C6AE2" w:rsidP="008C6AE2">
            <w:pPr>
              <w:pStyle w:val="Tablea"/>
            </w:pPr>
            <w:r w:rsidRPr="00993CB9">
              <w:t>(e) the Private Health Insurance Ombudsman; or</w:t>
            </w:r>
          </w:p>
          <w:p w:rsidR="008C6AE2" w:rsidRPr="00993CB9" w:rsidRDefault="008C6AE2" w:rsidP="008C6AE2">
            <w:pPr>
              <w:pStyle w:val="Tabletext"/>
            </w:pPr>
            <w:r w:rsidRPr="00993CB9">
              <w:t>(f) the VET Student Loans Ombudsman; or</w:t>
            </w:r>
          </w:p>
          <w:p w:rsidR="008C6AE2" w:rsidRPr="00993CB9" w:rsidRDefault="008C6AE2" w:rsidP="008C6AE2">
            <w:pPr>
              <w:pStyle w:val="Tabletext"/>
            </w:pPr>
            <w:r w:rsidRPr="00993CB9">
              <w:t>(g) the Immigration Ombudsman; or</w:t>
            </w:r>
          </w:p>
          <w:p w:rsidR="008C6AE2" w:rsidRPr="00993CB9" w:rsidRDefault="008C6AE2" w:rsidP="008C6AE2">
            <w:pPr>
              <w:pStyle w:val="Tabletext"/>
            </w:pPr>
            <w:r w:rsidRPr="00993CB9">
              <w:t>(h)</w:t>
            </w:r>
            <w:r w:rsidR="00A171F6" w:rsidRPr="00993CB9">
              <w:t xml:space="preserve"> the Law Enforcement Ombudsman.</w:t>
            </w:r>
          </w:p>
        </w:tc>
        <w:tc>
          <w:tcPr>
            <w:tcW w:w="3891" w:type="dxa"/>
            <w:shd w:val="clear" w:color="auto" w:fill="auto"/>
          </w:tcPr>
          <w:p w:rsidR="008C6AE2" w:rsidRPr="00993CB9" w:rsidRDefault="00CF232A" w:rsidP="00D6791E">
            <w:pPr>
              <w:pStyle w:val="Tabletext"/>
            </w:pPr>
            <w:r w:rsidRPr="00993CB9">
              <w:t xml:space="preserve">Commonwealth </w:t>
            </w:r>
            <w:r w:rsidR="008972C5" w:rsidRPr="00993CB9">
              <w:t>Ombudsman</w:t>
            </w:r>
          </w:p>
          <w:p w:rsidR="008972C5" w:rsidRPr="00993CB9" w:rsidRDefault="008972C5" w:rsidP="00D6791E">
            <w:pPr>
              <w:pStyle w:val="Tabletext"/>
            </w:pPr>
            <w:r w:rsidRPr="00993CB9">
              <w:t>[</w:t>
            </w:r>
            <w:r w:rsidR="00AE72AD" w:rsidRPr="00993CB9">
              <w:t>Legal and Information Access Team</w:t>
            </w:r>
            <w:r w:rsidRPr="00993CB9">
              <w:t>]</w:t>
            </w:r>
          </w:p>
        </w:tc>
      </w:tr>
      <w:tr w:rsidR="00942238" w:rsidRPr="00993CB9" w:rsidTr="00B00581">
        <w:tc>
          <w:tcPr>
            <w:tcW w:w="715" w:type="dxa"/>
            <w:shd w:val="clear" w:color="auto" w:fill="auto"/>
          </w:tcPr>
          <w:p w:rsidR="00942238" w:rsidRPr="00993CB9" w:rsidRDefault="00B00581" w:rsidP="007215BC">
            <w:pPr>
              <w:pStyle w:val="Tabletext"/>
            </w:pPr>
            <w:r>
              <w:t>44</w:t>
            </w:r>
          </w:p>
        </w:tc>
        <w:tc>
          <w:tcPr>
            <w:tcW w:w="4325" w:type="dxa"/>
            <w:shd w:val="clear" w:color="auto" w:fill="auto"/>
          </w:tcPr>
          <w:p w:rsidR="00942238" w:rsidRPr="00993CB9" w:rsidRDefault="00942238" w:rsidP="00B42CA2">
            <w:pPr>
              <w:pStyle w:val="Tabletext"/>
            </w:pPr>
            <w:r w:rsidRPr="00993CB9">
              <w:t>concerns firearms or other prohibited weapons</w:t>
            </w:r>
          </w:p>
        </w:tc>
        <w:tc>
          <w:tcPr>
            <w:tcW w:w="3891" w:type="dxa"/>
            <w:shd w:val="clear" w:color="auto" w:fill="auto"/>
          </w:tcPr>
          <w:p w:rsidR="00942238" w:rsidRPr="00993CB9" w:rsidRDefault="00827FC9" w:rsidP="00D6791E">
            <w:pPr>
              <w:pStyle w:val="Tabletext"/>
            </w:pPr>
            <w:r w:rsidRPr="00993CB9">
              <w:t>Department of Home Affairs</w:t>
            </w:r>
          </w:p>
        </w:tc>
      </w:tr>
      <w:tr w:rsidR="00B00581" w:rsidRPr="00993CB9" w:rsidTr="00B00581">
        <w:tc>
          <w:tcPr>
            <w:tcW w:w="715" w:type="dxa"/>
            <w:shd w:val="clear" w:color="auto" w:fill="auto"/>
          </w:tcPr>
          <w:p w:rsidR="00B00581" w:rsidRDefault="00B00581" w:rsidP="007215BC">
            <w:pPr>
              <w:pStyle w:val="Tabletext"/>
            </w:pPr>
            <w:r>
              <w:t>45</w:t>
            </w:r>
          </w:p>
        </w:tc>
        <w:tc>
          <w:tcPr>
            <w:tcW w:w="4325" w:type="dxa"/>
            <w:shd w:val="clear" w:color="auto" w:fill="auto"/>
          </w:tcPr>
          <w:p w:rsidR="00C115DA" w:rsidRPr="00993CB9" w:rsidRDefault="00B00581" w:rsidP="00B42CA2">
            <w:pPr>
              <w:pStyle w:val="Tabletext"/>
            </w:pPr>
            <w:r w:rsidRPr="00993CB9">
              <w:t>creates or changes an offence and both the drafter</w:t>
            </w:r>
            <w:r>
              <w:t xml:space="preserve"> </w:t>
            </w:r>
            <w:r w:rsidRPr="00993CB9">
              <w:t>and instructor agree CDPP’s view may be beneficial</w:t>
            </w:r>
          </w:p>
        </w:tc>
        <w:tc>
          <w:tcPr>
            <w:tcW w:w="3891" w:type="dxa"/>
            <w:shd w:val="clear" w:color="auto" w:fill="auto"/>
          </w:tcPr>
          <w:p w:rsidR="00B00581" w:rsidRPr="00993CB9" w:rsidRDefault="00B00581" w:rsidP="00D6791E">
            <w:pPr>
              <w:pStyle w:val="Tabletext"/>
            </w:pPr>
            <w:r w:rsidRPr="00993CB9">
              <w:t>CDPP</w:t>
            </w:r>
          </w:p>
        </w:tc>
      </w:tr>
      <w:tr w:rsidR="00F449AB" w:rsidRPr="00993CB9" w:rsidTr="00B00581">
        <w:tc>
          <w:tcPr>
            <w:tcW w:w="715" w:type="dxa"/>
            <w:tcBorders>
              <w:bottom w:val="single" w:sz="2" w:space="0" w:color="auto"/>
            </w:tcBorders>
            <w:shd w:val="clear" w:color="auto" w:fill="auto"/>
          </w:tcPr>
          <w:p w:rsidR="00F449AB" w:rsidRPr="00993CB9" w:rsidRDefault="00C115DA" w:rsidP="007215BC">
            <w:pPr>
              <w:pStyle w:val="Tabletext"/>
            </w:pPr>
            <w:r>
              <w:t>45A</w:t>
            </w:r>
          </w:p>
        </w:tc>
        <w:tc>
          <w:tcPr>
            <w:tcW w:w="4325" w:type="dxa"/>
            <w:tcBorders>
              <w:bottom w:val="single" w:sz="2" w:space="0" w:color="auto"/>
            </w:tcBorders>
            <w:shd w:val="clear" w:color="auto" w:fill="auto"/>
          </w:tcPr>
          <w:p w:rsidR="003F32DD" w:rsidRPr="00993CB9" w:rsidRDefault="00C115DA" w:rsidP="00B42CA2">
            <w:pPr>
              <w:pStyle w:val="Tabletext"/>
            </w:pPr>
            <w:r>
              <w:rPr>
                <w:lang w:eastAsia="en-US"/>
              </w:rPr>
              <w:t>provides for secrecy or non</w:t>
            </w:r>
            <w:r w:rsidR="00253B01">
              <w:rPr>
                <w:lang w:eastAsia="en-US"/>
              </w:rPr>
              <w:noBreakHyphen/>
            </w:r>
            <w:r>
              <w:rPr>
                <w:lang w:eastAsia="en-US"/>
              </w:rPr>
              <w:t>disclosure obligation where the</w:t>
            </w:r>
            <w:r w:rsidR="003B2B81">
              <w:rPr>
                <w:lang w:eastAsia="en-US"/>
              </w:rPr>
              <w:t xml:space="preserve"> intention is that the</w:t>
            </w:r>
            <w:r>
              <w:rPr>
                <w:lang w:eastAsia="en-US"/>
              </w:rPr>
              <w:t xml:space="preserve"> information protected should not be </w:t>
            </w:r>
            <w:r w:rsidR="003B2B81">
              <w:rPr>
                <w:lang w:eastAsia="en-US"/>
              </w:rPr>
              <w:t xml:space="preserve">able to be </w:t>
            </w:r>
            <w:r>
              <w:rPr>
                <w:lang w:eastAsia="en-US"/>
              </w:rPr>
              <w:t xml:space="preserve">shared under the </w:t>
            </w:r>
            <w:r>
              <w:rPr>
                <w:i/>
                <w:iCs/>
                <w:lang w:eastAsia="en-US"/>
              </w:rPr>
              <w:t>Data Availability and Transparency Act 2022</w:t>
            </w:r>
          </w:p>
        </w:tc>
        <w:tc>
          <w:tcPr>
            <w:tcW w:w="3891" w:type="dxa"/>
            <w:tcBorders>
              <w:bottom w:val="single" w:sz="2" w:space="0" w:color="auto"/>
            </w:tcBorders>
            <w:shd w:val="clear" w:color="auto" w:fill="auto"/>
          </w:tcPr>
          <w:p w:rsidR="00F449AB" w:rsidRPr="00993CB9" w:rsidRDefault="00C115DA" w:rsidP="00F40A8A">
            <w:pPr>
              <w:pStyle w:val="Tabletext"/>
            </w:pPr>
            <w:r>
              <w:t>Office of the National Data Commissioner</w:t>
            </w:r>
          </w:p>
        </w:tc>
      </w:tr>
      <w:tr w:rsidR="00BB390B" w:rsidRPr="00993CB9" w:rsidTr="00C115DA">
        <w:tc>
          <w:tcPr>
            <w:tcW w:w="715" w:type="dxa"/>
            <w:tcBorders>
              <w:top w:val="single" w:sz="2" w:space="0" w:color="auto"/>
              <w:bottom w:val="single" w:sz="2" w:space="0" w:color="auto"/>
            </w:tcBorders>
            <w:shd w:val="clear" w:color="auto" w:fill="auto"/>
          </w:tcPr>
          <w:p w:rsidR="00BB390B" w:rsidRPr="00993CB9" w:rsidRDefault="00C115DA" w:rsidP="007215BC">
            <w:pPr>
              <w:pStyle w:val="Tabletext"/>
            </w:pPr>
            <w:r>
              <w:t>46</w:t>
            </w:r>
          </w:p>
        </w:tc>
        <w:tc>
          <w:tcPr>
            <w:tcW w:w="4325" w:type="dxa"/>
            <w:tcBorders>
              <w:top w:val="single" w:sz="2" w:space="0" w:color="auto"/>
              <w:bottom w:val="single" w:sz="2" w:space="0" w:color="auto"/>
            </w:tcBorders>
            <w:shd w:val="clear" w:color="auto" w:fill="auto"/>
          </w:tcPr>
          <w:p w:rsidR="0055490A" w:rsidRPr="00993CB9" w:rsidRDefault="00C115DA" w:rsidP="00157F22">
            <w:pPr>
              <w:pStyle w:val="Tabletext"/>
            </w:pPr>
            <w:r w:rsidRPr="00993CB9">
              <w:t xml:space="preserve">amends, or otherwise affects, legislation administered within a portfolio other than that including the instructing agency (see paragraphs </w:t>
            </w:r>
            <w:r w:rsidRPr="00993CB9">
              <w:fldChar w:fldCharType="begin"/>
            </w:r>
            <w:r w:rsidRPr="00993CB9">
              <w:instrText xml:space="preserve"> REF _Ref269716661 \r \h  \* MERGEFORMAT </w:instrText>
            </w:r>
            <w:r w:rsidRPr="00993CB9">
              <w:fldChar w:fldCharType="separate"/>
            </w:r>
            <w:r w:rsidR="008E2181">
              <w:t>39</w:t>
            </w:r>
            <w:r w:rsidRPr="00993CB9">
              <w:fldChar w:fldCharType="end"/>
            </w:r>
            <w:r w:rsidRPr="00993CB9">
              <w:t xml:space="preserve"> to </w:t>
            </w:r>
            <w:r w:rsidRPr="00993CB9">
              <w:fldChar w:fldCharType="begin"/>
            </w:r>
            <w:r w:rsidRPr="00993CB9">
              <w:instrText xml:space="preserve"> REF _Ref269716670 \r \h  \* MERGEFORMAT </w:instrText>
            </w:r>
            <w:r w:rsidRPr="00993CB9">
              <w:fldChar w:fldCharType="separate"/>
            </w:r>
            <w:r w:rsidR="008E2181">
              <w:t>41</w:t>
            </w:r>
            <w:r w:rsidRPr="00993CB9">
              <w:fldChar w:fldCharType="end"/>
            </w:r>
            <w:r w:rsidRPr="00993CB9">
              <w:t xml:space="preserve"> of this Drafting Direction)</w:t>
            </w:r>
          </w:p>
        </w:tc>
        <w:tc>
          <w:tcPr>
            <w:tcW w:w="3891" w:type="dxa"/>
            <w:tcBorders>
              <w:top w:val="single" w:sz="2" w:space="0" w:color="auto"/>
              <w:bottom w:val="single" w:sz="2" w:space="0" w:color="auto"/>
            </w:tcBorders>
            <w:shd w:val="clear" w:color="auto" w:fill="auto"/>
          </w:tcPr>
          <w:p w:rsidR="00BB390B" w:rsidRPr="00993CB9" w:rsidRDefault="00C115DA" w:rsidP="00D6791E">
            <w:pPr>
              <w:pStyle w:val="Tabletext"/>
            </w:pPr>
            <w:r w:rsidRPr="00993CB9">
              <w:t>The portfolio Department whose legislation is amended or otherwise affected</w:t>
            </w:r>
            <w:r w:rsidRPr="00993CB9">
              <w:br/>
              <w:t>[Legislation Liaison Officer and, if Finance, also PMRA Branch]</w:t>
            </w:r>
          </w:p>
        </w:tc>
      </w:tr>
      <w:tr w:rsidR="00C115DA" w:rsidRPr="00993CB9" w:rsidTr="00B00581">
        <w:tc>
          <w:tcPr>
            <w:tcW w:w="715" w:type="dxa"/>
            <w:tcBorders>
              <w:top w:val="single" w:sz="2" w:space="0" w:color="auto"/>
              <w:bottom w:val="single" w:sz="12" w:space="0" w:color="auto"/>
            </w:tcBorders>
            <w:shd w:val="clear" w:color="auto" w:fill="auto"/>
          </w:tcPr>
          <w:p w:rsidR="00C115DA" w:rsidRDefault="00C115DA" w:rsidP="007215BC">
            <w:pPr>
              <w:pStyle w:val="Tabletext"/>
            </w:pPr>
            <w:r>
              <w:t>47</w:t>
            </w:r>
          </w:p>
        </w:tc>
        <w:tc>
          <w:tcPr>
            <w:tcW w:w="4325" w:type="dxa"/>
            <w:tcBorders>
              <w:top w:val="single" w:sz="2" w:space="0" w:color="auto"/>
              <w:bottom w:val="single" w:sz="12" w:space="0" w:color="auto"/>
            </w:tcBorders>
            <w:shd w:val="clear" w:color="auto" w:fill="auto"/>
          </w:tcPr>
          <w:p w:rsidR="00C115DA" w:rsidRPr="00993CB9" w:rsidRDefault="00C115DA" w:rsidP="00157F22">
            <w:pPr>
              <w:pStyle w:val="Tabletext"/>
            </w:pPr>
            <w:r w:rsidRPr="00993CB9">
              <w:t>affects functions, duties or powers of a Minister, or of an official of a Department or agency, within a portfolio other than that including the instructing agency</w:t>
            </w:r>
          </w:p>
        </w:tc>
        <w:tc>
          <w:tcPr>
            <w:tcW w:w="3891" w:type="dxa"/>
            <w:tcBorders>
              <w:top w:val="single" w:sz="2" w:space="0" w:color="auto"/>
              <w:bottom w:val="single" w:sz="12" w:space="0" w:color="auto"/>
            </w:tcBorders>
            <w:shd w:val="clear" w:color="auto" w:fill="auto"/>
          </w:tcPr>
          <w:p w:rsidR="00C115DA" w:rsidRPr="00993CB9" w:rsidRDefault="00C115DA" w:rsidP="00C115DA">
            <w:pPr>
              <w:pStyle w:val="Tabletext"/>
            </w:pPr>
            <w:r w:rsidRPr="00993CB9">
              <w:t>The portfolio Department whose Minister or official is affected by the provision</w:t>
            </w:r>
          </w:p>
          <w:p w:rsidR="00C115DA" w:rsidRPr="00993CB9" w:rsidRDefault="00C115DA" w:rsidP="00C115DA">
            <w:pPr>
              <w:pStyle w:val="Tabletext"/>
            </w:pPr>
            <w:r w:rsidRPr="00993CB9">
              <w:t>[Legislation Liaison Officer and, if Finance, also PMRA Branch]</w:t>
            </w:r>
          </w:p>
        </w:tc>
      </w:tr>
    </w:tbl>
    <w:p w:rsidR="003340C4" w:rsidRDefault="00F449AB" w:rsidP="003340C4">
      <w:pPr>
        <w:pStyle w:val="notemargin"/>
      </w:pPr>
      <w:r w:rsidRPr="00993CB9">
        <w:t>Note</w:t>
      </w:r>
      <w:r w:rsidR="001B3EB6" w:rsidRPr="00993CB9">
        <w:t xml:space="preserve"> 1</w:t>
      </w:r>
      <w:r w:rsidRPr="00993CB9">
        <w:t>:</w:t>
      </w:r>
      <w:r w:rsidRPr="00993CB9">
        <w:tab/>
        <w:t>For contact information for these agencies, see the Commonwealth Government Directory, or www.gold.gov.au.</w:t>
      </w:r>
    </w:p>
    <w:p w:rsidR="003340C4" w:rsidRDefault="003340C4" w:rsidP="003340C4">
      <w:pPr>
        <w:pStyle w:val="notemargin"/>
      </w:pPr>
      <w:r w:rsidRPr="0032131E">
        <w:t>Note 1A:</w:t>
      </w:r>
      <w:r>
        <w:tab/>
        <w:t>For these purposes, a</w:t>
      </w:r>
      <w:r w:rsidRPr="0032131E">
        <w:t xml:space="preserve"> provision does not</w:t>
      </w:r>
      <w:r>
        <w:t xml:space="preserve"> </w:t>
      </w:r>
      <w:r w:rsidRPr="0032131E">
        <w:t xml:space="preserve">apply differently </w:t>
      </w:r>
      <w:r>
        <w:t xml:space="preserve">in a territory </w:t>
      </w:r>
      <w:r w:rsidRPr="0032131E">
        <w:t>merely because:</w:t>
      </w:r>
    </w:p>
    <w:p w:rsidR="003340C4" w:rsidRDefault="003340C4" w:rsidP="003340C4">
      <w:pPr>
        <w:pStyle w:val="notemargin"/>
      </w:pPr>
      <w:r>
        <w:tab/>
        <w:t>(a)</w:t>
      </w:r>
      <w:r>
        <w:tab/>
        <w:t>it does not extend to the territory; or</w:t>
      </w:r>
    </w:p>
    <w:p w:rsidR="003340C4" w:rsidRPr="00993CB9" w:rsidRDefault="003340C4" w:rsidP="00F449AB">
      <w:pPr>
        <w:pStyle w:val="notemargin"/>
      </w:pPr>
      <w:r>
        <w:tab/>
        <w:t>(b)</w:t>
      </w:r>
      <w:r>
        <w:tab/>
        <w:t xml:space="preserve">it extends to the territory, but does not extend to one or more other territories. </w:t>
      </w:r>
    </w:p>
    <w:p w:rsidR="00676E77" w:rsidRPr="00993CB9" w:rsidRDefault="00676E77" w:rsidP="00F449AB">
      <w:pPr>
        <w:pStyle w:val="notemargin"/>
      </w:pPr>
      <w:r w:rsidRPr="00993CB9">
        <w:t xml:space="preserve">Note 2: The </w:t>
      </w:r>
      <w:r w:rsidR="00F41D51" w:rsidRPr="00993CB9">
        <w:t xml:space="preserve">external territories </w:t>
      </w:r>
      <w:r w:rsidRPr="00993CB9">
        <w:t>for these purposes are:</w:t>
      </w:r>
    </w:p>
    <w:p w:rsidR="00727062" w:rsidRPr="00993CB9" w:rsidRDefault="00676E77" w:rsidP="00F449AB">
      <w:pPr>
        <w:pStyle w:val="notemargin"/>
      </w:pPr>
      <w:r w:rsidRPr="00993CB9">
        <w:tab/>
      </w:r>
      <w:r w:rsidR="0023335A" w:rsidRPr="00993CB9">
        <w:t>(</w:t>
      </w:r>
      <w:r w:rsidRPr="00993CB9">
        <w:t>a)</w:t>
      </w:r>
      <w:r w:rsidRPr="00993CB9">
        <w:tab/>
      </w:r>
      <w:r w:rsidR="00727062" w:rsidRPr="00993CB9">
        <w:t>Norfolk Island; and</w:t>
      </w:r>
    </w:p>
    <w:p w:rsidR="00676E77" w:rsidRPr="00993CB9" w:rsidRDefault="00676E77" w:rsidP="00F449AB">
      <w:pPr>
        <w:pStyle w:val="notemargin"/>
      </w:pPr>
      <w:r w:rsidRPr="00993CB9">
        <w:tab/>
      </w:r>
      <w:r w:rsidR="0023335A" w:rsidRPr="00993CB9">
        <w:t>(</w:t>
      </w:r>
      <w:r w:rsidR="00F41D51" w:rsidRPr="00993CB9">
        <w:t>b</w:t>
      </w:r>
      <w:r w:rsidRPr="00993CB9">
        <w:t>)</w:t>
      </w:r>
      <w:r w:rsidRPr="00993CB9">
        <w:tab/>
      </w:r>
      <w:r w:rsidR="000B4388" w:rsidRPr="00993CB9">
        <w:t>the Territory of Cocos (Keeling) Islands;</w:t>
      </w:r>
      <w:r w:rsidR="00DD1881" w:rsidRPr="00993CB9">
        <w:t xml:space="preserve"> and</w:t>
      </w:r>
    </w:p>
    <w:p w:rsidR="000B4388" w:rsidRPr="00993CB9" w:rsidRDefault="000B4388" w:rsidP="00F449AB">
      <w:pPr>
        <w:pStyle w:val="notemargin"/>
      </w:pPr>
      <w:r w:rsidRPr="00993CB9">
        <w:tab/>
      </w:r>
      <w:r w:rsidR="0023335A" w:rsidRPr="00993CB9">
        <w:t>(</w:t>
      </w:r>
      <w:r w:rsidR="00F41D51" w:rsidRPr="00993CB9">
        <w:t>c</w:t>
      </w:r>
      <w:r w:rsidRPr="00993CB9">
        <w:t>)</w:t>
      </w:r>
      <w:r w:rsidRPr="00993CB9">
        <w:tab/>
        <w:t>the Territory of Christmas Island;</w:t>
      </w:r>
      <w:r w:rsidR="00DD1881" w:rsidRPr="00993CB9">
        <w:t xml:space="preserve"> and</w:t>
      </w:r>
    </w:p>
    <w:p w:rsidR="000B4388" w:rsidRPr="00993CB9" w:rsidRDefault="000B4388" w:rsidP="00F449AB">
      <w:pPr>
        <w:pStyle w:val="notemargin"/>
      </w:pPr>
      <w:r w:rsidRPr="00993CB9">
        <w:tab/>
      </w:r>
      <w:r w:rsidR="0023335A" w:rsidRPr="00993CB9">
        <w:t>(</w:t>
      </w:r>
      <w:r w:rsidR="00F41D51" w:rsidRPr="00993CB9">
        <w:t>d</w:t>
      </w:r>
      <w:r w:rsidRPr="00993CB9">
        <w:t>)</w:t>
      </w:r>
      <w:r w:rsidRPr="00993CB9">
        <w:tab/>
        <w:t>the Coral Sea Islands Territory;</w:t>
      </w:r>
      <w:r w:rsidR="00DD1881" w:rsidRPr="00993CB9">
        <w:t xml:space="preserve"> and</w:t>
      </w:r>
    </w:p>
    <w:p w:rsidR="00676E77" w:rsidRPr="00993CB9" w:rsidRDefault="000B4388" w:rsidP="00F449AB">
      <w:pPr>
        <w:pStyle w:val="notemargin"/>
      </w:pPr>
      <w:r w:rsidRPr="00993CB9">
        <w:tab/>
      </w:r>
      <w:r w:rsidR="0023335A" w:rsidRPr="00993CB9">
        <w:t>(</w:t>
      </w:r>
      <w:r w:rsidR="00F41D51" w:rsidRPr="00993CB9">
        <w:t>e</w:t>
      </w:r>
      <w:r w:rsidRPr="00993CB9">
        <w:t>)</w:t>
      </w:r>
      <w:r w:rsidRPr="00993CB9">
        <w:tab/>
        <w:t>the Territory of Ashmore and Cartier Islands.</w:t>
      </w:r>
    </w:p>
    <w:p w:rsidR="00BB4147" w:rsidRPr="00993CB9" w:rsidRDefault="00BB4147" w:rsidP="00F449AB">
      <w:pPr>
        <w:pStyle w:val="notemargin"/>
      </w:pPr>
      <w:r w:rsidRPr="00993CB9">
        <w:t>Note 2A:</w:t>
      </w:r>
      <w:r w:rsidR="00324549" w:rsidRPr="00993CB9">
        <w:tab/>
        <w:t>Financial Management Branch is</w:t>
      </w:r>
      <w:r w:rsidRPr="00993CB9">
        <w:t xml:space="preserve"> the primary contact for </w:t>
      </w:r>
      <w:r w:rsidR="00B00581">
        <w:t>items 2</w:t>
      </w:r>
      <w:r w:rsidRPr="00993CB9">
        <w:t>6 and 27. PGPA Advisory Branch is being sent the drafts for information.</w:t>
      </w:r>
      <w:r w:rsidR="005F703A" w:rsidRPr="00993CB9">
        <w:t xml:space="preserve"> Under </w:t>
      </w:r>
      <w:r w:rsidR="00B00581">
        <w:t>item 2</w:t>
      </w:r>
      <w:r w:rsidR="005F703A" w:rsidRPr="00993CB9">
        <w:t>6 you can also refer items requesting information about the appropriation relevant to a message advice.</w:t>
      </w:r>
    </w:p>
    <w:p w:rsidR="00D50D3A" w:rsidRPr="009A60CA" w:rsidRDefault="008224CC" w:rsidP="00F449AB">
      <w:pPr>
        <w:pStyle w:val="notemargin"/>
        <w:rPr>
          <w:iCs/>
        </w:rPr>
      </w:pPr>
      <w:r w:rsidRPr="00993CB9">
        <w:t>Note 3:</w:t>
      </w:r>
      <w:r w:rsidRPr="00993CB9">
        <w:tab/>
      </w:r>
      <w:r w:rsidR="00852BD2" w:rsidRPr="00993CB9">
        <w:t xml:space="preserve">Examples </w:t>
      </w:r>
      <w:r w:rsidR="00852BD2" w:rsidRPr="00993CB9">
        <w:rPr>
          <w:iCs/>
        </w:rPr>
        <w:t>include descriptions of marine boundaries, land boundaries and regulatory areas (</w:t>
      </w:r>
      <w:r w:rsidRPr="00993CB9">
        <w:t>such as a fisheries access/closure area; marine protected area etc.</w:t>
      </w:r>
      <w:r w:rsidR="00852BD2" w:rsidRPr="00993CB9">
        <w:t xml:space="preserve">), </w:t>
      </w:r>
      <w:r w:rsidR="00852BD2" w:rsidRPr="00993CB9">
        <w:rPr>
          <w:iCs/>
        </w:rPr>
        <w:t>whether or not using geodetic datums, survey plans etc.</w:t>
      </w:r>
    </w:p>
    <w:sectPr w:rsidR="00D50D3A" w:rsidRPr="009A60CA" w:rsidSect="000E43EA">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B01" w:rsidRDefault="00253B01" w:rsidP="00A34568">
      <w:pPr>
        <w:spacing w:line="240" w:lineRule="auto"/>
      </w:pPr>
      <w:r>
        <w:separator/>
      </w:r>
    </w:p>
  </w:endnote>
  <w:endnote w:type="continuationSeparator" w:id="0">
    <w:p w:rsidR="00253B01" w:rsidRDefault="00253B01"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B01" w:rsidRDefault="00253B01" w:rsidP="000E43EA">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w:t>
    </w:r>
    <w:r>
      <w:rPr>
        <w:rStyle w:val="PageNumber"/>
        <w:sz w:val="20"/>
      </w:rPr>
      <w:fldChar w:fldCharType="end"/>
    </w:r>
    <w:r>
      <w:rPr>
        <w:sz w:val="16"/>
      </w:rPr>
      <w:t xml:space="preserve"> </w:t>
    </w:r>
    <w:r>
      <w:rPr>
        <w:sz w:val="16"/>
      </w:rPr>
      <w:tab/>
      <w:t>[</w:t>
    </w:r>
    <w:r w:rsidR="006062B3">
      <w:rPr>
        <w:noProof/>
        <w:sz w:val="16"/>
      </w:rPr>
      <w:t>s06rd391.v154.docx</w:t>
    </w:r>
    <w:r>
      <w:rPr>
        <w:sz w:val="16"/>
      </w:rPr>
      <w:t>] [</w:t>
    </w:r>
    <w:r w:rsidR="006062B3">
      <w:rPr>
        <w:noProof/>
        <w:sz w:val="16"/>
      </w:rPr>
      <w:t>10 Jan 2023</w:t>
    </w:r>
    <w:r>
      <w:rPr>
        <w:sz w:val="16"/>
      </w:rPr>
      <w:t>] [</w:t>
    </w:r>
    <w:r w:rsidR="006062B3">
      <w:rPr>
        <w:noProof/>
        <w:sz w:val="16"/>
      </w:rPr>
      <w:t>2:47 PM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B01" w:rsidRDefault="00253B01" w:rsidP="000E43EA">
    <w:pPr>
      <w:tabs>
        <w:tab w:val="right" w:pos="8931"/>
      </w:tabs>
      <w:rPr>
        <w:sz w:val="16"/>
      </w:rPr>
    </w:pPr>
    <w:r>
      <w:rPr>
        <w:sz w:val="16"/>
      </w:rPr>
      <w:t>[</w:t>
    </w:r>
    <w:r w:rsidR="006062B3">
      <w:rPr>
        <w:noProof/>
        <w:sz w:val="16"/>
      </w:rPr>
      <w:t>s06rd391.v154.docx</w:t>
    </w:r>
    <w:r>
      <w:rPr>
        <w:sz w:val="16"/>
      </w:rPr>
      <w:t>] [</w:t>
    </w:r>
    <w:r w:rsidR="006062B3">
      <w:rPr>
        <w:noProof/>
        <w:sz w:val="16"/>
      </w:rPr>
      <w:t>10 Jan 2023</w:t>
    </w:r>
    <w:r>
      <w:rPr>
        <w:sz w:val="16"/>
      </w:rPr>
      <w:t>] [</w:t>
    </w:r>
    <w:r w:rsidR="006062B3">
      <w:rPr>
        <w:noProof/>
        <w:sz w:val="16"/>
      </w:rPr>
      <w:t>2:47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B01" w:rsidRDefault="00253B01" w:rsidP="000E43EA">
    <w:pPr>
      <w:tabs>
        <w:tab w:val="right" w:pos="8931"/>
      </w:tabs>
    </w:pPr>
    <w:r>
      <w:rPr>
        <w:sz w:val="16"/>
      </w:rPr>
      <w:t>[</w:t>
    </w:r>
    <w:r w:rsidR="006062B3">
      <w:rPr>
        <w:noProof/>
        <w:sz w:val="16"/>
      </w:rPr>
      <w:t>s06rd391.v154.docx</w:t>
    </w:r>
    <w:r>
      <w:rPr>
        <w:sz w:val="16"/>
      </w:rPr>
      <w:t>] [</w:t>
    </w:r>
    <w:r w:rsidR="006062B3">
      <w:rPr>
        <w:noProof/>
        <w:sz w:val="16"/>
      </w:rPr>
      <w:t>10 Jan 2023</w:t>
    </w:r>
    <w:r>
      <w:rPr>
        <w:sz w:val="16"/>
      </w:rPr>
      <w:t>] [</w:t>
    </w:r>
    <w:r w:rsidR="006062B3">
      <w:rPr>
        <w:noProof/>
        <w:sz w:val="16"/>
      </w:rPr>
      <w:t>2:47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B01" w:rsidRDefault="00253B01" w:rsidP="00A34568">
      <w:pPr>
        <w:spacing w:line="240" w:lineRule="auto"/>
      </w:pPr>
      <w:r>
        <w:separator/>
      </w:r>
    </w:p>
  </w:footnote>
  <w:footnote w:type="continuationSeparator" w:id="0">
    <w:p w:rsidR="00253B01" w:rsidRDefault="00253B01"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B01" w:rsidRDefault="00253B01" w:rsidP="000E43EA">
    <w:pPr>
      <w:pStyle w:val="Header"/>
    </w:pPr>
    <w:r>
      <w:rPr>
        <w:rStyle w:val="PageNumber"/>
      </w:rPr>
      <w:fldChar w:fldCharType="begin"/>
    </w:r>
    <w:r>
      <w:rPr>
        <w:rStyle w:val="PageNumber"/>
      </w:rPr>
      <w:instrText xml:space="preserve"> STYLEREF "Head 1" </w:instrText>
    </w:r>
    <w:r>
      <w:rPr>
        <w:rStyle w:val="PageNumber"/>
      </w:rPr>
      <w:fldChar w:fldCharType="separate"/>
    </w:r>
    <w:r w:rsidR="008E2181">
      <w:rPr>
        <w:rStyle w:val="PageNumber"/>
        <w:noProof/>
      </w:rPr>
      <w:t>Drafting Direction No. 4.2</w:t>
    </w:r>
    <w:r w:rsidR="008E2181">
      <w:rPr>
        <w:rStyle w:val="PageNumber"/>
        <w:noProof/>
      </w:rPr>
      <w:br/>
      <w:t>Referral of drafts to agencies</w:t>
    </w:r>
    <w:r>
      <w:rPr>
        <w:rStyle w:val="PageNumber"/>
      </w:rPr>
      <w:fldChar w:fldCharType="end"/>
    </w:r>
  </w:p>
  <w:p w:rsidR="00253B01" w:rsidRDefault="00253B01" w:rsidP="000E4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B01" w:rsidRDefault="00253B01" w:rsidP="000E43EA">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8E2181">
      <w:rPr>
        <w:rStyle w:val="PageNumber"/>
        <w:noProof/>
      </w:rPr>
      <w:t>Drafting Direction No. 4.2</w:t>
    </w:r>
    <w:r w:rsidR="008E2181">
      <w:rPr>
        <w:rStyle w:val="PageNumber"/>
        <w:noProof/>
      </w:rPr>
      <w:br/>
      <w:t>Referral of drafts to agencies</w:t>
    </w:r>
    <w:r>
      <w:rPr>
        <w:rStyle w:val="PageNumber"/>
      </w:rPr>
      <w:fldChar w:fldCharType="end"/>
    </w:r>
  </w:p>
  <w:p w:rsidR="00253B01" w:rsidRDefault="00253B01" w:rsidP="000E43E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B01" w:rsidRDefault="00253B01" w:rsidP="000E43EA">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8E2181">
      <w:rPr>
        <w:rStyle w:val="PageNumber"/>
        <w:noProof/>
      </w:rPr>
      <w:t>Drafting Direction No. 4.2</w:t>
    </w:r>
    <w:r w:rsidR="008E2181">
      <w:rPr>
        <w:rStyle w:val="PageNumber"/>
        <w:noProof/>
      </w:rPr>
      <w:br/>
      <w:t>Referral of drafts to agencies</w:t>
    </w:r>
    <w:r>
      <w:rPr>
        <w:rStyle w:val="PageNumber"/>
      </w:rPr>
      <w:fldChar w:fldCharType="end"/>
    </w:r>
  </w:p>
  <w:p w:rsidR="00253B01" w:rsidRDefault="00253B01" w:rsidP="000E43EA">
    <w:pPr>
      <w:pStyle w:val="Header"/>
      <w:spacing w:before="240" w:after="600"/>
      <w:jc w:val="center"/>
      <w:rPr>
        <w:b/>
        <w:caps/>
        <w:sz w:val="36"/>
        <w:lang w:val="en-US"/>
      </w:rPr>
    </w:pPr>
    <w:r>
      <w:rPr>
        <w:b/>
        <w:caps/>
        <w:sz w:val="36"/>
        <w:lang w:val="en-US"/>
      </w:rPr>
      <w:t>Parliamentary Counsel</w:t>
    </w:r>
  </w:p>
  <w:p w:rsidR="00253B01" w:rsidRDefault="00253B01" w:rsidP="000E43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A89336B"/>
    <w:multiLevelType w:val="hybridMultilevel"/>
    <w:tmpl w:val="BADAAE0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28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9AB"/>
    <w:rsid w:val="000013C1"/>
    <w:rsid w:val="00004963"/>
    <w:rsid w:val="00004B31"/>
    <w:rsid w:val="00005001"/>
    <w:rsid w:val="00005892"/>
    <w:rsid w:val="0000791A"/>
    <w:rsid w:val="00010090"/>
    <w:rsid w:val="00011F36"/>
    <w:rsid w:val="000128D1"/>
    <w:rsid w:val="000136AF"/>
    <w:rsid w:val="0001531B"/>
    <w:rsid w:val="00017E8F"/>
    <w:rsid w:val="000225A1"/>
    <w:rsid w:val="000227EC"/>
    <w:rsid w:val="00022D75"/>
    <w:rsid w:val="00023E05"/>
    <w:rsid w:val="00025E4A"/>
    <w:rsid w:val="0002661E"/>
    <w:rsid w:val="00027B27"/>
    <w:rsid w:val="00030870"/>
    <w:rsid w:val="00032D3F"/>
    <w:rsid w:val="00033E5A"/>
    <w:rsid w:val="00040F16"/>
    <w:rsid w:val="000420F7"/>
    <w:rsid w:val="00043641"/>
    <w:rsid w:val="00044779"/>
    <w:rsid w:val="0004515C"/>
    <w:rsid w:val="000531A3"/>
    <w:rsid w:val="000537D9"/>
    <w:rsid w:val="00054303"/>
    <w:rsid w:val="00056743"/>
    <w:rsid w:val="00056AB2"/>
    <w:rsid w:val="0005760A"/>
    <w:rsid w:val="00057AFA"/>
    <w:rsid w:val="000614BF"/>
    <w:rsid w:val="00065D50"/>
    <w:rsid w:val="0007108B"/>
    <w:rsid w:val="000731DD"/>
    <w:rsid w:val="00074BA5"/>
    <w:rsid w:val="00075AB5"/>
    <w:rsid w:val="00076065"/>
    <w:rsid w:val="0008387A"/>
    <w:rsid w:val="00085262"/>
    <w:rsid w:val="000854C2"/>
    <w:rsid w:val="00087B1B"/>
    <w:rsid w:val="00087CE3"/>
    <w:rsid w:val="00091039"/>
    <w:rsid w:val="00091AF7"/>
    <w:rsid w:val="00092CCF"/>
    <w:rsid w:val="00093F5A"/>
    <w:rsid w:val="00094874"/>
    <w:rsid w:val="00094933"/>
    <w:rsid w:val="00097011"/>
    <w:rsid w:val="000978A1"/>
    <w:rsid w:val="000A0CEC"/>
    <w:rsid w:val="000A1483"/>
    <w:rsid w:val="000A5804"/>
    <w:rsid w:val="000A58E7"/>
    <w:rsid w:val="000A5F62"/>
    <w:rsid w:val="000A786F"/>
    <w:rsid w:val="000B1170"/>
    <w:rsid w:val="000B225E"/>
    <w:rsid w:val="000B4388"/>
    <w:rsid w:val="000B4659"/>
    <w:rsid w:val="000B6867"/>
    <w:rsid w:val="000B7960"/>
    <w:rsid w:val="000B7BBD"/>
    <w:rsid w:val="000C00CF"/>
    <w:rsid w:val="000C4179"/>
    <w:rsid w:val="000C4298"/>
    <w:rsid w:val="000C61E7"/>
    <w:rsid w:val="000C7915"/>
    <w:rsid w:val="000D03FC"/>
    <w:rsid w:val="000D05EF"/>
    <w:rsid w:val="000D07E9"/>
    <w:rsid w:val="000D1CAD"/>
    <w:rsid w:val="000D41F1"/>
    <w:rsid w:val="000D5B6E"/>
    <w:rsid w:val="000D5D93"/>
    <w:rsid w:val="000D61A1"/>
    <w:rsid w:val="000E43EA"/>
    <w:rsid w:val="000E610F"/>
    <w:rsid w:val="000F08C8"/>
    <w:rsid w:val="000F0D17"/>
    <w:rsid w:val="000F5608"/>
    <w:rsid w:val="000F697B"/>
    <w:rsid w:val="000F6F11"/>
    <w:rsid w:val="00101BD5"/>
    <w:rsid w:val="001032A1"/>
    <w:rsid w:val="00104AEA"/>
    <w:rsid w:val="00104E42"/>
    <w:rsid w:val="00105B1F"/>
    <w:rsid w:val="0010615B"/>
    <w:rsid w:val="0010745C"/>
    <w:rsid w:val="00107551"/>
    <w:rsid w:val="00110755"/>
    <w:rsid w:val="00111E36"/>
    <w:rsid w:val="0011202F"/>
    <w:rsid w:val="001136A7"/>
    <w:rsid w:val="00113CC6"/>
    <w:rsid w:val="00114D94"/>
    <w:rsid w:val="00114DB5"/>
    <w:rsid w:val="0011551B"/>
    <w:rsid w:val="001157E8"/>
    <w:rsid w:val="00115977"/>
    <w:rsid w:val="001207B4"/>
    <w:rsid w:val="001216CC"/>
    <w:rsid w:val="00122EE3"/>
    <w:rsid w:val="00123842"/>
    <w:rsid w:val="00127E52"/>
    <w:rsid w:val="00131293"/>
    <w:rsid w:val="0013762D"/>
    <w:rsid w:val="00137CFD"/>
    <w:rsid w:val="00141ABB"/>
    <w:rsid w:val="00143ADD"/>
    <w:rsid w:val="0014761E"/>
    <w:rsid w:val="001514E3"/>
    <w:rsid w:val="00152339"/>
    <w:rsid w:val="00153B8A"/>
    <w:rsid w:val="001555AA"/>
    <w:rsid w:val="001558EE"/>
    <w:rsid w:val="00157F22"/>
    <w:rsid w:val="00160D2C"/>
    <w:rsid w:val="00164F52"/>
    <w:rsid w:val="0016564C"/>
    <w:rsid w:val="00166144"/>
    <w:rsid w:val="0016657F"/>
    <w:rsid w:val="00166C2F"/>
    <w:rsid w:val="00170BFF"/>
    <w:rsid w:val="00171BB2"/>
    <w:rsid w:val="0017495B"/>
    <w:rsid w:val="00174D63"/>
    <w:rsid w:val="001752CC"/>
    <w:rsid w:val="00175A00"/>
    <w:rsid w:val="00176AC8"/>
    <w:rsid w:val="001816AD"/>
    <w:rsid w:val="001817BB"/>
    <w:rsid w:val="00182A5D"/>
    <w:rsid w:val="00182F83"/>
    <w:rsid w:val="00184C70"/>
    <w:rsid w:val="00190AE1"/>
    <w:rsid w:val="00191485"/>
    <w:rsid w:val="001916E5"/>
    <w:rsid w:val="001925DD"/>
    <w:rsid w:val="001927EF"/>
    <w:rsid w:val="001939E1"/>
    <w:rsid w:val="00195382"/>
    <w:rsid w:val="00197226"/>
    <w:rsid w:val="001A2B8B"/>
    <w:rsid w:val="001A384F"/>
    <w:rsid w:val="001A6A44"/>
    <w:rsid w:val="001A7F64"/>
    <w:rsid w:val="001B0E36"/>
    <w:rsid w:val="001B1BBB"/>
    <w:rsid w:val="001B338E"/>
    <w:rsid w:val="001B33A2"/>
    <w:rsid w:val="001B3EB6"/>
    <w:rsid w:val="001B434F"/>
    <w:rsid w:val="001B473B"/>
    <w:rsid w:val="001B7C2D"/>
    <w:rsid w:val="001C69C4"/>
    <w:rsid w:val="001C72DE"/>
    <w:rsid w:val="001C778A"/>
    <w:rsid w:val="001C7D5E"/>
    <w:rsid w:val="001D1D07"/>
    <w:rsid w:val="001D311D"/>
    <w:rsid w:val="001D57BE"/>
    <w:rsid w:val="001D658A"/>
    <w:rsid w:val="001D664B"/>
    <w:rsid w:val="001D76A0"/>
    <w:rsid w:val="001E3407"/>
    <w:rsid w:val="001E3590"/>
    <w:rsid w:val="001E374A"/>
    <w:rsid w:val="001E4805"/>
    <w:rsid w:val="001E6715"/>
    <w:rsid w:val="001E7034"/>
    <w:rsid w:val="001E70E6"/>
    <w:rsid w:val="001E7407"/>
    <w:rsid w:val="001F1084"/>
    <w:rsid w:val="001F1DFF"/>
    <w:rsid w:val="001F3E1D"/>
    <w:rsid w:val="001F42FC"/>
    <w:rsid w:val="001F782D"/>
    <w:rsid w:val="00200414"/>
    <w:rsid w:val="002007BA"/>
    <w:rsid w:val="002024BF"/>
    <w:rsid w:val="00210178"/>
    <w:rsid w:val="002106C1"/>
    <w:rsid w:val="00210F97"/>
    <w:rsid w:val="002119F8"/>
    <w:rsid w:val="0021649E"/>
    <w:rsid w:val="00216ECA"/>
    <w:rsid w:val="0022446F"/>
    <w:rsid w:val="002253C6"/>
    <w:rsid w:val="00227092"/>
    <w:rsid w:val="00227E0C"/>
    <w:rsid w:val="0023007F"/>
    <w:rsid w:val="0023335A"/>
    <w:rsid w:val="00236223"/>
    <w:rsid w:val="002365B6"/>
    <w:rsid w:val="0024024E"/>
    <w:rsid w:val="00240A8A"/>
    <w:rsid w:val="00245DBD"/>
    <w:rsid w:val="00246668"/>
    <w:rsid w:val="00246947"/>
    <w:rsid w:val="00250280"/>
    <w:rsid w:val="00251DF2"/>
    <w:rsid w:val="00253B01"/>
    <w:rsid w:val="00253D1B"/>
    <w:rsid w:val="00254A29"/>
    <w:rsid w:val="00254AE9"/>
    <w:rsid w:val="00260915"/>
    <w:rsid w:val="00261F6C"/>
    <w:rsid w:val="002637E2"/>
    <w:rsid w:val="00270E3D"/>
    <w:rsid w:val="0027155D"/>
    <w:rsid w:val="00271A24"/>
    <w:rsid w:val="00273135"/>
    <w:rsid w:val="002742C7"/>
    <w:rsid w:val="00276DFE"/>
    <w:rsid w:val="00282305"/>
    <w:rsid w:val="002823C8"/>
    <w:rsid w:val="002829A2"/>
    <w:rsid w:val="00282FCB"/>
    <w:rsid w:val="00283688"/>
    <w:rsid w:val="00287D3E"/>
    <w:rsid w:val="0029175C"/>
    <w:rsid w:val="00292DCE"/>
    <w:rsid w:val="00293B42"/>
    <w:rsid w:val="00295FBA"/>
    <w:rsid w:val="002970D7"/>
    <w:rsid w:val="00297ECB"/>
    <w:rsid w:val="002A0BE0"/>
    <w:rsid w:val="002A2456"/>
    <w:rsid w:val="002A4849"/>
    <w:rsid w:val="002B1993"/>
    <w:rsid w:val="002B5933"/>
    <w:rsid w:val="002B776D"/>
    <w:rsid w:val="002C4973"/>
    <w:rsid w:val="002C51F5"/>
    <w:rsid w:val="002C5AEC"/>
    <w:rsid w:val="002C7E8F"/>
    <w:rsid w:val="002D043A"/>
    <w:rsid w:val="002D098D"/>
    <w:rsid w:val="002D16F8"/>
    <w:rsid w:val="002D255E"/>
    <w:rsid w:val="002D4268"/>
    <w:rsid w:val="002E1747"/>
    <w:rsid w:val="002E2A13"/>
    <w:rsid w:val="002E2D0D"/>
    <w:rsid w:val="002E2E45"/>
    <w:rsid w:val="002E49AE"/>
    <w:rsid w:val="002E714D"/>
    <w:rsid w:val="002E7241"/>
    <w:rsid w:val="002E7288"/>
    <w:rsid w:val="002E76B4"/>
    <w:rsid w:val="002F11FC"/>
    <w:rsid w:val="002F1AB8"/>
    <w:rsid w:val="002F28C6"/>
    <w:rsid w:val="002F2B80"/>
    <w:rsid w:val="002F2FBB"/>
    <w:rsid w:val="002F5122"/>
    <w:rsid w:val="002F528B"/>
    <w:rsid w:val="002F60E9"/>
    <w:rsid w:val="002F708B"/>
    <w:rsid w:val="0030193C"/>
    <w:rsid w:val="00304365"/>
    <w:rsid w:val="00305696"/>
    <w:rsid w:val="003057BE"/>
    <w:rsid w:val="00305FC6"/>
    <w:rsid w:val="00306952"/>
    <w:rsid w:val="00310ABA"/>
    <w:rsid w:val="003113A5"/>
    <w:rsid w:val="00312867"/>
    <w:rsid w:val="003132B4"/>
    <w:rsid w:val="00313A2C"/>
    <w:rsid w:val="00314A92"/>
    <w:rsid w:val="00314D9F"/>
    <w:rsid w:val="00317189"/>
    <w:rsid w:val="003231D5"/>
    <w:rsid w:val="00324549"/>
    <w:rsid w:val="00327136"/>
    <w:rsid w:val="00330DAE"/>
    <w:rsid w:val="0033253D"/>
    <w:rsid w:val="003340C4"/>
    <w:rsid w:val="0033624C"/>
    <w:rsid w:val="003362BC"/>
    <w:rsid w:val="00340D98"/>
    <w:rsid w:val="00342B18"/>
    <w:rsid w:val="00343E92"/>
    <w:rsid w:val="00343F3D"/>
    <w:rsid w:val="003443B5"/>
    <w:rsid w:val="00346994"/>
    <w:rsid w:val="0034762E"/>
    <w:rsid w:val="003506DB"/>
    <w:rsid w:val="00350D0F"/>
    <w:rsid w:val="0035178A"/>
    <w:rsid w:val="00352B0F"/>
    <w:rsid w:val="00353E76"/>
    <w:rsid w:val="003543D0"/>
    <w:rsid w:val="00360DE8"/>
    <w:rsid w:val="00360FB0"/>
    <w:rsid w:val="0036115D"/>
    <w:rsid w:val="00361E3A"/>
    <w:rsid w:val="00362CED"/>
    <w:rsid w:val="00363340"/>
    <w:rsid w:val="00363999"/>
    <w:rsid w:val="003665FA"/>
    <w:rsid w:val="0037089B"/>
    <w:rsid w:val="00370E67"/>
    <w:rsid w:val="00375644"/>
    <w:rsid w:val="00375A50"/>
    <w:rsid w:val="00376F15"/>
    <w:rsid w:val="00377657"/>
    <w:rsid w:val="003806BC"/>
    <w:rsid w:val="00385526"/>
    <w:rsid w:val="003856FA"/>
    <w:rsid w:val="00385733"/>
    <w:rsid w:val="00387078"/>
    <w:rsid w:val="0039245D"/>
    <w:rsid w:val="0039348C"/>
    <w:rsid w:val="0039362D"/>
    <w:rsid w:val="00394D91"/>
    <w:rsid w:val="0039532F"/>
    <w:rsid w:val="00396966"/>
    <w:rsid w:val="00397CDD"/>
    <w:rsid w:val="003A3D70"/>
    <w:rsid w:val="003A4E33"/>
    <w:rsid w:val="003A6854"/>
    <w:rsid w:val="003A79EA"/>
    <w:rsid w:val="003B10F0"/>
    <w:rsid w:val="003B231B"/>
    <w:rsid w:val="003B2B81"/>
    <w:rsid w:val="003B5735"/>
    <w:rsid w:val="003B5A37"/>
    <w:rsid w:val="003B7E5E"/>
    <w:rsid w:val="003C5DA6"/>
    <w:rsid w:val="003C6D28"/>
    <w:rsid w:val="003C7AFD"/>
    <w:rsid w:val="003D0229"/>
    <w:rsid w:val="003D0BFE"/>
    <w:rsid w:val="003D1234"/>
    <w:rsid w:val="003D16C6"/>
    <w:rsid w:val="003D27AD"/>
    <w:rsid w:val="003D34B6"/>
    <w:rsid w:val="003D4D92"/>
    <w:rsid w:val="003D50C0"/>
    <w:rsid w:val="003D5700"/>
    <w:rsid w:val="003D65B2"/>
    <w:rsid w:val="003D6D2D"/>
    <w:rsid w:val="003D7E56"/>
    <w:rsid w:val="003E1BE9"/>
    <w:rsid w:val="003F037C"/>
    <w:rsid w:val="003F0A7B"/>
    <w:rsid w:val="003F2DB9"/>
    <w:rsid w:val="003F32DD"/>
    <w:rsid w:val="003F3BD2"/>
    <w:rsid w:val="003F57A6"/>
    <w:rsid w:val="003F6B51"/>
    <w:rsid w:val="003F762E"/>
    <w:rsid w:val="0040157D"/>
    <w:rsid w:val="00402250"/>
    <w:rsid w:val="00402333"/>
    <w:rsid w:val="004023A6"/>
    <w:rsid w:val="0040431F"/>
    <w:rsid w:val="00404AA5"/>
    <w:rsid w:val="00406B87"/>
    <w:rsid w:val="00407395"/>
    <w:rsid w:val="00407F80"/>
    <w:rsid w:val="004102D3"/>
    <w:rsid w:val="004116CD"/>
    <w:rsid w:val="0041235C"/>
    <w:rsid w:val="00414ED4"/>
    <w:rsid w:val="00416314"/>
    <w:rsid w:val="00416503"/>
    <w:rsid w:val="004176C0"/>
    <w:rsid w:val="00423331"/>
    <w:rsid w:val="00424CA9"/>
    <w:rsid w:val="00425485"/>
    <w:rsid w:val="00425A8B"/>
    <w:rsid w:val="004266F5"/>
    <w:rsid w:val="004300BC"/>
    <w:rsid w:val="00432C0D"/>
    <w:rsid w:val="00434C55"/>
    <w:rsid w:val="00442551"/>
    <w:rsid w:val="0044291A"/>
    <w:rsid w:val="00443377"/>
    <w:rsid w:val="0044462B"/>
    <w:rsid w:val="00451941"/>
    <w:rsid w:val="00456625"/>
    <w:rsid w:val="00457961"/>
    <w:rsid w:val="00461DB5"/>
    <w:rsid w:val="00464119"/>
    <w:rsid w:val="004653F8"/>
    <w:rsid w:val="00467180"/>
    <w:rsid w:val="00467651"/>
    <w:rsid w:val="004710A3"/>
    <w:rsid w:val="0047383F"/>
    <w:rsid w:val="00473F77"/>
    <w:rsid w:val="00481BBD"/>
    <w:rsid w:val="00483AA6"/>
    <w:rsid w:val="00484CE2"/>
    <w:rsid w:val="00484E4C"/>
    <w:rsid w:val="004852E2"/>
    <w:rsid w:val="0049141E"/>
    <w:rsid w:val="00495EBC"/>
    <w:rsid w:val="00496F97"/>
    <w:rsid w:val="004A1245"/>
    <w:rsid w:val="004A17EA"/>
    <w:rsid w:val="004A4144"/>
    <w:rsid w:val="004A4459"/>
    <w:rsid w:val="004B06EA"/>
    <w:rsid w:val="004B138D"/>
    <w:rsid w:val="004B3D24"/>
    <w:rsid w:val="004B4B30"/>
    <w:rsid w:val="004B5733"/>
    <w:rsid w:val="004B77A7"/>
    <w:rsid w:val="004C02A5"/>
    <w:rsid w:val="004C0CB5"/>
    <w:rsid w:val="004C30AE"/>
    <w:rsid w:val="004C50A2"/>
    <w:rsid w:val="004C7F93"/>
    <w:rsid w:val="004E2DBB"/>
    <w:rsid w:val="004E37F0"/>
    <w:rsid w:val="004E6E9F"/>
    <w:rsid w:val="004F1744"/>
    <w:rsid w:val="004F4479"/>
    <w:rsid w:val="004F5296"/>
    <w:rsid w:val="00502BE7"/>
    <w:rsid w:val="00504B7C"/>
    <w:rsid w:val="005050D7"/>
    <w:rsid w:val="00505CD1"/>
    <w:rsid w:val="00510F84"/>
    <w:rsid w:val="00512620"/>
    <w:rsid w:val="00512DD1"/>
    <w:rsid w:val="00515BDF"/>
    <w:rsid w:val="00516B8D"/>
    <w:rsid w:val="005341D8"/>
    <w:rsid w:val="005349E7"/>
    <w:rsid w:val="00537FBC"/>
    <w:rsid w:val="005404A2"/>
    <w:rsid w:val="005410AD"/>
    <w:rsid w:val="00541CCD"/>
    <w:rsid w:val="00545C4D"/>
    <w:rsid w:val="005474A6"/>
    <w:rsid w:val="00547FF5"/>
    <w:rsid w:val="005523D3"/>
    <w:rsid w:val="005547D1"/>
    <w:rsid w:val="0055490A"/>
    <w:rsid w:val="0055598D"/>
    <w:rsid w:val="0056069D"/>
    <w:rsid w:val="00562526"/>
    <w:rsid w:val="0056260C"/>
    <w:rsid w:val="00562FCF"/>
    <w:rsid w:val="005646D3"/>
    <w:rsid w:val="00570443"/>
    <w:rsid w:val="0057053E"/>
    <w:rsid w:val="005707C3"/>
    <w:rsid w:val="00570EC3"/>
    <w:rsid w:val="00571DA3"/>
    <w:rsid w:val="00572B2B"/>
    <w:rsid w:val="00572C6D"/>
    <w:rsid w:val="00573416"/>
    <w:rsid w:val="0057464A"/>
    <w:rsid w:val="00575787"/>
    <w:rsid w:val="00577F63"/>
    <w:rsid w:val="005810B0"/>
    <w:rsid w:val="005815E1"/>
    <w:rsid w:val="00581F58"/>
    <w:rsid w:val="005830CB"/>
    <w:rsid w:val="005834DD"/>
    <w:rsid w:val="00583660"/>
    <w:rsid w:val="0058439F"/>
    <w:rsid w:val="005845C4"/>
    <w:rsid w:val="00584811"/>
    <w:rsid w:val="00584DA2"/>
    <w:rsid w:val="00585153"/>
    <w:rsid w:val="005904E4"/>
    <w:rsid w:val="00590FF9"/>
    <w:rsid w:val="0059128E"/>
    <w:rsid w:val="00591DA1"/>
    <w:rsid w:val="00593FB4"/>
    <w:rsid w:val="00594161"/>
    <w:rsid w:val="005946C8"/>
    <w:rsid w:val="00594749"/>
    <w:rsid w:val="00597BEC"/>
    <w:rsid w:val="005A1B45"/>
    <w:rsid w:val="005A29C1"/>
    <w:rsid w:val="005A45D4"/>
    <w:rsid w:val="005A7006"/>
    <w:rsid w:val="005B189B"/>
    <w:rsid w:val="005B215D"/>
    <w:rsid w:val="005B5003"/>
    <w:rsid w:val="005B6743"/>
    <w:rsid w:val="005C04E2"/>
    <w:rsid w:val="005C0650"/>
    <w:rsid w:val="005C1A35"/>
    <w:rsid w:val="005C43FB"/>
    <w:rsid w:val="005C58E6"/>
    <w:rsid w:val="005C5A2C"/>
    <w:rsid w:val="005C6307"/>
    <w:rsid w:val="005C678C"/>
    <w:rsid w:val="005C6BD2"/>
    <w:rsid w:val="005D08F4"/>
    <w:rsid w:val="005D2132"/>
    <w:rsid w:val="005D3E48"/>
    <w:rsid w:val="005D64F5"/>
    <w:rsid w:val="005E28E9"/>
    <w:rsid w:val="005E3533"/>
    <w:rsid w:val="005E39CE"/>
    <w:rsid w:val="005E3B08"/>
    <w:rsid w:val="005F48AC"/>
    <w:rsid w:val="005F703A"/>
    <w:rsid w:val="005F7A20"/>
    <w:rsid w:val="00600219"/>
    <w:rsid w:val="00602EF2"/>
    <w:rsid w:val="0060482D"/>
    <w:rsid w:val="006062B3"/>
    <w:rsid w:val="00613F76"/>
    <w:rsid w:val="00614D58"/>
    <w:rsid w:val="00617A49"/>
    <w:rsid w:val="006207A3"/>
    <w:rsid w:val="0062191B"/>
    <w:rsid w:val="00621AF9"/>
    <w:rsid w:val="006222A8"/>
    <w:rsid w:val="00623191"/>
    <w:rsid w:val="00623A3F"/>
    <w:rsid w:val="0062437B"/>
    <w:rsid w:val="0062733E"/>
    <w:rsid w:val="00627C52"/>
    <w:rsid w:val="0063155B"/>
    <w:rsid w:val="00640388"/>
    <w:rsid w:val="0064190E"/>
    <w:rsid w:val="00643589"/>
    <w:rsid w:val="00644508"/>
    <w:rsid w:val="00646CE6"/>
    <w:rsid w:val="00647314"/>
    <w:rsid w:val="0065209F"/>
    <w:rsid w:val="00655465"/>
    <w:rsid w:val="00655BB5"/>
    <w:rsid w:val="00663F11"/>
    <w:rsid w:val="00665889"/>
    <w:rsid w:val="00670140"/>
    <w:rsid w:val="00671CBD"/>
    <w:rsid w:val="0067258E"/>
    <w:rsid w:val="0067338D"/>
    <w:rsid w:val="00674372"/>
    <w:rsid w:val="00674809"/>
    <w:rsid w:val="00676667"/>
    <w:rsid w:val="00676E77"/>
    <w:rsid w:val="00677843"/>
    <w:rsid w:val="00677CC2"/>
    <w:rsid w:val="00680F77"/>
    <w:rsid w:val="00681D8A"/>
    <w:rsid w:val="00682D93"/>
    <w:rsid w:val="006830B0"/>
    <w:rsid w:val="00687C09"/>
    <w:rsid w:val="006910CA"/>
    <w:rsid w:val="0069207B"/>
    <w:rsid w:val="00692F4F"/>
    <w:rsid w:val="00694358"/>
    <w:rsid w:val="00696863"/>
    <w:rsid w:val="006A1667"/>
    <w:rsid w:val="006A1D07"/>
    <w:rsid w:val="006A218C"/>
    <w:rsid w:val="006A2431"/>
    <w:rsid w:val="006A47A3"/>
    <w:rsid w:val="006A5168"/>
    <w:rsid w:val="006B03D2"/>
    <w:rsid w:val="006B0AC2"/>
    <w:rsid w:val="006B2EF0"/>
    <w:rsid w:val="006B3A94"/>
    <w:rsid w:val="006B5A8A"/>
    <w:rsid w:val="006B6121"/>
    <w:rsid w:val="006B6178"/>
    <w:rsid w:val="006C0B25"/>
    <w:rsid w:val="006C15E1"/>
    <w:rsid w:val="006C2CBA"/>
    <w:rsid w:val="006C35A8"/>
    <w:rsid w:val="006C3E0B"/>
    <w:rsid w:val="006C4E75"/>
    <w:rsid w:val="006C7F8C"/>
    <w:rsid w:val="006D024E"/>
    <w:rsid w:val="006D1FAB"/>
    <w:rsid w:val="006D23B0"/>
    <w:rsid w:val="006D3B2E"/>
    <w:rsid w:val="006D40DC"/>
    <w:rsid w:val="006D60AC"/>
    <w:rsid w:val="006E02BE"/>
    <w:rsid w:val="006E2901"/>
    <w:rsid w:val="006E325C"/>
    <w:rsid w:val="006E3F48"/>
    <w:rsid w:val="006E4DE7"/>
    <w:rsid w:val="006E7684"/>
    <w:rsid w:val="006F606A"/>
    <w:rsid w:val="006F628B"/>
    <w:rsid w:val="006F6DB9"/>
    <w:rsid w:val="006F79D0"/>
    <w:rsid w:val="007018B8"/>
    <w:rsid w:val="00705CF1"/>
    <w:rsid w:val="0070653F"/>
    <w:rsid w:val="007107D0"/>
    <w:rsid w:val="00710CC3"/>
    <w:rsid w:val="0071130C"/>
    <w:rsid w:val="0071376F"/>
    <w:rsid w:val="00715CE5"/>
    <w:rsid w:val="0071607B"/>
    <w:rsid w:val="007215BC"/>
    <w:rsid w:val="00727062"/>
    <w:rsid w:val="007276BC"/>
    <w:rsid w:val="007306CC"/>
    <w:rsid w:val="00731E00"/>
    <w:rsid w:val="0073263E"/>
    <w:rsid w:val="00733990"/>
    <w:rsid w:val="00735F7F"/>
    <w:rsid w:val="0074374C"/>
    <w:rsid w:val="00750518"/>
    <w:rsid w:val="00753B97"/>
    <w:rsid w:val="007559D7"/>
    <w:rsid w:val="00757768"/>
    <w:rsid w:val="00762814"/>
    <w:rsid w:val="00762A44"/>
    <w:rsid w:val="0076417F"/>
    <w:rsid w:val="00767CA0"/>
    <w:rsid w:val="0077059E"/>
    <w:rsid w:val="007715C9"/>
    <w:rsid w:val="007747B1"/>
    <w:rsid w:val="00774EDD"/>
    <w:rsid w:val="007757EC"/>
    <w:rsid w:val="00776073"/>
    <w:rsid w:val="00777E5F"/>
    <w:rsid w:val="00780477"/>
    <w:rsid w:val="00780CF6"/>
    <w:rsid w:val="00780E82"/>
    <w:rsid w:val="00783C07"/>
    <w:rsid w:val="00783C16"/>
    <w:rsid w:val="00784954"/>
    <w:rsid w:val="0078554A"/>
    <w:rsid w:val="00786C02"/>
    <w:rsid w:val="0079019F"/>
    <w:rsid w:val="00790387"/>
    <w:rsid w:val="0079082C"/>
    <w:rsid w:val="0079145E"/>
    <w:rsid w:val="00793025"/>
    <w:rsid w:val="007949A2"/>
    <w:rsid w:val="00794A33"/>
    <w:rsid w:val="00794AEF"/>
    <w:rsid w:val="007A05F5"/>
    <w:rsid w:val="007A0A2E"/>
    <w:rsid w:val="007A151B"/>
    <w:rsid w:val="007A1B73"/>
    <w:rsid w:val="007A2D57"/>
    <w:rsid w:val="007A63AE"/>
    <w:rsid w:val="007A7530"/>
    <w:rsid w:val="007A7622"/>
    <w:rsid w:val="007B07CA"/>
    <w:rsid w:val="007B1829"/>
    <w:rsid w:val="007B45BA"/>
    <w:rsid w:val="007B46B1"/>
    <w:rsid w:val="007B4771"/>
    <w:rsid w:val="007B4935"/>
    <w:rsid w:val="007B4CC4"/>
    <w:rsid w:val="007B5D48"/>
    <w:rsid w:val="007B6360"/>
    <w:rsid w:val="007C06B6"/>
    <w:rsid w:val="007C2CE1"/>
    <w:rsid w:val="007C5FD7"/>
    <w:rsid w:val="007C6FE5"/>
    <w:rsid w:val="007D1198"/>
    <w:rsid w:val="007D132E"/>
    <w:rsid w:val="007D1D1E"/>
    <w:rsid w:val="007D2FED"/>
    <w:rsid w:val="007D44CB"/>
    <w:rsid w:val="007D4DCD"/>
    <w:rsid w:val="007D539F"/>
    <w:rsid w:val="007D7957"/>
    <w:rsid w:val="007E0781"/>
    <w:rsid w:val="007E18C2"/>
    <w:rsid w:val="007E23D8"/>
    <w:rsid w:val="007E3484"/>
    <w:rsid w:val="007E3F56"/>
    <w:rsid w:val="007E4348"/>
    <w:rsid w:val="007E4686"/>
    <w:rsid w:val="007E4BE6"/>
    <w:rsid w:val="007E7830"/>
    <w:rsid w:val="007F0FE3"/>
    <w:rsid w:val="007F180D"/>
    <w:rsid w:val="007F1A1E"/>
    <w:rsid w:val="007F1BC5"/>
    <w:rsid w:val="007F4F56"/>
    <w:rsid w:val="00800B3A"/>
    <w:rsid w:val="008050FB"/>
    <w:rsid w:val="008069D7"/>
    <w:rsid w:val="00817E77"/>
    <w:rsid w:val="008224CC"/>
    <w:rsid w:val="00822535"/>
    <w:rsid w:val="00822A09"/>
    <w:rsid w:val="008264B9"/>
    <w:rsid w:val="00827FC9"/>
    <w:rsid w:val="0083085E"/>
    <w:rsid w:val="00831BCD"/>
    <w:rsid w:val="00831D11"/>
    <w:rsid w:val="008320C3"/>
    <w:rsid w:val="008322FA"/>
    <w:rsid w:val="00832391"/>
    <w:rsid w:val="008349B1"/>
    <w:rsid w:val="00835FF6"/>
    <w:rsid w:val="00836DAE"/>
    <w:rsid w:val="00837630"/>
    <w:rsid w:val="0084011A"/>
    <w:rsid w:val="00843401"/>
    <w:rsid w:val="0084581E"/>
    <w:rsid w:val="00850681"/>
    <w:rsid w:val="00851362"/>
    <w:rsid w:val="00851E15"/>
    <w:rsid w:val="00852BD2"/>
    <w:rsid w:val="00853D43"/>
    <w:rsid w:val="00854160"/>
    <w:rsid w:val="00856A31"/>
    <w:rsid w:val="00857AB9"/>
    <w:rsid w:val="00860BE7"/>
    <w:rsid w:val="008651E2"/>
    <w:rsid w:val="008661F8"/>
    <w:rsid w:val="00867F06"/>
    <w:rsid w:val="00873722"/>
    <w:rsid w:val="00874063"/>
    <w:rsid w:val="008747E1"/>
    <w:rsid w:val="00875494"/>
    <w:rsid w:val="008754D0"/>
    <w:rsid w:val="00875F30"/>
    <w:rsid w:val="008819DB"/>
    <w:rsid w:val="00882582"/>
    <w:rsid w:val="008972C5"/>
    <w:rsid w:val="008A0009"/>
    <w:rsid w:val="008A067E"/>
    <w:rsid w:val="008A4F16"/>
    <w:rsid w:val="008A523F"/>
    <w:rsid w:val="008B0D9B"/>
    <w:rsid w:val="008B2E15"/>
    <w:rsid w:val="008B42AD"/>
    <w:rsid w:val="008B46C4"/>
    <w:rsid w:val="008B4A1D"/>
    <w:rsid w:val="008B5F2D"/>
    <w:rsid w:val="008B7672"/>
    <w:rsid w:val="008C1D37"/>
    <w:rsid w:val="008C1DF0"/>
    <w:rsid w:val="008C2295"/>
    <w:rsid w:val="008C6AE2"/>
    <w:rsid w:val="008D0561"/>
    <w:rsid w:val="008D07CC"/>
    <w:rsid w:val="008D0857"/>
    <w:rsid w:val="008D1A7E"/>
    <w:rsid w:val="008D2D37"/>
    <w:rsid w:val="008D7392"/>
    <w:rsid w:val="008E2181"/>
    <w:rsid w:val="008E2C0F"/>
    <w:rsid w:val="008E3B8C"/>
    <w:rsid w:val="008E54BB"/>
    <w:rsid w:val="008F5819"/>
    <w:rsid w:val="008F6367"/>
    <w:rsid w:val="008F6E82"/>
    <w:rsid w:val="008F7F59"/>
    <w:rsid w:val="00901AAD"/>
    <w:rsid w:val="00902AFD"/>
    <w:rsid w:val="0090595B"/>
    <w:rsid w:val="00913B90"/>
    <w:rsid w:val="00916508"/>
    <w:rsid w:val="00921F9B"/>
    <w:rsid w:val="00922AF8"/>
    <w:rsid w:val="00923EDB"/>
    <w:rsid w:val="00924C9C"/>
    <w:rsid w:val="00927DE1"/>
    <w:rsid w:val="00930963"/>
    <w:rsid w:val="0093134D"/>
    <w:rsid w:val="009328D0"/>
    <w:rsid w:val="00932B2C"/>
    <w:rsid w:val="0093584E"/>
    <w:rsid w:val="009358F7"/>
    <w:rsid w:val="00936509"/>
    <w:rsid w:val="009376D7"/>
    <w:rsid w:val="00941C46"/>
    <w:rsid w:val="00942171"/>
    <w:rsid w:val="00942238"/>
    <w:rsid w:val="00942ED4"/>
    <w:rsid w:val="00945353"/>
    <w:rsid w:val="00945A48"/>
    <w:rsid w:val="0094622F"/>
    <w:rsid w:val="00947D0A"/>
    <w:rsid w:val="00950B38"/>
    <w:rsid w:val="00952B7C"/>
    <w:rsid w:val="00953AC9"/>
    <w:rsid w:val="00953D2D"/>
    <w:rsid w:val="00954E19"/>
    <w:rsid w:val="00955014"/>
    <w:rsid w:val="00957CDE"/>
    <w:rsid w:val="00962EDF"/>
    <w:rsid w:val="00964325"/>
    <w:rsid w:val="009662C6"/>
    <w:rsid w:val="00972F52"/>
    <w:rsid w:val="0097417E"/>
    <w:rsid w:val="00976679"/>
    <w:rsid w:val="00980AF2"/>
    <w:rsid w:val="009932AC"/>
    <w:rsid w:val="009935D6"/>
    <w:rsid w:val="009937C4"/>
    <w:rsid w:val="00993CB9"/>
    <w:rsid w:val="0099705E"/>
    <w:rsid w:val="009A175A"/>
    <w:rsid w:val="009A18F1"/>
    <w:rsid w:val="009A1D72"/>
    <w:rsid w:val="009A2CC9"/>
    <w:rsid w:val="009A5C89"/>
    <w:rsid w:val="009A60CA"/>
    <w:rsid w:val="009B078D"/>
    <w:rsid w:val="009B0B09"/>
    <w:rsid w:val="009B3865"/>
    <w:rsid w:val="009B4BBE"/>
    <w:rsid w:val="009B57E3"/>
    <w:rsid w:val="009B5DD7"/>
    <w:rsid w:val="009B6868"/>
    <w:rsid w:val="009B6EE4"/>
    <w:rsid w:val="009B7CE1"/>
    <w:rsid w:val="009B7E3E"/>
    <w:rsid w:val="009C19C0"/>
    <w:rsid w:val="009C29AA"/>
    <w:rsid w:val="009C2B42"/>
    <w:rsid w:val="009D1C61"/>
    <w:rsid w:val="009D2078"/>
    <w:rsid w:val="009D6310"/>
    <w:rsid w:val="009E1917"/>
    <w:rsid w:val="009E204B"/>
    <w:rsid w:val="009E54AF"/>
    <w:rsid w:val="009E57A6"/>
    <w:rsid w:val="009E5C96"/>
    <w:rsid w:val="009E6D30"/>
    <w:rsid w:val="009F1CA1"/>
    <w:rsid w:val="009F37D9"/>
    <w:rsid w:val="00A0302D"/>
    <w:rsid w:val="00A06206"/>
    <w:rsid w:val="00A06493"/>
    <w:rsid w:val="00A0726A"/>
    <w:rsid w:val="00A1054C"/>
    <w:rsid w:val="00A14E5E"/>
    <w:rsid w:val="00A171F6"/>
    <w:rsid w:val="00A17949"/>
    <w:rsid w:val="00A20471"/>
    <w:rsid w:val="00A20C48"/>
    <w:rsid w:val="00A231E2"/>
    <w:rsid w:val="00A25A9A"/>
    <w:rsid w:val="00A27590"/>
    <w:rsid w:val="00A30036"/>
    <w:rsid w:val="00A30BFC"/>
    <w:rsid w:val="00A3131D"/>
    <w:rsid w:val="00A336B3"/>
    <w:rsid w:val="00A34568"/>
    <w:rsid w:val="00A34DC8"/>
    <w:rsid w:val="00A34F68"/>
    <w:rsid w:val="00A46C5E"/>
    <w:rsid w:val="00A5113E"/>
    <w:rsid w:val="00A52104"/>
    <w:rsid w:val="00A52553"/>
    <w:rsid w:val="00A602E0"/>
    <w:rsid w:val="00A61A1F"/>
    <w:rsid w:val="00A64912"/>
    <w:rsid w:val="00A66BF9"/>
    <w:rsid w:val="00A70A74"/>
    <w:rsid w:val="00A70CA2"/>
    <w:rsid w:val="00A715C0"/>
    <w:rsid w:val="00A71ADD"/>
    <w:rsid w:val="00A75257"/>
    <w:rsid w:val="00A82F1B"/>
    <w:rsid w:val="00A843F5"/>
    <w:rsid w:val="00A873EF"/>
    <w:rsid w:val="00A90A69"/>
    <w:rsid w:val="00A9118A"/>
    <w:rsid w:val="00A93DA8"/>
    <w:rsid w:val="00AA38DB"/>
    <w:rsid w:val="00AA3BF5"/>
    <w:rsid w:val="00AA449D"/>
    <w:rsid w:val="00AA4828"/>
    <w:rsid w:val="00AB0FB6"/>
    <w:rsid w:val="00AB1E3E"/>
    <w:rsid w:val="00AB1F2F"/>
    <w:rsid w:val="00AB3F75"/>
    <w:rsid w:val="00AB4E3F"/>
    <w:rsid w:val="00AB65A4"/>
    <w:rsid w:val="00AB71C9"/>
    <w:rsid w:val="00AB7897"/>
    <w:rsid w:val="00AC47D5"/>
    <w:rsid w:val="00AC5A11"/>
    <w:rsid w:val="00AD0157"/>
    <w:rsid w:val="00AD326C"/>
    <w:rsid w:val="00AD5641"/>
    <w:rsid w:val="00AD5F1C"/>
    <w:rsid w:val="00AD66B2"/>
    <w:rsid w:val="00AD74E5"/>
    <w:rsid w:val="00AE1B8D"/>
    <w:rsid w:val="00AE47CF"/>
    <w:rsid w:val="00AE64DF"/>
    <w:rsid w:val="00AE72AD"/>
    <w:rsid w:val="00AF053F"/>
    <w:rsid w:val="00AF0AC7"/>
    <w:rsid w:val="00AF34E1"/>
    <w:rsid w:val="00AF3798"/>
    <w:rsid w:val="00AF3BF6"/>
    <w:rsid w:val="00AF4FB7"/>
    <w:rsid w:val="00AF6BA9"/>
    <w:rsid w:val="00B00581"/>
    <w:rsid w:val="00B02929"/>
    <w:rsid w:val="00B03746"/>
    <w:rsid w:val="00B042CB"/>
    <w:rsid w:val="00B06667"/>
    <w:rsid w:val="00B07E29"/>
    <w:rsid w:val="00B1133E"/>
    <w:rsid w:val="00B11A6D"/>
    <w:rsid w:val="00B14B8C"/>
    <w:rsid w:val="00B15C97"/>
    <w:rsid w:val="00B160B0"/>
    <w:rsid w:val="00B17C1E"/>
    <w:rsid w:val="00B17D59"/>
    <w:rsid w:val="00B2209C"/>
    <w:rsid w:val="00B23108"/>
    <w:rsid w:val="00B23850"/>
    <w:rsid w:val="00B25270"/>
    <w:rsid w:val="00B30394"/>
    <w:rsid w:val="00B33B3C"/>
    <w:rsid w:val="00B33B5B"/>
    <w:rsid w:val="00B34B0B"/>
    <w:rsid w:val="00B34F06"/>
    <w:rsid w:val="00B34F63"/>
    <w:rsid w:val="00B35387"/>
    <w:rsid w:val="00B3642F"/>
    <w:rsid w:val="00B3658D"/>
    <w:rsid w:val="00B36A46"/>
    <w:rsid w:val="00B36AB3"/>
    <w:rsid w:val="00B36BE6"/>
    <w:rsid w:val="00B3704A"/>
    <w:rsid w:val="00B405E3"/>
    <w:rsid w:val="00B406E3"/>
    <w:rsid w:val="00B41747"/>
    <w:rsid w:val="00B4179F"/>
    <w:rsid w:val="00B42CA2"/>
    <w:rsid w:val="00B452B3"/>
    <w:rsid w:val="00B46B04"/>
    <w:rsid w:val="00B51793"/>
    <w:rsid w:val="00B51B11"/>
    <w:rsid w:val="00B52871"/>
    <w:rsid w:val="00B52A31"/>
    <w:rsid w:val="00B54226"/>
    <w:rsid w:val="00B5598D"/>
    <w:rsid w:val="00B62BB4"/>
    <w:rsid w:val="00B63666"/>
    <w:rsid w:val="00B64EAF"/>
    <w:rsid w:val="00B66EF5"/>
    <w:rsid w:val="00B713BA"/>
    <w:rsid w:val="00B77240"/>
    <w:rsid w:val="00B77364"/>
    <w:rsid w:val="00B80EA2"/>
    <w:rsid w:val="00B82655"/>
    <w:rsid w:val="00B8302B"/>
    <w:rsid w:val="00B83C0A"/>
    <w:rsid w:val="00B85375"/>
    <w:rsid w:val="00B9079C"/>
    <w:rsid w:val="00B90904"/>
    <w:rsid w:val="00B90C75"/>
    <w:rsid w:val="00B95637"/>
    <w:rsid w:val="00B95A9E"/>
    <w:rsid w:val="00BA0969"/>
    <w:rsid w:val="00BA18C9"/>
    <w:rsid w:val="00BA1DE2"/>
    <w:rsid w:val="00BA2DFF"/>
    <w:rsid w:val="00BA532E"/>
    <w:rsid w:val="00BA758C"/>
    <w:rsid w:val="00BB1445"/>
    <w:rsid w:val="00BB1831"/>
    <w:rsid w:val="00BB318F"/>
    <w:rsid w:val="00BB390B"/>
    <w:rsid w:val="00BB4147"/>
    <w:rsid w:val="00BB41CB"/>
    <w:rsid w:val="00BB448A"/>
    <w:rsid w:val="00BB5D69"/>
    <w:rsid w:val="00BC0A4B"/>
    <w:rsid w:val="00BC315D"/>
    <w:rsid w:val="00BC3862"/>
    <w:rsid w:val="00BC39DE"/>
    <w:rsid w:val="00BC44AF"/>
    <w:rsid w:val="00BC5A41"/>
    <w:rsid w:val="00BD3BDA"/>
    <w:rsid w:val="00BD4479"/>
    <w:rsid w:val="00BD4729"/>
    <w:rsid w:val="00BE227A"/>
    <w:rsid w:val="00BE5AA3"/>
    <w:rsid w:val="00BE719A"/>
    <w:rsid w:val="00BE720A"/>
    <w:rsid w:val="00BE7AA3"/>
    <w:rsid w:val="00BF16FC"/>
    <w:rsid w:val="00BF1F52"/>
    <w:rsid w:val="00BF3271"/>
    <w:rsid w:val="00BF3927"/>
    <w:rsid w:val="00BF586E"/>
    <w:rsid w:val="00BF5924"/>
    <w:rsid w:val="00BF61D1"/>
    <w:rsid w:val="00BF6517"/>
    <w:rsid w:val="00BF6CDE"/>
    <w:rsid w:val="00C035DD"/>
    <w:rsid w:val="00C0494D"/>
    <w:rsid w:val="00C05D8E"/>
    <w:rsid w:val="00C1157C"/>
    <w:rsid w:val="00C115DA"/>
    <w:rsid w:val="00C11B1C"/>
    <w:rsid w:val="00C12126"/>
    <w:rsid w:val="00C13575"/>
    <w:rsid w:val="00C152E1"/>
    <w:rsid w:val="00C169B8"/>
    <w:rsid w:val="00C2065D"/>
    <w:rsid w:val="00C229E9"/>
    <w:rsid w:val="00C23579"/>
    <w:rsid w:val="00C26126"/>
    <w:rsid w:val="00C3043D"/>
    <w:rsid w:val="00C33B91"/>
    <w:rsid w:val="00C3543F"/>
    <w:rsid w:val="00C36FAA"/>
    <w:rsid w:val="00C37159"/>
    <w:rsid w:val="00C40586"/>
    <w:rsid w:val="00C42975"/>
    <w:rsid w:val="00C42BF8"/>
    <w:rsid w:val="00C4351D"/>
    <w:rsid w:val="00C43593"/>
    <w:rsid w:val="00C44443"/>
    <w:rsid w:val="00C4726C"/>
    <w:rsid w:val="00C4779F"/>
    <w:rsid w:val="00C50043"/>
    <w:rsid w:val="00C51A50"/>
    <w:rsid w:val="00C52F07"/>
    <w:rsid w:val="00C60DB2"/>
    <w:rsid w:val="00C61CDD"/>
    <w:rsid w:val="00C61DA7"/>
    <w:rsid w:val="00C62431"/>
    <w:rsid w:val="00C7573B"/>
    <w:rsid w:val="00C77AB0"/>
    <w:rsid w:val="00C80C20"/>
    <w:rsid w:val="00C849F8"/>
    <w:rsid w:val="00C87625"/>
    <w:rsid w:val="00C90B35"/>
    <w:rsid w:val="00C927B6"/>
    <w:rsid w:val="00C93E9B"/>
    <w:rsid w:val="00C9495B"/>
    <w:rsid w:val="00C95C14"/>
    <w:rsid w:val="00C971B2"/>
    <w:rsid w:val="00CA2C34"/>
    <w:rsid w:val="00CA4F2E"/>
    <w:rsid w:val="00CA6251"/>
    <w:rsid w:val="00CA6C08"/>
    <w:rsid w:val="00CA6DD3"/>
    <w:rsid w:val="00CB04E5"/>
    <w:rsid w:val="00CB1792"/>
    <w:rsid w:val="00CB25C8"/>
    <w:rsid w:val="00CB318E"/>
    <w:rsid w:val="00CB3F7F"/>
    <w:rsid w:val="00CB6445"/>
    <w:rsid w:val="00CB6A4D"/>
    <w:rsid w:val="00CC0AAC"/>
    <w:rsid w:val="00CC0B38"/>
    <w:rsid w:val="00CC0CE9"/>
    <w:rsid w:val="00CC268E"/>
    <w:rsid w:val="00CC67F1"/>
    <w:rsid w:val="00CD0B32"/>
    <w:rsid w:val="00CD1F95"/>
    <w:rsid w:val="00CD23EE"/>
    <w:rsid w:val="00CD2552"/>
    <w:rsid w:val="00CD2587"/>
    <w:rsid w:val="00CD41F7"/>
    <w:rsid w:val="00CD5941"/>
    <w:rsid w:val="00CD603B"/>
    <w:rsid w:val="00CD76A6"/>
    <w:rsid w:val="00CE06AD"/>
    <w:rsid w:val="00CE184E"/>
    <w:rsid w:val="00CE29ED"/>
    <w:rsid w:val="00CE61D5"/>
    <w:rsid w:val="00CE75D2"/>
    <w:rsid w:val="00CF0BB2"/>
    <w:rsid w:val="00CF232A"/>
    <w:rsid w:val="00CF4AE1"/>
    <w:rsid w:val="00CF6953"/>
    <w:rsid w:val="00CF6BBB"/>
    <w:rsid w:val="00CF7BB6"/>
    <w:rsid w:val="00CF7D24"/>
    <w:rsid w:val="00D000DA"/>
    <w:rsid w:val="00D02128"/>
    <w:rsid w:val="00D0273B"/>
    <w:rsid w:val="00D028FD"/>
    <w:rsid w:val="00D03FC9"/>
    <w:rsid w:val="00D04214"/>
    <w:rsid w:val="00D04ABF"/>
    <w:rsid w:val="00D0582F"/>
    <w:rsid w:val="00D10311"/>
    <w:rsid w:val="00D11030"/>
    <w:rsid w:val="00D122F8"/>
    <w:rsid w:val="00D12979"/>
    <w:rsid w:val="00D13441"/>
    <w:rsid w:val="00D13AEE"/>
    <w:rsid w:val="00D14303"/>
    <w:rsid w:val="00D16F02"/>
    <w:rsid w:val="00D16F0C"/>
    <w:rsid w:val="00D22BA9"/>
    <w:rsid w:val="00D22F27"/>
    <w:rsid w:val="00D31433"/>
    <w:rsid w:val="00D36335"/>
    <w:rsid w:val="00D37311"/>
    <w:rsid w:val="00D373F9"/>
    <w:rsid w:val="00D41A23"/>
    <w:rsid w:val="00D46721"/>
    <w:rsid w:val="00D4676D"/>
    <w:rsid w:val="00D471F3"/>
    <w:rsid w:val="00D50D3A"/>
    <w:rsid w:val="00D538EF"/>
    <w:rsid w:val="00D54555"/>
    <w:rsid w:val="00D54F47"/>
    <w:rsid w:val="00D557CC"/>
    <w:rsid w:val="00D639C7"/>
    <w:rsid w:val="00D6791E"/>
    <w:rsid w:val="00D703FB"/>
    <w:rsid w:val="00D70DFB"/>
    <w:rsid w:val="00D728B9"/>
    <w:rsid w:val="00D746DE"/>
    <w:rsid w:val="00D7584E"/>
    <w:rsid w:val="00D766DF"/>
    <w:rsid w:val="00D818E3"/>
    <w:rsid w:val="00D81D88"/>
    <w:rsid w:val="00D82DA1"/>
    <w:rsid w:val="00D82E37"/>
    <w:rsid w:val="00D86E9C"/>
    <w:rsid w:val="00D8779A"/>
    <w:rsid w:val="00D87DB3"/>
    <w:rsid w:val="00D90205"/>
    <w:rsid w:val="00D94A9C"/>
    <w:rsid w:val="00D96C2C"/>
    <w:rsid w:val="00D9799B"/>
    <w:rsid w:val="00DA51E6"/>
    <w:rsid w:val="00DA6964"/>
    <w:rsid w:val="00DA7B40"/>
    <w:rsid w:val="00DA7F3E"/>
    <w:rsid w:val="00DB15E5"/>
    <w:rsid w:val="00DB212C"/>
    <w:rsid w:val="00DB2F53"/>
    <w:rsid w:val="00DB3FB2"/>
    <w:rsid w:val="00DB4465"/>
    <w:rsid w:val="00DB6EDC"/>
    <w:rsid w:val="00DC2DC2"/>
    <w:rsid w:val="00DC3647"/>
    <w:rsid w:val="00DC3A1F"/>
    <w:rsid w:val="00DC3D91"/>
    <w:rsid w:val="00DC4810"/>
    <w:rsid w:val="00DC4A25"/>
    <w:rsid w:val="00DD1881"/>
    <w:rsid w:val="00DD1C8F"/>
    <w:rsid w:val="00DD1DA0"/>
    <w:rsid w:val="00DD3008"/>
    <w:rsid w:val="00DD45CB"/>
    <w:rsid w:val="00DD6D15"/>
    <w:rsid w:val="00DE04EF"/>
    <w:rsid w:val="00DE1652"/>
    <w:rsid w:val="00DE242C"/>
    <w:rsid w:val="00DE33E7"/>
    <w:rsid w:val="00DE35FD"/>
    <w:rsid w:val="00DE3C66"/>
    <w:rsid w:val="00DE4449"/>
    <w:rsid w:val="00DE5609"/>
    <w:rsid w:val="00DE5EA2"/>
    <w:rsid w:val="00DE62B9"/>
    <w:rsid w:val="00DF5163"/>
    <w:rsid w:val="00DF5ACC"/>
    <w:rsid w:val="00DF6C6E"/>
    <w:rsid w:val="00E01956"/>
    <w:rsid w:val="00E02172"/>
    <w:rsid w:val="00E02A48"/>
    <w:rsid w:val="00E062BD"/>
    <w:rsid w:val="00E07638"/>
    <w:rsid w:val="00E12D0A"/>
    <w:rsid w:val="00E13EFE"/>
    <w:rsid w:val="00E166BB"/>
    <w:rsid w:val="00E16928"/>
    <w:rsid w:val="00E173D3"/>
    <w:rsid w:val="00E2074C"/>
    <w:rsid w:val="00E26E13"/>
    <w:rsid w:val="00E27FE0"/>
    <w:rsid w:val="00E30CBD"/>
    <w:rsid w:val="00E3251F"/>
    <w:rsid w:val="00E32B14"/>
    <w:rsid w:val="00E33F7B"/>
    <w:rsid w:val="00E3556E"/>
    <w:rsid w:val="00E40EFE"/>
    <w:rsid w:val="00E52A92"/>
    <w:rsid w:val="00E54143"/>
    <w:rsid w:val="00E5425A"/>
    <w:rsid w:val="00E549A0"/>
    <w:rsid w:val="00E56178"/>
    <w:rsid w:val="00E56EF6"/>
    <w:rsid w:val="00E57817"/>
    <w:rsid w:val="00E57CA1"/>
    <w:rsid w:val="00E60FE4"/>
    <w:rsid w:val="00E61839"/>
    <w:rsid w:val="00E7044A"/>
    <w:rsid w:val="00E70677"/>
    <w:rsid w:val="00E74DC7"/>
    <w:rsid w:val="00E75F2A"/>
    <w:rsid w:val="00E76094"/>
    <w:rsid w:val="00E77B56"/>
    <w:rsid w:val="00E838E4"/>
    <w:rsid w:val="00E83B01"/>
    <w:rsid w:val="00E855C2"/>
    <w:rsid w:val="00E87259"/>
    <w:rsid w:val="00E87876"/>
    <w:rsid w:val="00E90F76"/>
    <w:rsid w:val="00E915BD"/>
    <w:rsid w:val="00E91812"/>
    <w:rsid w:val="00EA3B44"/>
    <w:rsid w:val="00EA484A"/>
    <w:rsid w:val="00EA60AA"/>
    <w:rsid w:val="00EB2F3D"/>
    <w:rsid w:val="00EB790F"/>
    <w:rsid w:val="00EC012F"/>
    <w:rsid w:val="00EC0BB7"/>
    <w:rsid w:val="00EC3F48"/>
    <w:rsid w:val="00EC51E1"/>
    <w:rsid w:val="00EC5F87"/>
    <w:rsid w:val="00EC6C96"/>
    <w:rsid w:val="00EC7927"/>
    <w:rsid w:val="00EC7AB7"/>
    <w:rsid w:val="00ED1491"/>
    <w:rsid w:val="00ED1BD7"/>
    <w:rsid w:val="00ED36C3"/>
    <w:rsid w:val="00ED3FDC"/>
    <w:rsid w:val="00ED4511"/>
    <w:rsid w:val="00ED5A7F"/>
    <w:rsid w:val="00ED5CBD"/>
    <w:rsid w:val="00EE2C8E"/>
    <w:rsid w:val="00EE5B5C"/>
    <w:rsid w:val="00EF2E3A"/>
    <w:rsid w:val="00EF541A"/>
    <w:rsid w:val="00EF5FDB"/>
    <w:rsid w:val="00EF6840"/>
    <w:rsid w:val="00EF692C"/>
    <w:rsid w:val="00F00BA7"/>
    <w:rsid w:val="00F034BD"/>
    <w:rsid w:val="00F03B08"/>
    <w:rsid w:val="00F04421"/>
    <w:rsid w:val="00F04811"/>
    <w:rsid w:val="00F06617"/>
    <w:rsid w:val="00F078DC"/>
    <w:rsid w:val="00F1162B"/>
    <w:rsid w:val="00F11B2A"/>
    <w:rsid w:val="00F15662"/>
    <w:rsid w:val="00F16601"/>
    <w:rsid w:val="00F17482"/>
    <w:rsid w:val="00F202A4"/>
    <w:rsid w:val="00F236B0"/>
    <w:rsid w:val="00F23E5F"/>
    <w:rsid w:val="00F23E85"/>
    <w:rsid w:val="00F25B86"/>
    <w:rsid w:val="00F272AF"/>
    <w:rsid w:val="00F27587"/>
    <w:rsid w:val="00F31B82"/>
    <w:rsid w:val="00F347A2"/>
    <w:rsid w:val="00F35566"/>
    <w:rsid w:val="00F36E0E"/>
    <w:rsid w:val="00F40373"/>
    <w:rsid w:val="00F40A8A"/>
    <w:rsid w:val="00F41758"/>
    <w:rsid w:val="00F41D51"/>
    <w:rsid w:val="00F43537"/>
    <w:rsid w:val="00F449AB"/>
    <w:rsid w:val="00F45C26"/>
    <w:rsid w:val="00F46C1A"/>
    <w:rsid w:val="00F50C84"/>
    <w:rsid w:val="00F50DC6"/>
    <w:rsid w:val="00F51269"/>
    <w:rsid w:val="00F51B4C"/>
    <w:rsid w:val="00F53578"/>
    <w:rsid w:val="00F55858"/>
    <w:rsid w:val="00F55C1A"/>
    <w:rsid w:val="00F57730"/>
    <w:rsid w:val="00F6003B"/>
    <w:rsid w:val="00F60620"/>
    <w:rsid w:val="00F617CD"/>
    <w:rsid w:val="00F62958"/>
    <w:rsid w:val="00F62EC0"/>
    <w:rsid w:val="00F70A23"/>
    <w:rsid w:val="00F71297"/>
    <w:rsid w:val="00F71D0B"/>
    <w:rsid w:val="00F720B4"/>
    <w:rsid w:val="00F74DAC"/>
    <w:rsid w:val="00F760CC"/>
    <w:rsid w:val="00F772AF"/>
    <w:rsid w:val="00F80C44"/>
    <w:rsid w:val="00F8150C"/>
    <w:rsid w:val="00F817ED"/>
    <w:rsid w:val="00F83F3B"/>
    <w:rsid w:val="00F84B6C"/>
    <w:rsid w:val="00F964D7"/>
    <w:rsid w:val="00F9686D"/>
    <w:rsid w:val="00FA08EE"/>
    <w:rsid w:val="00FA15CC"/>
    <w:rsid w:val="00FA3E2A"/>
    <w:rsid w:val="00FA5C62"/>
    <w:rsid w:val="00FA647B"/>
    <w:rsid w:val="00FA7482"/>
    <w:rsid w:val="00FB011A"/>
    <w:rsid w:val="00FB10C4"/>
    <w:rsid w:val="00FB1E31"/>
    <w:rsid w:val="00FB796A"/>
    <w:rsid w:val="00FC1A6D"/>
    <w:rsid w:val="00FC21A5"/>
    <w:rsid w:val="00FC2F95"/>
    <w:rsid w:val="00FC3144"/>
    <w:rsid w:val="00FC346C"/>
    <w:rsid w:val="00FC726F"/>
    <w:rsid w:val="00FD00FB"/>
    <w:rsid w:val="00FD0A32"/>
    <w:rsid w:val="00FD1D64"/>
    <w:rsid w:val="00FE1D60"/>
    <w:rsid w:val="00FE2573"/>
    <w:rsid w:val="00FE4C48"/>
    <w:rsid w:val="00FE6721"/>
    <w:rsid w:val="00FF30C1"/>
    <w:rsid w:val="00FF3F39"/>
    <w:rsid w:val="00FF4706"/>
    <w:rsid w:val="00FF5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8385"/>
    <o:shapelayout v:ext="edit">
      <o:idmap v:ext="edit" data="1"/>
    </o:shapelayout>
  </w:shapeDefaults>
  <w:decimalSymbol w:val="."/>
  <w:listSeparator w:val=","/>
  <w14:docId w14:val="55727E83"/>
  <w15:docId w15:val="{863BF2A7-EAE4-42F7-A398-ECC60B1C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53B01"/>
    <w:pPr>
      <w:spacing w:line="260" w:lineRule="atLeast"/>
    </w:pPr>
    <w:rPr>
      <w:sz w:val="22"/>
    </w:rPr>
  </w:style>
  <w:style w:type="character" w:default="1" w:styleId="DefaultParagraphFont">
    <w:name w:val="Default Paragraph Font"/>
    <w:uiPriority w:val="1"/>
    <w:semiHidden/>
    <w:unhideWhenUsed/>
    <w:rsid w:val="00253B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3B01"/>
  </w:style>
  <w:style w:type="character" w:customStyle="1" w:styleId="OPCCharBase">
    <w:name w:val="OPCCharBase"/>
    <w:uiPriority w:val="1"/>
    <w:qFormat/>
    <w:rsid w:val="00253B01"/>
  </w:style>
  <w:style w:type="paragraph" w:customStyle="1" w:styleId="OPCParaBase">
    <w:name w:val="OPCParaBase"/>
    <w:qFormat/>
    <w:rsid w:val="00253B01"/>
    <w:pPr>
      <w:spacing w:line="260" w:lineRule="atLeast"/>
    </w:pPr>
    <w:rPr>
      <w:rFonts w:eastAsia="Times New Roman" w:cs="Times New Roman"/>
      <w:sz w:val="22"/>
      <w:lang w:eastAsia="en-AU"/>
    </w:rPr>
  </w:style>
  <w:style w:type="paragraph" w:customStyle="1" w:styleId="ShortT">
    <w:name w:val="ShortT"/>
    <w:basedOn w:val="OPCParaBase"/>
    <w:next w:val="Normal"/>
    <w:qFormat/>
    <w:rsid w:val="00253B01"/>
    <w:pPr>
      <w:spacing w:line="240" w:lineRule="auto"/>
    </w:pPr>
    <w:rPr>
      <w:b/>
      <w:sz w:val="40"/>
    </w:rPr>
  </w:style>
  <w:style w:type="paragraph" w:customStyle="1" w:styleId="ActHead1">
    <w:name w:val="ActHead 1"/>
    <w:aliases w:val="c"/>
    <w:basedOn w:val="OPCParaBase"/>
    <w:next w:val="Normal"/>
    <w:qFormat/>
    <w:rsid w:val="00253B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3B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3B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3B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53B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3B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3B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3B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3B0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3B01"/>
  </w:style>
  <w:style w:type="paragraph" w:customStyle="1" w:styleId="Blocks">
    <w:name w:val="Blocks"/>
    <w:aliases w:val="bb"/>
    <w:basedOn w:val="OPCParaBase"/>
    <w:qFormat/>
    <w:rsid w:val="00253B01"/>
    <w:pPr>
      <w:spacing w:line="240" w:lineRule="auto"/>
    </w:pPr>
    <w:rPr>
      <w:sz w:val="24"/>
    </w:rPr>
  </w:style>
  <w:style w:type="paragraph" w:customStyle="1" w:styleId="BoxText">
    <w:name w:val="BoxText"/>
    <w:aliases w:val="bt"/>
    <w:basedOn w:val="OPCParaBase"/>
    <w:rsid w:val="00253B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3B01"/>
    <w:rPr>
      <w:b/>
    </w:rPr>
  </w:style>
  <w:style w:type="paragraph" w:customStyle="1" w:styleId="BoxHeadItalic">
    <w:name w:val="BoxHeadItalic"/>
    <w:aliases w:val="bhi"/>
    <w:basedOn w:val="BoxText"/>
    <w:next w:val="Normal"/>
    <w:qFormat/>
    <w:rsid w:val="00253B01"/>
    <w:rPr>
      <w:i/>
    </w:rPr>
  </w:style>
  <w:style w:type="paragraph" w:customStyle="1" w:styleId="BoxList">
    <w:name w:val="BoxList"/>
    <w:aliases w:val="bl"/>
    <w:basedOn w:val="BoxText"/>
    <w:qFormat/>
    <w:rsid w:val="00253B01"/>
    <w:pPr>
      <w:ind w:left="1559" w:hanging="425"/>
    </w:pPr>
  </w:style>
  <w:style w:type="paragraph" w:customStyle="1" w:styleId="BoxNote">
    <w:name w:val="BoxNote"/>
    <w:aliases w:val="bn"/>
    <w:basedOn w:val="BoxText"/>
    <w:qFormat/>
    <w:rsid w:val="00253B01"/>
    <w:pPr>
      <w:tabs>
        <w:tab w:val="left" w:pos="1985"/>
      </w:tabs>
      <w:spacing w:before="122" w:line="198" w:lineRule="exact"/>
      <w:ind w:left="2948" w:hanging="1814"/>
    </w:pPr>
    <w:rPr>
      <w:sz w:val="18"/>
    </w:rPr>
  </w:style>
  <w:style w:type="paragraph" w:customStyle="1" w:styleId="BoxPara">
    <w:name w:val="BoxPara"/>
    <w:aliases w:val="bp"/>
    <w:basedOn w:val="BoxText"/>
    <w:qFormat/>
    <w:rsid w:val="00253B01"/>
    <w:pPr>
      <w:tabs>
        <w:tab w:val="right" w:pos="2268"/>
      </w:tabs>
      <w:ind w:left="2552" w:hanging="1418"/>
    </w:pPr>
  </w:style>
  <w:style w:type="paragraph" w:customStyle="1" w:styleId="BoxStep">
    <w:name w:val="BoxStep"/>
    <w:aliases w:val="bs"/>
    <w:basedOn w:val="BoxText"/>
    <w:qFormat/>
    <w:rsid w:val="00253B01"/>
    <w:pPr>
      <w:ind w:left="1985" w:hanging="851"/>
    </w:pPr>
  </w:style>
  <w:style w:type="character" w:customStyle="1" w:styleId="CharAmPartNo">
    <w:name w:val="CharAmPartNo"/>
    <w:basedOn w:val="OPCCharBase"/>
    <w:uiPriority w:val="1"/>
    <w:qFormat/>
    <w:rsid w:val="00253B01"/>
  </w:style>
  <w:style w:type="character" w:customStyle="1" w:styleId="CharAmPartText">
    <w:name w:val="CharAmPartText"/>
    <w:basedOn w:val="OPCCharBase"/>
    <w:uiPriority w:val="1"/>
    <w:qFormat/>
    <w:rsid w:val="00253B01"/>
  </w:style>
  <w:style w:type="character" w:customStyle="1" w:styleId="CharAmSchNo">
    <w:name w:val="CharAmSchNo"/>
    <w:basedOn w:val="OPCCharBase"/>
    <w:uiPriority w:val="1"/>
    <w:qFormat/>
    <w:rsid w:val="00253B01"/>
  </w:style>
  <w:style w:type="character" w:customStyle="1" w:styleId="CharAmSchText">
    <w:name w:val="CharAmSchText"/>
    <w:basedOn w:val="OPCCharBase"/>
    <w:uiPriority w:val="1"/>
    <w:qFormat/>
    <w:rsid w:val="00253B01"/>
  </w:style>
  <w:style w:type="character" w:customStyle="1" w:styleId="CharBoldItalic">
    <w:name w:val="CharBoldItalic"/>
    <w:basedOn w:val="OPCCharBase"/>
    <w:uiPriority w:val="1"/>
    <w:qFormat/>
    <w:rsid w:val="00253B01"/>
    <w:rPr>
      <w:b/>
      <w:i/>
    </w:rPr>
  </w:style>
  <w:style w:type="character" w:customStyle="1" w:styleId="CharChapNo">
    <w:name w:val="CharChapNo"/>
    <w:basedOn w:val="OPCCharBase"/>
    <w:uiPriority w:val="1"/>
    <w:qFormat/>
    <w:rsid w:val="00253B01"/>
  </w:style>
  <w:style w:type="character" w:customStyle="1" w:styleId="CharChapText">
    <w:name w:val="CharChapText"/>
    <w:basedOn w:val="OPCCharBase"/>
    <w:uiPriority w:val="1"/>
    <w:qFormat/>
    <w:rsid w:val="00253B01"/>
  </w:style>
  <w:style w:type="character" w:customStyle="1" w:styleId="CharDivNo">
    <w:name w:val="CharDivNo"/>
    <w:basedOn w:val="OPCCharBase"/>
    <w:uiPriority w:val="1"/>
    <w:qFormat/>
    <w:rsid w:val="00253B01"/>
  </w:style>
  <w:style w:type="character" w:customStyle="1" w:styleId="CharDivText">
    <w:name w:val="CharDivText"/>
    <w:basedOn w:val="OPCCharBase"/>
    <w:uiPriority w:val="1"/>
    <w:qFormat/>
    <w:rsid w:val="00253B01"/>
  </w:style>
  <w:style w:type="character" w:customStyle="1" w:styleId="CharItalic">
    <w:name w:val="CharItalic"/>
    <w:basedOn w:val="OPCCharBase"/>
    <w:uiPriority w:val="1"/>
    <w:qFormat/>
    <w:rsid w:val="00253B01"/>
    <w:rPr>
      <w:i/>
    </w:rPr>
  </w:style>
  <w:style w:type="character" w:customStyle="1" w:styleId="CharPartNo">
    <w:name w:val="CharPartNo"/>
    <w:basedOn w:val="OPCCharBase"/>
    <w:uiPriority w:val="1"/>
    <w:qFormat/>
    <w:rsid w:val="00253B01"/>
  </w:style>
  <w:style w:type="character" w:customStyle="1" w:styleId="CharPartText">
    <w:name w:val="CharPartText"/>
    <w:basedOn w:val="OPCCharBase"/>
    <w:uiPriority w:val="1"/>
    <w:qFormat/>
    <w:rsid w:val="00253B01"/>
  </w:style>
  <w:style w:type="character" w:customStyle="1" w:styleId="CharSectno">
    <w:name w:val="CharSectno"/>
    <w:basedOn w:val="OPCCharBase"/>
    <w:uiPriority w:val="1"/>
    <w:qFormat/>
    <w:rsid w:val="00253B01"/>
  </w:style>
  <w:style w:type="character" w:customStyle="1" w:styleId="CharSubdNo">
    <w:name w:val="CharSubdNo"/>
    <w:basedOn w:val="OPCCharBase"/>
    <w:uiPriority w:val="1"/>
    <w:qFormat/>
    <w:rsid w:val="00253B01"/>
  </w:style>
  <w:style w:type="character" w:customStyle="1" w:styleId="CharSubdText">
    <w:name w:val="CharSubdText"/>
    <w:basedOn w:val="OPCCharBase"/>
    <w:uiPriority w:val="1"/>
    <w:qFormat/>
    <w:rsid w:val="00253B01"/>
  </w:style>
  <w:style w:type="paragraph" w:customStyle="1" w:styleId="CTA--">
    <w:name w:val="CTA --"/>
    <w:basedOn w:val="OPCParaBase"/>
    <w:next w:val="Normal"/>
    <w:rsid w:val="00253B01"/>
    <w:pPr>
      <w:spacing w:before="60" w:line="240" w:lineRule="atLeast"/>
      <w:ind w:left="142" w:hanging="142"/>
    </w:pPr>
    <w:rPr>
      <w:sz w:val="20"/>
    </w:rPr>
  </w:style>
  <w:style w:type="paragraph" w:customStyle="1" w:styleId="CTA-">
    <w:name w:val="CTA -"/>
    <w:basedOn w:val="OPCParaBase"/>
    <w:rsid w:val="00253B01"/>
    <w:pPr>
      <w:spacing w:before="60" w:line="240" w:lineRule="atLeast"/>
      <w:ind w:left="85" w:hanging="85"/>
    </w:pPr>
    <w:rPr>
      <w:sz w:val="20"/>
    </w:rPr>
  </w:style>
  <w:style w:type="paragraph" w:customStyle="1" w:styleId="CTA---">
    <w:name w:val="CTA ---"/>
    <w:basedOn w:val="OPCParaBase"/>
    <w:next w:val="Normal"/>
    <w:rsid w:val="00253B01"/>
    <w:pPr>
      <w:spacing w:before="60" w:line="240" w:lineRule="atLeast"/>
      <w:ind w:left="198" w:hanging="198"/>
    </w:pPr>
    <w:rPr>
      <w:sz w:val="20"/>
    </w:rPr>
  </w:style>
  <w:style w:type="paragraph" w:customStyle="1" w:styleId="CTA----">
    <w:name w:val="CTA ----"/>
    <w:basedOn w:val="OPCParaBase"/>
    <w:next w:val="Normal"/>
    <w:rsid w:val="00253B01"/>
    <w:pPr>
      <w:spacing w:before="60" w:line="240" w:lineRule="atLeast"/>
      <w:ind w:left="255" w:hanging="255"/>
    </w:pPr>
    <w:rPr>
      <w:sz w:val="20"/>
    </w:rPr>
  </w:style>
  <w:style w:type="paragraph" w:customStyle="1" w:styleId="CTA1a">
    <w:name w:val="CTA 1(a)"/>
    <w:basedOn w:val="OPCParaBase"/>
    <w:rsid w:val="00253B01"/>
    <w:pPr>
      <w:tabs>
        <w:tab w:val="right" w:pos="414"/>
      </w:tabs>
      <w:spacing w:before="40" w:line="240" w:lineRule="atLeast"/>
      <w:ind w:left="675" w:hanging="675"/>
    </w:pPr>
    <w:rPr>
      <w:sz w:val="20"/>
    </w:rPr>
  </w:style>
  <w:style w:type="paragraph" w:customStyle="1" w:styleId="CTA1ai">
    <w:name w:val="CTA 1(a)(i)"/>
    <w:basedOn w:val="OPCParaBase"/>
    <w:rsid w:val="00253B01"/>
    <w:pPr>
      <w:tabs>
        <w:tab w:val="right" w:pos="1004"/>
      </w:tabs>
      <w:spacing w:before="40" w:line="240" w:lineRule="atLeast"/>
      <w:ind w:left="1253" w:hanging="1253"/>
    </w:pPr>
    <w:rPr>
      <w:sz w:val="20"/>
    </w:rPr>
  </w:style>
  <w:style w:type="paragraph" w:customStyle="1" w:styleId="CTA2a">
    <w:name w:val="CTA 2(a)"/>
    <w:basedOn w:val="OPCParaBase"/>
    <w:rsid w:val="00253B01"/>
    <w:pPr>
      <w:tabs>
        <w:tab w:val="right" w:pos="482"/>
      </w:tabs>
      <w:spacing w:before="40" w:line="240" w:lineRule="atLeast"/>
      <w:ind w:left="748" w:hanging="748"/>
    </w:pPr>
    <w:rPr>
      <w:sz w:val="20"/>
    </w:rPr>
  </w:style>
  <w:style w:type="paragraph" w:customStyle="1" w:styleId="CTA2ai">
    <w:name w:val="CTA 2(a)(i)"/>
    <w:basedOn w:val="OPCParaBase"/>
    <w:rsid w:val="00253B01"/>
    <w:pPr>
      <w:tabs>
        <w:tab w:val="right" w:pos="1089"/>
      </w:tabs>
      <w:spacing w:before="40" w:line="240" w:lineRule="atLeast"/>
      <w:ind w:left="1327" w:hanging="1327"/>
    </w:pPr>
    <w:rPr>
      <w:sz w:val="20"/>
    </w:rPr>
  </w:style>
  <w:style w:type="paragraph" w:customStyle="1" w:styleId="CTA3a">
    <w:name w:val="CTA 3(a)"/>
    <w:basedOn w:val="OPCParaBase"/>
    <w:rsid w:val="00253B01"/>
    <w:pPr>
      <w:tabs>
        <w:tab w:val="right" w:pos="556"/>
      </w:tabs>
      <w:spacing w:before="40" w:line="240" w:lineRule="atLeast"/>
      <w:ind w:left="805" w:hanging="805"/>
    </w:pPr>
    <w:rPr>
      <w:sz w:val="20"/>
    </w:rPr>
  </w:style>
  <w:style w:type="paragraph" w:customStyle="1" w:styleId="CTA3ai">
    <w:name w:val="CTA 3(a)(i)"/>
    <w:basedOn w:val="OPCParaBase"/>
    <w:rsid w:val="00253B01"/>
    <w:pPr>
      <w:tabs>
        <w:tab w:val="right" w:pos="1140"/>
      </w:tabs>
      <w:spacing w:before="40" w:line="240" w:lineRule="atLeast"/>
      <w:ind w:left="1361" w:hanging="1361"/>
    </w:pPr>
    <w:rPr>
      <w:sz w:val="20"/>
    </w:rPr>
  </w:style>
  <w:style w:type="paragraph" w:customStyle="1" w:styleId="CTA4a">
    <w:name w:val="CTA 4(a)"/>
    <w:basedOn w:val="OPCParaBase"/>
    <w:rsid w:val="00253B01"/>
    <w:pPr>
      <w:tabs>
        <w:tab w:val="right" w:pos="624"/>
      </w:tabs>
      <w:spacing w:before="40" w:line="240" w:lineRule="atLeast"/>
      <w:ind w:left="873" w:hanging="873"/>
    </w:pPr>
    <w:rPr>
      <w:sz w:val="20"/>
    </w:rPr>
  </w:style>
  <w:style w:type="paragraph" w:customStyle="1" w:styleId="CTA4ai">
    <w:name w:val="CTA 4(a)(i)"/>
    <w:basedOn w:val="OPCParaBase"/>
    <w:rsid w:val="00253B01"/>
    <w:pPr>
      <w:tabs>
        <w:tab w:val="right" w:pos="1213"/>
      </w:tabs>
      <w:spacing w:before="40" w:line="240" w:lineRule="atLeast"/>
      <w:ind w:left="1452" w:hanging="1452"/>
    </w:pPr>
    <w:rPr>
      <w:sz w:val="20"/>
    </w:rPr>
  </w:style>
  <w:style w:type="paragraph" w:customStyle="1" w:styleId="CTACAPS">
    <w:name w:val="CTA CAPS"/>
    <w:basedOn w:val="OPCParaBase"/>
    <w:rsid w:val="00253B01"/>
    <w:pPr>
      <w:spacing w:before="60" w:line="240" w:lineRule="atLeast"/>
    </w:pPr>
    <w:rPr>
      <w:sz w:val="20"/>
    </w:rPr>
  </w:style>
  <w:style w:type="paragraph" w:customStyle="1" w:styleId="CTAright">
    <w:name w:val="CTA right"/>
    <w:basedOn w:val="OPCParaBase"/>
    <w:rsid w:val="00253B01"/>
    <w:pPr>
      <w:spacing w:before="60" w:line="240" w:lineRule="auto"/>
      <w:jc w:val="right"/>
    </w:pPr>
    <w:rPr>
      <w:sz w:val="20"/>
    </w:rPr>
  </w:style>
  <w:style w:type="paragraph" w:customStyle="1" w:styleId="subsection">
    <w:name w:val="subsection"/>
    <w:aliases w:val="ss"/>
    <w:basedOn w:val="OPCParaBase"/>
    <w:rsid w:val="00253B01"/>
    <w:pPr>
      <w:tabs>
        <w:tab w:val="right" w:pos="1021"/>
      </w:tabs>
      <w:spacing w:before="180" w:line="240" w:lineRule="auto"/>
      <w:ind w:left="1134" w:hanging="1134"/>
    </w:pPr>
  </w:style>
  <w:style w:type="paragraph" w:customStyle="1" w:styleId="Definition">
    <w:name w:val="Definition"/>
    <w:aliases w:val="dd"/>
    <w:basedOn w:val="OPCParaBase"/>
    <w:rsid w:val="00253B01"/>
    <w:pPr>
      <w:spacing w:before="180" w:line="240" w:lineRule="auto"/>
      <w:ind w:left="1134"/>
    </w:pPr>
  </w:style>
  <w:style w:type="paragraph" w:customStyle="1" w:styleId="ETAsubitem">
    <w:name w:val="ETA(subitem)"/>
    <w:basedOn w:val="OPCParaBase"/>
    <w:rsid w:val="00253B01"/>
    <w:pPr>
      <w:tabs>
        <w:tab w:val="right" w:pos="340"/>
      </w:tabs>
      <w:spacing w:before="60" w:line="240" w:lineRule="auto"/>
      <w:ind w:left="454" w:hanging="454"/>
    </w:pPr>
    <w:rPr>
      <w:sz w:val="20"/>
    </w:rPr>
  </w:style>
  <w:style w:type="paragraph" w:customStyle="1" w:styleId="ETApara">
    <w:name w:val="ETA(para)"/>
    <w:basedOn w:val="OPCParaBase"/>
    <w:rsid w:val="00253B01"/>
    <w:pPr>
      <w:tabs>
        <w:tab w:val="right" w:pos="754"/>
      </w:tabs>
      <w:spacing w:before="60" w:line="240" w:lineRule="auto"/>
      <w:ind w:left="828" w:hanging="828"/>
    </w:pPr>
    <w:rPr>
      <w:sz w:val="20"/>
    </w:rPr>
  </w:style>
  <w:style w:type="paragraph" w:customStyle="1" w:styleId="ETAsubpara">
    <w:name w:val="ETA(subpara)"/>
    <w:basedOn w:val="OPCParaBase"/>
    <w:rsid w:val="00253B01"/>
    <w:pPr>
      <w:tabs>
        <w:tab w:val="right" w:pos="1083"/>
      </w:tabs>
      <w:spacing w:before="60" w:line="240" w:lineRule="auto"/>
      <w:ind w:left="1191" w:hanging="1191"/>
    </w:pPr>
    <w:rPr>
      <w:sz w:val="20"/>
    </w:rPr>
  </w:style>
  <w:style w:type="paragraph" w:customStyle="1" w:styleId="ETAsub-subpara">
    <w:name w:val="ETA(sub-subpara)"/>
    <w:basedOn w:val="OPCParaBase"/>
    <w:rsid w:val="00253B01"/>
    <w:pPr>
      <w:tabs>
        <w:tab w:val="right" w:pos="1412"/>
      </w:tabs>
      <w:spacing w:before="60" w:line="240" w:lineRule="auto"/>
      <w:ind w:left="1525" w:hanging="1525"/>
    </w:pPr>
    <w:rPr>
      <w:sz w:val="20"/>
    </w:rPr>
  </w:style>
  <w:style w:type="paragraph" w:customStyle="1" w:styleId="Formula">
    <w:name w:val="Formula"/>
    <w:basedOn w:val="OPCParaBase"/>
    <w:rsid w:val="00253B01"/>
    <w:pPr>
      <w:spacing w:line="240" w:lineRule="auto"/>
      <w:ind w:left="1134"/>
    </w:pPr>
    <w:rPr>
      <w:sz w:val="20"/>
    </w:rPr>
  </w:style>
  <w:style w:type="paragraph" w:styleId="Header">
    <w:name w:val="header"/>
    <w:basedOn w:val="OPCParaBase"/>
    <w:link w:val="HeaderChar"/>
    <w:unhideWhenUsed/>
    <w:rsid w:val="00253B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53B01"/>
    <w:rPr>
      <w:rFonts w:eastAsia="Times New Roman" w:cs="Times New Roman"/>
      <w:sz w:val="16"/>
      <w:lang w:eastAsia="en-AU"/>
    </w:rPr>
  </w:style>
  <w:style w:type="paragraph" w:customStyle="1" w:styleId="House">
    <w:name w:val="House"/>
    <w:basedOn w:val="OPCParaBase"/>
    <w:rsid w:val="00253B01"/>
    <w:pPr>
      <w:spacing w:line="240" w:lineRule="auto"/>
    </w:pPr>
    <w:rPr>
      <w:sz w:val="28"/>
    </w:rPr>
  </w:style>
  <w:style w:type="paragraph" w:customStyle="1" w:styleId="Item">
    <w:name w:val="Item"/>
    <w:aliases w:val="i"/>
    <w:basedOn w:val="OPCParaBase"/>
    <w:next w:val="ItemHead"/>
    <w:rsid w:val="00253B01"/>
    <w:pPr>
      <w:keepLines/>
      <w:spacing w:before="80" w:line="240" w:lineRule="auto"/>
      <w:ind w:left="709"/>
    </w:pPr>
  </w:style>
  <w:style w:type="paragraph" w:customStyle="1" w:styleId="ItemHead">
    <w:name w:val="ItemHead"/>
    <w:aliases w:val="ih"/>
    <w:basedOn w:val="OPCParaBase"/>
    <w:next w:val="Item"/>
    <w:rsid w:val="00253B01"/>
    <w:pPr>
      <w:keepLines/>
      <w:spacing w:before="220" w:line="240" w:lineRule="auto"/>
      <w:ind w:left="709" w:hanging="709"/>
    </w:pPr>
    <w:rPr>
      <w:rFonts w:ascii="Arial" w:hAnsi="Arial"/>
      <w:b/>
      <w:kern w:val="28"/>
      <w:sz w:val="24"/>
    </w:rPr>
  </w:style>
  <w:style w:type="paragraph" w:customStyle="1" w:styleId="LongT">
    <w:name w:val="LongT"/>
    <w:basedOn w:val="OPCParaBase"/>
    <w:rsid w:val="00253B01"/>
    <w:pPr>
      <w:spacing w:line="240" w:lineRule="auto"/>
    </w:pPr>
    <w:rPr>
      <w:b/>
      <w:sz w:val="32"/>
    </w:rPr>
  </w:style>
  <w:style w:type="paragraph" w:customStyle="1" w:styleId="notedraft">
    <w:name w:val="note(draft)"/>
    <w:aliases w:val="nd"/>
    <w:basedOn w:val="OPCParaBase"/>
    <w:rsid w:val="00253B01"/>
    <w:pPr>
      <w:spacing w:before="240" w:line="240" w:lineRule="auto"/>
      <w:ind w:left="284" w:hanging="284"/>
    </w:pPr>
    <w:rPr>
      <w:i/>
      <w:sz w:val="24"/>
    </w:rPr>
  </w:style>
  <w:style w:type="paragraph" w:customStyle="1" w:styleId="notemargin">
    <w:name w:val="note(margin)"/>
    <w:aliases w:val="nm"/>
    <w:basedOn w:val="OPCParaBase"/>
    <w:rsid w:val="00253B01"/>
    <w:pPr>
      <w:tabs>
        <w:tab w:val="left" w:pos="709"/>
      </w:tabs>
      <w:spacing w:before="122" w:line="198" w:lineRule="exact"/>
      <w:ind w:left="709" w:hanging="709"/>
    </w:pPr>
    <w:rPr>
      <w:sz w:val="18"/>
    </w:rPr>
  </w:style>
  <w:style w:type="paragraph" w:customStyle="1" w:styleId="notepara">
    <w:name w:val="note(para)"/>
    <w:aliases w:val="na"/>
    <w:basedOn w:val="OPCParaBase"/>
    <w:rsid w:val="00253B01"/>
    <w:pPr>
      <w:spacing w:before="40" w:line="198" w:lineRule="exact"/>
      <w:ind w:left="2354" w:hanging="369"/>
    </w:pPr>
    <w:rPr>
      <w:sz w:val="18"/>
    </w:rPr>
  </w:style>
  <w:style w:type="paragraph" w:customStyle="1" w:styleId="noteParlAmend">
    <w:name w:val="note(ParlAmend)"/>
    <w:aliases w:val="npp"/>
    <w:basedOn w:val="OPCParaBase"/>
    <w:next w:val="ParlAmend"/>
    <w:rsid w:val="00253B01"/>
    <w:pPr>
      <w:spacing w:line="240" w:lineRule="auto"/>
      <w:jc w:val="right"/>
    </w:pPr>
    <w:rPr>
      <w:rFonts w:ascii="Arial" w:hAnsi="Arial"/>
      <w:b/>
      <w:i/>
    </w:rPr>
  </w:style>
  <w:style w:type="paragraph" w:customStyle="1" w:styleId="notetext">
    <w:name w:val="note(text)"/>
    <w:aliases w:val="n"/>
    <w:basedOn w:val="OPCParaBase"/>
    <w:rsid w:val="00253B01"/>
    <w:pPr>
      <w:spacing w:before="122" w:line="198" w:lineRule="exact"/>
      <w:ind w:left="1985" w:hanging="851"/>
    </w:pPr>
    <w:rPr>
      <w:sz w:val="18"/>
    </w:rPr>
  </w:style>
  <w:style w:type="paragraph" w:customStyle="1" w:styleId="Page1">
    <w:name w:val="Page1"/>
    <w:basedOn w:val="OPCParaBase"/>
    <w:rsid w:val="00253B01"/>
    <w:pPr>
      <w:spacing w:before="5600" w:line="240" w:lineRule="auto"/>
    </w:pPr>
    <w:rPr>
      <w:b/>
      <w:sz w:val="32"/>
    </w:rPr>
  </w:style>
  <w:style w:type="paragraph" w:customStyle="1" w:styleId="PageBreak">
    <w:name w:val="PageBreak"/>
    <w:aliases w:val="pb"/>
    <w:basedOn w:val="OPCParaBase"/>
    <w:rsid w:val="00253B01"/>
    <w:pPr>
      <w:spacing w:line="240" w:lineRule="auto"/>
    </w:pPr>
    <w:rPr>
      <w:sz w:val="10"/>
    </w:rPr>
  </w:style>
  <w:style w:type="paragraph" w:customStyle="1" w:styleId="paragraphsub">
    <w:name w:val="paragraph(sub)"/>
    <w:aliases w:val="aa"/>
    <w:basedOn w:val="OPCParaBase"/>
    <w:rsid w:val="00253B01"/>
    <w:pPr>
      <w:tabs>
        <w:tab w:val="right" w:pos="1985"/>
      </w:tabs>
      <w:spacing w:before="40" w:line="240" w:lineRule="auto"/>
      <w:ind w:left="2098" w:hanging="2098"/>
    </w:pPr>
  </w:style>
  <w:style w:type="paragraph" w:customStyle="1" w:styleId="paragraphsub-sub">
    <w:name w:val="paragraph(sub-sub)"/>
    <w:aliases w:val="aaa"/>
    <w:basedOn w:val="OPCParaBase"/>
    <w:rsid w:val="00253B01"/>
    <w:pPr>
      <w:tabs>
        <w:tab w:val="right" w:pos="2722"/>
      </w:tabs>
      <w:spacing w:before="40" w:line="240" w:lineRule="auto"/>
      <w:ind w:left="2835" w:hanging="2835"/>
    </w:pPr>
  </w:style>
  <w:style w:type="paragraph" w:customStyle="1" w:styleId="paragraph">
    <w:name w:val="paragraph"/>
    <w:aliases w:val="a"/>
    <w:basedOn w:val="OPCParaBase"/>
    <w:rsid w:val="00253B01"/>
    <w:pPr>
      <w:tabs>
        <w:tab w:val="right" w:pos="1531"/>
      </w:tabs>
      <w:spacing w:before="40" w:line="240" w:lineRule="auto"/>
      <w:ind w:left="1644" w:hanging="1644"/>
    </w:pPr>
  </w:style>
  <w:style w:type="paragraph" w:customStyle="1" w:styleId="ParlAmend">
    <w:name w:val="ParlAmend"/>
    <w:aliases w:val="pp"/>
    <w:basedOn w:val="OPCParaBase"/>
    <w:rsid w:val="00253B01"/>
    <w:pPr>
      <w:spacing w:before="240" w:line="240" w:lineRule="atLeast"/>
      <w:ind w:hanging="567"/>
    </w:pPr>
    <w:rPr>
      <w:sz w:val="24"/>
    </w:rPr>
  </w:style>
  <w:style w:type="paragraph" w:customStyle="1" w:styleId="Penalty">
    <w:name w:val="Penalty"/>
    <w:basedOn w:val="OPCParaBase"/>
    <w:rsid w:val="00253B01"/>
    <w:pPr>
      <w:tabs>
        <w:tab w:val="left" w:pos="2977"/>
      </w:tabs>
      <w:spacing w:before="180" w:line="240" w:lineRule="auto"/>
      <w:ind w:left="1985" w:hanging="851"/>
    </w:pPr>
  </w:style>
  <w:style w:type="paragraph" w:customStyle="1" w:styleId="Portfolio">
    <w:name w:val="Portfolio"/>
    <w:basedOn w:val="OPCParaBase"/>
    <w:rsid w:val="00253B01"/>
    <w:pPr>
      <w:spacing w:line="240" w:lineRule="auto"/>
    </w:pPr>
    <w:rPr>
      <w:i/>
      <w:sz w:val="20"/>
    </w:rPr>
  </w:style>
  <w:style w:type="paragraph" w:customStyle="1" w:styleId="Preamble">
    <w:name w:val="Preamble"/>
    <w:basedOn w:val="OPCParaBase"/>
    <w:next w:val="Normal"/>
    <w:rsid w:val="00253B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3B01"/>
    <w:pPr>
      <w:spacing w:line="240" w:lineRule="auto"/>
    </w:pPr>
    <w:rPr>
      <w:i/>
      <w:sz w:val="20"/>
    </w:rPr>
  </w:style>
  <w:style w:type="paragraph" w:customStyle="1" w:styleId="Session">
    <w:name w:val="Session"/>
    <w:basedOn w:val="OPCParaBase"/>
    <w:rsid w:val="00253B01"/>
    <w:pPr>
      <w:spacing w:line="240" w:lineRule="auto"/>
    </w:pPr>
    <w:rPr>
      <w:sz w:val="28"/>
    </w:rPr>
  </w:style>
  <w:style w:type="paragraph" w:customStyle="1" w:styleId="Sponsor">
    <w:name w:val="Sponsor"/>
    <w:basedOn w:val="OPCParaBase"/>
    <w:rsid w:val="00253B01"/>
    <w:pPr>
      <w:spacing w:line="240" w:lineRule="auto"/>
    </w:pPr>
    <w:rPr>
      <w:i/>
    </w:rPr>
  </w:style>
  <w:style w:type="paragraph" w:customStyle="1" w:styleId="Subitem">
    <w:name w:val="Subitem"/>
    <w:aliases w:val="iss"/>
    <w:basedOn w:val="OPCParaBase"/>
    <w:rsid w:val="00253B01"/>
    <w:pPr>
      <w:spacing w:before="180" w:line="240" w:lineRule="auto"/>
      <w:ind w:left="709" w:hanging="709"/>
    </w:pPr>
  </w:style>
  <w:style w:type="paragraph" w:customStyle="1" w:styleId="SubitemHead">
    <w:name w:val="SubitemHead"/>
    <w:aliases w:val="issh"/>
    <w:basedOn w:val="OPCParaBase"/>
    <w:rsid w:val="00253B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3B01"/>
    <w:pPr>
      <w:spacing w:before="40" w:line="240" w:lineRule="auto"/>
      <w:ind w:left="1134"/>
    </w:pPr>
  </w:style>
  <w:style w:type="paragraph" w:customStyle="1" w:styleId="SubsectionHead">
    <w:name w:val="SubsectionHead"/>
    <w:aliases w:val="ssh"/>
    <w:basedOn w:val="OPCParaBase"/>
    <w:next w:val="subsection"/>
    <w:rsid w:val="00253B01"/>
    <w:pPr>
      <w:keepNext/>
      <w:keepLines/>
      <w:spacing w:before="240" w:line="240" w:lineRule="auto"/>
      <w:ind w:left="1134"/>
    </w:pPr>
    <w:rPr>
      <w:i/>
    </w:rPr>
  </w:style>
  <w:style w:type="paragraph" w:customStyle="1" w:styleId="Tablea">
    <w:name w:val="Table(a)"/>
    <w:aliases w:val="ta"/>
    <w:basedOn w:val="OPCParaBase"/>
    <w:rsid w:val="00253B01"/>
    <w:pPr>
      <w:spacing w:before="60" w:line="240" w:lineRule="auto"/>
      <w:ind w:left="284" w:hanging="284"/>
    </w:pPr>
    <w:rPr>
      <w:sz w:val="20"/>
    </w:rPr>
  </w:style>
  <w:style w:type="paragraph" w:customStyle="1" w:styleId="TableAA">
    <w:name w:val="Table(AA)"/>
    <w:aliases w:val="taaa"/>
    <w:basedOn w:val="OPCParaBase"/>
    <w:rsid w:val="00253B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3B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3B01"/>
    <w:pPr>
      <w:spacing w:before="60" w:line="240" w:lineRule="atLeast"/>
    </w:pPr>
    <w:rPr>
      <w:sz w:val="20"/>
    </w:rPr>
  </w:style>
  <w:style w:type="paragraph" w:customStyle="1" w:styleId="TLPBoxTextnote">
    <w:name w:val="TLPBoxText(note"/>
    <w:aliases w:val="right)"/>
    <w:basedOn w:val="OPCParaBase"/>
    <w:rsid w:val="00253B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3B0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53B01"/>
    <w:pPr>
      <w:spacing w:before="122" w:line="198" w:lineRule="exact"/>
      <w:ind w:left="1985" w:hanging="851"/>
      <w:jc w:val="right"/>
    </w:pPr>
    <w:rPr>
      <w:sz w:val="18"/>
    </w:rPr>
  </w:style>
  <w:style w:type="paragraph" w:customStyle="1" w:styleId="TLPTableBullet">
    <w:name w:val="TLPTableBullet"/>
    <w:aliases w:val="ttb"/>
    <w:basedOn w:val="OPCParaBase"/>
    <w:rsid w:val="00253B01"/>
    <w:pPr>
      <w:spacing w:line="240" w:lineRule="exact"/>
      <w:ind w:left="284" w:hanging="284"/>
    </w:pPr>
    <w:rPr>
      <w:sz w:val="20"/>
    </w:rPr>
  </w:style>
  <w:style w:type="paragraph" w:styleId="TOC1">
    <w:name w:val="toc 1"/>
    <w:basedOn w:val="OPCParaBase"/>
    <w:next w:val="Normal"/>
    <w:uiPriority w:val="39"/>
    <w:unhideWhenUsed/>
    <w:rsid w:val="00253B01"/>
    <w:pPr>
      <w:spacing w:line="240" w:lineRule="auto"/>
    </w:pPr>
    <w:rPr>
      <w:sz w:val="24"/>
    </w:rPr>
  </w:style>
  <w:style w:type="paragraph" w:styleId="TOC2">
    <w:name w:val="toc 2"/>
    <w:basedOn w:val="OPCParaBase"/>
    <w:next w:val="Normal"/>
    <w:uiPriority w:val="39"/>
    <w:unhideWhenUsed/>
    <w:rsid w:val="00253B01"/>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53B01"/>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53B01"/>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253B01"/>
    <w:pPr>
      <w:spacing w:line="240" w:lineRule="auto"/>
      <w:ind w:left="958"/>
    </w:pPr>
    <w:rPr>
      <w:sz w:val="24"/>
    </w:rPr>
  </w:style>
  <w:style w:type="paragraph" w:styleId="TOC6">
    <w:name w:val="toc 6"/>
    <w:basedOn w:val="OPCParaBase"/>
    <w:next w:val="Normal"/>
    <w:uiPriority w:val="39"/>
    <w:semiHidden/>
    <w:unhideWhenUsed/>
    <w:rsid w:val="00253B01"/>
    <w:pPr>
      <w:spacing w:line="240" w:lineRule="auto"/>
      <w:ind w:left="1202"/>
    </w:pPr>
    <w:rPr>
      <w:sz w:val="24"/>
    </w:rPr>
  </w:style>
  <w:style w:type="paragraph" w:styleId="TOC7">
    <w:name w:val="toc 7"/>
    <w:basedOn w:val="OPCParaBase"/>
    <w:next w:val="Normal"/>
    <w:uiPriority w:val="39"/>
    <w:semiHidden/>
    <w:unhideWhenUsed/>
    <w:rsid w:val="00253B01"/>
    <w:pPr>
      <w:spacing w:line="240" w:lineRule="auto"/>
      <w:ind w:left="1440"/>
    </w:pPr>
    <w:rPr>
      <w:sz w:val="24"/>
    </w:rPr>
  </w:style>
  <w:style w:type="paragraph" w:styleId="TOC8">
    <w:name w:val="toc 8"/>
    <w:basedOn w:val="OPCParaBase"/>
    <w:next w:val="Normal"/>
    <w:uiPriority w:val="39"/>
    <w:semiHidden/>
    <w:unhideWhenUsed/>
    <w:rsid w:val="00253B01"/>
    <w:pPr>
      <w:spacing w:line="240" w:lineRule="auto"/>
      <w:ind w:left="1678"/>
    </w:pPr>
    <w:rPr>
      <w:sz w:val="24"/>
    </w:rPr>
  </w:style>
  <w:style w:type="paragraph" w:styleId="TOC9">
    <w:name w:val="toc 9"/>
    <w:basedOn w:val="OPCParaBase"/>
    <w:next w:val="Normal"/>
    <w:uiPriority w:val="39"/>
    <w:unhideWhenUsed/>
    <w:rsid w:val="00253B01"/>
    <w:pPr>
      <w:spacing w:line="240" w:lineRule="auto"/>
      <w:ind w:left="1922"/>
    </w:pPr>
    <w:rPr>
      <w:sz w:val="24"/>
    </w:rPr>
  </w:style>
  <w:style w:type="paragraph" w:customStyle="1" w:styleId="TofSectsGroupHeading">
    <w:name w:val="TofSects(GroupHeading)"/>
    <w:basedOn w:val="OPCParaBase"/>
    <w:next w:val="TofSectsSection"/>
    <w:rsid w:val="00253B01"/>
    <w:pPr>
      <w:keepLines/>
      <w:spacing w:before="240" w:after="120" w:line="240" w:lineRule="auto"/>
      <w:ind w:left="794"/>
    </w:pPr>
    <w:rPr>
      <w:b/>
      <w:kern w:val="28"/>
      <w:sz w:val="20"/>
    </w:rPr>
  </w:style>
  <w:style w:type="paragraph" w:customStyle="1" w:styleId="TofSectsHeading">
    <w:name w:val="TofSects(Heading)"/>
    <w:basedOn w:val="OPCParaBase"/>
    <w:rsid w:val="00253B01"/>
    <w:pPr>
      <w:spacing w:before="240" w:after="120" w:line="240" w:lineRule="auto"/>
    </w:pPr>
    <w:rPr>
      <w:b/>
      <w:sz w:val="24"/>
    </w:rPr>
  </w:style>
  <w:style w:type="paragraph" w:customStyle="1" w:styleId="TofSectsSection">
    <w:name w:val="TofSects(Section)"/>
    <w:basedOn w:val="OPCParaBase"/>
    <w:rsid w:val="00253B01"/>
    <w:pPr>
      <w:keepLines/>
      <w:spacing w:before="40" w:line="240" w:lineRule="auto"/>
      <w:ind w:left="1588" w:hanging="794"/>
    </w:pPr>
    <w:rPr>
      <w:kern w:val="28"/>
      <w:sz w:val="18"/>
    </w:rPr>
  </w:style>
  <w:style w:type="paragraph" w:customStyle="1" w:styleId="TofSectsSubdiv">
    <w:name w:val="TofSects(Subdiv)"/>
    <w:basedOn w:val="OPCParaBase"/>
    <w:rsid w:val="00253B01"/>
    <w:pPr>
      <w:keepLines/>
      <w:spacing w:before="80" w:line="240" w:lineRule="auto"/>
      <w:ind w:left="1588" w:hanging="794"/>
    </w:pPr>
    <w:rPr>
      <w:kern w:val="28"/>
    </w:rPr>
  </w:style>
  <w:style w:type="paragraph" w:customStyle="1" w:styleId="WRStyle">
    <w:name w:val="WR Style"/>
    <w:aliases w:val="WR"/>
    <w:basedOn w:val="OPCParaBase"/>
    <w:rsid w:val="00253B01"/>
    <w:pPr>
      <w:spacing w:before="240" w:line="240" w:lineRule="auto"/>
      <w:ind w:left="284" w:hanging="284"/>
    </w:pPr>
    <w:rPr>
      <w:b/>
      <w:i/>
      <w:kern w:val="28"/>
      <w:sz w:val="24"/>
    </w:rPr>
  </w:style>
  <w:style w:type="paragraph" w:customStyle="1" w:styleId="Body">
    <w:name w:val="Body"/>
    <w:aliases w:val="b"/>
    <w:basedOn w:val="OPCParaBase"/>
    <w:rsid w:val="00253B01"/>
    <w:pPr>
      <w:spacing w:before="240" w:line="240" w:lineRule="auto"/>
    </w:pPr>
    <w:rPr>
      <w:sz w:val="24"/>
    </w:rPr>
  </w:style>
  <w:style w:type="paragraph" w:customStyle="1" w:styleId="BodyNum">
    <w:name w:val="BodyNum"/>
    <w:aliases w:val="b1"/>
    <w:basedOn w:val="OPCParaBase"/>
    <w:rsid w:val="00253B01"/>
    <w:pPr>
      <w:numPr>
        <w:numId w:val="13"/>
      </w:numPr>
      <w:spacing w:before="240" w:line="240" w:lineRule="auto"/>
    </w:pPr>
    <w:rPr>
      <w:sz w:val="24"/>
    </w:rPr>
  </w:style>
  <w:style w:type="paragraph" w:customStyle="1" w:styleId="BodyPara">
    <w:name w:val="BodyPara"/>
    <w:aliases w:val="ba"/>
    <w:basedOn w:val="OPCParaBase"/>
    <w:rsid w:val="00253B01"/>
    <w:pPr>
      <w:numPr>
        <w:ilvl w:val="1"/>
        <w:numId w:val="13"/>
      </w:numPr>
      <w:spacing w:before="240" w:line="240" w:lineRule="auto"/>
    </w:pPr>
    <w:rPr>
      <w:sz w:val="24"/>
    </w:rPr>
  </w:style>
  <w:style w:type="paragraph" w:customStyle="1" w:styleId="BodyParaBullet">
    <w:name w:val="BodyParaBullet"/>
    <w:aliases w:val="bpb"/>
    <w:basedOn w:val="OPCParaBase"/>
    <w:rsid w:val="00253B01"/>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53B01"/>
    <w:pPr>
      <w:numPr>
        <w:ilvl w:val="3"/>
        <w:numId w:val="13"/>
      </w:numPr>
      <w:spacing w:before="240" w:line="240" w:lineRule="auto"/>
    </w:pPr>
    <w:rPr>
      <w:sz w:val="24"/>
    </w:rPr>
  </w:style>
  <w:style w:type="numbering" w:customStyle="1" w:styleId="OPCBodyList">
    <w:name w:val="OPCBodyList"/>
    <w:uiPriority w:val="99"/>
    <w:rsid w:val="00253B01"/>
    <w:pPr>
      <w:numPr>
        <w:numId w:val="13"/>
      </w:numPr>
    </w:pPr>
  </w:style>
  <w:style w:type="paragraph" w:customStyle="1" w:styleId="Head1">
    <w:name w:val="Head 1"/>
    <w:aliases w:val="1"/>
    <w:basedOn w:val="OPCParaBase"/>
    <w:next w:val="BodyNum"/>
    <w:rsid w:val="00253B0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53B01"/>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53B01"/>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B0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B0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53B01"/>
    <w:pPr>
      <w:spacing w:before="122" w:line="198" w:lineRule="exact"/>
      <w:ind w:left="2353" w:hanging="709"/>
    </w:pPr>
    <w:rPr>
      <w:sz w:val="18"/>
    </w:rPr>
  </w:style>
  <w:style w:type="paragraph" w:styleId="Footer">
    <w:name w:val="footer"/>
    <w:link w:val="FooterChar"/>
    <w:rsid w:val="00253B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53B01"/>
    <w:rPr>
      <w:rFonts w:eastAsia="Times New Roman" w:cs="Times New Roman"/>
      <w:sz w:val="22"/>
      <w:szCs w:val="24"/>
      <w:lang w:eastAsia="en-AU"/>
    </w:rPr>
  </w:style>
  <w:style w:type="character" w:styleId="PageNumber">
    <w:name w:val="page number"/>
    <w:basedOn w:val="DefaultParagraphFont"/>
    <w:rsid w:val="00253B01"/>
  </w:style>
  <w:style w:type="paragraph" w:customStyle="1" w:styleId="Issued">
    <w:name w:val="Issued"/>
    <w:basedOn w:val="Body"/>
    <w:rsid w:val="00253B01"/>
    <w:pPr>
      <w:spacing w:before="120"/>
    </w:pPr>
    <w:rPr>
      <w:b/>
      <w:sz w:val="28"/>
    </w:rPr>
  </w:style>
  <w:style w:type="paragraph" w:customStyle="1" w:styleId="Release">
    <w:name w:val="Release"/>
    <w:basedOn w:val="Body"/>
    <w:rsid w:val="00253B01"/>
    <w:rPr>
      <w:b/>
    </w:rPr>
  </w:style>
  <w:style w:type="paragraph" w:styleId="BalloonText">
    <w:name w:val="Balloon Text"/>
    <w:basedOn w:val="Normal"/>
    <w:link w:val="BalloonTextChar"/>
    <w:uiPriority w:val="99"/>
    <w:semiHidden/>
    <w:unhideWhenUsed/>
    <w:rsid w:val="00253B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01"/>
    <w:rPr>
      <w:rFonts w:ascii="Tahoma" w:hAnsi="Tahoma" w:cs="Tahoma"/>
      <w:sz w:val="16"/>
      <w:szCs w:val="16"/>
    </w:rPr>
  </w:style>
  <w:style w:type="character" w:styleId="Hyperlink">
    <w:name w:val="Hyperlink"/>
    <w:basedOn w:val="DefaultParagraphFont"/>
    <w:uiPriority w:val="99"/>
    <w:unhideWhenUsed/>
    <w:rsid w:val="00473F77"/>
    <w:rPr>
      <w:color w:val="0000FF"/>
      <w:u w:val="single"/>
    </w:rPr>
  </w:style>
  <w:style w:type="paragraph" w:customStyle="1" w:styleId="NoteDraftingDirection">
    <w:name w:val="Note Drafting Direction"/>
    <w:basedOn w:val="OPCParaBase"/>
    <w:rsid w:val="00253B01"/>
    <w:pPr>
      <w:spacing w:before="120"/>
      <w:ind w:left="1134" w:hanging="1134"/>
    </w:pPr>
    <w:rPr>
      <w:sz w:val="18"/>
    </w:rPr>
  </w:style>
  <w:style w:type="paragraph" w:customStyle="1" w:styleId="SOText">
    <w:name w:val="SO Text"/>
    <w:aliases w:val="sot"/>
    <w:link w:val="SOTextChar"/>
    <w:rsid w:val="00253B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53B01"/>
    <w:rPr>
      <w:sz w:val="22"/>
    </w:rPr>
  </w:style>
  <w:style w:type="paragraph" w:customStyle="1" w:styleId="SOTextNote">
    <w:name w:val="SO TextNote"/>
    <w:aliases w:val="sont"/>
    <w:basedOn w:val="SOText"/>
    <w:qFormat/>
    <w:rsid w:val="00253B01"/>
    <w:pPr>
      <w:spacing w:before="122" w:line="198" w:lineRule="exact"/>
      <w:ind w:left="1843" w:hanging="709"/>
    </w:pPr>
    <w:rPr>
      <w:sz w:val="18"/>
    </w:rPr>
  </w:style>
  <w:style w:type="paragraph" w:customStyle="1" w:styleId="SOPara">
    <w:name w:val="SO Para"/>
    <w:aliases w:val="soa"/>
    <w:basedOn w:val="SOText"/>
    <w:link w:val="SOParaChar"/>
    <w:qFormat/>
    <w:rsid w:val="00253B01"/>
    <w:pPr>
      <w:tabs>
        <w:tab w:val="right" w:pos="1786"/>
      </w:tabs>
      <w:spacing w:before="40"/>
      <w:ind w:left="2070" w:hanging="936"/>
    </w:pPr>
  </w:style>
  <w:style w:type="character" w:customStyle="1" w:styleId="SOParaChar">
    <w:name w:val="SO Para Char"/>
    <w:aliases w:val="soa Char"/>
    <w:basedOn w:val="DefaultParagraphFont"/>
    <w:link w:val="SOPara"/>
    <w:rsid w:val="00253B01"/>
    <w:rPr>
      <w:sz w:val="22"/>
    </w:rPr>
  </w:style>
  <w:style w:type="paragraph" w:customStyle="1" w:styleId="FileName">
    <w:name w:val="FileName"/>
    <w:basedOn w:val="Normal"/>
    <w:rsid w:val="00253B01"/>
  </w:style>
  <w:style w:type="paragraph" w:customStyle="1" w:styleId="TableHeading">
    <w:name w:val="TableHeading"/>
    <w:aliases w:val="th"/>
    <w:basedOn w:val="OPCParaBase"/>
    <w:next w:val="Tabletext"/>
    <w:rsid w:val="00253B01"/>
    <w:pPr>
      <w:keepNext/>
      <w:spacing w:before="60" w:line="240" w:lineRule="atLeast"/>
    </w:pPr>
    <w:rPr>
      <w:b/>
      <w:sz w:val="20"/>
    </w:rPr>
  </w:style>
  <w:style w:type="paragraph" w:customStyle="1" w:styleId="SOHeadBold">
    <w:name w:val="SO HeadBold"/>
    <w:aliases w:val="sohb"/>
    <w:basedOn w:val="SOText"/>
    <w:next w:val="SOText"/>
    <w:link w:val="SOHeadBoldChar"/>
    <w:qFormat/>
    <w:rsid w:val="00253B01"/>
    <w:rPr>
      <w:b/>
    </w:rPr>
  </w:style>
  <w:style w:type="character" w:customStyle="1" w:styleId="SOHeadBoldChar">
    <w:name w:val="SO HeadBold Char"/>
    <w:aliases w:val="sohb Char"/>
    <w:basedOn w:val="DefaultParagraphFont"/>
    <w:link w:val="SOHeadBold"/>
    <w:rsid w:val="00253B01"/>
    <w:rPr>
      <w:b/>
      <w:sz w:val="22"/>
    </w:rPr>
  </w:style>
  <w:style w:type="paragraph" w:customStyle="1" w:styleId="SOHeadItalic">
    <w:name w:val="SO HeadItalic"/>
    <w:aliases w:val="sohi"/>
    <w:basedOn w:val="SOText"/>
    <w:next w:val="SOText"/>
    <w:link w:val="SOHeadItalicChar"/>
    <w:qFormat/>
    <w:rsid w:val="00253B01"/>
    <w:rPr>
      <w:i/>
    </w:rPr>
  </w:style>
  <w:style w:type="character" w:customStyle="1" w:styleId="SOHeadItalicChar">
    <w:name w:val="SO HeadItalic Char"/>
    <w:aliases w:val="sohi Char"/>
    <w:basedOn w:val="DefaultParagraphFont"/>
    <w:link w:val="SOHeadItalic"/>
    <w:rsid w:val="00253B01"/>
    <w:rPr>
      <w:i/>
      <w:sz w:val="22"/>
    </w:rPr>
  </w:style>
  <w:style w:type="paragraph" w:customStyle="1" w:styleId="SOBullet">
    <w:name w:val="SO Bullet"/>
    <w:aliases w:val="sotb"/>
    <w:basedOn w:val="SOText"/>
    <w:link w:val="SOBulletChar"/>
    <w:qFormat/>
    <w:rsid w:val="00253B01"/>
    <w:pPr>
      <w:ind w:left="1559" w:hanging="425"/>
    </w:pPr>
  </w:style>
  <w:style w:type="character" w:customStyle="1" w:styleId="SOBulletChar">
    <w:name w:val="SO Bullet Char"/>
    <w:aliases w:val="sotb Char"/>
    <w:basedOn w:val="DefaultParagraphFont"/>
    <w:link w:val="SOBullet"/>
    <w:rsid w:val="00253B01"/>
    <w:rPr>
      <w:sz w:val="22"/>
    </w:rPr>
  </w:style>
  <w:style w:type="paragraph" w:customStyle="1" w:styleId="SOBulletNote">
    <w:name w:val="SO BulletNote"/>
    <w:aliases w:val="sonb"/>
    <w:basedOn w:val="SOTextNote"/>
    <w:link w:val="SOBulletNoteChar"/>
    <w:qFormat/>
    <w:rsid w:val="00253B01"/>
    <w:pPr>
      <w:tabs>
        <w:tab w:val="left" w:pos="1560"/>
      </w:tabs>
      <w:ind w:left="2268" w:hanging="1134"/>
    </w:pPr>
  </w:style>
  <w:style w:type="character" w:customStyle="1" w:styleId="SOBulletNoteChar">
    <w:name w:val="SO BulletNote Char"/>
    <w:aliases w:val="sonb Char"/>
    <w:basedOn w:val="DefaultParagraphFont"/>
    <w:link w:val="SOBulletNote"/>
    <w:rsid w:val="00253B01"/>
    <w:rPr>
      <w:sz w:val="18"/>
    </w:rPr>
  </w:style>
  <w:style w:type="paragraph" w:customStyle="1" w:styleId="SubPartCASA">
    <w:name w:val="SubPart(CASA)"/>
    <w:aliases w:val="csp"/>
    <w:basedOn w:val="OPCParaBase"/>
    <w:next w:val="ActHead3"/>
    <w:rsid w:val="00253B01"/>
    <w:pPr>
      <w:keepNext/>
      <w:keepLines/>
      <w:spacing w:before="280"/>
      <w:ind w:left="1134" w:hanging="1134"/>
      <w:outlineLvl w:val="1"/>
    </w:pPr>
    <w:rPr>
      <w:b/>
      <w:kern w:val="28"/>
      <w:sz w:val="32"/>
    </w:rPr>
  </w:style>
  <w:style w:type="paragraph" w:customStyle="1" w:styleId="FreeForm">
    <w:name w:val="FreeForm"/>
    <w:rsid w:val="00253B01"/>
    <w:rPr>
      <w:rFonts w:ascii="Arial" w:hAnsi="Arial"/>
      <w:sz w:val="22"/>
    </w:rPr>
  </w:style>
  <w:style w:type="paragraph" w:customStyle="1" w:styleId="TableParagraph">
    <w:name w:val="Table Paragraph"/>
    <w:basedOn w:val="Normal"/>
    <w:uiPriority w:val="1"/>
    <w:qFormat/>
    <w:rsid w:val="006E4DE7"/>
    <w:pPr>
      <w:widowControl w:val="0"/>
      <w:autoSpaceDE w:val="0"/>
      <w:autoSpaceDN w:val="0"/>
      <w:spacing w:before="65" w:line="240" w:lineRule="auto"/>
      <w:ind w:left="157"/>
    </w:pPr>
    <w:rPr>
      <w:rFonts w:eastAsia="Times New Roman"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9319">
      <w:bodyDiv w:val="1"/>
      <w:marLeft w:val="0"/>
      <w:marRight w:val="0"/>
      <w:marTop w:val="0"/>
      <w:marBottom w:val="0"/>
      <w:divBdr>
        <w:top w:val="none" w:sz="0" w:space="0" w:color="auto"/>
        <w:left w:val="none" w:sz="0" w:space="0" w:color="auto"/>
        <w:bottom w:val="none" w:sz="0" w:space="0" w:color="auto"/>
        <w:right w:val="none" w:sz="0" w:space="0" w:color="auto"/>
      </w:divBdr>
    </w:div>
    <w:div w:id="434061806">
      <w:bodyDiv w:val="1"/>
      <w:marLeft w:val="0"/>
      <w:marRight w:val="0"/>
      <w:marTop w:val="0"/>
      <w:marBottom w:val="0"/>
      <w:divBdr>
        <w:top w:val="none" w:sz="0" w:space="0" w:color="auto"/>
        <w:left w:val="none" w:sz="0" w:space="0" w:color="auto"/>
        <w:bottom w:val="none" w:sz="0" w:space="0" w:color="auto"/>
        <w:right w:val="none" w:sz="0" w:space="0" w:color="auto"/>
      </w:divBdr>
    </w:div>
    <w:div w:id="795755522">
      <w:bodyDiv w:val="1"/>
      <w:marLeft w:val="0"/>
      <w:marRight w:val="0"/>
      <w:marTop w:val="0"/>
      <w:marBottom w:val="0"/>
      <w:divBdr>
        <w:top w:val="none" w:sz="0" w:space="0" w:color="auto"/>
        <w:left w:val="none" w:sz="0" w:space="0" w:color="auto"/>
        <w:bottom w:val="none" w:sz="0" w:space="0" w:color="auto"/>
        <w:right w:val="none" w:sz="0" w:space="0" w:color="auto"/>
      </w:divBdr>
    </w:div>
    <w:div w:id="1273514479">
      <w:bodyDiv w:val="1"/>
      <w:marLeft w:val="0"/>
      <w:marRight w:val="0"/>
      <w:marTop w:val="0"/>
      <w:marBottom w:val="0"/>
      <w:divBdr>
        <w:top w:val="none" w:sz="0" w:space="0" w:color="auto"/>
        <w:left w:val="none" w:sz="0" w:space="0" w:color="auto"/>
        <w:bottom w:val="none" w:sz="0" w:space="0" w:color="auto"/>
        <w:right w:val="none" w:sz="0" w:space="0" w:color="auto"/>
      </w:divBdr>
    </w:div>
    <w:div w:id="1470593857">
      <w:bodyDiv w:val="1"/>
      <w:marLeft w:val="0"/>
      <w:marRight w:val="0"/>
      <w:marTop w:val="0"/>
      <w:marBottom w:val="0"/>
      <w:divBdr>
        <w:top w:val="none" w:sz="0" w:space="0" w:color="auto"/>
        <w:left w:val="none" w:sz="0" w:space="0" w:color="auto"/>
        <w:bottom w:val="none" w:sz="0" w:space="0" w:color="auto"/>
        <w:right w:val="none" w:sz="0" w:space="0" w:color="auto"/>
      </w:divBdr>
    </w:div>
    <w:div w:id="1578393818">
      <w:bodyDiv w:val="1"/>
      <w:marLeft w:val="0"/>
      <w:marRight w:val="0"/>
      <w:marTop w:val="0"/>
      <w:marBottom w:val="0"/>
      <w:divBdr>
        <w:top w:val="none" w:sz="0" w:space="0" w:color="auto"/>
        <w:left w:val="none" w:sz="0" w:space="0" w:color="auto"/>
        <w:bottom w:val="none" w:sz="0" w:space="0" w:color="auto"/>
        <w:right w:val="none" w:sz="0" w:space="0" w:color="auto"/>
      </w:divBdr>
    </w:div>
    <w:div w:id="1618608216">
      <w:bodyDiv w:val="1"/>
      <w:marLeft w:val="0"/>
      <w:marRight w:val="0"/>
      <w:marTop w:val="0"/>
      <w:marBottom w:val="0"/>
      <w:divBdr>
        <w:top w:val="none" w:sz="0" w:space="0" w:color="auto"/>
        <w:left w:val="none" w:sz="0" w:space="0" w:color="auto"/>
        <w:bottom w:val="none" w:sz="0" w:space="0" w:color="auto"/>
        <w:right w:val="none" w:sz="0" w:space="0" w:color="auto"/>
      </w:divBdr>
    </w:div>
    <w:div w:id="2093893613">
      <w:bodyDiv w:val="1"/>
      <w:marLeft w:val="0"/>
      <w:marRight w:val="0"/>
      <w:marTop w:val="0"/>
      <w:marBottom w:val="0"/>
      <w:divBdr>
        <w:top w:val="none" w:sz="0" w:space="0" w:color="auto"/>
        <w:left w:val="none" w:sz="0" w:space="0" w:color="auto"/>
        <w:bottom w:val="none" w:sz="0" w:space="0" w:color="auto"/>
        <w:right w:val="none" w:sz="0" w:space="0" w:color="auto"/>
      </w:divBdr>
    </w:div>
    <w:div w:id="20992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lia2003292/s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F3FC-D106-4922-81BB-F462ED98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19</Pages>
  <Words>7527</Words>
  <Characters>41792</Characters>
  <Application>Microsoft Office Word</Application>
  <DocSecurity>0</DocSecurity>
  <Lines>1245</Lines>
  <Paragraphs>633</Paragraphs>
  <ScaleCrop>false</ScaleCrop>
  <HeadingPairs>
    <vt:vector size="2" baseType="variant">
      <vt:variant>
        <vt:lpstr>Title</vt:lpstr>
      </vt:variant>
      <vt:variant>
        <vt:i4>1</vt:i4>
      </vt:variant>
    </vt:vector>
  </HeadingPairs>
  <TitlesOfParts>
    <vt:vector size="1" baseType="lpstr">
      <vt:lpstr>DRAFT Drafting Direction No. 4.2 Referral of drafts to agencies</vt:lpstr>
    </vt:vector>
  </TitlesOfParts>
  <Company>Office of Parliamentary Counsel</Company>
  <LinksUpToDate>false</LinksUpToDate>
  <CharactersWithSpaces>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4.2 Referral of drafts to agencies</dc:title>
  <dc:subject/>
  <dc:creator>Janis Dogan</dc:creator>
  <cp:keywords/>
  <dc:description/>
  <cp:lastModifiedBy>McEwin, Natalia</cp:lastModifiedBy>
  <cp:revision>4</cp:revision>
  <cp:lastPrinted>2023-01-10T03:39:00Z</cp:lastPrinted>
  <dcterms:created xsi:type="dcterms:W3CDTF">2023-01-10T03:47:00Z</dcterms:created>
  <dcterms:modified xsi:type="dcterms:W3CDTF">2023-01-10T03:47:00Z</dcterms:modified>
  <cp:category>Other - Reissued version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8193" name="TrimID">
    <vt:lpwstr>PC:D23/246</vt:lpwstr>
  </property>
</Properties>
</file>