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1C0" w:rsidRPr="00DF386B" w:rsidRDefault="00FE21C0" w:rsidP="00DF386B">
      <w:pPr>
        <w:pStyle w:val="Head1"/>
      </w:pPr>
      <w:bookmarkStart w:id="0" w:name="_GoBack"/>
      <w:bookmarkEnd w:id="0"/>
      <w:r w:rsidRPr="00DF386B">
        <w:t>Drafting Direction No. 4.3</w:t>
      </w:r>
      <w:r w:rsidRPr="00DF386B">
        <w:br/>
        <w:t xml:space="preserve">Amendments requiring consultation under an </w:t>
      </w:r>
      <w:r w:rsidR="005A42E3" w:rsidRPr="00DF386B">
        <w:t xml:space="preserve">intergovernmental </w:t>
      </w:r>
      <w:r w:rsidRPr="00DF386B">
        <w:t>agreement</w:t>
      </w:r>
    </w:p>
    <w:p w:rsidR="00B26AE3" w:rsidRPr="00DF386B" w:rsidRDefault="00B26AE3" w:rsidP="00B26AE3">
      <w:pPr>
        <w:pStyle w:val="Release"/>
      </w:pPr>
      <w:r w:rsidRPr="00DF386B">
        <w:t xml:space="preserve">Document release </w:t>
      </w:r>
      <w:r w:rsidR="00A74121" w:rsidRPr="00DF386B">
        <w:t>3.</w:t>
      </w:r>
      <w:r w:rsidR="00816003" w:rsidRPr="00DF386B">
        <w:t>1</w:t>
      </w:r>
    </w:p>
    <w:p w:rsidR="00B26AE3" w:rsidRPr="00DF386B" w:rsidRDefault="00B26AE3" w:rsidP="00B26AE3">
      <w:pPr>
        <w:pStyle w:val="Issued"/>
      </w:pPr>
      <w:r w:rsidRPr="00DF386B">
        <w:t>Reissued</w:t>
      </w:r>
      <w:r w:rsidR="005568F9" w:rsidRPr="00DF386B">
        <w:t xml:space="preserve"> </w:t>
      </w:r>
      <w:r w:rsidR="00786734">
        <w:t>February</w:t>
      </w:r>
      <w:r w:rsidR="00A74121" w:rsidRPr="00DF386B">
        <w:t xml:space="preserve"> 201</w:t>
      </w:r>
      <w:r w:rsidR="00A34DC0" w:rsidRPr="00DF386B">
        <w:t>7</w:t>
      </w:r>
    </w:p>
    <w:p w:rsidR="00FE21C0" w:rsidRPr="00DF386B" w:rsidRDefault="00FE21C0" w:rsidP="00FE21C0"/>
    <w:p w:rsidR="00FE21C0" w:rsidRPr="00DF386B" w:rsidRDefault="00FE21C0" w:rsidP="00FE21C0">
      <w:pPr>
        <w:rPr>
          <w:sz w:val="32"/>
        </w:rPr>
      </w:pPr>
      <w:r w:rsidRPr="00DF386B">
        <w:rPr>
          <w:sz w:val="32"/>
        </w:rPr>
        <w:t>Contents</w:t>
      </w:r>
    </w:p>
    <w:p w:rsidR="00DF386B" w:rsidRPr="00DF386B" w:rsidRDefault="00BC41A1">
      <w:pPr>
        <w:pStyle w:val="TOC2"/>
        <w:rPr>
          <w:rFonts w:asciiTheme="minorHAnsi" w:eastAsiaTheme="minorEastAsia" w:hAnsiTheme="minorHAnsi" w:cstheme="minorBidi"/>
          <w:b w:val="0"/>
          <w:sz w:val="22"/>
          <w:szCs w:val="22"/>
        </w:rPr>
      </w:pPr>
      <w:r w:rsidRPr="00DF386B">
        <w:rPr>
          <w:sz w:val="32"/>
        </w:rPr>
        <w:fldChar w:fldCharType="begin"/>
      </w:r>
      <w:r w:rsidRPr="00DF386B">
        <w:rPr>
          <w:sz w:val="32"/>
        </w:rPr>
        <w:instrText xml:space="preserve"> TOC \o "2-9" </w:instrText>
      </w:r>
      <w:r w:rsidRPr="00DF386B">
        <w:rPr>
          <w:sz w:val="32"/>
        </w:rPr>
        <w:fldChar w:fldCharType="separate"/>
      </w:r>
      <w:r w:rsidR="00DF386B" w:rsidRPr="00DF386B">
        <w:t>Part 1—Preliminary</w:t>
      </w:r>
      <w:r w:rsidR="00DF386B" w:rsidRPr="00DF386B">
        <w:rPr>
          <w:b w:val="0"/>
          <w:sz w:val="20"/>
        </w:rPr>
        <w:tab/>
      </w:r>
      <w:r w:rsidR="00DF386B" w:rsidRPr="00DF386B">
        <w:rPr>
          <w:b w:val="0"/>
          <w:sz w:val="20"/>
        </w:rPr>
        <w:fldChar w:fldCharType="begin"/>
      </w:r>
      <w:r w:rsidR="00DF386B" w:rsidRPr="00DF386B">
        <w:rPr>
          <w:b w:val="0"/>
          <w:sz w:val="20"/>
        </w:rPr>
        <w:instrText xml:space="preserve"> PAGEREF _Toc474929605 \h </w:instrText>
      </w:r>
      <w:r w:rsidR="00DF386B" w:rsidRPr="00DF386B">
        <w:rPr>
          <w:b w:val="0"/>
          <w:sz w:val="20"/>
        </w:rPr>
      </w:r>
      <w:r w:rsidR="00DF386B" w:rsidRPr="00DF386B">
        <w:rPr>
          <w:b w:val="0"/>
          <w:sz w:val="20"/>
        </w:rPr>
        <w:fldChar w:fldCharType="separate"/>
      </w:r>
      <w:r w:rsidR="00DF386B">
        <w:rPr>
          <w:b w:val="0"/>
          <w:sz w:val="20"/>
        </w:rPr>
        <w:t>2</w:t>
      </w:r>
      <w:r w:rsidR="00DF386B" w:rsidRPr="00DF386B">
        <w:rPr>
          <w:b w:val="0"/>
          <w:sz w:val="20"/>
        </w:rPr>
        <w:fldChar w:fldCharType="end"/>
      </w:r>
    </w:p>
    <w:p w:rsidR="00DF386B" w:rsidRPr="00DF386B" w:rsidRDefault="00DF386B">
      <w:pPr>
        <w:pStyle w:val="TOC2"/>
        <w:rPr>
          <w:rFonts w:asciiTheme="minorHAnsi" w:eastAsiaTheme="minorEastAsia" w:hAnsiTheme="minorHAnsi" w:cstheme="minorBidi"/>
          <w:b w:val="0"/>
          <w:sz w:val="22"/>
          <w:szCs w:val="22"/>
        </w:rPr>
      </w:pPr>
      <w:r w:rsidRPr="00DF386B">
        <w:t>Part 2—Corporations legislation</w:t>
      </w:r>
      <w:r w:rsidRPr="00DF386B">
        <w:rPr>
          <w:b w:val="0"/>
          <w:sz w:val="20"/>
        </w:rPr>
        <w:tab/>
      </w:r>
      <w:r w:rsidRPr="00DF386B">
        <w:rPr>
          <w:b w:val="0"/>
          <w:sz w:val="20"/>
        </w:rPr>
        <w:fldChar w:fldCharType="begin"/>
      </w:r>
      <w:r w:rsidRPr="00DF386B">
        <w:rPr>
          <w:b w:val="0"/>
          <w:sz w:val="20"/>
        </w:rPr>
        <w:instrText xml:space="preserve"> PAGEREF _Toc474929606 \h </w:instrText>
      </w:r>
      <w:r w:rsidRPr="00DF386B">
        <w:rPr>
          <w:b w:val="0"/>
          <w:sz w:val="20"/>
        </w:rPr>
      </w:r>
      <w:r w:rsidRPr="00DF386B">
        <w:rPr>
          <w:b w:val="0"/>
          <w:sz w:val="20"/>
        </w:rPr>
        <w:fldChar w:fldCharType="separate"/>
      </w:r>
      <w:r>
        <w:rPr>
          <w:b w:val="0"/>
          <w:sz w:val="20"/>
        </w:rPr>
        <w:t>2</w:t>
      </w:r>
      <w:r w:rsidRPr="00DF386B">
        <w:rPr>
          <w:b w:val="0"/>
          <w:sz w:val="20"/>
        </w:rPr>
        <w:fldChar w:fldCharType="end"/>
      </w:r>
    </w:p>
    <w:p w:rsidR="00DF386B" w:rsidRPr="00DF386B" w:rsidRDefault="00DF386B" w:rsidP="00DF386B">
      <w:pPr>
        <w:pStyle w:val="TOC3"/>
        <w:rPr>
          <w:rFonts w:asciiTheme="minorHAnsi" w:eastAsiaTheme="minorEastAsia" w:hAnsiTheme="minorHAnsi" w:cstheme="minorBidi"/>
          <w:sz w:val="22"/>
          <w:szCs w:val="22"/>
        </w:rPr>
      </w:pPr>
      <w:r w:rsidRPr="00DF386B">
        <w:t>Preliminary</w:t>
      </w:r>
      <w:r w:rsidRPr="00DF386B">
        <w:rPr>
          <w:sz w:val="20"/>
        </w:rPr>
        <w:tab/>
      </w:r>
      <w:r w:rsidRPr="00DF386B">
        <w:rPr>
          <w:sz w:val="20"/>
        </w:rPr>
        <w:fldChar w:fldCharType="begin"/>
      </w:r>
      <w:r w:rsidRPr="00DF386B">
        <w:rPr>
          <w:sz w:val="20"/>
        </w:rPr>
        <w:instrText xml:space="preserve"> PAGEREF _Toc474929607 \h </w:instrText>
      </w:r>
      <w:r w:rsidRPr="00DF386B">
        <w:rPr>
          <w:sz w:val="20"/>
        </w:rPr>
      </w:r>
      <w:r w:rsidRPr="00DF386B">
        <w:rPr>
          <w:sz w:val="20"/>
        </w:rPr>
        <w:fldChar w:fldCharType="separate"/>
      </w:r>
      <w:r>
        <w:rPr>
          <w:sz w:val="20"/>
        </w:rPr>
        <w:t>2</w:t>
      </w:r>
      <w:r w:rsidRPr="00DF386B">
        <w:rPr>
          <w:sz w:val="20"/>
        </w:rPr>
        <w:fldChar w:fldCharType="end"/>
      </w:r>
    </w:p>
    <w:p w:rsidR="00DF386B" w:rsidRPr="00DF386B" w:rsidRDefault="00DF386B">
      <w:pPr>
        <w:pStyle w:val="TOC3"/>
        <w:rPr>
          <w:rFonts w:asciiTheme="minorHAnsi" w:eastAsiaTheme="minorEastAsia" w:hAnsiTheme="minorHAnsi" w:cstheme="minorBidi"/>
          <w:sz w:val="22"/>
          <w:szCs w:val="22"/>
        </w:rPr>
      </w:pPr>
      <w:r w:rsidRPr="00DF386B">
        <w:t>Corporations Agreement 2002 and Corporations Amendment Agreement 2005 (No. 1)</w:t>
      </w:r>
      <w:r w:rsidRPr="00DF386B">
        <w:rPr>
          <w:sz w:val="20"/>
        </w:rPr>
        <w:tab/>
      </w:r>
      <w:r w:rsidRPr="00DF386B">
        <w:rPr>
          <w:sz w:val="20"/>
        </w:rPr>
        <w:fldChar w:fldCharType="begin"/>
      </w:r>
      <w:r w:rsidRPr="00DF386B">
        <w:rPr>
          <w:sz w:val="20"/>
        </w:rPr>
        <w:instrText xml:space="preserve"> PAGEREF _Toc474929608 \h </w:instrText>
      </w:r>
      <w:r w:rsidRPr="00DF386B">
        <w:rPr>
          <w:sz w:val="20"/>
        </w:rPr>
      </w:r>
      <w:r w:rsidRPr="00DF386B">
        <w:rPr>
          <w:sz w:val="20"/>
        </w:rPr>
        <w:fldChar w:fldCharType="separate"/>
      </w:r>
      <w:r>
        <w:rPr>
          <w:sz w:val="20"/>
        </w:rPr>
        <w:t>2</w:t>
      </w:r>
      <w:r w:rsidRPr="00DF386B">
        <w:rPr>
          <w:sz w:val="20"/>
        </w:rPr>
        <w:fldChar w:fldCharType="end"/>
      </w:r>
    </w:p>
    <w:p w:rsidR="00DF386B" w:rsidRPr="00DF386B" w:rsidRDefault="00DF386B">
      <w:pPr>
        <w:pStyle w:val="TOC3"/>
        <w:rPr>
          <w:rFonts w:asciiTheme="minorHAnsi" w:eastAsiaTheme="minorEastAsia" w:hAnsiTheme="minorHAnsi" w:cstheme="minorBidi"/>
          <w:sz w:val="22"/>
          <w:szCs w:val="22"/>
        </w:rPr>
      </w:pPr>
      <w:r w:rsidRPr="00DF386B">
        <w:t>Need for consultation</w:t>
      </w:r>
      <w:r w:rsidRPr="00DF386B">
        <w:rPr>
          <w:sz w:val="20"/>
        </w:rPr>
        <w:tab/>
      </w:r>
      <w:r w:rsidRPr="00DF386B">
        <w:rPr>
          <w:sz w:val="20"/>
        </w:rPr>
        <w:fldChar w:fldCharType="begin"/>
      </w:r>
      <w:r w:rsidRPr="00DF386B">
        <w:rPr>
          <w:sz w:val="20"/>
        </w:rPr>
        <w:instrText xml:space="preserve"> PAGEREF _Toc474929609 \h </w:instrText>
      </w:r>
      <w:r w:rsidRPr="00DF386B">
        <w:rPr>
          <w:sz w:val="20"/>
        </w:rPr>
      </w:r>
      <w:r w:rsidRPr="00DF386B">
        <w:rPr>
          <w:sz w:val="20"/>
        </w:rPr>
        <w:fldChar w:fldCharType="separate"/>
      </w:r>
      <w:r>
        <w:rPr>
          <w:sz w:val="20"/>
        </w:rPr>
        <w:t>3</w:t>
      </w:r>
      <w:r w:rsidRPr="00DF386B">
        <w:rPr>
          <w:sz w:val="20"/>
        </w:rPr>
        <w:fldChar w:fldCharType="end"/>
      </w:r>
    </w:p>
    <w:p w:rsidR="00DF386B" w:rsidRPr="00DF386B" w:rsidRDefault="00DF386B">
      <w:pPr>
        <w:pStyle w:val="TOC4"/>
        <w:rPr>
          <w:rFonts w:asciiTheme="minorHAnsi" w:eastAsiaTheme="minorEastAsia" w:hAnsiTheme="minorHAnsi" w:cstheme="minorBidi"/>
          <w:sz w:val="22"/>
          <w:szCs w:val="22"/>
        </w:rPr>
      </w:pPr>
      <w:r w:rsidRPr="00DF386B">
        <w:t>Consultation, approval and notification requirements</w:t>
      </w:r>
      <w:r w:rsidRPr="00DF386B">
        <w:rPr>
          <w:sz w:val="20"/>
        </w:rPr>
        <w:tab/>
      </w:r>
      <w:r w:rsidRPr="00DF386B">
        <w:rPr>
          <w:sz w:val="20"/>
        </w:rPr>
        <w:fldChar w:fldCharType="begin"/>
      </w:r>
      <w:r w:rsidRPr="00DF386B">
        <w:rPr>
          <w:sz w:val="20"/>
        </w:rPr>
        <w:instrText xml:space="preserve"> PAGEREF _Toc474929610 \h </w:instrText>
      </w:r>
      <w:r w:rsidRPr="00DF386B">
        <w:rPr>
          <w:sz w:val="20"/>
        </w:rPr>
      </w:r>
      <w:r w:rsidRPr="00DF386B">
        <w:rPr>
          <w:sz w:val="20"/>
        </w:rPr>
        <w:fldChar w:fldCharType="separate"/>
      </w:r>
      <w:r>
        <w:rPr>
          <w:sz w:val="20"/>
        </w:rPr>
        <w:t>3</w:t>
      </w:r>
      <w:r w:rsidRPr="00DF386B">
        <w:rPr>
          <w:sz w:val="20"/>
        </w:rPr>
        <w:fldChar w:fldCharType="end"/>
      </w:r>
    </w:p>
    <w:p w:rsidR="00DF386B" w:rsidRPr="00DF386B" w:rsidRDefault="00DF386B">
      <w:pPr>
        <w:pStyle w:val="TOC4"/>
        <w:rPr>
          <w:rFonts w:asciiTheme="minorHAnsi" w:eastAsiaTheme="minorEastAsia" w:hAnsiTheme="minorHAnsi" w:cstheme="minorBidi"/>
          <w:sz w:val="22"/>
          <w:szCs w:val="22"/>
        </w:rPr>
      </w:pPr>
      <w:r w:rsidRPr="00DF386B">
        <w:t>Public exposure requirements</w:t>
      </w:r>
      <w:r w:rsidRPr="00DF386B">
        <w:rPr>
          <w:sz w:val="20"/>
        </w:rPr>
        <w:tab/>
      </w:r>
      <w:r w:rsidRPr="00DF386B">
        <w:rPr>
          <w:sz w:val="20"/>
        </w:rPr>
        <w:fldChar w:fldCharType="begin"/>
      </w:r>
      <w:r w:rsidRPr="00DF386B">
        <w:rPr>
          <w:sz w:val="20"/>
        </w:rPr>
        <w:instrText xml:space="preserve"> PAGEREF _Toc474929611 \h </w:instrText>
      </w:r>
      <w:r w:rsidRPr="00DF386B">
        <w:rPr>
          <w:sz w:val="20"/>
        </w:rPr>
      </w:r>
      <w:r w:rsidRPr="00DF386B">
        <w:rPr>
          <w:sz w:val="20"/>
        </w:rPr>
        <w:fldChar w:fldCharType="separate"/>
      </w:r>
      <w:r>
        <w:rPr>
          <w:sz w:val="20"/>
        </w:rPr>
        <w:t>3</w:t>
      </w:r>
      <w:r w:rsidRPr="00DF386B">
        <w:rPr>
          <w:sz w:val="20"/>
        </w:rPr>
        <w:fldChar w:fldCharType="end"/>
      </w:r>
    </w:p>
    <w:p w:rsidR="00DF386B" w:rsidRPr="00DF386B" w:rsidRDefault="00DF386B">
      <w:pPr>
        <w:pStyle w:val="TOC4"/>
        <w:rPr>
          <w:rFonts w:asciiTheme="minorHAnsi" w:eastAsiaTheme="minorEastAsia" w:hAnsiTheme="minorHAnsi" w:cstheme="minorBidi"/>
          <w:sz w:val="22"/>
          <w:szCs w:val="22"/>
        </w:rPr>
      </w:pPr>
      <w:r w:rsidRPr="00DF386B">
        <w:t>Provisions that amend the Corporations legislation</w:t>
      </w:r>
      <w:r w:rsidRPr="00DF386B">
        <w:rPr>
          <w:sz w:val="20"/>
        </w:rPr>
        <w:tab/>
      </w:r>
      <w:r w:rsidRPr="00DF386B">
        <w:rPr>
          <w:sz w:val="20"/>
        </w:rPr>
        <w:fldChar w:fldCharType="begin"/>
      </w:r>
      <w:r w:rsidRPr="00DF386B">
        <w:rPr>
          <w:sz w:val="20"/>
        </w:rPr>
        <w:instrText xml:space="preserve"> PAGEREF _Toc474929612 \h </w:instrText>
      </w:r>
      <w:r w:rsidRPr="00DF386B">
        <w:rPr>
          <w:sz w:val="20"/>
        </w:rPr>
      </w:r>
      <w:r w:rsidRPr="00DF386B">
        <w:rPr>
          <w:sz w:val="20"/>
        </w:rPr>
        <w:fldChar w:fldCharType="separate"/>
      </w:r>
      <w:r>
        <w:rPr>
          <w:sz w:val="20"/>
        </w:rPr>
        <w:t>4</w:t>
      </w:r>
      <w:r w:rsidRPr="00DF386B">
        <w:rPr>
          <w:sz w:val="20"/>
        </w:rPr>
        <w:fldChar w:fldCharType="end"/>
      </w:r>
    </w:p>
    <w:p w:rsidR="00DF386B" w:rsidRPr="00DF386B" w:rsidRDefault="00DF386B">
      <w:pPr>
        <w:pStyle w:val="TOC4"/>
        <w:rPr>
          <w:rFonts w:asciiTheme="minorHAnsi" w:eastAsiaTheme="minorEastAsia" w:hAnsiTheme="minorHAnsi" w:cstheme="minorBidi"/>
          <w:sz w:val="22"/>
          <w:szCs w:val="22"/>
        </w:rPr>
      </w:pPr>
      <w:r w:rsidRPr="00DF386B">
        <w:t>Provisions that alter the effect, scope, or operation of the Corporations legislation</w:t>
      </w:r>
      <w:r w:rsidRPr="00DF386B">
        <w:rPr>
          <w:sz w:val="20"/>
        </w:rPr>
        <w:tab/>
      </w:r>
      <w:r w:rsidRPr="00DF386B">
        <w:rPr>
          <w:sz w:val="20"/>
        </w:rPr>
        <w:fldChar w:fldCharType="begin"/>
      </w:r>
      <w:r w:rsidRPr="00DF386B">
        <w:rPr>
          <w:sz w:val="20"/>
        </w:rPr>
        <w:instrText xml:space="preserve"> PAGEREF _Toc474929613 \h </w:instrText>
      </w:r>
      <w:r w:rsidRPr="00DF386B">
        <w:rPr>
          <w:sz w:val="20"/>
        </w:rPr>
      </w:r>
      <w:r w:rsidRPr="00DF386B">
        <w:rPr>
          <w:sz w:val="20"/>
        </w:rPr>
        <w:fldChar w:fldCharType="separate"/>
      </w:r>
      <w:r>
        <w:rPr>
          <w:sz w:val="20"/>
        </w:rPr>
        <w:t>4</w:t>
      </w:r>
      <w:r w:rsidRPr="00DF386B">
        <w:rPr>
          <w:sz w:val="20"/>
        </w:rPr>
        <w:fldChar w:fldCharType="end"/>
      </w:r>
    </w:p>
    <w:p w:rsidR="00DF386B" w:rsidRPr="00DF386B" w:rsidRDefault="00DF386B">
      <w:pPr>
        <w:pStyle w:val="TOC4"/>
        <w:rPr>
          <w:rFonts w:asciiTheme="minorHAnsi" w:eastAsiaTheme="minorEastAsia" w:hAnsiTheme="minorHAnsi" w:cstheme="minorBidi"/>
          <w:sz w:val="22"/>
          <w:szCs w:val="22"/>
        </w:rPr>
      </w:pPr>
      <w:r w:rsidRPr="00DF386B">
        <w:t>Applying the Corporations legislation by reference</w:t>
      </w:r>
      <w:r w:rsidRPr="00DF386B">
        <w:rPr>
          <w:sz w:val="20"/>
        </w:rPr>
        <w:tab/>
      </w:r>
      <w:r w:rsidRPr="00DF386B">
        <w:rPr>
          <w:sz w:val="20"/>
        </w:rPr>
        <w:fldChar w:fldCharType="begin"/>
      </w:r>
      <w:r w:rsidRPr="00DF386B">
        <w:rPr>
          <w:sz w:val="20"/>
        </w:rPr>
        <w:instrText xml:space="preserve"> PAGEREF _Toc474929614 \h </w:instrText>
      </w:r>
      <w:r w:rsidRPr="00DF386B">
        <w:rPr>
          <w:sz w:val="20"/>
        </w:rPr>
      </w:r>
      <w:r w:rsidRPr="00DF386B">
        <w:rPr>
          <w:sz w:val="20"/>
        </w:rPr>
        <w:fldChar w:fldCharType="separate"/>
      </w:r>
      <w:r>
        <w:rPr>
          <w:sz w:val="20"/>
        </w:rPr>
        <w:t>5</w:t>
      </w:r>
      <w:r w:rsidRPr="00DF386B">
        <w:rPr>
          <w:sz w:val="20"/>
        </w:rPr>
        <w:fldChar w:fldCharType="end"/>
      </w:r>
    </w:p>
    <w:p w:rsidR="00DF386B" w:rsidRPr="00DF386B" w:rsidRDefault="00DF386B" w:rsidP="00DF386B">
      <w:pPr>
        <w:pStyle w:val="TOC3"/>
        <w:rPr>
          <w:rFonts w:asciiTheme="minorHAnsi" w:eastAsiaTheme="minorEastAsia" w:hAnsiTheme="minorHAnsi" w:cstheme="minorBidi"/>
          <w:sz w:val="22"/>
          <w:szCs w:val="22"/>
        </w:rPr>
      </w:pPr>
      <w:r w:rsidRPr="00DF386B">
        <w:t>Procedure</w:t>
      </w:r>
      <w:r w:rsidRPr="00DF386B">
        <w:rPr>
          <w:sz w:val="20"/>
        </w:rPr>
        <w:tab/>
      </w:r>
      <w:r w:rsidRPr="00DF386B">
        <w:rPr>
          <w:sz w:val="20"/>
        </w:rPr>
        <w:fldChar w:fldCharType="begin"/>
      </w:r>
      <w:r w:rsidRPr="00DF386B">
        <w:rPr>
          <w:sz w:val="20"/>
        </w:rPr>
        <w:instrText xml:space="preserve"> PAGEREF _Toc474929615 \h </w:instrText>
      </w:r>
      <w:r w:rsidRPr="00DF386B">
        <w:rPr>
          <w:sz w:val="20"/>
        </w:rPr>
      </w:r>
      <w:r w:rsidRPr="00DF386B">
        <w:rPr>
          <w:sz w:val="20"/>
        </w:rPr>
        <w:fldChar w:fldCharType="separate"/>
      </w:r>
      <w:r>
        <w:rPr>
          <w:sz w:val="20"/>
        </w:rPr>
        <w:t>6</w:t>
      </w:r>
      <w:r w:rsidRPr="00DF386B">
        <w:rPr>
          <w:sz w:val="20"/>
        </w:rPr>
        <w:fldChar w:fldCharType="end"/>
      </w:r>
    </w:p>
    <w:p w:rsidR="00DF386B" w:rsidRPr="00DF386B" w:rsidRDefault="00DF386B">
      <w:pPr>
        <w:pStyle w:val="TOC2"/>
        <w:rPr>
          <w:rFonts w:asciiTheme="minorHAnsi" w:eastAsiaTheme="minorEastAsia" w:hAnsiTheme="minorHAnsi" w:cstheme="minorBidi"/>
          <w:b w:val="0"/>
          <w:sz w:val="22"/>
          <w:szCs w:val="22"/>
        </w:rPr>
      </w:pPr>
      <w:r w:rsidRPr="00DF386B">
        <w:t>Part 3—Other legislation: States and Territories</w:t>
      </w:r>
      <w:r w:rsidRPr="00DF386B">
        <w:rPr>
          <w:b w:val="0"/>
          <w:sz w:val="20"/>
        </w:rPr>
        <w:tab/>
      </w:r>
      <w:r w:rsidRPr="00DF386B">
        <w:rPr>
          <w:b w:val="0"/>
          <w:sz w:val="20"/>
        </w:rPr>
        <w:fldChar w:fldCharType="begin"/>
      </w:r>
      <w:r w:rsidRPr="00DF386B">
        <w:rPr>
          <w:b w:val="0"/>
          <w:sz w:val="20"/>
        </w:rPr>
        <w:instrText xml:space="preserve"> PAGEREF _Toc474929616 \h </w:instrText>
      </w:r>
      <w:r w:rsidRPr="00DF386B">
        <w:rPr>
          <w:b w:val="0"/>
          <w:sz w:val="20"/>
        </w:rPr>
      </w:r>
      <w:r w:rsidRPr="00DF386B">
        <w:rPr>
          <w:b w:val="0"/>
          <w:sz w:val="20"/>
        </w:rPr>
        <w:fldChar w:fldCharType="separate"/>
      </w:r>
      <w:r>
        <w:rPr>
          <w:b w:val="0"/>
          <w:sz w:val="20"/>
        </w:rPr>
        <w:t>6</w:t>
      </w:r>
      <w:r w:rsidRPr="00DF386B">
        <w:rPr>
          <w:b w:val="0"/>
          <w:sz w:val="20"/>
        </w:rPr>
        <w:fldChar w:fldCharType="end"/>
      </w:r>
    </w:p>
    <w:p w:rsidR="00DF386B" w:rsidRPr="00DF386B" w:rsidRDefault="00DF386B" w:rsidP="00DF386B">
      <w:pPr>
        <w:pStyle w:val="TOC3"/>
        <w:rPr>
          <w:rFonts w:asciiTheme="minorHAnsi" w:eastAsiaTheme="minorEastAsia" w:hAnsiTheme="minorHAnsi" w:cstheme="minorBidi"/>
          <w:sz w:val="22"/>
          <w:szCs w:val="22"/>
        </w:rPr>
      </w:pPr>
      <w:r w:rsidRPr="00DF386B">
        <w:t>Specific cases</w:t>
      </w:r>
      <w:r w:rsidRPr="00DF386B">
        <w:rPr>
          <w:sz w:val="20"/>
        </w:rPr>
        <w:tab/>
      </w:r>
      <w:r w:rsidRPr="00DF386B">
        <w:rPr>
          <w:sz w:val="20"/>
        </w:rPr>
        <w:fldChar w:fldCharType="begin"/>
      </w:r>
      <w:r w:rsidRPr="00DF386B">
        <w:rPr>
          <w:sz w:val="20"/>
        </w:rPr>
        <w:instrText xml:space="preserve"> PAGEREF _Toc474929617 \h </w:instrText>
      </w:r>
      <w:r w:rsidRPr="00DF386B">
        <w:rPr>
          <w:sz w:val="20"/>
        </w:rPr>
      </w:r>
      <w:r w:rsidRPr="00DF386B">
        <w:rPr>
          <w:sz w:val="20"/>
        </w:rPr>
        <w:fldChar w:fldCharType="separate"/>
      </w:r>
      <w:r>
        <w:rPr>
          <w:sz w:val="20"/>
        </w:rPr>
        <w:t>6</w:t>
      </w:r>
      <w:r w:rsidRPr="00DF386B">
        <w:rPr>
          <w:sz w:val="20"/>
        </w:rPr>
        <w:fldChar w:fldCharType="end"/>
      </w:r>
    </w:p>
    <w:p w:rsidR="00DF386B" w:rsidRPr="00DF386B" w:rsidRDefault="00DF386B" w:rsidP="00DF386B">
      <w:pPr>
        <w:pStyle w:val="TOC3"/>
        <w:rPr>
          <w:rFonts w:asciiTheme="minorHAnsi" w:eastAsiaTheme="minorEastAsia" w:hAnsiTheme="minorHAnsi" w:cstheme="minorBidi"/>
          <w:sz w:val="22"/>
          <w:szCs w:val="22"/>
        </w:rPr>
      </w:pPr>
      <w:r w:rsidRPr="00DF386B">
        <w:t>Other cases</w:t>
      </w:r>
      <w:r w:rsidRPr="00DF386B">
        <w:rPr>
          <w:sz w:val="20"/>
        </w:rPr>
        <w:tab/>
      </w:r>
      <w:r w:rsidRPr="00DF386B">
        <w:rPr>
          <w:sz w:val="20"/>
        </w:rPr>
        <w:fldChar w:fldCharType="begin"/>
      </w:r>
      <w:r w:rsidRPr="00DF386B">
        <w:rPr>
          <w:sz w:val="20"/>
        </w:rPr>
        <w:instrText xml:space="preserve"> PAGEREF _Toc474929618 \h </w:instrText>
      </w:r>
      <w:r w:rsidRPr="00DF386B">
        <w:rPr>
          <w:sz w:val="20"/>
        </w:rPr>
      </w:r>
      <w:r w:rsidRPr="00DF386B">
        <w:rPr>
          <w:sz w:val="20"/>
        </w:rPr>
        <w:fldChar w:fldCharType="separate"/>
      </w:r>
      <w:r>
        <w:rPr>
          <w:sz w:val="20"/>
        </w:rPr>
        <w:t>7</w:t>
      </w:r>
      <w:r w:rsidRPr="00DF386B">
        <w:rPr>
          <w:sz w:val="20"/>
        </w:rPr>
        <w:fldChar w:fldCharType="end"/>
      </w:r>
    </w:p>
    <w:p w:rsidR="00DF386B" w:rsidRPr="00DF386B" w:rsidRDefault="00DF386B">
      <w:pPr>
        <w:pStyle w:val="TOC2"/>
        <w:rPr>
          <w:rFonts w:asciiTheme="minorHAnsi" w:eastAsiaTheme="minorEastAsia" w:hAnsiTheme="minorHAnsi" w:cstheme="minorBidi"/>
          <w:b w:val="0"/>
          <w:sz w:val="22"/>
          <w:szCs w:val="22"/>
        </w:rPr>
      </w:pPr>
      <w:r w:rsidRPr="00DF386B">
        <w:t>Part 4—Other legislation: other countries</w:t>
      </w:r>
      <w:r w:rsidRPr="00DF386B">
        <w:rPr>
          <w:b w:val="0"/>
          <w:sz w:val="20"/>
        </w:rPr>
        <w:tab/>
      </w:r>
      <w:r w:rsidRPr="00DF386B">
        <w:rPr>
          <w:b w:val="0"/>
          <w:sz w:val="20"/>
        </w:rPr>
        <w:fldChar w:fldCharType="begin"/>
      </w:r>
      <w:r w:rsidRPr="00DF386B">
        <w:rPr>
          <w:b w:val="0"/>
          <w:sz w:val="20"/>
        </w:rPr>
        <w:instrText xml:space="preserve"> PAGEREF _Toc474929619 \h </w:instrText>
      </w:r>
      <w:r w:rsidRPr="00DF386B">
        <w:rPr>
          <w:b w:val="0"/>
          <w:sz w:val="20"/>
        </w:rPr>
      </w:r>
      <w:r w:rsidRPr="00DF386B">
        <w:rPr>
          <w:b w:val="0"/>
          <w:sz w:val="20"/>
        </w:rPr>
        <w:fldChar w:fldCharType="separate"/>
      </w:r>
      <w:r>
        <w:rPr>
          <w:b w:val="0"/>
          <w:sz w:val="20"/>
        </w:rPr>
        <w:t>7</w:t>
      </w:r>
      <w:r w:rsidRPr="00DF386B">
        <w:rPr>
          <w:b w:val="0"/>
          <w:sz w:val="20"/>
        </w:rPr>
        <w:fldChar w:fldCharType="end"/>
      </w:r>
    </w:p>
    <w:p w:rsidR="00DF386B" w:rsidRPr="00DF386B" w:rsidRDefault="00DF386B" w:rsidP="00DF386B">
      <w:pPr>
        <w:pStyle w:val="TOC3"/>
        <w:rPr>
          <w:rFonts w:asciiTheme="minorHAnsi" w:eastAsiaTheme="minorEastAsia" w:hAnsiTheme="minorHAnsi" w:cstheme="minorBidi"/>
          <w:sz w:val="22"/>
          <w:szCs w:val="22"/>
        </w:rPr>
      </w:pPr>
      <w:r w:rsidRPr="00DF386B">
        <w:t>Specific cases</w:t>
      </w:r>
      <w:r w:rsidRPr="00DF386B">
        <w:rPr>
          <w:sz w:val="20"/>
        </w:rPr>
        <w:tab/>
      </w:r>
      <w:r w:rsidRPr="00DF386B">
        <w:rPr>
          <w:sz w:val="20"/>
        </w:rPr>
        <w:fldChar w:fldCharType="begin"/>
      </w:r>
      <w:r w:rsidRPr="00DF386B">
        <w:rPr>
          <w:sz w:val="20"/>
        </w:rPr>
        <w:instrText xml:space="preserve"> PAGEREF _Toc474929620 \h </w:instrText>
      </w:r>
      <w:r w:rsidRPr="00DF386B">
        <w:rPr>
          <w:sz w:val="20"/>
        </w:rPr>
      </w:r>
      <w:r w:rsidRPr="00DF386B">
        <w:rPr>
          <w:sz w:val="20"/>
        </w:rPr>
        <w:fldChar w:fldCharType="separate"/>
      </w:r>
      <w:r>
        <w:rPr>
          <w:sz w:val="20"/>
        </w:rPr>
        <w:t>7</w:t>
      </w:r>
      <w:r w:rsidRPr="00DF386B">
        <w:rPr>
          <w:sz w:val="20"/>
        </w:rPr>
        <w:fldChar w:fldCharType="end"/>
      </w:r>
    </w:p>
    <w:p w:rsidR="00DF386B" w:rsidRPr="00DF386B" w:rsidRDefault="00DF386B" w:rsidP="00DF386B">
      <w:pPr>
        <w:pStyle w:val="TOC3"/>
        <w:rPr>
          <w:rFonts w:asciiTheme="minorHAnsi" w:eastAsiaTheme="minorEastAsia" w:hAnsiTheme="minorHAnsi" w:cstheme="minorBidi"/>
          <w:sz w:val="22"/>
          <w:szCs w:val="22"/>
        </w:rPr>
      </w:pPr>
      <w:r w:rsidRPr="00DF386B">
        <w:t>Other cases</w:t>
      </w:r>
      <w:r w:rsidRPr="00DF386B">
        <w:rPr>
          <w:sz w:val="20"/>
        </w:rPr>
        <w:tab/>
      </w:r>
      <w:r w:rsidRPr="00DF386B">
        <w:rPr>
          <w:sz w:val="20"/>
        </w:rPr>
        <w:fldChar w:fldCharType="begin"/>
      </w:r>
      <w:r w:rsidRPr="00DF386B">
        <w:rPr>
          <w:sz w:val="20"/>
        </w:rPr>
        <w:instrText xml:space="preserve"> PAGEREF _Toc474929621 \h </w:instrText>
      </w:r>
      <w:r w:rsidRPr="00DF386B">
        <w:rPr>
          <w:sz w:val="20"/>
        </w:rPr>
      </w:r>
      <w:r w:rsidRPr="00DF386B">
        <w:rPr>
          <w:sz w:val="20"/>
        </w:rPr>
        <w:fldChar w:fldCharType="separate"/>
      </w:r>
      <w:r>
        <w:rPr>
          <w:sz w:val="20"/>
        </w:rPr>
        <w:t>8</w:t>
      </w:r>
      <w:r w:rsidRPr="00DF386B">
        <w:rPr>
          <w:sz w:val="20"/>
        </w:rPr>
        <w:fldChar w:fldCharType="end"/>
      </w:r>
    </w:p>
    <w:p w:rsidR="00DF386B" w:rsidRPr="00DF386B" w:rsidRDefault="00DF386B">
      <w:pPr>
        <w:pStyle w:val="TOC2"/>
        <w:rPr>
          <w:rFonts w:asciiTheme="minorHAnsi" w:eastAsiaTheme="minorEastAsia" w:hAnsiTheme="minorHAnsi" w:cstheme="minorBidi"/>
          <w:b w:val="0"/>
          <w:sz w:val="22"/>
          <w:szCs w:val="22"/>
        </w:rPr>
      </w:pPr>
      <w:r w:rsidRPr="00DF386B">
        <w:t>Attachment A—extract of Corporations Agreement 2002</w:t>
      </w:r>
      <w:r w:rsidRPr="00DF386B">
        <w:rPr>
          <w:b w:val="0"/>
          <w:sz w:val="20"/>
        </w:rPr>
        <w:tab/>
      </w:r>
      <w:r w:rsidRPr="00DF386B">
        <w:rPr>
          <w:b w:val="0"/>
          <w:sz w:val="20"/>
        </w:rPr>
        <w:fldChar w:fldCharType="begin"/>
      </w:r>
      <w:r w:rsidRPr="00DF386B">
        <w:rPr>
          <w:b w:val="0"/>
          <w:sz w:val="20"/>
        </w:rPr>
        <w:instrText xml:space="preserve"> PAGEREF _Toc474929622 \h </w:instrText>
      </w:r>
      <w:r w:rsidRPr="00DF386B">
        <w:rPr>
          <w:b w:val="0"/>
          <w:sz w:val="20"/>
        </w:rPr>
      </w:r>
      <w:r w:rsidRPr="00DF386B">
        <w:rPr>
          <w:b w:val="0"/>
          <w:sz w:val="20"/>
        </w:rPr>
        <w:fldChar w:fldCharType="separate"/>
      </w:r>
      <w:r>
        <w:rPr>
          <w:b w:val="0"/>
          <w:sz w:val="20"/>
        </w:rPr>
        <w:t>9</w:t>
      </w:r>
      <w:r w:rsidRPr="00DF386B">
        <w:rPr>
          <w:b w:val="0"/>
          <w:sz w:val="20"/>
        </w:rPr>
        <w:fldChar w:fldCharType="end"/>
      </w:r>
    </w:p>
    <w:p w:rsidR="00DF386B" w:rsidRPr="00DF386B" w:rsidRDefault="00DF386B">
      <w:pPr>
        <w:pStyle w:val="TOC3"/>
        <w:rPr>
          <w:rFonts w:asciiTheme="minorHAnsi" w:eastAsiaTheme="minorEastAsia" w:hAnsiTheme="minorHAnsi" w:cstheme="minorBidi"/>
          <w:sz w:val="22"/>
          <w:szCs w:val="22"/>
        </w:rPr>
      </w:pPr>
      <w:r w:rsidRPr="00DF386B">
        <w:t>Division 2–Alteration of the national law</w:t>
      </w:r>
      <w:r w:rsidRPr="00DF386B">
        <w:rPr>
          <w:sz w:val="20"/>
        </w:rPr>
        <w:tab/>
      </w:r>
      <w:r w:rsidRPr="00DF386B">
        <w:rPr>
          <w:sz w:val="20"/>
        </w:rPr>
        <w:fldChar w:fldCharType="begin"/>
      </w:r>
      <w:r w:rsidRPr="00DF386B">
        <w:rPr>
          <w:sz w:val="20"/>
        </w:rPr>
        <w:instrText xml:space="preserve"> PAGEREF _Toc474929623 \h </w:instrText>
      </w:r>
      <w:r w:rsidRPr="00DF386B">
        <w:rPr>
          <w:sz w:val="20"/>
        </w:rPr>
      </w:r>
      <w:r w:rsidRPr="00DF386B">
        <w:rPr>
          <w:sz w:val="20"/>
        </w:rPr>
        <w:fldChar w:fldCharType="separate"/>
      </w:r>
      <w:r>
        <w:rPr>
          <w:sz w:val="20"/>
        </w:rPr>
        <w:t>9</w:t>
      </w:r>
      <w:r w:rsidRPr="00DF386B">
        <w:rPr>
          <w:sz w:val="20"/>
        </w:rPr>
        <w:fldChar w:fldCharType="end"/>
      </w:r>
    </w:p>
    <w:p w:rsidR="00DF386B" w:rsidRPr="00DF386B" w:rsidRDefault="00DF386B">
      <w:pPr>
        <w:pStyle w:val="TOC4"/>
        <w:rPr>
          <w:rFonts w:asciiTheme="minorHAnsi" w:eastAsiaTheme="minorEastAsia" w:hAnsiTheme="minorHAnsi" w:cstheme="minorBidi"/>
          <w:sz w:val="22"/>
          <w:szCs w:val="22"/>
        </w:rPr>
      </w:pPr>
      <w:r w:rsidRPr="00DF386B">
        <w:t>Commonwealth legislation relating to the national law</w:t>
      </w:r>
      <w:r w:rsidRPr="00DF386B">
        <w:rPr>
          <w:sz w:val="20"/>
        </w:rPr>
        <w:tab/>
      </w:r>
      <w:r w:rsidRPr="00DF386B">
        <w:rPr>
          <w:sz w:val="20"/>
        </w:rPr>
        <w:fldChar w:fldCharType="begin"/>
      </w:r>
      <w:r w:rsidRPr="00DF386B">
        <w:rPr>
          <w:sz w:val="20"/>
        </w:rPr>
        <w:instrText xml:space="preserve"> PAGEREF _Toc474929624 \h </w:instrText>
      </w:r>
      <w:r w:rsidRPr="00DF386B">
        <w:rPr>
          <w:sz w:val="20"/>
        </w:rPr>
      </w:r>
      <w:r w:rsidRPr="00DF386B">
        <w:rPr>
          <w:sz w:val="20"/>
        </w:rPr>
        <w:fldChar w:fldCharType="separate"/>
      </w:r>
      <w:r>
        <w:rPr>
          <w:sz w:val="20"/>
        </w:rPr>
        <w:t>9</w:t>
      </w:r>
      <w:r w:rsidRPr="00DF386B">
        <w:rPr>
          <w:sz w:val="20"/>
        </w:rPr>
        <w:fldChar w:fldCharType="end"/>
      </w:r>
    </w:p>
    <w:p w:rsidR="00DF386B" w:rsidRPr="00DF386B" w:rsidRDefault="00DF386B">
      <w:pPr>
        <w:pStyle w:val="TOC4"/>
        <w:rPr>
          <w:rFonts w:asciiTheme="minorHAnsi" w:eastAsiaTheme="minorEastAsia" w:hAnsiTheme="minorHAnsi" w:cstheme="minorBidi"/>
          <w:sz w:val="22"/>
          <w:szCs w:val="22"/>
        </w:rPr>
      </w:pPr>
      <w:r w:rsidRPr="00DF386B">
        <w:t>Provisions relating to approval of Commonwealth legislation</w:t>
      </w:r>
      <w:r w:rsidRPr="00DF386B">
        <w:rPr>
          <w:sz w:val="20"/>
        </w:rPr>
        <w:tab/>
      </w:r>
      <w:r w:rsidRPr="00DF386B">
        <w:rPr>
          <w:sz w:val="20"/>
        </w:rPr>
        <w:fldChar w:fldCharType="begin"/>
      </w:r>
      <w:r w:rsidRPr="00DF386B">
        <w:rPr>
          <w:sz w:val="20"/>
        </w:rPr>
        <w:instrText xml:space="preserve"> PAGEREF _Toc474929625 \h </w:instrText>
      </w:r>
      <w:r w:rsidRPr="00DF386B">
        <w:rPr>
          <w:sz w:val="20"/>
        </w:rPr>
      </w:r>
      <w:r w:rsidRPr="00DF386B">
        <w:rPr>
          <w:sz w:val="20"/>
        </w:rPr>
        <w:fldChar w:fldCharType="separate"/>
      </w:r>
      <w:r>
        <w:rPr>
          <w:sz w:val="20"/>
        </w:rPr>
        <w:t>9</w:t>
      </w:r>
      <w:r w:rsidRPr="00DF386B">
        <w:rPr>
          <w:sz w:val="20"/>
        </w:rPr>
        <w:fldChar w:fldCharType="end"/>
      </w:r>
    </w:p>
    <w:p w:rsidR="00DF386B" w:rsidRPr="00DF386B" w:rsidRDefault="00DF386B">
      <w:pPr>
        <w:pStyle w:val="TOC4"/>
        <w:rPr>
          <w:rFonts w:asciiTheme="minorHAnsi" w:eastAsiaTheme="minorEastAsia" w:hAnsiTheme="minorHAnsi" w:cstheme="minorBidi"/>
          <w:sz w:val="22"/>
          <w:szCs w:val="22"/>
        </w:rPr>
      </w:pPr>
      <w:r w:rsidRPr="00DF386B">
        <w:t>Further consideration of Commonwealth legislation that does not require approval</w:t>
      </w:r>
      <w:r w:rsidRPr="00DF386B">
        <w:rPr>
          <w:sz w:val="20"/>
        </w:rPr>
        <w:tab/>
      </w:r>
      <w:r w:rsidRPr="00DF386B">
        <w:rPr>
          <w:sz w:val="20"/>
        </w:rPr>
        <w:fldChar w:fldCharType="begin"/>
      </w:r>
      <w:r w:rsidRPr="00DF386B">
        <w:rPr>
          <w:sz w:val="20"/>
        </w:rPr>
        <w:instrText xml:space="preserve"> PAGEREF _Toc474929626 \h </w:instrText>
      </w:r>
      <w:r w:rsidRPr="00DF386B">
        <w:rPr>
          <w:sz w:val="20"/>
        </w:rPr>
      </w:r>
      <w:r w:rsidRPr="00DF386B">
        <w:rPr>
          <w:sz w:val="20"/>
        </w:rPr>
        <w:fldChar w:fldCharType="separate"/>
      </w:r>
      <w:r>
        <w:rPr>
          <w:sz w:val="20"/>
        </w:rPr>
        <w:t>10</w:t>
      </w:r>
      <w:r w:rsidRPr="00DF386B">
        <w:rPr>
          <w:sz w:val="20"/>
        </w:rPr>
        <w:fldChar w:fldCharType="end"/>
      </w:r>
    </w:p>
    <w:p w:rsidR="00DF386B" w:rsidRPr="00DF386B" w:rsidRDefault="00DF386B">
      <w:pPr>
        <w:pStyle w:val="TOC4"/>
        <w:rPr>
          <w:rFonts w:asciiTheme="minorHAnsi" w:eastAsiaTheme="minorEastAsia" w:hAnsiTheme="minorHAnsi" w:cstheme="minorBidi"/>
          <w:sz w:val="22"/>
          <w:szCs w:val="22"/>
        </w:rPr>
      </w:pPr>
      <w:r w:rsidRPr="00DF386B">
        <w:t>Exposure of Commonwealth draft Bills</w:t>
      </w:r>
      <w:r w:rsidRPr="00DF386B">
        <w:rPr>
          <w:sz w:val="20"/>
        </w:rPr>
        <w:tab/>
      </w:r>
      <w:r w:rsidRPr="00DF386B">
        <w:rPr>
          <w:sz w:val="20"/>
        </w:rPr>
        <w:fldChar w:fldCharType="begin"/>
      </w:r>
      <w:r w:rsidRPr="00DF386B">
        <w:rPr>
          <w:sz w:val="20"/>
        </w:rPr>
        <w:instrText xml:space="preserve"> PAGEREF _Toc474929627 \h </w:instrText>
      </w:r>
      <w:r w:rsidRPr="00DF386B">
        <w:rPr>
          <w:sz w:val="20"/>
        </w:rPr>
      </w:r>
      <w:r w:rsidRPr="00DF386B">
        <w:rPr>
          <w:sz w:val="20"/>
        </w:rPr>
        <w:fldChar w:fldCharType="separate"/>
      </w:r>
      <w:r>
        <w:rPr>
          <w:sz w:val="20"/>
        </w:rPr>
        <w:t>10</w:t>
      </w:r>
      <w:r w:rsidRPr="00DF386B">
        <w:rPr>
          <w:sz w:val="20"/>
        </w:rPr>
        <w:fldChar w:fldCharType="end"/>
      </w:r>
    </w:p>
    <w:p w:rsidR="00DF386B" w:rsidRPr="00DF386B" w:rsidRDefault="00DF386B">
      <w:pPr>
        <w:pStyle w:val="TOC4"/>
        <w:rPr>
          <w:rFonts w:asciiTheme="minorHAnsi" w:eastAsiaTheme="minorEastAsia" w:hAnsiTheme="minorHAnsi" w:cstheme="minorBidi"/>
          <w:sz w:val="22"/>
          <w:szCs w:val="22"/>
        </w:rPr>
      </w:pPr>
      <w:r w:rsidRPr="00DF386B">
        <w:t>Introduction and passage of Commonwealth Bills</w:t>
      </w:r>
      <w:r w:rsidRPr="00DF386B">
        <w:rPr>
          <w:sz w:val="20"/>
        </w:rPr>
        <w:tab/>
      </w:r>
      <w:r w:rsidRPr="00DF386B">
        <w:rPr>
          <w:sz w:val="20"/>
        </w:rPr>
        <w:fldChar w:fldCharType="begin"/>
      </w:r>
      <w:r w:rsidRPr="00DF386B">
        <w:rPr>
          <w:sz w:val="20"/>
        </w:rPr>
        <w:instrText xml:space="preserve"> PAGEREF _Toc474929628 \h </w:instrText>
      </w:r>
      <w:r w:rsidRPr="00DF386B">
        <w:rPr>
          <w:sz w:val="20"/>
        </w:rPr>
      </w:r>
      <w:r w:rsidRPr="00DF386B">
        <w:rPr>
          <w:sz w:val="20"/>
        </w:rPr>
        <w:fldChar w:fldCharType="separate"/>
      </w:r>
      <w:r>
        <w:rPr>
          <w:sz w:val="20"/>
        </w:rPr>
        <w:t>11</w:t>
      </w:r>
      <w:r w:rsidRPr="00DF386B">
        <w:rPr>
          <w:sz w:val="20"/>
        </w:rPr>
        <w:fldChar w:fldCharType="end"/>
      </w:r>
    </w:p>
    <w:p w:rsidR="00DF386B" w:rsidRPr="00DF386B" w:rsidRDefault="00DF386B">
      <w:pPr>
        <w:pStyle w:val="TOC4"/>
        <w:rPr>
          <w:rFonts w:asciiTheme="minorHAnsi" w:eastAsiaTheme="minorEastAsia" w:hAnsiTheme="minorHAnsi" w:cstheme="minorBidi"/>
          <w:sz w:val="22"/>
          <w:szCs w:val="22"/>
        </w:rPr>
      </w:pPr>
      <w:r w:rsidRPr="00DF386B">
        <w:t>Exposure of Commonwealth draft regulations</w:t>
      </w:r>
      <w:r w:rsidRPr="00DF386B">
        <w:rPr>
          <w:sz w:val="20"/>
        </w:rPr>
        <w:tab/>
      </w:r>
      <w:r w:rsidRPr="00DF386B">
        <w:rPr>
          <w:sz w:val="20"/>
        </w:rPr>
        <w:fldChar w:fldCharType="begin"/>
      </w:r>
      <w:r w:rsidRPr="00DF386B">
        <w:rPr>
          <w:sz w:val="20"/>
        </w:rPr>
        <w:instrText xml:space="preserve"> PAGEREF _Toc474929629 \h </w:instrText>
      </w:r>
      <w:r w:rsidRPr="00DF386B">
        <w:rPr>
          <w:sz w:val="20"/>
        </w:rPr>
      </w:r>
      <w:r w:rsidRPr="00DF386B">
        <w:rPr>
          <w:sz w:val="20"/>
        </w:rPr>
        <w:fldChar w:fldCharType="separate"/>
      </w:r>
      <w:r>
        <w:rPr>
          <w:sz w:val="20"/>
        </w:rPr>
        <w:t>11</w:t>
      </w:r>
      <w:r w:rsidRPr="00DF386B">
        <w:rPr>
          <w:sz w:val="20"/>
        </w:rPr>
        <w:fldChar w:fldCharType="end"/>
      </w:r>
    </w:p>
    <w:p w:rsidR="00DF386B" w:rsidRPr="00DF386B" w:rsidRDefault="00DF386B">
      <w:pPr>
        <w:pStyle w:val="TOC4"/>
        <w:rPr>
          <w:rFonts w:asciiTheme="minorHAnsi" w:eastAsiaTheme="minorEastAsia" w:hAnsiTheme="minorHAnsi" w:cstheme="minorBidi"/>
          <w:sz w:val="22"/>
          <w:szCs w:val="22"/>
        </w:rPr>
      </w:pPr>
      <w:r w:rsidRPr="00DF386B">
        <w:t>Concurrent State and Territory legislation</w:t>
      </w:r>
      <w:r w:rsidRPr="00DF386B">
        <w:rPr>
          <w:sz w:val="20"/>
        </w:rPr>
        <w:tab/>
      </w:r>
      <w:r w:rsidRPr="00DF386B">
        <w:rPr>
          <w:sz w:val="20"/>
        </w:rPr>
        <w:fldChar w:fldCharType="begin"/>
      </w:r>
      <w:r w:rsidRPr="00DF386B">
        <w:rPr>
          <w:sz w:val="20"/>
        </w:rPr>
        <w:instrText xml:space="preserve"> PAGEREF _Toc474929630 \h </w:instrText>
      </w:r>
      <w:r w:rsidRPr="00DF386B">
        <w:rPr>
          <w:sz w:val="20"/>
        </w:rPr>
      </w:r>
      <w:r w:rsidRPr="00DF386B">
        <w:rPr>
          <w:sz w:val="20"/>
        </w:rPr>
        <w:fldChar w:fldCharType="separate"/>
      </w:r>
      <w:r>
        <w:rPr>
          <w:sz w:val="20"/>
        </w:rPr>
        <w:t>11</w:t>
      </w:r>
      <w:r w:rsidRPr="00DF386B">
        <w:rPr>
          <w:sz w:val="20"/>
        </w:rPr>
        <w:fldChar w:fldCharType="end"/>
      </w:r>
    </w:p>
    <w:p w:rsidR="00DF386B" w:rsidRPr="00DF386B" w:rsidRDefault="00DF386B">
      <w:pPr>
        <w:pStyle w:val="TOC4"/>
        <w:rPr>
          <w:rFonts w:asciiTheme="minorHAnsi" w:eastAsiaTheme="minorEastAsia" w:hAnsiTheme="minorHAnsi" w:cstheme="minorBidi"/>
          <w:sz w:val="22"/>
          <w:szCs w:val="22"/>
        </w:rPr>
      </w:pPr>
      <w:r w:rsidRPr="00DF386B">
        <w:t>Operation of existing inconsistent State and Territory legislation</w:t>
      </w:r>
      <w:r w:rsidRPr="00DF386B">
        <w:rPr>
          <w:sz w:val="20"/>
        </w:rPr>
        <w:tab/>
      </w:r>
      <w:r w:rsidRPr="00DF386B">
        <w:rPr>
          <w:sz w:val="20"/>
        </w:rPr>
        <w:fldChar w:fldCharType="begin"/>
      </w:r>
      <w:r w:rsidRPr="00DF386B">
        <w:rPr>
          <w:sz w:val="20"/>
        </w:rPr>
        <w:instrText xml:space="preserve"> PAGEREF _Toc474929631 \h </w:instrText>
      </w:r>
      <w:r w:rsidRPr="00DF386B">
        <w:rPr>
          <w:sz w:val="20"/>
        </w:rPr>
      </w:r>
      <w:r w:rsidRPr="00DF386B">
        <w:rPr>
          <w:sz w:val="20"/>
        </w:rPr>
        <w:fldChar w:fldCharType="separate"/>
      </w:r>
      <w:r>
        <w:rPr>
          <w:sz w:val="20"/>
        </w:rPr>
        <w:t>12</w:t>
      </w:r>
      <w:r w:rsidRPr="00DF386B">
        <w:rPr>
          <w:sz w:val="20"/>
        </w:rPr>
        <w:fldChar w:fldCharType="end"/>
      </w:r>
    </w:p>
    <w:p w:rsidR="00DF386B" w:rsidRPr="00DF386B" w:rsidRDefault="00DF386B">
      <w:pPr>
        <w:pStyle w:val="TOC4"/>
        <w:rPr>
          <w:rFonts w:asciiTheme="minorHAnsi" w:eastAsiaTheme="minorEastAsia" w:hAnsiTheme="minorHAnsi" w:cstheme="minorBidi"/>
          <w:sz w:val="22"/>
          <w:szCs w:val="22"/>
        </w:rPr>
      </w:pPr>
      <w:r w:rsidRPr="00DF386B">
        <w:t>Operation of future inconsistent State and Territory legislation</w:t>
      </w:r>
      <w:r w:rsidRPr="00DF386B">
        <w:rPr>
          <w:sz w:val="20"/>
        </w:rPr>
        <w:tab/>
      </w:r>
      <w:r w:rsidRPr="00DF386B">
        <w:rPr>
          <w:sz w:val="20"/>
        </w:rPr>
        <w:fldChar w:fldCharType="begin"/>
      </w:r>
      <w:r w:rsidRPr="00DF386B">
        <w:rPr>
          <w:sz w:val="20"/>
        </w:rPr>
        <w:instrText xml:space="preserve"> PAGEREF _Toc474929632 \h </w:instrText>
      </w:r>
      <w:r w:rsidRPr="00DF386B">
        <w:rPr>
          <w:sz w:val="20"/>
        </w:rPr>
      </w:r>
      <w:r w:rsidRPr="00DF386B">
        <w:rPr>
          <w:sz w:val="20"/>
        </w:rPr>
        <w:fldChar w:fldCharType="separate"/>
      </w:r>
      <w:r>
        <w:rPr>
          <w:sz w:val="20"/>
        </w:rPr>
        <w:t>12</w:t>
      </w:r>
      <w:r w:rsidRPr="00DF386B">
        <w:rPr>
          <w:sz w:val="20"/>
        </w:rPr>
        <w:fldChar w:fldCharType="end"/>
      </w:r>
    </w:p>
    <w:p w:rsidR="00DF386B" w:rsidRPr="00DF386B" w:rsidRDefault="00DF386B">
      <w:pPr>
        <w:pStyle w:val="TOC4"/>
        <w:rPr>
          <w:rFonts w:asciiTheme="minorHAnsi" w:eastAsiaTheme="minorEastAsia" w:hAnsiTheme="minorHAnsi" w:cstheme="minorBidi"/>
          <w:sz w:val="22"/>
          <w:szCs w:val="22"/>
        </w:rPr>
      </w:pPr>
      <w:r w:rsidRPr="00DF386B">
        <w:t>Additional mechanism</w:t>
      </w:r>
      <w:r w:rsidRPr="00DF386B">
        <w:rPr>
          <w:sz w:val="20"/>
        </w:rPr>
        <w:tab/>
      </w:r>
      <w:r w:rsidRPr="00DF386B">
        <w:rPr>
          <w:sz w:val="20"/>
        </w:rPr>
        <w:fldChar w:fldCharType="begin"/>
      </w:r>
      <w:r w:rsidRPr="00DF386B">
        <w:rPr>
          <w:sz w:val="20"/>
        </w:rPr>
        <w:instrText xml:space="preserve"> PAGEREF _Toc474929633 \h </w:instrText>
      </w:r>
      <w:r w:rsidRPr="00DF386B">
        <w:rPr>
          <w:sz w:val="20"/>
        </w:rPr>
      </w:r>
      <w:r w:rsidRPr="00DF386B">
        <w:rPr>
          <w:sz w:val="20"/>
        </w:rPr>
        <w:fldChar w:fldCharType="separate"/>
      </w:r>
      <w:r>
        <w:rPr>
          <w:sz w:val="20"/>
        </w:rPr>
        <w:t>13</w:t>
      </w:r>
      <w:r w:rsidRPr="00DF386B">
        <w:rPr>
          <w:sz w:val="20"/>
        </w:rPr>
        <w:fldChar w:fldCharType="end"/>
      </w:r>
    </w:p>
    <w:p w:rsidR="00DF386B" w:rsidRPr="00DF386B" w:rsidRDefault="00DF386B">
      <w:pPr>
        <w:pStyle w:val="TOC4"/>
        <w:rPr>
          <w:rFonts w:asciiTheme="minorHAnsi" w:eastAsiaTheme="minorEastAsia" w:hAnsiTheme="minorHAnsi" w:cstheme="minorBidi"/>
          <w:sz w:val="22"/>
          <w:szCs w:val="22"/>
        </w:rPr>
      </w:pPr>
      <w:r w:rsidRPr="00DF386B">
        <w:t>Commonwealth to notify Ministerial Council of other legislation</w:t>
      </w:r>
      <w:r w:rsidRPr="00DF386B">
        <w:rPr>
          <w:sz w:val="20"/>
        </w:rPr>
        <w:tab/>
      </w:r>
      <w:r w:rsidRPr="00DF386B">
        <w:rPr>
          <w:sz w:val="20"/>
        </w:rPr>
        <w:fldChar w:fldCharType="begin"/>
      </w:r>
      <w:r w:rsidRPr="00DF386B">
        <w:rPr>
          <w:sz w:val="20"/>
        </w:rPr>
        <w:instrText xml:space="preserve"> PAGEREF _Toc474929634 \h </w:instrText>
      </w:r>
      <w:r w:rsidRPr="00DF386B">
        <w:rPr>
          <w:sz w:val="20"/>
        </w:rPr>
      </w:r>
      <w:r w:rsidRPr="00DF386B">
        <w:rPr>
          <w:sz w:val="20"/>
        </w:rPr>
        <w:fldChar w:fldCharType="separate"/>
      </w:r>
      <w:r>
        <w:rPr>
          <w:sz w:val="20"/>
        </w:rPr>
        <w:t>13</w:t>
      </w:r>
      <w:r w:rsidRPr="00DF386B">
        <w:rPr>
          <w:sz w:val="20"/>
        </w:rPr>
        <w:fldChar w:fldCharType="end"/>
      </w:r>
    </w:p>
    <w:p w:rsidR="00DF386B" w:rsidRPr="00DF386B" w:rsidRDefault="00DF386B">
      <w:pPr>
        <w:pStyle w:val="TOC4"/>
        <w:rPr>
          <w:rFonts w:asciiTheme="minorHAnsi" w:eastAsiaTheme="minorEastAsia" w:hAnsiTheme="minorHAnsi" w:cstheme="minorBidi"/>
          <w:sz w:val="22"/>
          <w:szCs w:val="22"/>
        </w:rPr>
      </w:pPr>
      <w:r w:rsidRPr="00DF386B">
        <w:t>Alterations to legislation</w:t>
      </w:r>
      <w:r w:rsidRPr="00DF386B">
        <w:rPr>
          <w:sz w:val="20"/>
        </w:rPr>
        <w:tab/>
      </w:r>
      <w:r w:rsidRPr="00DF386B">
        <w:rPr>
          <w:sz w:val="20"/>
        </w:rPr>
        <w:fldChar w:fldCharType="begin"/>
      </w:r>
      <w:r w:rsidRPr="00DF386B">
        <w:rPr>
          <w:sz w:val="20"/>
        </w:rPr>
        <w:instrText xml:space="preserve"> PAGEREF _Toc474929635 \h </w:instrText>
      </w:r>
      <w:r w:rsidRPr="00DF386B">
        <w:rPr>
          <w:sz w:val="20"/>
        </w:rPr>
      </w:r>
      <w:r w:rsidRPr="00DF386B">
        <w:rPr>
          <w:sz w:val="20"/>
        </w:rPr>
        <w:fldChar w:fldCharType="separate"/>
      </w:r>
      <w:r>
        <w:rPr>
          <w:sz w:val="20"/>
        </w:rPr>
        <w:t>14</w:t>
      </w:r>
      <w:r w:rsidRPr="00DF386B">
        <w:rPr>
          <w:sz w:val="20"/>
        </w:rPr>
        <w:fldChar w:fldCharType="end"/>
      </w:r>
    </w:p>
    <w:p w:rsidR="00DF386B" w:rsidRPr="00DF386B" w:rsidRDefault="00DF386B" w:rsidP="00DF386B">
      <w:pPr>
        <w:pStyle w:val="TOC4"/>
        <w:rPr>
          <w:rFonts w:asciiTheme="minorHAnsi" w:eastAsiaTheme="minorEastAsia" w:hAnsiTheme="minorHAnsi" w:cstheme="minorBidi"/>
          <w:sz w:val="22"/>
          <w:szCs w:val="22"/>
        </w:rPr>
      </w:pPr>
      <w:r w:rsidRPr="00DF386B">
        <w:t>Exceptions</w:t>
      </w:r>
      <w:r w:rsidRPr="00DF386B">
        <w:rPr>
          <w:sz w:val="20"/>
        </w:rPr>
        <w:tab/>
      </w:r>
      <w:r w:rsidRPr="00DF386B">
        <w:rPr>
          <w:sz w:val="20"/>
        </w:rPr>
        <w:fldChar w:fldCharType="begin"/>
      </w:r>
      <w:r w:rsidRPr="00DF386B">
        <w:rPr>
          <w:sz w:val="20"/>
        </w:rPr>
        <w:instrText xml:space="preserve"> PAGEREF _Toc474929636 \h </w:instrText>
      </w:r>
      <w:r w:rsidRPr="00DF386B">
        <w:rPr>
          <w:sz w:val="20"/>
        </w:rPr>
      </w:r>
      <w:r w:rsidRPr="00DF386B">
        <w:rPr>
          <w:sz w:val="20"/>
        </w:rPr>
        <w:fldChar w:fldCharType="separate"/>
      </w:r>
      <w:r>
        <w:rPr>
          <w:sz w:val="20"/>
        </w:rPr>
        <w:t>15</w:t>
      </w:r>
      <w:r w:rsidRPr="00DF386B">
        <w:rPr>
          <w:sz w:val="20"/>
        </w:rPr>
        <w:fldChar w:fldCharType="end"/>
      </w:r>
    </w:p>
    <w:p w:rsidR="00DF386B" w:rsidRPr="00DF386B" w:rsidRDefault="00DF386B">
      <w:pPr>
        <w:pStyle w:val="TOC3"/>
        <w:rPr>
          <w:rFonts w:asciiTheme="minorHAnsi" w:eastAsiaTheme="minorEastAsia" w:hAnsiTheme="minorHAnsi" w:cstheme="minorBidi"/>
          <w:sz w:val="22"/>
          <w:szCs w:val="22"/>
        </w:rPr>
      </w:pPr>
      <w:r w:rsidRPr="00DF386B">
        <w:t>Division 4–Miscellaneous</w:t>
      </w:r>
      <w:r w:rsidRPr="00DF386B">
        <w:rPr>
          <w:sz w:val="20"/>
        </w:rPr>
        <w:tab/>
      </w:r>
      <w:r w:rsidRPr="00DF386B">
        <w:rPr>
          <w:sz w:val="20"/>
        </w:rPr>
        <w:fldChar w:fldCharType="begin"/>
      </w:r>
      <w:r w:rsidRPr="00DF386B">
        <w:rPr>
          <w:sz w:val="20"/>
        </w:rPr>
        <w:instrText xml:space="preserve"> PAGEREF _Toc474929637 \h </w:instrText>
      </w:r>
      <w:r w:rsidRPr="00DF386B">
        <w:rPr>
          <w:sz w:val="20"/>
        </w:rPr>
      </w:r>
      <w:r w:rsidRPr="00DF386B">
        <w:rPr>
          <w:sz w:val="20"/>
        </w:rPr>
        <w:fldChar w:fldCharType="separate"/>
      </w:r>
      <w:r>
        <w:rPr>
          <w:sz w:val="20"/>
        </w:rPr>
        <w:t>15</w:t>
      </w:r>
      <w:r w:rsidRPr="00DF386B">
        <w:rPr>
          <w:sz w:val="20"/>
        </w:rPr>
        <w:fldChar w:fldCharType="end"/>
      </w:r>
    </w:p>
    <w:p w:rsidR="00DF386B" w:rsidRPr="00DF386B" w:rsidRDefault="00DF386B">
      <w:pPr>
        <w:pStyle w:val="TOC4"/>
        <w:rPr>
          <w:rFonts w:eastAsiaTheme="minorEastAsia"/>
          <w:sz w:val="20"/>
          <w:szCs w:val="22"/>
        </w:rPr>
      </w:pPr>
      <w:r w:rsidRPr="00DF386B">
        <w:t>Meaning of amendment</w:t>
      </w:r>
      <w:r w:rsidRPr="00DF386B">
        <w:rPr>
          <w:sz w:val="20"/>
        </w:rPr>
        <w:tab/>
      </w:r>
      <w:r w:rsidRPr="00DF386B">
        <w:rPr>
          <w:sz w:val="20"/>
        </w:rPr>
        <w:fldChar w:fldCharType="begin"/>
      </w:r>
      <w:r w:rsidRPr="00DF386B">
        <w:rPr>
          <w:sz w:val="20"/>
        </w:rPr>
        <w:instrText xml:space="preserve"> PAGEREF _Toc474929638 \h </w:instrText>
      </w:r>
      <w:r w:rsidRPr="00DF386B">
        <w:rPr>
          <w:sz w:val="20"/>
        </w:rPr>
      </w:r>
      <w:r w:rsidRPr="00DF386B">
        <w:rPr>
          <w:sz w:val="20"/>
        </w:rPr>
        <w:fldChar w:fldCharType="separate"/>
      </w:r>
      <w:r>
        <w:rPr>
          <w:sz w:val="20"/>
        </w:rPr>
        <w:t>15</w:t>
      </w:r>
      <w:r w:rsidRPr="00DF386B">
        <w:rPr>
          <w:sz w:val="20"/>
        </w:rPr>
        <w:fldChar w:fldCharType="end"/>
      </w:r>
    </w:p>
    <w:p w:rsidR="00A34DC0" w:rsidRPr="00DF386B" w:rsidRDefault="00BC41A1" w:rsidP="00DF386B">
      <w:pPr>
        <w:rPr>
          <w:sz w:val="32"/>
        </w:rPr>
      </w:pPr>
      <w:r w:rsidRPr="00DF386B">
        <w:rPr>
          <w:rFonts w:cs="Times New Roman"/>
          <w:sz w:val="20"/>
        </w:rPr>
        <w:fldChar w:fldCharType="end"/>
      </w:r>
    </w:p>
    <w:p w:rsidR="00FE21C0" w:rsidRPr="00DF386B" w:rsidRDefault="00FE21C0" w:rsidP="00DF386B">
      <w:pPr>
        <w:pStyle w:val="Head2"/>
      </w:pPr>
      <w:bookmarkStart w:id="1" w:name="_Toc474929605"/>
      <w:r w:rsidRPr="00DF386B">
        <w:lastRenderedPageBreak/>
        <w:t>Part 1—Prel</w:t>
      </w:r>
      <w:bookmarkStart w:id="2" w:name="opcCurrentLocation"/>
      <w:bookmarkEnd w:id="2"/>
      <w:r w:rsidRPr="00DF386B">
        <w:t>iminary</w:t>
      </w:r>
      <w:bookmarkEnd w:id="1"/>
    </w:p>
    <w:p w:rsidR="005A42E3" w:rsidRPr="00DF386B" w:rsidRDefault="00FE21C0" w:rsidP="001C0B22">
      <w:pPr>
        <w:pStyle w:val="BodyNum"/>
      </w:pPr>
      <w:r w:rsidRPr="00DF386B">
        <w:t>This Drafting Direction deals with amendments to Commonwealth legislation that, under an intergovernmental agreement, require</w:t>
      </w:r>
      <w:r w:rsidR="005A42E3" w:rsidRPr="00DF386B">
        <w:t>:</w:t>
      </w:r>
    </w:p>
    <w:p w:rsidR="005A42E3" w:rsidRPr="00DF386B" w:rsidRDefault="00FE21C0" w:rsidP="005A42E3">
      <w:pPr>
        <w:pStyle w:val="BodyPara"/>
      </w:pPr>
      <w:r w:rsidRPr="00DF386B">
        <w:t>consultation with, or consultation with and approval of, the States and Territories</w:t>
      </w:r>
      <w:r w:rsidR="005A42E3" w:rsidRPr="00DF386B">
        <w:t>; or</w:t>
      </w:r>
    </w:p>
    <w:p w:rsidR="005A42E3" w:rsidRPr="00DF386B" w:rsidRDefault="005A42E3" w:rsidP="005A42E3">
      <w:pPr>
        <w:pStyle w:val="BodyPara"/>
      </w:pPr>
      <w:r w:rsidRPr="00DF386B">
        <w:t>consultation with, or consultation with and approval of, another country.</w:t>
      </w:r>
    </w:p>
    <w:p w:rsidR="00FE21C0" w:rsidRPr="00DF386B" w:rsidRDefault="00FE21C0" w:rsidP="005A42E3">
      <w:pPr>
        <w:pStyle w:val="BodyNum"/>
      </w:pPr>
      <w:r w:rsidRPr="00DF386B">
        <w:t>Part 2 deals with the Corporations legislation</w:t>
      </w:r>
      <w:r w:rsidR="005A42E3" w:rsidRPr="00DF386B">
        <w:t>.</w:t>
      </w:r>
      <w:r w:rsidRPr="00DF386B">
        <w:t xml:space="preserve"> Part 3 deals with other Commonwealth legislation</w:t>
      </w:r>
      <w:r w:rsidR="005A42E3" w:rsidRPr="00DF386B">
        <w:t xml:space="preserve"> that may require prior consultation with, or consultation with and approval of, the States and Territories</w:t>
      </w:r>
      <w:r w:rsidRPr="00DF386B">
        <w:t>.</w:t>
      </w:r>
      <w:r w:rsidR="005A42E3" w:rsidRPr="00DF386B">
        <w:t xml:space="preserve"> Part 4 deals with Commonwealth legislation that, under an intergovernmental agreement, requires consultation with, or consultation with and approval of, another country.</w:t>
      </w:r>
    </w:p>
    <w:p w:rsidR="003A5CB0" w:rsidRPr="00DF386B" w:rsidRDefault="003A5CB0" w:rsidP="005A42E3">
      <w:pPr>
        <w:pStyle w:val="BodyNum"/>
      </w:pPr>
      <w:r w:rsidRPr="00DF386B">
        <w:t xml:space="preserve">If you </w:t>
      </w:r>
      <w:r w:rsidR="00AD5783" w:rsidRPr="00DF386B">
        <w:t>have drafted</w:t>
      </w:r>
      <w:r w:rsidRPr="00DF386B">
        <w:t xml:space="preserve"> legislation that should be covered by this Drafting Direction, or repeal</w:t>
      </w:r>
      <w:r w:rsidR="00AD5783" w:rsidRPr="00DF386B">
        <w:t>ed</w:t>
      </w:r>
      <w:r w:rsidRPr="00DF386B">
        <w:t xml:space="preserve"> legislation that is covered by this Drafting Direction, inform First Parliamentary Counsel.</w:t>
      </w:r>
    </w:p>
    <w:p w:rsidR="00FE21C0" w:rsidRPr="00DF386B" w:rsidRDefault="00FE21C0" w:rsidP="00DF386B">
      <w:pPr>
        <w:pStyle w:val="Head2"/>
      </w:pPr>
      <w:bookmarkStart w:id="3" w:name="_Toc474929606"/>
      <w:r w:rsidRPr="00DF386B">
        <w:t>Part 2—Corporations legislation</w:t>
      </w:r>
      <w:bookmarkEnd w:id="3"/>
    </w:p>
    <w:p w:rsidR="00FE21C0" w:rsidRPr="00DF386B" w:rsidRDefault="00FE21C0" w:rsidP="00DF386B">
      <w:pPr>
        <w:pStyle w:val="Head3"/>
      </w:pPr>
      <w:bookmarkStart w:id="4" w:name="_Toc474929607"/>
      <w:r w:rsidRPr="00DF386B">
        <w:t>Preliminary</w:t>
      </w:r>
      <w:bookmarkEnd w:id="4"/>
    </w:p>
    <w:p w:rsidR="00FE21C0" w:rsidRPr="00DF386B" w:rsidRDefault="00FE21C0" w:rsidP="001C0B22">
      <w:pPr>
        <w:pStyle w:val="BodyNum"/>
      </w:pPr>
      <w:r w:rsidRPr="00DF386B">
        <w:t>This Part deals with legislation that amends, or alters the effect, scope or operation of, the following legislation:</w:t>
      </w:r>
    </w:p>
    <w:p w:rsidR="00FE21C0" w:rsidRPr="00DF386B" w:rsidRDefault="00FE21C0" w:rsidP="001C0B22">
      <w:pPr>
        <w:pStyle w:val="BodyPara"/>
      </w:pPr>
      <w:r w:rsidRPr="00DF386B">
        <w:t xml:space="preserve">the </w:t>
      </w:r>
      <w:r w:rsidRPr="00DF386B">
        <w:rPr>
          <w:i/>
        </w:rPr>
        <w:t>Corporations Act 2001</w:t>
      </w:r>
      <w:r w:rsidRPr="00DF386B">
        <w:t>;</w:t>
      </w:r>
    </w:p>
    <w:p w:rsidR="00FE21C0" w:rsidRPr="00DF386B" w:rsidRDefault="00FE21C0" w:rsidP="001C0B22">
      <w:pPr>
        <w:pStyle w:val="BodyPara"/>
      </w:pPr>
      <w:r w:rsidRPr="00DF386B">
        <w:t xml:space="preserve">the </w:t>
      </w:r>
      <w:r w:rsidRPr="00DF386B">
        <w:rPr>
          <w:i/>
        </w:rPr>
        <w:t>Australian Securities and Investments Commission Act 2001</w:t>
      </w:r>
      <w:r w:rsidRPr="00DF386B">
        <w:t>;</w:t>
      </w:r>
    </w:p>
    <w:p w:rsidR="00FE21C0" w:rsidRPr="00DF386B" w:rsidRDefault="00FE21C0" w:rsidP="001C0B22">
      <w:pPr>
        <w:pStyle w:val="BodyPara"/>
      </w:pPr>
      <w:r w:rsidRPr="00DF386B">
        <w:t>certain related taxing legislation:</w:t>
      </w:r>
    </w:p>
    <w:p w:rsidR="00FE21C0" w:rsidRPr="00DF386B" w:rsidRDefault="00FE21C0" w:rsidP="00FE21C0">
      <w:pPr>
        <w:pStyle w:val="BodySubPara"/>
        <w:tabs>
          <w:tab w:val="left" w:pos="2160"/>
        </w:tabs>
      </w:pPr>
      <w:r w:rsidRPr="00DF386B">
        <w:t xml:space="preserve">the </w:t>
      </w:r>
      <w:r w:rsidRPr="00DF386B">
        <w:rPr>
          <w:i/>
        </w:rPr>
        <w:t>Corporations (National Guarantee Fund Levies) Act 2001</w:t>
      </w:r>
      <w:r w:rsidRPr="00DF386B">
        <w:t>;</w:t>
      </w:r>
    </w:p>
    <w:p w:rsidR="00FE21C0" w:rsidRPr="00DF386B" w:rsidRDefault="00FE21C0" w:rsidP="00FE21C0">
      <w:pPr>
        <w:pStyle w:val="BodySubPara"/>
        <w:tabs>
          <w:tab w:val="left" w:pos="2160"/>
        </w:tabs>
      </w:pPr>
      <w:r w:rsidRPr="00DF386B">
        <w:t xml:space="preserve">the </w:t>
      </w:r>
      <w:r w:rsidRPr="00DF386B">
        <w:rPr>
          <w:i/>
        </w:rPr>
        <w:t>Corporations (Fees) Act 2001</w:t>
      </w:r>
      <w:r w:rsidRPr="00DF386B">
        <w:t>;</w:t>
      </w:r>
    </w:p>
    <w:p w:rsidR="00FE21C0" w:rsidRPr="00DF386B" w:rsidRDefault="00FE21C0" w:rsidP="00FE21C0">
      <w:pPr>
        <w:pStyle w:val="BodySubPara"/>
        <w:tabs>
          <w:tab w:val="left" w:pos="2160"/>
        </w:tabs>
      </w:pPr>
      <w:r w:rsidRPr="00DF386B">
        <w:t xml:space="preserve">the </w:t>
      </w:r>
      <w:r w:rsidRPr="00DF386B">
        <w:rPr>
          <w:i/>
        </w:rPr>
        <w:t>Corporations (Review Fees) Act 2003</w:t>
      </w:r>
      <w:r w:rsidR="000610F7" w:rsidRPr="00DF386B">
        <w:t>;</w:t>
      </w:r>
    </w:p>
    <w:p w:rsidR="000610F7" w:rsidRPr="00DF386B" w:rsidRDefault="000610F7" w:rsidP="000610F7">
      <w:pPr>
        <w:pStyle w:val="BodyPara"/>
      </w:pPr>
      <w:r w:rsidRPr="00DF386B">
        <w:t>regulations made under those Acts.</w:t>
      </w:r>
    </w:p>
    <w:p w:rsidR="00FE21C0" w:rsidRPr="00DF386B" w:rsidRDefault="00FE21C0" w:rsidP="001C0B22">
      <w:pPr>
        <w:pStyle w:val="BodyNum"/>
      </w:pPr>
      <w:r w:rsidRPr="00DF386B">
        <w:t xml:space="preserve">These are together referred to as the </w:t>
      </w:r>
      <w:r w:rsidRPr="00DF386B">
        <w:rPr>
          <w:b/>
          <w:i/>
        </w:rPr>
        <w:t>Corporations legislation</w:t>
      </w:r>
      <w:r w:rsidRPr="00DF386B">
        <w:t>.</w:t>
      </w:r>
    </w:p>
    <w:p w:rsidR="00FE21C0" w:rsidRPr="00DF386B" w:rsidRDefault="00FE21C0" w:rsidP="00DF386B">
      <w:pPr>
        <w:pStyle w:val="Head3"/>
      </w:pPr>
      <w:bookmarkStart w:id="5" w:name="_Toc474929608"/>
      <w:r w:rsidRPr="00DF386B">
        <w:t>Corporations Agreement 2002 and Corporations Amendment Agreement 2005 (No. 1)</w:t>
      </w:r>
      <w:bookmarkEnd w:id="5"/>
    </w:p>
    <w:p w:rsidR="00FE21C0" w:rsidRPr="00DF386B" w:rsidRDefault="00FE21C0" w:rsidP="001C0B22">
      <w:pPr>
        <w:pStyle w:val="BodyNum"/>
      </w:pPr>
      <w:r w:rsidRPr="00DF386B">
        <w:t xml:space="preserve">On 6 December 2002 the Commonwealth, the States and the Northern Territory entered into an agreement (the </w:t>
      </w:r>
      <w:r w:rsidRPr="00DF386B">
        <w:rPr>
          <w:b/>
          <w:i/>
        </w:rPr>
        <w:t>Corporations Agreement 2002</w:t>
      </w:r>
      <w:r w:rsidRPr="00DF386B">
        <w:t>) in relation t</w:t>
      </w:r>
      <w:r w:rsidR="00276BC1" w:rsidRPr="00DF386B">
        <w:t>o the Corporations legislation.</w:t>
      </w:r>
      <w:r w:rsidR="0089534B" w:rsidRPr="00DF386B">
        <w:t xml:space="preserve"> A copy of the Agreement can be found in the Drafting Notes database (as an attachment to the Drafting Note on the New 2001 Corporations legislation).</w:t>
      </w:r>
    </w:p>
    <w:p w:rsidR="00FE21C0" w:rsidRPr="00DF386B" w:rsidRDefault="00FE21C0" w:rsidP="001C0B22">
      <w:pPr>
        <w:pStyle w:val="BodyNum"/>
      </w:pPr>
      <w:r w:rsidRPr="00DF386B">
        <w:lastRenderedPageBreak/>
        <w:t>For ease of reference, clauses 506 to 518 and clause 523 of the Corporations Agreement 2002 (about altering the Corporations legislation) are extracted as Attachment A to this Drafting Direction.</w:t>
      </w:r>
    </w:p>
    <w:p w:rsidR="00FE21C0" w:rsidRPr="00DF386B" w:rsidRDefault="00FE21C0" w:rsidP="000D03C3">
      <w:pPr>
        <w:pStyle w:val="BodyNum"/>
      </w:pPr>
      <w:r w:rsidRPr="00DF386B">
        <w:t xml:space="preserve">The Corporations Agreement 2002 replaces an earlier one, in very similar terms, that governed the “applied law” regime that was in place until the States gave the Commonwealth references under paragraph 51(xxxvii) of the Constitution following the High Court’s decisions in </w:t>
      </w:r>
      <w:r w:rsidR="000D03C3" w:rsidRPr="00DF386B">
        <w:rPr>
          <w:i/>
        </w:rPr>
        <w:t>R v Hughes</w:t>
      </w:r>
      <w:r w:rsidR="000D03C3" w:rsidRPr="00DF386B">
        <w:t xml:space="preserve"> (2000) 171 ALR 155</w:t>
      </w:r>
      <w:r w:rsidRPr="00DF386B">
        <w:t xml:space="preserve"> and </w:t>
      </w:r>
      <w:r w:rsidR="000D03C3" w:rsidRPr="00DF386B">
        <w:rPr>
          <w:i/>
        </w:rPr>
        <w:t>Re Wakim; Ex Parte McNally</w:t>
      </w:r>
      <w:r w:rsidR="000D03C3" w:rsidRPr="00DF386B">
        <w:t xml:space="preserve"> (1999) 198 CLR 511</w:t>
      </w:r>
      <w:r w:rsidRPr="00DF386B">
        <w:t>.</w:t>
      </w:r>
    </w:p>
    <w:p w:rsidR="00FE21C0" w:rsidRPr="00DF386B" w:rsidRDefault="00FE21C0" w:rsidP="001C0B22">
      <w:pPr>
        <w:pStyle w:val="BodyNum"/>
      </w:pPr>
      <w:r w:rsidRPr="00DF386B">
        <w:t>On 13 October 2005 the Corporations Amendment Agreement 2005 (No. 1) came into operation, under which the Australian Capital Territory became a party to the Corporations Agreement 2002.</w:t>
      </w:r>
    </w:p>
    <w:p w:rsidR="00FE21C0" w:rsidRPr="00DF386B" w:rsidRDefault="00FE21C0" w:rsidP="00DF386B">
      <w:pPr>
        <w:pStyle w:val="Head3"/>
      </w:pPr>
      <w:bookmarkStart w:id="6" w:name="_Toc474929609"/>
      <w:r w:rsidRPr="00DF386B">
        <w:t>Need for consultation</w:t>
      </w:r>
      <w:bookmarkEnd w:id="6"/>
    </w:p>
    <w:p w:rsidR="00FE21C0" w:rsidRPr="00DF386B" w:rsidRDefault="00FE21C0" w:rsidP="00DF386B">
      <w:pPr>
        <w:pStyle w:val="Head4"/>
      </w:pPr>
      <w:bookmarkStart w:id="7" w:name="_Toc474929610"/>
      <w:r w:rsidRPr="00DF386B">
        <w:t>Consultation, approval and notification requirements</w:t>
      </w:r>
      <w:bookmarkEnd w:id="7"/>
    </w:p>
    <w:p w:rsidR="00FE21C0" w:rsidRPr="00DF386B" w:rsidRDefault="00FE21C0" w:rsidP="001C0B22">
      <w:pPr>
        <w:pStyle w:val="BodyNum"/>
      </w:pPr>
      <w:bookmarkStart w:id="8" w:name="_Ref269716843"/>
      <w:r w:rsidRPr="00DF386B">
        <w:t>Under the Corporations Agreement 2002, the Commonwealth is required:</w:t>
      </w:r>
      <w:bookmarkEnd w:id="8"/>
    </w:p>
    <w:p w:rsidR="00FE21C0" w:rsidRPr="00DF386B" w:rsidRDefault="00FE21C0" w:rsidP="001C0B22">
      <w:pPr>
        <w:pStyle w:val="BodyPara"/>
      </w:pPr>
      <w:r w:rsidRPr="00DF386B">
        <w:t xml:space="preserve">in respect of a </w:t>
      </w:r>
      <w:r w:rsidR="00FA5269" w:rsidRPr="00DF386B">
        <w:t>draft</w:t>
      </w:r>
      <w:r w:rsidRPr="00DF386B">
        <w:t xml:space="preserve"> that </w:t>
      </w:r>
      <w:r w:rsidRPr="00DF386B">
        <w:rPr>
          <w:b/>
        </w:rPr>
        <w:t>repeals or amends</w:t>
      </w:r>
      <w:r w:rsidRPr="00DF386B">
        <w:t xml:space="preserve"> the Corporations legislation—to consult, and in some circumstances obtain the approval of, the Ministerial Council for Corporations </w:t>
      </w:r>
      <w:r w:rsidR="00047BFE" w:rsidRPr="00DF386B">
        <w:t xml:space="preserve">(now known as the Legislative and Governance Forum for Corporations) </w:t>
      </w:r>
      <w:r w:rsidRPr="00DF386B">
        <w:t xml:space="preserve">before the Bill is introduced </w:t>
      </w:r>
      <w:r w:rsidR="00FA5269" w:rsidRPr="00DF386B">
        <w:t xml:space="preserve">or the regulation made </w:t>
      </w:r>
      <w:r w:rsidRPr="00DF386B">
        <w:t>(clause 506 of the Agreement); and</w:t>
      </w:r>
    </w:p>
    <w:p w:rsidR="00FE21C0" w:rsidRPr="00DF386B" w:rsidRDefault="00FE21C0" w:rsidP="001C0B22">
      <w:pPr>
        <w:pStyle w:val="BodyPara"/>
      </w:pPr>
      <w:r w:rsidRPr="00DF386B">
        <w:t xml:space="preserve">in respect of any other legislative proposal for Commonwealth legislation that would </w:t>
      </w:r>
      <w:r w:rsidRPr="00DF386B">
        <w:rPr>
          <w:b/>
        </w:rPr>
        <w:t xml:space="preserve">alter the effect, scope or operation </w:t>
      </w:r>
      <w:r w:rsidRPr="00DF386B">
        <w:t>of the Corporations legislation—to notify the Ministerial Council</w:t>
      </w:r>
      <w:r w:rsidR="00047BFE" w:rsidRPr="00DF386B">
        <w:t xml:space="preserve"> (now known as the Legislative and Governance Forum for Corporations) </w:t>
      </w:r>
      <w:r w:rsidRPr="00DF386B">
        <w:t>at the earliest practicable time after the development of the proposal and</w:t>
      </w:r>
      <w:r w:rsidR="00F2431B" w:rsidRPr="00DF386B">
        <w:t>, for a Bill,</w:t>
      </w:r>
      <w:r w:rsidRPr="00DF386B">
        <w:t xml:space="preserve"> preferably before the introduction of the Bill concerned (clause 516 of the Agreement).</w:t>
      </w:r>
    </w:p>
    <w:p w:rsidR="00FE21C0" w:rsidRPr="00DF386B" w:rsidRDefault="00FE21C0" w:rsidP="001C0B22">
      <w:pPr>
        <w:pStyle w:val="BodyNum"/>
      </w:pPr>
      <w:bookmarkStart w:id="9" w:name="_Ref269716852"/>
      <w:r w:rsidRPr="00DF386B">
        <w:t>More limited obligations are imposed on the Commonwealth for parliamentary amendments that repeal or amend the Corporations legislation or that would alter the effect, scope or operation</w:t>
      </w:r>
      <w:r w:rsidRPr="00DF386B">
        <w:rPr>
          <w:b/>
        </w:rPr>
        <w:t xml:space="preserve"> </w:t>
      </w:r>
      <w:r w:rsidRPr="00DF386B">
        <w:t>of the Corporations legislation (subclauses 510(2) and 516(5) of the Corporations Agreement 2002).</w:t>
      </w:r>
      <w:bookmarkEnd w:id="9"/>
      <w:r w:rsidRPr="00DF386B">
        <w:t xml:space="preserve"> </w:t>
      </w:r>
    </w:p>
    <w:p w:rsidR="00FE21C0" w:rsidRPr="00DF386B" w:rsidRDefault="00FE21C0" w:rsidP="001C0B22">
      <w:pPr>
        <w:pStyle w:val="BodyNum"/>
      </w:pPr>
      <w:r w:rsidRPr="00DF386B">
        <w:t xml:space="preserve">For the purposes of paragraphs </w:t>
      </w:r>
      <w:r w:rsidR="00584CE0" w:rsidRPr="00DF386B">
        <w:fldChar w:fldCharType="begin"/>
      </w:r>
      <w:r w:rsidR="00283884" w:rsidRPr="00DF386B">
        <w:instrText xml:space="preserve"> REF _Ref269716843 \r \h </w:instrText>
      </w:r>
      <w:r w:rsidR="00584CE0" w:rsidRPr="00DF386B">
        <w:fldChar w:fldCharType="separate"/>
      </w:r>
      <w:r w:rsidR="00DF386B">
        <w:t>10</w:t>
      </w:r>
      <w:r w:rsidR="00584CE0" w:rsidRPr="00DF386B">
        <w:fldChar w:fldCharType="end"/>
      </w:r>
      <w:r w:rsidRPr="00DF386B">
        <w:t xml:space="preserve"> and </w:t>
      </w:r>
      <w:r w:rsidR="00584CE0" w:rsidRPr="00DF386B">
        <w:fldChar w:fldCharType="begin"/>
      </w:r>
      <w:r w:rsidR="00283884" w:rsidRPr="00DF386B">
        <w:instrText xml:space="preserve"> REF _Ref269716852 \r \h </w:instrText>
      </w:r>
      <w:r w:rsidR="00584CE0" w:rsidRPr="00DF386B">
        <w:fldChar w:fldCharType="separate"/>
      </w:r>
      <w:r w:rsidR="00DF386B">
        <w:t>11</w:t>
      </w:r>
      <w:r w:rsidR="00584CE0" w:rsidRPr="00DF386B">
        <w:fldChar w:fldCharType="end"/>
      </w:r>
      <w:r w:rsidRPr="00DF386B">
        <w:t xml:space="preserve">, clause 523 of the Corporations Agreement 2002 provides that </w:t>
      </w:r>
      <w:r w:rsidRPr="00DF386B">
        <w:rPr>
          <w:b/>
          <w:i/>
        </w:rPr>
        <w:t xml:space="preserve">amend </w:t>
      </w:r>
      <w:r w:rsidRPr="00DF386B">
        <w:t>includes indirectly amending the Corporations legislation by making provisions that would significantly alter its effect, scope or operation.</w:t>
      </w:r>
    </w:p>
    <w:p w:rsidR="00FE21C0" w:rsidRPr="00DF386B" w:rsidRDefault="00FE21C0" w:rsidP="001C0B22">
      <w:pPr>
        <w:pStyle w:val="BodyNum"/>
      </w:pPr>
      <w:r w:rsidRPr="00DF386B">
        <w:t>The “applied laws” nature of the former regime made it easier to recognise and remember the need for consultations with the States and Territories. In the new regime, the need for consultations with the States and Territories may be more readily overlooked because the Commonwealth is legislating unilaterally (albeit in reliance, in part at least, on the State references).</w:t>
      </w:r>
    </w:p>
    <w:p w:rsidR="00FE21C0" w:rsidRPr="00DF386B" w:rsidRDefault="00FE21C0" w:rsidP="00DF386B">
      <w:pPr>
        <w:pStyle w:val="Head4"/>
        <w:keepNext w:val="0"/>
      </w:pPr>
      <w:bookmarkStart w:id="10" w:name="_Toc474929611"/>
      <w:r w:rsidRPr="00DF386B">
        <w:t>Public exposure requirements</w:t>
      </w:r>
      <w:bookmarkEnd w:id="10"/>
    </w:p>
    <w:p w:rsidR="00FE21C0" w:rsidRPr="00DF386B" w:rsidRDefault="001E264E" w:rsidP="001C0B22">
      <w:pPr>
        <w:pStyle w:val="BodyNum"/>
      </w:pPr>
      <w:bookmarkStart w:id="11" w:name="_Ref269716906"/>
      <w:r w:rsidRPr="00DF386B">
        <w:t>Drafts</w:t>
      </w:r>
      <w:r w:rsidR="00FE21C0" w:rsidRPr="00DF386B">
        <w:t xml:space="preserve"> that repeal or amend the Corporations legislation are </w:t>
      </w:r>
      <w:r w:rsidRPr="00DF386B">
        <w:t>subject to varying requirements about exposure</w:t>
      </w:r>
      <w:r w:rsidR="00FE21C0" w:rsidRPr="00DF386B">
        <w:t xml:space="preserve"> for public comment (</w:t>
      </w:r>
      <w:r w:rsidRPr="00DF386B">
        <w:t xml:space="preserve">see </w:t>
      </w:r>
      <w:r w:rsidR="00FE21C0" w:rsidRPr="00DF386B">
        <w:t>clause</w:t>
      </w:r>
      <w:r w:rsidRPr="00DF386B">
        <w:t>s</w:t>
      </w:r>
      <w:r w:rsidR="00FE21C0" w:rsidRPr="00DF386B">
        <w:t xml:space="preserve"> 509 </w:t>
      </w:r>
      <w:r w:rsidRPr="00DF386B">
        <w:t xml:space="preserve">and 511 </w:t>
      </w:r>
      <w:r w:rsidR="00FE21C0" w:rsidRPr="00DF386B">
        <w:t xml:space="preserve">of the </w:t>
      </w:r>
      <w:r w:rsidR="00FE21C0" w:rsidRPr="00DF386B">
        <w:lastRenderedPageBreak/>
        <w:t xml:space="preserve">Corporations Agreement 2002). The normal exposure period </w:t>
      </w:r>
      <w:r w:rsidRPr="00DF386B">
        <w:t xml:space="preserve">for Bills </w:t>
      </w:r>
      <w:r w:rsidR="00FE21C0" w:rsidRPr="00DF386B">
        <w:t xml:space="preserve">is 3 months. There are some cases in which the Commonwealth can dispense with public exposure </w:t>
      </w:r>
      <w:r w:rsidRPr="00DF386B">
        <w:t xml:space="preserve">of Bills </w:t>
      </w:r>
      <w:r w:rsidR="00FE21C0" w:rsidRPr="00DF386B">
        <w:t>or shorten the exposure period but the Commonwealth Minister still needs to advise the Ministerial Council</w:t>
      </w:r>
      <w:r w:rsidR="00047BFE" w:rsidRPr="00DF386B">
        <w:t xml:space="preserve"> (now known as the Legislative and Governance Forum for Corporations)</w:t>
      </w:r>
      <w:r w:rsidR="00FE21C0" w:rsidRPr="00DF386B">
        <w:t xml:space="preserve"> of the reasons for such action. In other cases, the Commonwealth can dispense with public exposure or shorten the exposure period only with the approval of at least 3 State or Territory Ministers (of whom at least 2 must be State Ministers).</w:t>
      </w:r>
      <w:bookmarkEnd w:id="11"/>
      <w:r w:rsidR="00325D1C" w:rsidRPr="00DF386B">
        <w:t xml:space="preserve"> Regulations, on the other hand, are only </w:t>
      </w:r>
      <w:r w:rsidR="0084551F" w:rsidRPr="00DF386B">
        <w:t xml:space="preserve">to </w:t>
      </w:r>
      <w:r w:rsidR="00325D1C" w:rsidRPr="00DF386B">
        <w:t>be exposed for public comment if either the Commonwealth or the Ministerial Council</w:t>
      </w:r>
      <w:r w:rsidR="00047BFE" w:rsidRPr="00DF386B">
        <w:t xml:space="preserve"> (now known as the Legislative and Governance Forum for Corporations)</w:t>
      </w:r>
      <w:r w:rsidR="00325D1C" w:rsidRPr="00DF386B">
        <w:t xml:space="preserve"> makes a decision to that effect in accordance with clause 511.</w:t>
      </w:r>
    </w:p>
    <w:p w:rsidR="00FE21C0" w:rsidRPr="00DF386B" w:rsidRDefault="00FE21C0" w:rsidP="00DF386B">
      <w:pPr>
        <w:pStyle w:val="Head4"/>
      </w:pPr>
      <w:bookmarkStart w:id="12" w:name="_Toc474929612"/>
      <w:r w:rsidRPr="00DF386B">
        <w:t>Provisions that amend the Corporations legislation</w:t>
      </w:r>
      <w:bookmarkEnd w:id="12"/>
    </w:p>
    <w:p w:rsidR="00FE21C0" w:rsidRPr="00DF386B" w:rsidRDefault="00FE21C0" w:rsidP="001C0B22">
      <w:pPr>
        <w:pStyle w:val="BodyNum"/>
      </w:pPr>
      <w:r w:rsidRPr="00DF386B">
        <w:t xml:space="preserve">If a </w:t>
      </w:r>
      <w:r w:rsidR="00057D60" w:rsidRPr="00DF386B">
        <w:t>draft</w:t>
      </w:r>
      <w:r w:rsidRPr="00DF386B">
        <w:t xml:space="preserve"> is primarily concerned with amending the Corporations legislation, it will be prepared on instructions from the area within the Treasury that is responsible for that legislati</w:t>
      </w:r>
      <w:r w:rsidR="001827CC" w:rsidRPr="00DF386B">
        <w:t>o</w:t>
      </w:r>
      <w:r w:rsidRPr="00DF386B">
        <w:t>n. These instructors can be expected to be aware of t</w:t>
      </w:r>
      <w:r w:rsidR="00047BFE" w:rsidRPr="00DF386B">
        <w:t xml:space="preserve">he need for Ministerial Council (now known as the Legislative and Governance Forum for Corporations) </w:t>
      </w:r>
      <w:r w:rsidRPr="00DF386B">
        <w:t>consultation under the Corporations Agreement 2002.</w:t>
      </w:r>
    </w:p>
    <w:p w:rsidR="00FE21C0" w:rsidRPr="00DF386B" w:rsidRDefault="00FE21C0" w:rsidP="001C0B22">
      <w:pPr>
        <w:pStyle w:val="BodyNum"/>
      </w:pPr>
      <w:bookmarkStart w:id="13" w:name="_Ref269716924"/>
      <w:r w:rsidRPr="00DF386B">
        <w:t>Problems may occur, however, when the Corporations legislation is to be amended only consequentially on some other init</w:t>
      </w:r>
      <w:r w:rsidR="00047BFE" w:rsidRPr="00DF386B">
        <w:t xml:space="preserve">iative. The Ministerial Council (now known as the Legislative and Governance Forum for Corporations) </w:t>
      </w:r>
      <w:r w:rsidRPr="00DF386B">
        <w:t>consultation obligations still apply in these cases. Drafters should make sure that their instructors are aware of the need for Ministerial Council</w:t>
      </w:r>
      <w:r w:rsidR="00047BFE" w:rsidRPr="00DF386B">
        <w:t xml:space="preserve"> (now known as the Legislative and Governance Forum for Corporations)</w:t>
      </w:r>
      <w:r w:rsidRPr="00DF386B">
        <w:t xml:space="preserve"> consultations and should refer their instructors to the relevant contact in the Treasury (see paragraph </w:t>
      </w:r>
      <w:r w:rsidR="00584CE0" w:rsidRPr="00DF386B">
        <w:fldChar w:fldCharType="begin"/>
      </w:r>
      <w:r w:rsidR="00283884" w:rsidRPr="00DF386B">
        <w:instrText xml:space="preserve"> REF _Ref269716882 \r \h </w:instrText>
      </w:r>
      <w:r w:rsidR="00584CE0" w:rsidRPr="00DF386B">
        <w:fldChar w:fldCharType="separate"/>
      </w:r>
      <w:r w:rsidR="00DF386B">
        <w:t>24</w:t>
      </w:r>
      <w:r w:rsidR="00584CE0" w:rsidRPr="00DF386B">
        <w:fldChar w:fldCharType="end"/>
      </w:r>
      <w:r w:rsidRPr="00DF386B">
        <w:t>)</w:t>
      </w:r>
      <w:bookmarkEnd w:id="13"/>
      <w:r w:rsidR="00047BFE" w:rsidRPr="00DF386B">
        <w:t>.</w:t>
      </w:r>
    </w:p>
    <w:p w:rsidR="00FE21C0" w:rsidRPr="00DF386B" w:rsidRDefault="00FE21C0" w:rsidP="001C0B22">
      <w:pPr>
        <w:pStyle w:val="BodyNum"/>
      </w:pPr>
      <w:bookmarkStart w:id="14" w:name="_Ref269716931"/>
      <w:r w:rsidRPr="00DF386B">
        <w:t xml:space="preserve">As the obligation to consult </w:t>
      </w:r>
      <w:r w:rsidR="00057D60" w:rsidRPr="00DF386B">
        <w:t>may carry with it an obligation for public exposure</w:t>
      </w:r>
      <w:r w:rsidRPr="00DF386B">
        <w:t xml:space="preserve"> (see paragraph </w:t>
      </w:r>
      <w:r w:rsidR="00584CE0" w:rsidRPr="00DF386B">
        <w:fldChar w:fldCharType="begin"/>
      </w:r>
      <w:r w:rsidR="00283884" w:rsidRPr="00DF386B">
        <w:instrText xml:space="preserve"> REF _Ref269716906 \r \h </w:instrText>
      </w:r>
      <w:r w:rsidR="00584CE0" w:rsidRPr="00DF386B">
        <w:fldChar w:fldCharType="separate"/>
      </w:r>
      <w:r w:rsidR="00DF386B">
        <w:t>14</w:t>
      </w:r>
      <w:r w:rsidR="00584CE0" w:rsidRPr="00DF386B">
        <w:fldChar w:fldCharType="end"/>
      </w:r>
      <w:r w:rsidRPr="00DF386B">
        <w:t>), the drafter should ensure that the instructors are aware of these requirements as early as possible. In particular, the drafter should not simply rely on the fact that the Corporations legislation (being legislation administered by the Treasurer) cannot be amended without the Treasurer’s agreement. Such agreement will often be sought only at a late stage in the drafting process. This will be a particular problem in cases which require the agreement of at least 3 State or Territory Ministers (of whom at least 2 must be State Ministers) for dispensing with public exposure or shortening the exposure period.</w:t>
      </w:r>
      <w:bookmarkEnd w:id="14"/>
    </w:p>
    <w:p w:rsidR="00FE21C0" w:rsidRPr="00DF386B" w:rsidRDefault="00FE21C0" w:rsidP="001C0B22">
      <w:pPr>
        <w:pStyle w:val="BodyNum"/>
      </w:pPr>
      <w:r w:rsidRPr="00DF386B">
        <w:t xml:space="preserve">Note that the situation dealt with in paragraphs </w:t>
      </w:r>
      <w:r w:rsidR="00584CE0" w:rsidRPr="00DF386B">
        <w:fldChar w:fldCharType="begin"/>
      </w:r>
      <w:r w:rsidR="00283884" w:rsidRPr="00DF386B">
        <w:instrText xml:space="preserve"> REF _Ref269716924 \r \h </w:instrText>
      </w:r>
      <w:r w:rsidR="00584CE0" w:rsidRPr="00DF386B">
        <w:fldChar w:fldCharType="separate"/>
      </w:r>
      <w:r w:rsidR="00DF386B">
        <w:t>16</w:t>
      </w:r>
      <w:r w:rsidR="00584CE0" w:rsidRPr="00DF386B">
        <w:fldChar w:fldCharType="end"/>
      </w:r>
      <w:r w:rsidRPr="00DF386B">
        <w:t xml:space="preserve"> and </w:t>
      </w:r>
      <w:r w:rsidR="00584CE0" w:rsidRPr="00DF386B">
        <w:fldChar w:fldCharType="begin"/>
      </w:r>
      <w:r w:rsidR="00283884" w:rsidRPr="00DF386B">
        <w:instrText xml:space="preserve"> REF _Ref269716931 \r \h </w:instrText>
      </w:r>
      <w:r w:rsidR="00584CE0" w:rsidRPr="00DF386B">
        <w:fldChar w:fldCharType="separate"/>
      </w:r>
      <w:r w:rsidR="00DF386B">
        <w:t>17</w:t>
      </w:r>
      <w:r w:rsidR="00584CE0" w:rsidRPr="00DF386B">
        <w:fldChar w:fldCharType="end"/>
      </w:r>
      <w:r w:rsidRPr="00DF386B">
        <w:t xml:space="preserve"> can arise even if the instructions come from another area in the Treasury (for example, an area that is responsible for tax legislation or insurance legislation).</w:t>
      </w:r>
    </w:p>
    <w:p w:rsidR="00FE21C0" w:rsidRPr="00DF386B" w:rsidRDefault="00FE21C0" w:rsidP="00DF386B">
      <w:pPr>
        <w:pStyle w:val="Head4"/>
      </w:pPr>
      <w:bookmarkStart w:id="15" w:name="_Toc474929613"/>
      <w:r w:rsidRPr="00DF386B">
        <w:t>Provisions that alter the effect, scope, or operation of the Corporations legislation</w:t>
      </w:r>
      <w:bookmarkEnd w:id="15"/>
    </w:p>
    <w:p w:rsidR="00FE21C0" w:rsidRPr="00DF386B" w:rsidRDefault="00FE21C0" w:rsidP="001C0B22">
      <w:pPr>
        <w:pStyle w:val="BodyNum"/>
      </w:pPr>
      <w:r w:rsidRPr="00DF386B">
        <w:t>Drafters will, on occasions, be asked to draft provisions that alter the effect, scope or operation of the Corporations legislation. The following table gives some examples:</w:t>
      </w:r>
    </w:p>
    <w:p w:rsidR="00FE21C0" w:rsidRPr="00DF386B" w:rsidRDefault="00FE21C0" w:rsidP="00FE21C0">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4"/>
        <w:gridCol w:w="7932"/>
      </w:tblGrid>
      <w:tr w:rsidR="00FE21C0" w:rsidRPr="00DF386B" w:rsidTr="00A823A3">
        <w:trPr>
          <w:cantSplit/>
          <w:tblHeader/>
        </w:trPr>
        <w:tc>
          <w:tcPr>
            <w:tcW w:w="8646" w:type="dxa"/>
            <w:gridSpan w:val="2"/>
            <w:tcBorders>
              <w:top w:val="single" w:sz="12" w:space="0" w:color="auto"/>
              <w:left w:val="nil"/>
              <w:bottom w:val="nil"/>
              <w:right w:val="nil"/>
            </w:tcBorders>
          </w:tcPr>
          <w:p w:rsidR="00FE21C0" w:rsidRPr="00DF386B" w:rsidRDefault="00FE21C0" w:rsidP="00A823A3">
            <w:pPr>
              <w:pStyle w:val="Tabletext"/>
            </w:pPr>
            <w:r w:rsidRPr="00DF386B">
              <w:rPr>
                <w:b/>
              </w:rPr>
              <w:t>Provisions that alter the effect, scope or operation of the Corporations legislation</w:t>
            </w:r>
          </w:p>
        </w:tc>
      </w:tr>
      <w:tr w:rsidR="00FE21C0" w:rsidRPr="00DF386B" w:rsidTr="00A823A3">
        <w:trPr>
          <w:cantSplit/>
          <w:tblHeader/>
        </w:trPr>
        <w:tc>
          <w:tcPr>
            <w:tcW w:w="714" w:type="dxa"/>
            <w:tcBorders>
              <w:top w:val="single" w:sz="6" w:space="0" w:color="auto"/>
              <w:left w:val="nil"/>
              <w:bottom w:val="single" w:sz="12" w:space="0" w:color="auto"/>
              <w:right w:val="nil"/>
            </w:tcBorders>
          </w:tcPr>
          <w:p w:rsidR="00FE21C0" w:rsidRPr="00DF386B" w:rsidRDefault="00FE21C0" w:rsidP="00A823A3">
            <w:pPr>
              <w:pStyle w:val="Tabletext"/>
            </w:pPr>
            <w:r w:rsidRPr="00DF386B">
              <w:rPr>
                <w:b/>
              </w:rPr>
              <w:t>Item</w:t>
            </w:r>
          </w:p>
        </w:tc>
        <w:tc>
          <w:tcPr>
            <w:tcW w:w="7932" w:type="dxa"/>
            <w:tcBorders>
              <w:top w:val="single" w:sz="6" w:space="0" w:color="auto"/>
              <w:left w:val="nil"/>
              <w:bottom w:val="single" w:sz="12" w:space="0" w:color="auto"/>
              <w:right w:val="nil"/>
            </w:tcBorders>
          </w:tcPr>
          <w:p w:rsidR="00FE21C0" w:rsidRPr="00DF386B" w:rsidRDefault="00FE21C0" w:rsidP="00A823A3">
            <w:pPr>
              <w:pStyle w:val="Tabletext"/>
            </w:pPr>
            <w:r w:rsidRPr="00DF386B">
              <w:rPr>
                <w:b/>
              </w:rPr>
              <w:t>Examples</w:t>
            </w:r>
          </w:p>
        </w:tc>
      </w:tr>
      <w:tr w:rsidR="00FE21C0" w:rsidRPr="00DF386B" w:rsidTr="00A823A3">
        <w:trPr>
          <w:cantSplit/>
        </w:trPr>
        <w:tc>
          <w:tcPr>
            <w:tcW w:w="714" w:type="dxa"/>
            <w:tcBorders>
              <w:top w:val="single" w:sz="12" w:space="0" w:color="auto"/>
              <w:left w:val="nil"/>
              <w:bottom w:val="single" w:sz="2" w:space="0" w:color="auto"/>
              <w:right w:val="nil"/>
            </w:tcBorders>
          </w:tcPr>
          <w:p w:rsidR="00FE21C0" w:rsidRPr="00DF386B" w:rsidRDefault="00FE21C0" w:rsidP="00A823A3">
            <w:pPr>
              <w:rPr>
                <w:b/>
              </w:rPr>
            </w:pPr>
          </w:p>
        </w:tc>
        <w:tc>
          <w:tcPr>
            <w:tcW w:w="7932" w:type="dxa"/>
            <w:tcBorders>
              <w:top w:val="single" w:sz="12" w:space="0" w:color="auto"/>
              <w:left w:val="nil"/>
              <w:bottom w:val="single" w:sz="2" w:space="0" w:color="auto"/>
              <w:right w:val="nil"/>
            </w:tcBorders>
          </w:tcPr>
          <w:p w:rsidR="00FE21C0" w:rsidRPr="00DF386B" w:rsidRDefault="00FE21C0" w:rsidP="00A823A3">
            <w:pPr>
              <w:pStyle w:val="Tabletext"/>
            </w:pPr>
            <w:r w:rsidRPr="00DF386B">
              <w:rPr>
                <w:b/>
              </w:rPr>
              <w:t>General principle</w:t>
            </w:r>
          </w:p>
        </w:tc>
      </w:tr>
      <w:tr w:rsidR="00FE21C0" w:rsidRPr="00DF386B" w:rsidTr="00A823A3">
        <w:trPr>
          <w:cantSplit/>
        </w:trPr>
        <w:tc>
          <w:tcPr>
            <w:tcW w:w="714" w:type="dxa"/>
            <w:tcBorders>
              <w:top w:val="single" w:sz="2" w:space="0" w:color="auto"/>
              <w:left w:val="nil"/>
              <w:bottom w:val="single" w:sz="2" w:space="0" w:color="auto"/>
              <w:right w:val="nil"/>
            </w:tcBorders>
          </w:tcPr>
          <w:p w:rsidR="00FE21C0" w:rsidRPr="00DF386B" w:rsidRDefault="00FE21C0" w:rsidP="00A823A3">
            <w:pPr>
              <w:pStyle w:val="Tabletext"/>
            </w:pPr>
            <w:r w:rsidRPr="00DF386B">
              <w:t>1</w:t>
            </w:r>
          </w:p>
        </w:tc>
        <w:tc>
          <w:tcPr>
            <w:tcW w:w="7932" w:type="dxa"/>
            <w:tcBorders>
              <w:top w:val="single" w:sz="2" w:space="0" w:color="auto"/>
              <w:left w:val="nil"/>
              <w:bottom w:val="single" w:sz="2" w:space="0" w:color="auto"/>
              <w:right w:val="nil"/>
            </w:tcBorders>
          </w:tcPr>
          <w:p w:rsidR="00FE21C0" w:rsidRPr="00DF386B" w:rsidRDefault="00FE21C0" w:rsidP="00EC1313">
            <w:pPr>
              <w:pStyle w:val="Tabletext"/>
            </w:pPr>
            <w:r w:rsidRPr="00DF386B">
              <w:t>Any provision that deals with a subject in relation to which the Corporations legislation makes provision has the potential to alter that legislation’s effect, scope or operation (or to “conflict with” that legislation)</w:t>
            </w:r>
          </w:p>
        </w:tc>
      </w:tr>
      <w:tr w:rsidR="00FE21C0" w:rsidRPr="00DF386B" w:rsidTr="00A823A3">
        <w:trPr>
          <w:cantSplit/>
        </w:trPr>
        <w:tc>
          <w:tcPr>
            <w:tcW w:w="714" w:type="dxa"/>
            <w:tcBorders>
              <w:top w:val="single" w:sz="2" w:space="0" w:color="auto"/>
              <w:left w:val="nil"/>
              <w:bottom w:val="single" w:sz="2" w:space="0" w:color="auto"/>
              <w:right w:val="nil"/>
            </w:tcBorders>
          </w:tcPr>
          <w:p w:rsidR="00FE21C0" w:rsidRPr="00DF386B" w:rsidRDefault="00FE21C0" w:rsidP="00A823A3">
            <w:pPr>
              <w:rPr>
                <w:b/>
              </w:rPr>
            </w:pPr>
          </w:p>
        </w:tc>
        <w:tc>
          <w:tcPr>
            <w:tcW w:w="7932" w:type="dxa"/>
            <w:tcBorders>
              <w:top w:val="single" w:sz="2" w:space="0" w:color="auto"/>
              <w:left w:val="nil"/>
              <w:bottom w:val="single" w:sz="2" w:space="0" w:color="auto"/>
              <w:right w:val="nil"/>
            </w:tcBorders>
          </w:tcPr>
          <w:p w:rsidR="00FE21C0" w:rsidRPr="00DF386B" w:rsidRDefault="00FE21C0" w:rsidP="00A823A3">
            <w:pPr>
              <w:pStyle w:val="Tabletext"/>
            </w:pPr>
            <w:r w:rsidRPr="00DF386B">
              <w:rPr>
                <w:b/>
              </w:rPr>
              <w:t>Specific examples</w:t>
            </w:r>
          </w:p>
        </w:tc>
      </w:tr>
      <w:tr w:rsidR="00FE21C0" w:rsidRPr="00DF386B" w:rsidTr="00A823A3">
        <w:trPr>
          <w:cantSplit/>
        </w:trPr>
        <w:tc>
          <w:tcPr>
            <w:tcW w:w="714" w:type="dxa"/>
            <w:tcBorders>
              <w:top w:val="single" w:sz="2" w:space="0" w:color="auto"/>
              <w:left w:val="nil"/>
              <w:bottom w:val="single" w:sz="2" w:space="0" w:color="auto"/>
              <w:right w:val="nil"/>
            </w:tcBorders>
          </w:tcPr>
          <w:p w:rsidR="00FE21C0" w:rsidRPr="00DF386B" w:rsidRDefault="00FE21C0" w:rsidP="00A823A3">
            <w:pPr>
              <w:pStyle w:val="Tabletext"/>
            </w:pPr>
            <w:r w:rsidRPr="00DF386B">
              <w:t>2</w:t>
            </w:r>
          </w:p>
        </w:tc>
        <w:tc>
          <w:tcPr>
            <w:tcW w:w="7932" w:type="dxa"/>
            <w:tcBorders>
              <w:top w:val="single" w:sz="2" w:space="0" w:color="auto"/>
              <w:left w:val="nil"/>
              <w:bottom w:val="single" w:sz="2" w:space="0" w:color="auto"/>
              <w:right w:val="nil"/>
            </w:tcBorders>
          </w:tcPr>
          <w:p w:rsidR="00FE21C0" w:rsidRPr="00DF386B" w:rsidRDefault="00FE21C0" w:rsidP="00A823A3">
            <w:pPr>
              <w:pStyle w:val="Tabletext"/>
            </w:pPr>
            <w:r w:rsidRPr="00DF386B">
              <w:t>giving a Minister power to give binding directions to a company owned or controlled by the Commonwealth, or by a Commonwealth instrumentality, without incurring the duties and liabilities of a director of the company</w:t>
            </w:r>
          </w:p>
        </w:tc>
      </w:tr>
      <w:tr w:rsidR="00FE21C0" w:rsidRPr="00DF386B" w:rsidTr="00A823A3">
        <w:trPr>
          <w:cantSplit/>
        </w:trPr>
        <w:tc>
          <w:tcPr>
            <w:tcW w:w="714" w:type="dxa"/>
            <w:tcBorders>
              <w:top w:val="single" w:sz="2" w:space="0" w:color="auto"/>
              <w:left w:val="nil"/>
              <w:bottom w:val="single" w:sz="2" w:space="0" w:color="auto"/>
              <w:right w:val="nil"/>
            </w:tcBorders>
          </w:tcPr>
          <w:p w:rsidR="00FE21C0" w:rsidRPr="00DF386B" w:rsidRDefault="00FE21C0" w:rsidP="00A823A3">
            <w:pPr>
              <w:pStyle w:val="Tabletext"/>
            </w:pPr>
            <w:r w:rsidRPr="00DF386B">
              <w:t>3</w:t>
            </w:r>
          </w:p>
        </w:tc>
        <w:tc>
          <w:tcPr>
            <w:tcW w:w="7932" w:type="dxa"/>
            <w:tcBorders>
              <w:top w:val="single" w:sz="2" w:space="0" w:color="auto"/>
              <w:left w:val="nil"/>
              <w:bottom w:val="single" w:sz="2" w:space="0" w:color="auto"/>
              <w:right w:val="nil"/>
            </w:tcBorders>
          </w:tcPr>
          <w:p w:rsidR="00FE21C0" w:rsidRPr="00DF386B" w:rsidRDefault="00FE21C0" w:rsidP="00A823A3">
            <w:pPr>
              <w:pStyle w:val="Tabletext"/>
            </w:pPr>
            <w:r w:rsidRPr="00DF386B">
              <w:t>dealing with who can or cannot be a director, auditor or liquidator of a particular kind of company</w:t>
            </w:r>
          </w:p>
        </w:tc>
      </w:tr>
      <w:tr w:rsidR="00FE21C0" w:rsidRPr="00DF386B" w:rsidTr="00A823A3">
        <w:trPr>
          <w:cantSplit/>
        </w:trPr>
        <w:tc>
          <w:tcPr>
            <w:tcW w:w="714" w:type="dxa"/>
            <w:tcBorders>
              <w:top w:val="single" w:sz="2" w:space="0" w:color="auto"/>
              <w:left w:val="nil"/>
              <w:bottom w:val="single" w:sz="2" w:space="0" w:color="auto"/>
              <w:right w:val="nil"/>
            </w:tcBorders>
          </w:tcPr>
          <w:p w:rsidR="00FE21C0" w:rsidRPr="00DF386B" w:rsidRDefault="00FE21C0" w:rsidP="00A823A3">
            <w:pPr>
              <w:pStyle w:val="Tabletext"/>
            </w:pPr>
            <w:r w:rsidRPr="00DF386B">
              <w:t>4</w:t>
            </w:r>
          </w:p>
        </w:tc>
        <w:tc>
          <w:tcPr>
            <w:tcW w:w="7932" w:type="dxa"/>
            <w:tcBorders>
              <w:top w:val="single" w:sz="2" w:space="0" w:color="auto"/>
              <w:left w:val="nil"/>
              <w:bottom w:val="single" w:sz="2" w:space="0" w:color="auto"/>
              <w:right w:val="nil"/>
            </w:tcBorders>
          </w:tcPr>
          <w:p w:rsidR="00FE21C0" w:rsidRPr="00DF386B" w:rsidRDefault="00FE21C0" w:rsidP="00A823A3">
            <w:pPr>
              <w:pStyle w:val="Tabletext"/>
            </w:pPr>
            <w:r w:rsidRPr="00DF386B">
              <w:t>transferring assets in a way that affects the provisions of the Corporations legislation dealing with registering company charges</w:t>
            </w:r>
          </w:p>
        </w:tc>
      </w:tr>
      <w:tr w:rsidR="00FE21C0" w:rsidRPr="00DF386B" w:rsidTr="00A823A3">
        <w:trPr>
          <w:cantSplit/>
        </w:trPr>
        <w:tc>
          <w:tcPr>
            <w:tcW w:w="714" w:type="dxa"/>
            <w:tcBorders>
              <w:top w:val="single" w:sz="2" w:space="0" w:color="auto"/>
              <w:left w:val="nil"/>
              <w:bottom w:val="single" w:sz="2" w:space="0" w:color="auto"/>
              <w:right w:val="nil"/>
            </w:tcBorders>
          </w:tcPr>
          <w:p w:rsidR="00FE21C0" w:rsidRPr="00DF386B" w:rsidRDefault="00FE21C0" w:rsidP="00A823A3">
            <w:pPr>
              <w:pStyle w:val="Tabletext"/>
            </w:pPr>
            <w:r w:rsidRPr="00DF386B">
              <w:t>5</w:t>
            </w:r>
          </w:p>
        </w:tc>
        <w:tc>
          <w:tcPr>
            <w:tcW w:w="7932" w:type="dxa"/>
            <w:tcBorders>
              <w:top w:val="single" w:sz="2" w:space="0" w:color="auto"/>
              <w:left w:val="nil"/>
              <w:bottom w:val="single" w:sz="2" w:space="0" w:color="auto"/>
              <w:right w:val="nil"/>
            </w:tcBorders>
          </w:tcPr>
          <w:p w:rsidR="00FE21C0" w:rsidRPr="00DF386B" w:rsidRDefault="00FE21C0" w:rsidP="00A823A3">
            <w:pPr>
              <w:pStyle w:val="Tabletext"/>
            </w:pPr>
            <w:r w:rsidRPr="00DF386B">
              <w:t>dealing with the use of names as the names of particular companies</w:t>
            </w:r>
          </w:p>
        </w:tc>
      </w:tr>
      <w:tr w:rsidR="00FE21C0" w:rsidRPr="00DF386B" w:rsidTr="00A823A3">
        <w:trPr>
          <w:cantSplit/>
        </w:trPr>
        <w:tc>
          <w:tcPr>
            <w:tcW w:w="714" w:type="dxa"/>
            <w:tcBorders>
              <w:top w:val="single" w:sz="2" w:space="0" w:color="auto"/>
              <w:left w:val="nil"/>
              <w:bottom w:val="single" w:sz="2" w:space="0" w:color="auto"/>
              <w:right w:val="nil"/>
            </w:tcBorders>
          </w:tcPr>
          <w:p w:rsidR="00FE21C0" w:rsidRPr="00DF386B" w:rsidRDefault="00FE21C0" w:rsidP="00A823A3">
            <w:pPr>
              <w:pStyle w:val="Tabletext"/>
            </w:pPr>
            <w:r w:rsidRPr="00DF386B">
              <w:t>6</w:t>
            </w:r>
          </w:p>
        </w:tc>
        <w:tc>
          <w:tcPr>
            <w:tcW w:w="7932" w:type="dxa"/>
            <w:tcBorders>
              <w:top w:val="single" w:sz="2" w:space="0" w:color="auto"/>
              <w:left w:val="nil"/>
              <w:bottom w:val="single" w:sz="2" w:space="0" w:color="auto"/>
              <w:right w:val="nil"/>
            </w:tcBorders>
          </w:tcPr>
          <w:p w:rsidR="00FE21C0" w:rsidRPr="00DF386B" w:rsidRDefault="00FE21C0" w:rsidP="00A823A3">
            <w:pPr>
              <w:pStyle w:val="Tabletext"/>
            </w:pPr>
            <w:r w:rsidRPr="00DF386B">
              <w:t>dealing with the service of documents on companies</w:t>
            </w:r>
          </w:p>
        </w:tc>
      </w:tr>
      <w:tr w:rsidR="00FE21C0" w:rsidRPr="00DF386B" w:rsidTr="00A823A3">
        <w:trPr>
          <w:cantSplit/>
        </w:trPr>
        <w:tc>
          <w:tcPr>
            <w:tcW w:w="714" w:type="dxa"/>
            <w:tcBorders>
              <w:top w:val="single" w:sz="2" w:space="0" w:color="auto"/>
              <w:left w:val="nil"/>
              <w:bottom w:val="single" w:sz="2" w:space="0" w:color="auto"/>
              <w:right w:val="nil"/>
            </w:tcBorders>
          </w:tcPr>
          <w:p w:rsidR="00FE21C0" w:rsidRPr="00DF386B" w:rsidRDefault="00FE21C0" w:rsidP="00A823A3">
            <w:pPr>
              <w:pStyle w:val="Tabletext"/>
            </w:pPr>
            <w:r w:rsidRPr="00DF386B">
              <w:t>7</w:t>
            </w:r>
          </w:p>
        </w:tc>
        <w:tc>
          <w:tcPr>
            <w:tcW w:w="7932" w:type="dxa"/>
            <w:tcBorders>
              <w:top w:val="single" w:sz="2" w:space="0" w:color="auto"/>
              <w:left w:val="nil"/>
              <w:bottom w:val="single" w:sz="2" w:space="0" w:color="auto"/>
              <w:right w:val="nil"/>
            </w:tcBorders>
          </w:tcPr>
          <w:p w:rsidR="00FE21C0" w:rsidRPr="00DF386B" w:rsidRDefault="00FE21C0" w:rsidP="00A823A3">
            <w:pPr>
              <w:pStyle w:val="Tabletext"/>
            </w:pPr>
            <w:r w:rsidRPr="00DF386B">
              <w:t>converting an existing statutory corporation into a company</w:t>
            </w:r>
          </w:p>
          <w:p w:rsidR="00FE21C0" w:rsidRPr="00DF386B" w:rsidRDefault="00FE21C0" w:rsidP="00A823A3">
            <w:pPr>
              <w:pStyle w:val="Tabletext"/>
            </w:pPr>
            <w:r w:rsidRPr="00DF386B">
              <w:t xml:space="preserve">(e.g. the </w:t>
            </w:r>
            <w:r w:rsidRPr="00DF386B">
              <w:rPr>
                <w:i/>
              </w:rPr>
              <w:t>Commonwealth Banks Restructuring Act 1990</w:t>
            </w:r>
            <w:r w:rsidRPr="00DF386B">
              <w:t>)</w:t>
            </w:r>
          </w:p>
        </w:tc>
      </w:tr>
      <w:tr w:rsidR="00FE21C0" w:rsidRPr="00DF386B" w:rsidTr="00A823A3">
        <w:trPr>
          <w:cantSplit/>
        </w:trPr>
        <w:tc>
          <w:tcPr>
            <w:tcW w:w="714" w:type="dxa"/>
            <w:tcBorders>
              <w:top w:val="single" w:sz="2" w:space="0" w:color="auto"/>
              <w:left w:val="nil"/>
              <w:bottom w:val="single" w:sz="2" w:space="0" w:color="auto"/>
              <w:right w:val="nil"/>
            </w:tcBorders>
          </w:tcPr>
          <w:p w:rsidR="00FE21C0" w:rsidRPr="00DF386B" w:rsidRDefault="00FE21C0" w:rsidP="00A823A3">
            <w:pPr>
              <w:pStyle w:val="Tabletext"/>
            </w:pPr>
            <w:r w:rsidRPr="00DF386B">
              <w:t>8</w:t>
            </w:r>
          </w:p>
        </w:tc>
        <w:tc>
          <w:tcPr>
            <w:tcW w:w="7932" w:type="dxa"/>
            <w:tcBorders>
              <w:top w:val="single" w:sz="2" w:space="0" w:color="auto"/>
              <w:left w:val="nil"/>
              <w:bottom w:val="single" w:sz="2" w:space="0" w:color="auto"/>
              <w:right w:val="nil"/>
            </w:tcBorders>
          </w:tcPr>
          <w:p w:rsidR="00FE21C0" w:rsidRPr="00DF386B" w:rsidRDefault="00FE21C0" w:rsidP="00A823A3">
            <w:pPr>
              <w:pStyle w:val="Tabletext"/>
            </w:pPr>
            <w:r w:rsidRPr="00DF386B">
              <w:t>merging an existing statutory corporation and an existing company to create a new company</w:t>
            </w:r>
          </w:p>
          <w:p w:rsidR="00FE21C0" w:rsidRPr="00DF386B" w:rsidRDefault="00FE21C0" w:rsidP="00A823A3">
            <w:pPr>
              <w:pStyle w:val="Tabletext"/>
            </w:pPr>
            <w:r w:rsidRPr="00DF386B">
              <w:t xml:space="preserve">(e.g. the </w:t>
            </w:r>
            <w:r w:rsidRPr="00DF386B">
              <w:rPr>
                <w:i/>
              </w:rPr>
              <w:t>Australian and Overseas Telecommunications Corporation Act 1991</w:t>
            </w:r>
            <w:r w:rsidRPr="00DF386B">
              <w:t>)</w:t>
            </w:r>
          </w:p>
        </w:tc>
      </w:tr>
      <w:tr w:rsidR="00FE21C0" w:rsidRPr="00DF386B" w:rsidTr="00A823A3">
        <w:trPr>
          <w:cantSplit/>
        </w:trPr>
        <w:tc>
          <w:tcPr>
            <w:tcW w:w="714" w:type="dxa"/>
            <w:tcBorders>
              <w:top w:val="single" w:sz="2" w:space="0" w:color="auto"/>
              <w:left w:val="nil"/>
              <w:bottom w:val="single" w:sz="2" w:space="0" w:color="auto"/>
              <w:right w:val="nil"/>
            </w:tcBorders>
          </w:tcPr>
          <w:p w:rsidR="00FE21C0" w:rsidRPr="00DF386B" w:rsidRDefault="00FE21C0" w:rsidP="00A823A3">
            <w:pPr>
              <w:pStyle w:val="Tabletext"/>
            </w:pPr>
            <w:r w:rsidRPr="00DF386B">
              <w:t>9</w:t>
            </w:r>
          </w:p>
        </w:tc>
        <w:tc>
          <w:tcPr>
            <w:tcW w:w="7932" w:type="dxa"/>
            <w:tcBorders>
              <w:top w:val="single" w:sz="2" w:space="0" w:color="auto"/>
              <w:left w:val="nil"/>
              <w:bottom w:val="single" w:sz="2" w:space="0" w:color="auto"/>
              <w:right w:val="nil"/>
            </w:tcBorders>
          </w:tcPr>
          <w:p w:rsidR="00FE21C0" w:rsidRPr="00DF386B" w:rsidRDefault="00FE21C0" w:rsidP="00A823A3">
            <w:pPr>
              <w:pStyle w:val="Tabletext"/>
            </w:pPr>
            <w:r w:rsidRPr="00DF386B">
              <w:t>establishing a body as a company</w:t>
            </w:r>
          </w:p>
        </w:tc>
      </w:tr>
      <w:tr w:rsidR="00FE21C0" w:rsidRPr="00DF386B" w:rsidTr="00A823A3">
        <w:trPr>
          <w:cantSplit/>
        </w:trPr>
        <w:tc>
          <w:tcPr>
            <w:tcW w:w="714" w:type="dxa"/>
            <w:tcBorders>
              <w:top w:val="single" w:sz="2" w:space="0" w:color="auto"/>
              <w:left w:val="nil"/>
              <w:bottom w:val="single" w:sz="2" w:space="0" w:color="auto"/>
              <w:right w:val="nil"/>
            </w:tcBorders>
          </w:tcPr>
          <w:p w:rsidR="00FE21C0" w:rsidRPr="00DF386B" w:rsidRDefault="00FE21C0" w:rsidP="00A823A3">
            <w:pPr>
              <w:pStyle w:val="Tabletext"/>
            </w:pPr>
            <w:r w:rsidRPr="00DF386B">
              <w:t>10</w:t>
            </w:r>
          </w:p>
        </w:tc>
        <w:tc>
          <w:tcPr>
            <w:tcW w:w="7932" w:type="dxa"/>
            <w:tcBorders>
              <w:top w:val="single" w:sz="2" w:space="0" w:color="auto"/>
              <w:left w:val="nil"/>
              <w:bottom w:val="single" w:sz="2" w:space="0" w:color="auto"/>
              <w:right w:val="nil"/>
            </w:tcBorders>
          </w:tcPr>
          <w:p w:rsidR="00FE21C0" w:rsidRPr="00DF386B" w:rsidRDefault="00FE21C0" w:rsidP="00A823A3">
            <w:pPr>
              <w:pStyle w:val="Tabletext"/>
            </w:pPr>
            <w:r w:rsidRPr="00DF386B">
              <w:t>winding up or dissolving a company</w:t>
            </w:r>
          </w:p>
        </w:tc>
      </w:tr>
      <w:tr w:rsidR="00FE21C0" w:rsidRPr="00DF386B" w:rsidTr="00A823A3">
        <w:trPr>
          <w:cantSplit/>
        </w:trPr>
        <w:tc>
          <w:tcPr>
            <w:tcW w:w="714" w:type="dxa"/>
            <w:tcBorders>
              <w:top w:val="single" w:sz="2" w:space="0" w:color="auto"/>
              <w:left w:val="nil"/>
              <w:bottom w:val="single" w:sz="12" w:space="0" w:color="auto"/>
              <w:right w:val="nil"/>
            </w:tcBorders>
          </w:tcPr>
          <w:p w:rsidR="00FE21C0" w:rsidRPr="00DF386B" w:rsidRDefault="00FE21C0" w:rsidP="00A823A3">
            <w:pPr>
              <w:pStyle w:val="Tabletext"/>
            </w:pPr>
            <w:r w:rsidRPr="00DF386B">
              <w:t>11</w:t>
            </w:r>
          </w:p>
        </w:tc>
        <w:tc>
          <w:tcPr>
            <w:tcW w:w="7932" w:type="dxa"/>
            <w:tcBorders>
              <w:top w:val="single" w:sz="2" w:space="0" w:color="auto"/>
              <w:left w:val="nil"/>
              <w:bottom w:val="single" w:sz="12" w:space="0" w:color="auto"/>
              <w:right w:val="nil"/>
            </w:tcBorders>
          </w:tcPr>
          <w:p w:rsidR="00FE21C0" w:rsidRPr="00DF386B" w:rsidRDefault="00FE21C0" w:rsidP="00A823A3">
            <w:pPr>
              <w:pStyle w:val="Tabletext"/>
            </w:pPr>
            <w:r w:rsidRPr="00DF386B">
              <w:t>conferring a function or power on ASIC</w:t>
            </w:r>
          </w:p>
          <w:p w:rsidR="00FE21C0" w:rsidRPr="00DF386B" w:rsidRDefault="00FE21C0" w:rsidP="00A823A3">
            <w:pPr>
              <w:pStyle w:val="Tabletext"/>
            </w:pPr>
            <w:r w:rsidRPr="00DF386B">
              <w:t xml:space="preserve">(see sections 11 and 12A of the </w:t>
            </w:r>
            <w:r w:rsidRPr="00DF386B">
              <w:rPr>
                <w:i/>
              </w:rPr>
              <w:t>Australian Securities and Investments Commission Act 2001</w:t>
            </w:r>
            <w:r w:rsidRPr="00DF386B">
              <w:t>)</w:t>
            </w:r>
          </w:p>
        </w:tc>
      </w:tr>
    </w:tbl>
    <w:p w:rsidR="00FE21C0" w:rsidRPr="00DF386B" w:rsidRDefault="00FE21C0" w:rsidP="001C0B22">
      <w:pPr>
        <w:pStyle w:val="BodyNum"/>
      </w:pPr>
      <w:r w:rsidRPr="00DF386B">
        <w:t>Note that companies are not the only kind of body the Corporations legislation deals with. It also deals with:</w:t>
      </w:r>
    </w:p>
    <w:p w:rsidR="00FE21C0" w:rsidRPr="00DF386B" w:rsidRDefault="00FE21C0" w:rsidP="001C0B22">
      <w:pPr>
        <w:pStyle w:val="BodyParaBullet"/>
      </w:pPr>
      <w:r w:rsidRPr="00DF386B">
        <w:t>corporations and bodies corporate;</w:t>
      </w:r>
    </w:p>
    <w:p w:rsidR="00FE21C0" w:rsidRPr="00DF386B" w:rsidRDefault="00FE21C0" w:rsidP="001C0B22">
      <w:pPr>
        <w:pStyle w:val="BodyParaBullet"/>
      </w:pPr>
      <w:r w:rsidRPr="00DF386B">
        <w:t>disclosing entities;</w:t>
      </w:r>
    </w:p>
    <w:p w:rsidR="00FE21C0" w:rsidRPr="00DF386B" w:rsidRDefault="00FE21C0" w:rsidP="001C0B22">
      <w:pPr>
        <w:pStyle w:val="BodyParaBullet"/>
      </w:pPr>
      <w:r w:rsidRPr="00DF386B">
        <w:t>managed investment schemes;</w:t>
      </w:r>
    </w:p>
    <w:p w:rsidR="00FE21C0" w:rsidRPr="00DF386B" w:rsidRDefault="00FE21C0" w:rsidP="001C0B22">
      <w:pPr>
        <w:pStyle w:val="BodyParaBullet"/>
      </w:pPr>
      <w:r w:rsidRPr="00DF386B">
        <w:t>registrable Australian bodies;</w:t>
      </w:r>
    </w:p>
    <w:p w:rsidR="00FE21C0" w:rsidRPr="00DF386B" w:rsidRDefault="00FE21C0" w:rsidP="001C0B22">
      <w:pPr>
        <w:pStyle w:val="BodyParaBullet"/>
      </w:pPr>
      <w:r w:rsidRPr="00DF386B">
        <w:t>foreign companies;</w:t>
      </w:r>
    </w:p>
    <w:p w:rsidR="00FE21C0" w:rsidRPr="00DF386B" w:rsidRDefault="00FE21C0" w:rsidP="001C0B22">
      <w:pPr>
        <w:pStyle w:val="BodyParaBullet"/>
      </w:pPr>
      <w:r w:rsidRPr="00DF386B">
        <w:t>Part 5.1 bodies;</w:t>
      </w:r>
    </w:p>
    <w:p w:rsidR="00FE21C0" w:rsidRPr="00DF386B" w:rsidRDefault="00FE21C0" w:rsidP="001C0B22">
      <w:pPr>
        <w:pStyle w:val="BodyParaBullet"/>
      </w:pPr>
      <w:r w:rsidRPr="00DF386B">
        <w:t>Part 5.7 bodies.</w:t>
      </w:r>
    </w:p>
    <w:p w:rsidR="00FE21C0" w:rsidRPr="00DF386B" w:rsidRDefault="00FE21C0" w:rsidP="001C0B22">
      <w:pPr>
        <w:pStyle w:val="BodyNum"/>
      </w:pPr>
      <w:r w:rsidRPr="00DF386B">
        <w:t>The Corporations legislation also regulates particular kinds of business (financial service providers, financial product issuers, financial market operators, clearing house operators, liquidators and company auditors).</w:t>
      </w:r>
    </w:p>
    <w:p w:rsidR="00FE21C0" w:rsidRPr="00DF386B" w:rsidRDefault="00FE21C0" w:rsidP="001C0B22">
      <w:pPr>
        <w:pStyle w:val="BodyNum"/>
      </w:pPr>
      <w:r w:rsidRPr="00DF386B">
        <w:t xml:space="preserve">A </w:t>
      </w:r>
      <w:r w:rsidR="00C916A9" w:rsidRPr="00DF386B">
        <w:t>draft</w:t>
      </w:r>
      <w:r w:rsidRPr="00DF386B">
        <w:t xml:space="preserve"> may still conflict with the Corporations legislation even though the </w:t>
      </w:r>
      <w:r w:rsidR="00C916A9" w:rsidRPr="00DF386B">
        <w:t>draft’s</w:t>
      </w:r>
      <w:r w:rsidRPr="00DF386B">
        <w:t xml:space="preserve"> provisions seem quite general.</w:t>
      </w:r>
    </w:p>
    <w:p w:rsidR="00FE21C0" w:rsidRPr="00DF386B" w:rsidRDefault="00FE21C0" w:rsidP="00DF386B">
      <w:pPr>
        <w:pStyle w:val="Head4"/>
      </w:pPr>
      <w:bookmarkStart w:id="16" w:name="_Toc474929614"/>
      <w:r w:rsidRPr="00DF386B">
        <w:t>Applying the Corporations legislation by reference</w:t>
      </w:r>
      <w:bookmarkEnd w:id="16"/>
    </w:p>
    <w:p w:rsidR="00FE21C0" w:rsidRPr="00DF386B" w:rsidRDefault="00FE21C0" w:rsidP="001C0B22">
      <w:pPr>
        <w:pStyle w:val="BodyNum"/>
      </w:pPr>
      <w:r w:rsidRPr="00DF386B">
        <w:t>A provision that applies provisions of the Corporations legislation by reference does not necessarily alter its effect, scope or operation.</w:t>
      </w:r>
    </w:p>
    <w:p w:rsidR="00FE21C0" w:rsidRPr="00DF386B" w:rsidRDefault="00FE21C0" w:rsidP="00FE21C0">
      <w:pPr>
        <w:pStyle w:val="Body"/>
        <w:ind w:left="720"/>
        <w:rPr>
          <w:sz w:val="20"/>
        </w:rPr>
      </w:pPr>
      <w:r w:rsidRPr="00DF386B">
        <w:rPr>
          <w:sz w:val="20"/>
        </w:rPr>
        <w:lastRenderedPageBreak/>
        <w:t>Examples:</w:t>
      </w:r>
    </w:p>
    <w:p w:rsidR="00FE21C0" w:rsidRPr="00DF386B" w:rsidRDefault="00FE21C0" w:rsidP="00FE21C0">
      <w:pPr>
        <w:pStyle w:val="Body"/>
        <w:ind w:left="720"/>
      </w:pPr>
      <w:r w:rsidRPr="00DF386B">
        <w:rPr>
          <w:b/>
          <w:sz w:val="20"/>
        </w:rPr>
        <w:t xml:space="preserve">A </w:t>
      </w:r>
      <w:r w:rsidR="005129F2" w:rsidRPr="00DF386B">
        <w:rPr>
          <w:b/>
          <w:sz w:val="20"/>
        </w:rPr>
        <w:t>draft</w:t>
      </w:r>
      <w:r w:rsidRPr="00DF386B">
        <w:rPr>
          <w:b/>
          <w:sz w:val="20"/>
        </w:rPr>
        <w:t xml:space="preserve"> that defines the relationship of holding company and subsidiary by reference to the Corporations legislation.</w:t>
      </w:r>
      <w:r w:rsidRPr="00DF386B">
        <w:rPr>
          <w:sz w:val="20"/>
        </w:rPr>
        <w:t xml:space="preserve"> Even if the Corporations legislation tests are modified in their application for the purposes of a </w:t>
      </w:r>
      <w:r w:rsidR="005129F2" w:rsidRPr="00DF386B">
        <w:rPr>
          <w:sz w:val="20"/>
        </w:rPr>
        <w:t>draft</w:t>
      </w:r>
      <w:r w:rsidRPr="00DF386B">
        <w:rPr>
          <w:sz w:val="20"/>
        </w:rPr>
        <w:t xml:space="preserve">, this does not conflict with the Corporations legislation so long as the </w:t>
      </w:r>
      <w:r w:rsidR="005129F2" w:rsidRPr="00DF386B">
        <w:rPr>
          <w:sz w:val="20"/>
        </w:rPr>
        <w:t>draft’s</w:t>
      </w:r>
      <w:r w:rsidRPr="00DF386B">
        <w:rPr>
          <w:sz w:val="20"/>
        </w:rPr>
        <w:t xml:space="preserve"> substantive provisions are not themselves in conflict.</w:t>
      </w:r>
    </w:p>
    <w:p w:rsidR="00FE21C0" w:rsidRPr="00DF386B" w:rsidRDefault="00FE21C0" w:rsidP="00FE21C0">
      <w:pPr>
        <w:pStyle w:val="Body"/>
        <w:ind w:left="720"/>
        <w:rPr>
          <w:sz w:val="20"/>
        </w:rPr>
      </w:pPr>
      <w:r w:rsidRPr="00DF386B">
        <w:rPr>
          <w:b/>
          <w:sz w:val="20"/>
        </w:rPr>
        <w:t xml:space="preserve">A </w:t>
      </w:r>
      <w:r w:rsidR="005129F2" w:rsidRPr="00DF386B">
        <w:rPr>
          <w:b/>
          <w:sz w:val="20"/>
        </w:rPr>
        <w:t>draft</w:t>
      </w:r>
      <w:r w:rsidRPr="00DF386B">
        <w:rPr>
          <w:b/>
          <w:sz w:val="20"/>
        </w:rPr>
        <w:t xml:space="preserve"> that applies some of the winding up provisions of the Corporations legislation to a body that cannot otherwise be wound up under that legislation. </w:t>
      </w:r>
      <w:r w:rsidRPr="00DF386B">
        <w:rPr>
          <w:sz w:val="20"/>
        </w:rPr>
        <w:t xml:space="preserve">Consultation with the Ministerial Council would probably not be required, so long as the </w:t>
      </w:r>
      <w:r w:rsidR="005129F2" w:rsidRPr="00DF386B">
        <w:rPr>
          <w:sz w:val="20"/>
        </w:rPr>
        <w:t>draft</w:t>
      </w:r>
      <w:r w:rsidRPr="00DF386B">
        <w:rPr>
          <w:sz w:val="20"/>
        </w:rPr>
        <w:t xml:space="preserve"> does not purport to confer particular additional functions on ASIC. (However, such a </w:t>
      </w:r>
      <w:r w:rsidR="005129F2" w:rsidRPr="00DF386B">
        <w:rPr>
          <w:sz w:val="20"/>
        </w:rPr>
        <w:t>draft</w:t>
      </w:r>
      <w:r w:rsidRPr="00DF386B">
        <w:rPr>
          <w:sz w:val="20"/>
        </w:rPr>
        <w:t xml:space="preserve"> should be shown to Treasury in any event, in case there are resource implications for ASIC or other impacts that Treasury should be aware of.)</w:t>
      </w:r>
    </w:p>
    <w:p w:rsidR="00FE21C0" w:rsidRPr="00DF386B" w:rsidRDefault="00FE21C0" w:rsidP="00DF386B">
      <w:pPr>
        <w:pStyle w:val="Head3"/>
      </w:pPr>
      <w:bookmarkStart w:id="17" w:name="_Toc474929615"/>
      <w:r w:rsidRPr="00DF386B">
        <w:t>Procedure</w:t>
      </w:r>
      <w:bookmarkEnd w:id="17"/>
    </w:p>
    <w:p w:rsidR="00FE21C0" w:rsidRPr="00DF386B" w:rsidRDefault="00FE21C0" w:rsidP="001C0B22">
      <w:pPr>
        <w:pStyle w:val="BodyNum"/>
      </w:pPr>
      <w:bookmarkStart w:id="18" w:name="_Ref269716882"/>
      <w:r w:rsidRPr="00DF386B">
        <w:t>In any case where a drafter is asked to draft a provision that the drafter thinks requires consultation, the drafter should seek an assurance that the appropriate consultation procedures have been, or are being, followed through the Secretariat to the Ministerial Council</w:t>
      </w:r>
      <w:r w:rsidR="00047BFE" w:rsidRPr="00DF386B">
        <w:t xml:space="preserve"> (now known as the Legislative and Governance Forum for Corporations)</w:t>
      </w:r>
      <w:r w:rsidRPr="00DF386B">
        <w:t>.</w:t>
      </w:r>
      <w:bookmarkEnd w:id="18"/>
    </w:p>
    <w:p w:rsidR="00FE21C0" w:rsidRPr="00DF386B" w:rsidRDefault="00FE21C0" w:rsidP="00DF386B">
      <w:pPr>
        <w:pStyle w:val="Head2"/>
      </w:pPr>
      <w:bookmarkStart w:id="19" w:name="_Toc474929616"/>
      <w:r w:rsidRPr="00DF386B">
        <w:t>Part 3—Other legislation</w:t>
      </w:r>
      <w:r w:rsidR="003A5CB0" w:rsidRPr="00DF386B">
        <w:t>: States and Territories</w:t>
      </w:r>
      <w:bookmarkEnd w:id="19"/>
    </w:p>
    <w:p w:rsidR="00FE21C0" w:rsidRPr="00DF386B" w:rsidRDefault="00FE21C0" w:rsidP="00DF386B">
      <w:pPr>
        <w:pStyle w:val="Head3"/>
      </w:pPr>
      <w:bookmarkStart w:id="20" w:name="_Toc474929617"/>
      <w:r w:rsidRPr="00DF386B">
        <w:t>Specific cases</w:t>
      </w:r>
      <w:bookmarkEnd w:id="20"/>
    </w:p>
    <w:p w:rsidR="0040603E" w:rsidRPr="00DF386B" w:rsidRDefault="0040603E" w:rsidP="0040603E">
      <w:pPr>
        <w:pStyle w:val="BodyNum"/>
      </w:pPr>
      <w:r w:rsidRPr="00DF386B">
        <w:t xml:space="preserve">Amendments of other Commonwealth </w:t>
      </w:r>
      <w:r w:rsidR="00314121" w:rsidRPr="00DF386B">
        <w:t>legislation may</w:t>
      </w:r>
      <w:r w:rsidRPr="00DF386B">
        <w:t xml:space="preserve"> also require consultation with, or consultation with and approval of, the State and Territories under an intergovernmental agreement. S</w:t>
      </w:r>
      <w:r w:rsidR="00590786" w:rsidRPr="00DF386B">
        <w:t>o far as Acts are concerned, some</w:t>
      </w:r>
      <w:r w:rsidRPr="00DF386B">
        <w:t xml:space="preserve"> were enacted under referrals from the States similar to the Corporations legislation. Some are parts of other Commonwealth/State co</w:t>
      </w:r>
      <w:r w:rsidR="00B97B09" w:rsidRPr="00DF386B">
        <w:noBreakHyphen/>
      </w:r>
      <w:r w:rsidRPr="00DF386B">
        <w:t>operative legislative schemes. The following table sets out some examples</w:t>
      </w:r>
      <w:r w:rsidR="00CA6765" w:rsidRPr="00DF386B">
        <w:t xml:space="preserve"> of legislation affected by intergovernmental agreement</w:t>
      </w:r>
      <w:r w:rsidR="00C27D17" w:rsidRPr="00DF386B">
        <w:t>s</w:t>
      </w:r>
      <w:r w:rsidRPr="00DF386B">
        <w:t>:</w:t>
      </w:r>
    </w:p>
    <w:p w:rsidR="0040603E" w:rsidRPr="00DF386B" w:rsidRDefault="0040603E" w:rsidP="0040603E">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4"/>
        <w:gridCol w:w="7932"/>
      </w:tblGrid>
      <w:tr w:rsidR="0040603E" w:rsidRPr="00DF386B" w:rsidTr="00A823A3">
        <w:trPr>
          <w:cantSplit/>
          <w:tblHeader/>
        </w:trPr>
        <w:tc>
          <w:tcPr>
            <w:tcW w:w="8646" w:type="dxa"/>
            <w:gridSpan w:val="2"/>
            <w:tcBorders>
              <w:top w:val="single" w:sz="12" w:space="0" w:color="auto"/>
              <w:left w:val="nil"/>
              <w:bottom w:val="nil"/>
              <w:right w:val="nil"/>
            </w:tcBorders>
          </w:tcPr>
          <w:p w:rsidR="0040603E" w:rsidRPr="00DF386B" w:rsidRDefault="0040603E" w:rsidP="00A823A3">
            <w:pPr>
              <w:pStyle w:val="Tabletext"/>
              <w:rPr>
                <w:b/>
              </w:rPr>
            </w:pPr>
            <w:r w:rsidRPr="00DF386B">
              <w:rPr>
                <w:b/>
              </w:rPr>
              <w:t>Intergovernmental agreements</w:t>
            </w:r>
          </w:p>
        </w:tc>
      </w:tr>
      <w:tr w:rsidR="0040603E" w:rsidRPr="00DF386B" w:rsidTr="00A823A3">
        <w:trPr>
          <w:cantSplit/>
          <w:tblHeader/>
        </w:trPr>
        <w:tc>
          <w:tcPr>
            <w:tcW w:w="714" w:type="dxa"/>
            <w:tcBorders>
              <w:top w:val="single" w:sz="6" w:space="0" w:color="auto"/>
              <w:left w:val="nil"/>
              <w:bottom w:val="single" w:sz="12" w:space="0" w:color="auto"/>
              <w:right w:val="nil"/>
            </w:tcBorders>
          </w:tcPr>
          <w:p w:rsidR="0040603E" w:rsidRPr="00DF386B" w:rsidRDefault="0040603E" w:rsidP="00A823A3">
            <w:pPr>
              <w:pStyle w:val="Tabletext"/>
            </w:pPr>
            <w:r w:rsidRPr="00DF386B">
              <w:rPr>
                <w:b/>
              </w:rPr>
              <w:t>Item</w:t>
            </w:r>
          </w:p>
        </w:tc>
        <w:tc>
          <w:tcPr>
            <w:tcW w:w="7932" w:type="dxa"/>
            <w:tcBorders>
              <w:top w:val="single" w:sz="6" w:space="0" w:color="auto"/>
              <w:left w:val="nil"/>
              <w:bottom w:val="single" w:sz="12" w:space="0" w:color="auto"/>
              <w:right w:val="nil"/>
            </w:tcBorders>
          </w:tcPr>
          <w:p w:rsidR="0040603E" w:rsidRPr="00DF386B" w:rsidRDefault="0040603E" w:rsidP="00A823A3">
            <w:pPr>
              <w:pStyle w:val="Tabletext"/>
            </w:pPr>
            <w:r w:rsidRPr="00DF386B">
              <w:rPr>
                <w:b/>
              </w:rPr>
              <w:t>Examples</w:t>
            </w:r>
          </w:p>
        </w:tc>
      </w:tr>
      <w:tr w:rsidR="0040603E" w:rsidRPr="00DF386B" w:rsidTr="00A823A3">
        <w:trPr>
          <w:cantSplit/>
        </w:trPr>
        <w:tc>
          <w:tcPr>
            <w:tcW w:w="714" w:type="dxa"/>
            <w:tcBorders>
              <w:top w:val="single" w:sz="2" w:space="0" w:color="auto"/>
              <w:left w:val="nil"/>
              <w:bottom w:val="single" w:sz="2" w:space="0" w:color="auto"/>
              <w:right w:val="nil"/>
            </w:tcBorders>
          </w:tcPr>
          <w:p w:rsidR="0040603E" w:rsidRPr="00DF386B" w:rsidRDefault="0040603E" w:rsidP="00A823A3">
            <w:pPr>
              <w:pStyle w:val="Tabletext"/>
            </w:pPr>
            <w:r w:rsidRPr="00DF386B">
              <w:t>1</w:t>
            </w:r>
          </w:p>
        </w:tc>
        <w:tc>
          <w:tcPr>
            <w:tcW w:w="7932" w:type="dxa"/>
            <w:tcBorders>
              <w:top w:val="single" w:sz="2" w:space="0" w:color="auto"/>
              <w:left w:val="nil"/>
              <w:bottom w:val="single" w:sz="2" w:space="0" w:color="auto"/>
              <w:right w:val="nil"/>
            </w:tcBorders>
          </w:tcPr>
          <w:p w:rsidR="0040603E" w:rsidRPr="00DF386B" w:rsidRDefault="0040603E" w:rsidP="00A823A3">
            <w:pPr>
              <w:pStyle w:val="Tabletext"/>
            </w:pPr>
            <w:r w:rsidRPr="00DF386B">
              <w:t>Amendments to the rate of the GST or the text of the GST legislation.</w:t>
            </w:r>
          </w:p>
        </w:tc>
      </w:tr>
      <w:tr w:rsidR="0040603E" w:rsidRPr="00DF386B" w:rsidTr="00A823A3">
        <w:trPr>
          <w:cantSplit/>
        </w:trPr>
        <w:tc>
          <w:tcPr>
            <w:tcW w:w="714" w:type="dxa"/>
            <w:tcBorders>
              <w:top w:val="single" w:sz="2" w:space="0" w:color="auto"/>
              <w:left w:val="nil"/>
              <w:bottom w:val="single" w:sz="2" w:space="0" w:color="auto"/>
              <w:right w:val="nil"/>
            </w:tcBorders>
          </w:tcPr>
          <w:p w:rsidR="0040603E" w:rsidRPr="00DF386B" w:rsidRDefault="0040603E" w:rsidP="00A823A3">
            <w:pPr>
              <w:pStyle w:val="Tabletext"/>
            </w:pPr>
            <w:r w:rsidRPr="00DF386B">
              <w:t>2</w:t>
            </w:r>
          </w:p>
        </w:tc>
        <w:tc>
          <w:tcPr>
            <w:tcW w:w="7932" w:type="dxa"/>
            <w:tcBorders>
              <w:top w:val="single" w:sz="2" w:space="0" w:color="auto"/>
              <w:left w:val="nil"/>
              <w:bottom w:val="single" w:sz="2" w:space="0" w:color="auto"/>
              <w:right w:val="nil"/>
            </w:tcBorders>
          </w:tcPr>
          <w:p w:rsidR="0040603E" w:rsidRPr="00DF386B" w:rsidRDefault="0040603E" w:rsidP="0081542E">
            <w:pPr>
              <w:pStyle w:val="Tabletext"/>
            </w:pPr>
            <w:r w:rsidRPr="00DF386B">
              <w:t xml:space="preserve">Amendments of Part IV of the </w:t>
            </w:r>
            <w:r w:rsidR="0038683A" w:rsidRPr="00DF386B">
              <w:rPr>
                <w:i/>
              </w:rPr>
              <w:t xml:space="preserve">Competition and Consumer </w:t>
            </w:r>
            <w:r w:rsidRPr="00DF386B">
              <w:rPr>
                <w:i/>
              </w:rPr>
              <w:t xml:space="preserve">Act </w:t>
            </w:r>
            <w:r w:rsidR="0038683A" w:rsidRPr="00DF386B">
              <w:rPr>
                <w:i/>
              </w:rPr>
              <w:t>2010</w:t>
            </w:r>
            <w:r w:rsidRPr="00DF386B">
              <w:rPr>
                <w:i/>
              </w:rPr>
              <w:t xml:space="preserve"> </w:t>
            </w:r>
            <w:r w:rsidRPr="00DF386B">
              <w:t>(the competition provisions)</w:t>
            </w:r>
            <w:r w:rsidR="009E4A54" w:rsidRPr="00DF386B">
              <w:t>,</w:t>
            </w:r>
            <w:r w:rsidRPr="00DF386B">
              <w:t xml:space="preserve"> the Competition Code (within the meaning of section 150C of that Act)</w:t>
            </w:r>
            <w:r w:rsidR="009E4A54" w:rsidRPr="00DF386B">
              <w:t xml:space="preserve"> </w:t>
            </w:r>
            <w:r w:rsidR="0081542E" w:rsidRPr="00DF386B">
              <w:t>or</w:t>
            </w:r>
            <w:r w:rsidR="009E4A54" w:rsidRPr="00DF386B">
              <w:t xml:space="preserve"> </w:t>
            </w:r>
            <w:bookmarkStart w:id="21" w:name="OLE_LINK1"/>
            <w:bookmarkStart w:id="22" w:name="OLE_LINK2"/>
            <w:r w:rsidR="009E4A54" w:rsidRPr="00DF386B">
              <w:t>regulations made under paragraph 51(1C)(f) of th</w:t>
            </w:r>
            <w:r w:rsidR="00DD33F8" w:rsidRPr="00DF386B">
              <w:t>at Act</w:t>
            </w:r>
            <w:bookmarkEnd w:id="21"/>
            <w:bookmarkEnd w:id="22"/>
            <w:r w:rsidRPr="00DF386B">
              <w:t>.</w:t>
            </w:r>
          </w:p>
        </w:tc>
      </w:tr>
      <w:tr w:rsidR="0040603E" w:rsidRPr="00DF386B" w:rsidTr="00A823A3">
        <w:trPr>
          <w:cantSplit/>
        </w:trPr>
        <w:tc>
          <w:tcPr>
            <w:tcW w:w="714" w:type="dxa"/>
            <w:tcBorders>
              <w:top w:val="single" w:sz="2" w:space="0" w:color="auto"/>
              <w:left w:val="nil"/>
              <w:bottom w:val="single" w:sz="2" w:space="0" w:color="auto"/>
              <w:right w:val="nil"/>
            </w:tcBorders>
          </w:tcPr>
          <w:p w:rsidR="0040603E" w:rsidRPr="00DF386B" w:rsidRDefault="0040603E" w:rsidP="00A823A3">
            <w:pPr>
              <w:pStyle w:val="Tabletext"/>
            </w:pPr>
            <w:r w:rsidRPr="00DF386B">
              <w:t>3</w:t>
            </w:r>
          </w:p>
        </w:tc>
        <w:tc>
          <w:tcPr>
            <w:tcW w:w="7932" w:type="dxa"/>
            <w:tcBorders>
              <w:top w:val="single" w:sz="2" w:space="0" w:color="auto"/>
              <w:left w:val="nil"/>
              <w:bottom w:val="single" w:sz="2" w:space="0" w:color="auto"/>
              <w:right w:val="nil"/>
            </w:tcBorders>
          </w:tcPr>
          <w:p w:rsidR="0040603E" w:rsidRPr="00DF386B" w:rsidRDefault="0040603E" w:rsidP="0081542E">
            <w:pPr>
              <w:pStyle w:val="Tabletext"/>
            </w:pPr>
            <w:r w:rsidRPr="00DF386B">
              <w:t xml:space="preserve">Amendments of Schedule 2 to the </w:t>
            </w:r>
            <w:r w:rsidR="0038683A" w:rsidRPr="00DF386B">
              <w:rPr>
                <w:i/>
              </w:rPr>
              <w:t>Competition and Consumer Act 2010</w:t>
            </w:r>
            <w:r w:rsidRPr="00DF386B">
              <w:rPr>
                <w:i/>
              </w:rPr>
              <w:t xml:space="preserve"> </w:t>
            </w:r>
            <w:r w:rsidRPr="00DF386B">
              <w:t>(the Australian Consumer Law)</w:t>
            </w:r>
            <w:r w:rsidR="0060254B" w:rsidRPr="00DF386B">
              <w:t xml:space="preserve"> </w:t>
            </w:r>
            <w:r w:rsidR="0081542E" w:rsidRPr="00DF386B">
              <w:t>or</w:t>
            </w:r>
            <w:r w:rsidR="0060254B" w:rsidRPr="00DF386B">
              <w:t xml:space="preserve"> legislative instruments made under the Australian Consumer Law</w:t>
            </w:r>
            <w:r w:rsidRPr="00DF386B">
              <w:t>.</w:t>
            </w:r>
          </w:p>
        </w:tc>
      </w:tr>
      <w:tr w:rsidR="0040603E" w:rsidRPr="00DF386B" w:rsidTr="00A823A3">
        <w:trPr>
          <w:cantSplit/>
        </w:trPr>
        <w:tc>
          <w:tcPr>
            <w:tcW w:w="714" w:type="dxa"/>
            <w:tcBorders>
              <w:top w:val="single" w:sz="2" w:space="0" w:color="auto"/>
              <w:left w:val="nil"/>
              <w:bottom w:val="single" w:sz="2" w:space="0" w:color="auto"/>
              <w:right w:val="nil"/>
            </w:tcBorders>
          </w:tcPr>
          <w:p w:rsidR="0040603E" w:rsidRPr="00DF386B" w:rsidRDefault="0040603E" w:rsidP="00A823A3">
            <w:pPr>
              <w:pStyle w:val="Tabletext"/>
            </w:pPr>
            <w:r w:rsidRPr="00DF386B">
              <w:t>4</w:t>
            </w:r>
          </w:p>
        </w:tc>
        <w:tc>
          <w:tcPr>
            <w:tcW w:w="7932" w:type="dxa"/>
            <w:tcBorders>
              <w:top w:val="single" w:sz="2" w:space="0" w:color="auto"/>
              <w:left w:val="nil"/>
              <w:bottom w:val="single" w:sz="2" w:space="0" w:color="auto"/>
              <w:right w:val="nil"/>
            </w:tcBorders>
          </w:tcPr>
          <w:p w:rsidR="0040603E" w:rsidRPr="00DF386B" w:rsidRDefault="0040603E" w:rsidP="00A823A3">
            <w:pPr>
              <w:pStyle w:val="Tabletext"/>
            </w:pPr>
            <w:r w:rsidRPr="00DF386B">
              <w:t xml:space="preserve">Amendments of the </w:t>
            </w:r>
            <w:r w:rsidRPr="00DF386B">
              <w:rPr>
                <w:i/>
              </w:rPr>
              <w:t>Agricultural and Veterinary Chemicals Code Act 1994</w:t>
            </w:r>
            <w:r w:rsidR="0060254B" w:rsidRPr="00DF386B">
              <w:rPr>
                <w:i/>
              </w:rPr>
              <w:t xml:space="preserve"> </w:t>
            </w:r>
            <w:r w:rsidR="0060254B" w:rsidRPr="00DF386B">
              <w:t>or regulations made under the Agvet Code established under that Act</w:t>
            </w:r>
            <w:r w:rsidRPr="00DF386B">
              <w:t>.</w:t>
            </w:r>
          </w:p>
        </w:tc>
      </w:tr>
      <w:tr w:rsidR="0040603E" w:rsidRPr="00DF386B" w:rsidTr="00A823A3">
        <w:trPr>
          <w:cantSplit/>
        </w:trPr>
        <w:tc>
          <w:tcPr>
            <w:tcW w:w="714" w:type="dxa"/>
            <w:tcBorders>
              <w:top w:val="single" w:sz="2" w:space="0" w:color="auto"/>
              <w:left w:val="nil"/>
              <w:bottom w:val="single" w:sz="2" w:space="0" w:color="auto"/>
              <w:right w:val="nil"/>
            </w:tcBorders>
          </w:tcPr>
          <w:p w:rsidR="0040603E" w:rsidRPr="00DF386B" w:rsidRDefault="0040603E" w:rsidP="00A823A3">
            <w:pPr>
              <w:pStyle w:val="Tabletext"/>
            </w:pPr>
            <w:r w:rsidRPr="00DF386B">
              <w:t>5</w:t>
            </w:r>
          </w:p>
        </w:tc>
        <w:tc>
          <w:tcPr>
            <w:tcW w:w="7932" w:type="dxa"/>
            <w:tcBorders>
              <w:top w:val="single" w:sz="2" w:space="0" w:color="auto"/>
              <w:left w:val="nil"/>
              <w:bottom w:val="single" w:sz="2" w:space="0" w:color="auto"/>
              <w:right w:val="nil"/>
            </w:tcBorders>
          </w:tcPr>
          <w:p w:rsidR="0040603E" w:rsidRPr="00DF386B" w:rsidRDefault="0040603E" w:rsidP="00A823A3">
            <w:pPr>
              <w:pStyle w:val="Tabletext"/>
            </w:pPr>
            <w:r w:rsidRPr="00DF386B">
              <w:t>Amendments of the gene technology legislation.</w:t>
            </w:r>
          </w:p>
        </w:tc>
      </w:tr>
      <w:tr w:rsidR="0040603E" w:rsidRPr="00DF386B" w:rsidTr="00A823A3">
        <w:trPr>
          <w:cantSplit/>
        </w:trPr>
        <w:tc>
          <w:tcPr>
            <w:tcW w:w="714" w:type="dxa"/>
            <w:tcBorders>
              <w:top w:val="single" w:sz="2" w:space="0" w:color="auto"/>
              <w:left w:val="nil"/>
              <w:bottom w:val="single" w:sz="2" w:space="0" w:color="auto"/>
              <w:right w:val="nil"/>
            </w:tcBorders>
          </w:tcPr>
          <w:p w:rsidR="0040603E" w:rsidRPr="00DF386B" w:rsidRDefault="0040603E" w:rsidP="00A823A3">
            <w:pPr>
              <w:pStyle w:val="Tabletext"/>
            </w:pPr>
            <w:r w:rsidRPr="00DF386B">
              <w:t>6</w:t>
            </w:r>
          </w:p>
        </w:tc>
        <w:tc>
          <w:tcPr>
            <w:tcW w:w="7932" w:type="dxa"/>
            <w:tcBorders>
              <w:top w:val="single" w:sz="2" w:space="0" w:color="auto"/>
              <w:left w:val="nil"/>
              <w:bottom w:val="single" w:sz="2" w:space="0" w:color="auto"/>
              <w:right w:val="nil"/>
            </w:tcBorders>
          </w:tcPr>
          <w:p w:rsidR="0040603E" w:rsidRPr="00DF386B" w:rsidRDefault="0040603E" w:rsidP="0081542E">
            <w:pPr>
              <w:pStyle w:val="Tabletext"/>
            </w:pPr>
            <w:r w:rsidRPr="00DF386B">
              <w:t xml:space="preserve">Amendments of the </w:t>
            </w:r>
            <w:r w:rsidRPr="00DF386B">
              <w:rPr>
                <w:i/>
              </w:rPr>
              <w:t>Research Involving Human Embryos Act 2002</w:t>
            </w:r>
            <w:r w:rsidR="004171E1" w:rsidRPr="00DF386B">
              <w:t>,</w:t>
            </w:r>
            <w:r w:rsidRPr="00DF386B">
              <w:t xml:space="preserve"> </w:t>
            </w:r>
            <w:r w:rsidR="004171E1" w:rsidRPr="00DF386B">
              <w:t xml:space="preserve">the </w:t>
            </w:r>
            <w:r w:rsidR="004171E1" w:rsidRPr="00DF386B">
              <w:rPr>
                <w:i/>
              </w:rPr>
              <w:t xml:space="preserve">Prohibition of Human Cloning </w:t>
            </w:r>
            <w:r w:rsidR="004171E1" w:rsidRPr="00DF386B">
              <w:rPr>
                <w:i/>
                <w:noProof/>
              </w:rPr>
              <w:t xml:space="preserve">for Reproduction </w:t>
            </w:r>
            <w:r w:rsidR="004171E1" w:rsidRPr="00DF386B">
              <w:rPr>
                <w:i/>
              </w:rPr>
              <w:t xml:space="preserve">Act 2002 </w:t>
            </w:r>
            <w:r w:rsidR="004171E1" w:rsidRPr="00DF386B">
              <w:t>or</w:t>
            </w:r>
            <w:r w:rsidR="004171E1" w:rsidRPr="00DF386B">
              <w:rPr>
                <w:i/>
              </w:rPr>
              <w:t xml:space="preserve"> </w:t>
            </w:r>
            <w:r w:rsidR="004171E1" w:rsidRPr="00DF386B">
              <w:t xml:space="preserve">regulations </w:t>
            </w:r>
            <w:r w:rsidR="0081542E" w:rsidRPr="00DF386B">
              <w:t>or</w:t>
            </w:r>
            <w:r w:rsidR="004171E1" w:rsidRPr="00DF386B">
              <w:t xml:space="preserve"> other subordinate instruments under those Acts</w:t>
            </w:r>
            <w:r w:rsidRPr="00DF386B">
              <w:t>.</w:t>
            </w:r>
          </w:p>
        </w:tc>
      </w:tr>
      <w:tr w:rsidR="0040603E" w:rsidRPr="00DF386B" w:rsidTr="00A823A3">
        <w:trPr>
          <w:cantSplit/>
        </w:trPr>
        <w:tc>
          <w:tcPr>
            <w:tcW w:w="714" w:type="dxa"/>
            <w:tcBorders>
              <w:top w:val="single" w:sz="2" w:space="0" w:color="auto"/>
              <w:left w:val="nil"/>
              <w:bottom w:val="single" w:sz="2" w:space="0" w:color="auto"/>
              <w:right w:val="nil"/>
            </w:tcBorders>
          </w:tcPr>
          <w:p w:rsidR="0040603E" w:rsidRPr="00DF386B" w:rsidRDefault="0040603E" w:rsidP="00A823A3">
            <w:pPr>
              <w:pStyle w:val="Tabletext"/>
            </w:pPr>
            <w:r w:rsidRPr="00DF386B">
              <w:t>7</w:t>
            </w:r>
          </w:p>
        </w:tc>
        <w:tc>
          <w:tcPr>
            <w:tcW w:w="7932" w:type="dxa"/>
            <w:tcBorders>
              <w:top w:val="single" w:sz="2" w:space="0" w:color="auto"/>
              <w:left w:val="nil"/>
              <w:bottom w:val="single" w:sz="2" w:space="0" w:color="auto"/>
              <w:right w:val="nil"/>
            </w:tcBorders>
          </w:tcPr>
          <w:p w:rsidR="0040603E" w:rsidRPr="00DF386B" w:rsidRDefault="0040603E" w:rsidP="005310E0">
            <w:pPr>
              <w:pStyle w:val="Tabletext"/>
            </w:pPr>
            <w:r w:rsidRPr="00DF386B">
              <w:t>Amendments of Part 5</w:t>
            </w:r>
            <w:r w:rsidR="005310E0" w:rsidRPr="00DF386B">
              <w:t>.</w:t>
            </w:r>
            <w:r w:rsidRPr="00DF386B">
              <w:t xml:space="preserve">3 of the </w:t>
            </w:r>
            <w:r w:rsidRPr="00DF386B">
              <w:rPr>
                <w:i/>
              </w:rPr>
              <w:t>Criminal Code</w:t>
            </w:r>
            <w:r w:rsidRPr="00DF386B">
              <w:t xml:space="preserve"> (anti</w:t>
            </w:r>
            <w:r w:rsidR="00B97B09" w:rsidRPr="00DF386B">
              <w:noBreakHyphen/>
            </w:r>
            <w:r w:rsidRPr="00DF386B">
              <w:t>terrorism).</w:t>
            </w:r>
          </w:p>
        </w:tc>
      </w:tr>
      <w:tr w:rsidR="0040603E" w:rsidRPr="00DF386B" w:rsidTr="00A823A3">
        <w:trPr>
          <w:cantSplit/>
        </w:trPr>
        <w:tc>
          <w:tcPr>
            <w:tcW w:w="714" w:type="dxa"/>
            <w:tcBorders>
              <w:top w:val="single" w:sz="2" w:space="0" w:color="auto"/>
              <w:left w:val="nil"/>
              <w:bottom w:val="single" w:sz="2" w:space="0" w:color="auto"/>
              <w:right w:val="nil"/>
            </w:tcBorders>
          </w:tcPr>
          <w:p w:rsidR="0040603E" w:rsidRPr="00DF386B" w:rsidRDefault="0040603E" w:rsidP="00A823A3">
            <w:pPr>
              <w:pStyle w:val="Tabletext"/>
            </w:pPr>
            <w:r w:rsidRPr="00DF386B">
              <w:t>8</w:t>
            </w:r>
          </w:p>
        </w:tc>
        <w:tc>
          <w:tcPr>
            <w:tcW w:w="7932" w:type="dxa"/>
            <w:tcBorders>
              <w:top w:val="single" w:sz="2" w:space="0" w:color="auto"/>
              <w:left w:val="nil"/>
              <w:bottom w:val="single" w:sz="2" w:space="0" w:color="auto"/>
              <w:right w:val="nil"/>
            </w:tcBorders>
          </w:tcPr>
          <w:p w:rsidR="0040603E" w:rsidRPr="00DF386B" w:rsidRDefault="0040603E" w:rsidP="0081542E">
            <w:pPr>
              <w:pStyle w:val="Tabletext"/>
            </w:pPr>
            <w:r w:rsidRPr="00DF386B">
              <w:t xml:space="preserve">Amendments of Part 1A, 2A, 4, 4A, 10A and 11A of the </w:t>
            </w:r>
            <w:r w:rsidRPr="00DF386B">
              <w:rPr>
                <w:i/>
              </w:rPr>
              <w:t>Water Act 2007</w:t>
            </w:r>
            <w:r w:rsidR="00280CC1" w:rsidRPr="00DF386B">
              <w:t xml:space="preserve"> </w:t>
            </w:r>
            <w:r w:rsidR="0081542E" w:rsidRPr="00DF386B">
              <w:t>or</w:t>
            </w:r>
            <w:r w:rsidR="00280CC1" w:rsidRPr="00DF386B">
              <w:t xml:space="preserve"> </w:t>
            </w:r>
            <w:r w:rsidR="00280CC1" w:rsidRPr="00DF386B">
              <w:rPr>
                <w:szCs w:val="22"/>
              </w:rPr>
              <w:t>regulations under the Act relating to those Parts or to Schedule 1 to the Act</w:t>
            </w:r>
            <w:r w:rsidRPr="00DF386B">
              <w:t>.</w:t>
            </w:r>
          </w:p>
        </w:tc>
      </w:tr>
      <w:tr w:rsidR="0040603E" w:rsidRPr="00DF386B" w:rsidTr="00A823A3">
        <w:trPr>
          <w:cantSplit/>
        </w:trPr>
        <w:tc>
          <w:tcPr>
            <w:tcW w:w="714" w:type="dxa"/>
            <w:tcBorders>
              <w:top w:val="single" w:sz="2" w:space="0" w:color="auto"/>
              <w:left w:val="nil"/>
              <w:bottom w:val="single" w:sz="2" w:space="0" w:color="auto"/>
              <w:right w:val="nil"/>
            </w:tcBorders>
          </w:tcPr>
          <w:p w:rsidR="0040603E" w:rsidRPr="00DF386B" w:rsidRDefault="0040603E" w:rsidP="00A823A3">
            <w:pPr>
              <w:pStyle w:val="Tabletext"/>
            </w:pPr>
            <w:r w:rsidRPr="00DF386B">
              <w:t>9</w:t>
            </w:r>
          </w:p>
        </w:tc>
        <w:tc>
          <w:tcPr>
            <w:tcW w:w="7932" w:type="dxa"/>
            <w:tcBorders>
              <w:top w:val="single" w:sz="2" w:space="0" w:color="auto"/>
              <w:left w:val="nil"/>
              <w:bottom w:val="single" w:sz="2" w:space="0" w:color="auto"/>
              <w:right w:val="nil"/>
            </w:tcBorders>
          </w:tcPr>
          <w:p w:rsidR="0040603E" w:rsidRPr="00DF386B" w:rsidRDefault="0040603E" w:rsidP="0081542E">
            <w:pPr>
              <w:pStyle w:val="Tabletext"/>
            </w:pPr>
            <w:r w:rsidRPr="00DF386B">
              <w:t xml:space="preserve">Amendments of the </w:t>
            </w:r>
            <w:r w:rsidRPr="00DF386B">
              <w:rPr>
                <w:i/>
              </w:rPr>
              <w:t>Fair Work Act 2009</w:t>
            </w:r>
            <w:r w:rsidRPr="00DF386B">
              <w:t xml:space="preserve">, the </w:t>
            </w:r>
            <w:r w:rsidRPr="00DF386B">
              <w:rPr>
                <w:i/>
              </w:rPr>
              <w:t>Fair Work (Transitional Provisions and Consequential Amendments) Act 2009</w:t>
            </w:r>
            <w:r w:rsidRPr="00DF386B">
              <w:t xml:space="preserve">, the </w:t>
            </w:r>
            <w:r w:rsidRPr="00DF386B">
              <w:rPr>
                <w:i/>
              </w:rPr>
              <w:t>Fair Work (State Referral and Consequential and Other Amendments) Act 2009</w:t>
            </w:r>
            <w:r w:rsidR="00135FC6" w:rsidRPr="00DF386B">
              <w:t>,</w:t>
            </w:r>
            <w:r w:rsidRPr="00DF386B">
              <w:t xml:space="preserve"> the </w:t>
            </w:r>
            <w:r w:rsidRPr="00DF386B">
              <w:rPr>
                <w:i/>
              </w:rPr>
              <w:t>Fair Work (Registered Organisations) Act 2009</w:t>
            </w:r>
            <w:r w:rsidR="00135FC6" w:rsidRPr="00DF386B">
              <w:t xml:space="preserve"> </w:t>
            </w:r>
            <w:r w:rsidR="0081542E" w:rsidRPr="00DF386B">
              <w:t>or</w:t>
            </w:r>
            <w:r w:rsidR="00135FC6" w:rsidRPr="00DF386B">
              <w:t xml:space="preserve"> regulations made under those Acts</w:t>
            </w:r>
            <w:r w:rsidRPr="00DF386B">
              <w:t>.</w:t>
            </w:r>
          </w:p>
        </w:tc>
      </w:tr>
      <w:tr w:rsidR="0040603E" w:rsidRPr="00DF386B" w:rsidTr="00A823A3">
        <w:trPr>
          <w:cantSplit/>
        </w:trPr>
        <w:tc>
          <w:tcPr>
            <w:tcW w:w="714" w:type="dxa"/>
            <w:tcBorders>
              <w:top w:val="single" w:sz="2" w:space="0" w:color="auto"/>
              <w:left w:val="nil"/>
              <w:bottom w:val="single" w:sz="2" w:space="0" w:color="auto"/>
              <w:right w:val="nil"/>
            </w:tcBorders>
          </w:tcPr>
          <w:p w:rsidR="0040603E" w:rsidRPr="00DF386B" w:rsidRDefault="0040603E" w:rsidP="00A823A3">
            <w:pPr>
              <w:pStyle w:val="Tabletext"/>
            </w:pPr>
            <w:r w:rsidRPr="00DF386B">
              <w:lastRenderedPageBreak/>
              <w:t>10</w:t>
            </w:r>
          </w:p>
        </w:tc>
        <w:tc>
          <w:tcPr>
            <w:tcW w:w="7932" w:type="dxa"/>
            <w:tcBorders>
              <w:top w:val="single" w:sz="2" w:space="0" w:color="auto"/>
              <w:left w:val="nil"/>
              <w:bottom w:val="single" w:sz="2" w:space="0" w:color="auto"/>
              <w:right w:val="nil"/>
            </w:tcBorders>
          </w:tcPr>
          <w:p w:rsidR="0040603E" w:rsidRPr="00DF386B" w:rsidRDefault="0040603E" w:rsidP="005A0F9C">
            <w:pPr>
              <w:pStyle w:val="Tabletext"/>
            </w:pPr>
            <w:r w:rsidRPr="00DF386B">
              <w:t xml:space="preserve">Amendments of the </w:t>
            </w:r>
            <w:r w:rsidRPr="00DF386B">
              <w:rPr>
                <w:i/>
              </w:rPr>
              <w:t>National Consumer Credit Protection Act 2009</w:t>
            </w:r>
            <w:r w:rsidR="00135FC6" w:rsidRPr="00DF386B">
              <w:t>,</w:t>
            </w:r>
            <w:r w:rsidRPr="00DF386B">
              <w:t xml:space="preserve"> the </w:t>
            </w:r>
            <w:r w:rsidRPr="00DF386B">
              <w:rPr>
                <w:i/>
              </w:rPr>
              <w:t>National Consumer Credit Protection (Transitional and Consequential Provisions) Act 2009</w:t>
            </w:r>
            <w:r w:rsidR="005A0F9C" w:rsidRPr="00DF386B">
              <w:t xml:space="preserve"> or</w:t>
            </w:r>
            <w:r w:rsidR="00135FC6" w:rsidRPr="00DF386B">
              <w:rPr>
                <w:i/>
              </w:rPr>
              <w:t xml:space="preserve"> </w:t>
            </w:r>
            <w:r w:rsidR="00135FC6" w:rsidRPr="00DF386B">
              <w:t xml:space="preserve">the </w:t>
            </w:r>
            <w:r w:rsidR="00135FC6" w:rsidRPr="00DF386B">
              <w:rPr>
                <w:i/>
              </w:rPr>
              <w:t>National Consumer Credit Protection Regulations 2010</w:t>
            </w:r>
            <w:r w:rsidRPr="00DF386B">
              <w:t>.</w:t>
            </w:r>
          </w:p>
        </w:tc>
      </w:tr>
      <w:tr w:rsidR="0040603E" w:rsidRPr="00DF386B" w:rsidTr="00816003">
        <w:trPr>
          <w:cantSplit/>
        </w:trPr>
        <w:tc>
          <w:tcPr>
            <w:tcW w:w="714" w:type="dxa"/>
            <w:tcBorders>
              <w:top w:val="single" w:sz="2" w:space="0" w:color="auto"/>
              <w:left w:val="nil"/>
              <w:bottom w:val="single" w:sz="2" w:space="0" w:color="auto"/>
              <w:right w:val="nil"/>
            </w:tcBorders>
          </w:tcPr>
          <w:p w:rsidR="0040603E" w:rsidRPr="00DF386B" w:rsidRDefault="0040603E" w:rsidP="00A823A3">
            <w:pPr>
              <w:pStyle w:val="Tabletext"/>
            </w:pPr>
            <w:r w:rsidRPr="00DF386B">
              <w:t>11</w:t>
            </w:r>
          </w:p>
        </w:tc>
        <w:tc>
          <w:tcPr>
            <w:tcW w:w="7932" w:type="dxa"/>
            <w:tcBorders>
              <w:top w:val="single" w:sz="2" w:space="0" w:color="auto"/>
              <w:left w:val="nil"/>
              <w:bottom w:val="single" w:sz="2" w:space="0" w:color="auto"/>
              <w:right w:val="nil"/>
            </w:tcBorders>
          </w:tcPr>
          <w:p w:rsidR="0040603E" w:rsidRPr="00DF386B" w:rsidRDefault="0040603E" w:rsidP="00A823A3">
            <w:pPr>
              <w:pStyle w:val="Tabletext"/>
            </w:pPr>
            <w:r w:rsidRPr="00DF386B">
              <w:t xml:space="preserve">Amendments of the </w:t>
            </w:r>
            <w:r w:rsidRPr="00DF386B">
              <w:rPr>
                <w:i/>
              </w:rPr>
              <w:t>Personal Property Securities Act 2009</w:t>
            </w:r>
            <w:r w:rsidR="00CF695A" w:rsidRPr="00DF386B">
              <w:t>, subordinate legislation under that Act or determinations made by the Registrar</w:t>
            </w:r>
            <w:r w:rsidRPr="00DF386B">
              <w:t>.</w:t>
            </w:r>
          </w:p>
        </w:tc>
      </w:tr>
      <w:tr w:rsidR="00816003" w:rsidRPr="00DF386B" w:rsidTr="008D5057">
        <w:trPr>
          <w:cantSplit/>
        </w:trPr>
        <w:tc>
          <w:tcPr>
            <w:tcW w:w="714" w:type="dxa"/>
            <w:tcBorders>
              <w:top w:val="single" w:sz="2" w:space="0" w:color="auto"/>
              <w:left w:val="nil"/>
              <w:bottom w:val="single" w:sz="2" w:space="0" w:color="auto"/>
              <w:right w:val="nil"/>
            </w:tcBorders>
          </w:tcPr>
          <w:p w:rsidR="00816003" w:rsidRPr="00DF386B" w:rsidRDefault="00816003" w:rsidP="00A823A3">
            <w:pPr>
              <w:pStyle w:val="Tabletext"/>
            </w:pPr>
            <w:r w:rsidRPr="00DF386B">
              <w:t>12</w:t>
            </w:r>
          </w:p>
        </w:tc>
        <w:tc>
          <w:tcPr>
            <w:tcW w:w="7932" w:type="dxa"/>
            <w:tcBorders>
              <w:top w:val="single" w:sz="2" w:space="0" w:color="auto"/>
              <w:left w:val="nil"/>
              <w:bottom w:val="single" w:sz="2" w:space="0" w:color="auto"/>
              <w:right w:val="nil"/>
            </w:tcBorders>
          </w:tcPr>
          <w:p w:rsidR="00816003" w:rsidRPr="00DF386B" w:rsidRDefault="00816003" w:rsidP="00114D84">
            <w:pPr>
              <w:pStyle w:val="Tabletext"/>
            </w:pPr>
            <w:r w:rsidRPr="00DF386B">
              <w:t xml:space="preserve">Amendments </w:t>
            </w:r>
            <w:r w:rsidR="00053C35" w:rsidRPr="00DF386B">
              <w:t>of</w:t>
            </w:r>
            <w:r w:rsidRPr="00DF386B">
              <w:t xml:space="preserve"> the </w:t>
            </w:r>
            <w:r w:rsidR="00053C35" w:rsidRPr="00DF386B">
              <w:rPr>
                <w:i/>
              </w:rPr>
              <w:t>National Vocational Education and Training Regulator Act 2011</w:t>
            </w:r>
            <w:r w:rsidR="00053C35" w:rsidRPr="00DF386B">
              <w:t xml:space="preserve">, the </w:t>
            </w:r>
            <w:r w:rsidR="00053C35" w:rsidRPr="00DF386B">
              <w:rPr>
                <w:i/>
              </w:rPr>
              <w:t>National Vocational Education and Training Regulator (Charges) Act 2012</w:t>
            </w:r>
            <w:r w:rsidR="00053C35" w:rsidRPr="00DF386B">
              <w:t xml:space="preserve">, the </w:t>
            </w:r>
            <w:r w:rsidR="00053C35" w:rsidRPr="00DF386B">
              <w:rPr>
                <w:i/>
              </w:rPr>
              <w:t>National Vocational Education and Training Regulator (Transitional Provisions) Act 2011</w:t>
            </w:r>
            <w:r w:rsidR="00114D84" w:rsidRPr="00DF386B">
              <w:t xml:space="preserve"> or regulations or other subordinate instruments under those Acts</w:t>
            </w:r>
            <w:r w:rsidR="00053C35" w:rsidRPr="00DF386B">
              <w:t>.</w:t>
            </w:r>
          </w:p>
        </w:tc>
      </w:tr>
      <w:tr w:rsidR="008D5057" w:rsidRPr="00DF386B" w:rsidTr="00A823A3">
        <w:trPr>
          <w:cantSplit/>
        </w:trPr>
        <w:tc>
          <w:tcPr>
            <w:tcW w:w="714" w:type="dxa"/>
            <w:tcBorders>
              <w:top w:val="single" w:sz="2" w:space="0" w:color="auto"/>
              <w:left w:val="nil"/>
              <w:bottom w:val="single" w:sz="12" w:space="0" w:color="auto"/>
              <w:right w:val="nil"/>
            </w:tcBorders>
          </w:tcPr>
          <w:p w:rsidR="008D5057" w:rsidRPr="00DF386B" w:rsidRDefault="008D5057" w:rsidP="00A823A3">
            <w:pPr>
              <w:pStyle w:val="Tabletext"/>
            </w:pPr>
            <w:r w:rsidRPr="00DF386B">
              <w:t>13</w:t>
            </w:r>
          </w:p>
        </w:tc>
        <w:tc>
          <w:tcPr>
            <w:tcW w:w="7932" w:type="dxa"/>
            <w:tcBorders>
              <w:top w:val="single" w:sz="2" w:space="0" w:color="auto"/>
              <w:left w:val="nil"/>
              <w:bottom w:val="single" w:sz="12" w:space="0" w:color="auto"/>
              <w:right w:val="nil"/>
            </w:tcBorders>
          </w:tcPr>
          <w:p w:rsidR="008D5057" w:rsidRPr="00DF386B" w:rsidRDefault="008D5057" w:rsidP="008D5057">
            <w:pPr>
              <w:pStyle w:val="Tabletext"/>
            </w:pPr>
            <w:r w:rsidRPr="00DF386B">
              <w:t xml:space="preserve">Amendments of the </w:t>
            </w:r>
            <w:r w:rsidRPr="00DF386B">
              <w:rPr>
                <w:i/>
              </w:rPr>
              <w:t>National Disability Insurance Scheme Act 2013</w:t>
            </w:r>
            <w:r w:rsidRPr="00DF386B">
              <w:t xml:space="preserve"> or the National Disability Insurance Scheme rules.</w:t>
            </w:r>
          </w:p>
        </w:tc>
      </w:tr>
    </w:tbl>
    <w:p w:rsidR="00DA476B" w:rsidRPr="00DF386B" w:rsidRDefault="00DA476B" w:rsidP="001C0B22">
      <w:pPr>
        <w:pStyle w:val="BodyNum"/>
      </w:pPr>
      <w:r w:rsidRPr="00DF386B">
        <w:t xml:space="preserve">An “amendment” for the purposes of the above table includes </w:t>
      </w:r>
      <w:r w:rsidR="00AC03EE" w:rsidRPr="00DF386B">
        <w:t>a making or repeal.</w:t>
      </w:r>
    </w:p>
    <w:p w:rsidR="00FE21C0" w:rsidRPr="00DF386B" w:rsidRDefault="00FE21C0" w:rsidP="001C0B22">
      <w:pPr>
        <w:pStyle w:val="BodyNum"/>
      </w:pPr>
      <w:r w:rsidRPr="00DF386B">
        <w:t xml:space="preserve">If you are asked to draft a provision of a kind covered by the table, you should discuss with your instructors the consultation and approval processes your instructors intend to follow. You should take these processes into account in developing a timetable for the </w:t>
      </w:r>
      <w:r w:rsidR="00FC76B3" w:rsidRPr="00DF386B">
        <w:t>draft</w:t>
      </w:r>
      <w:r w:rsidRPr="00DF386B">
        <w:t>.</w:t>
      </w:r>
    </w:p>
    <w:p w:rsidR="00FE21C0" w:rsidRPr="00DF386B" w:rsidRDefault="00FE21C0" w:rsidP="00DF386B">
      <w:pPr>
        <w:pStyle w:val="Head3"/>
      </w:pPr>
      <w:bookmarkStart w:id="23" w:name="_Toc474929618"/>
      <w:r w:rsidRPr="00DF386B">
        <w:t>Other cases</w:t>
      </w:r>
      <w:bookmarkEnd w:id="23"/>
    </w:p>
    <w:p w:rsidR="00FE21C0" w:rsidRPr="00DF386B" w:rsidRDefault="00FE21C0" w:rsidP="001C0B22">
      <w:pPr>
        <w:pStyle w:val="BodyNum"/>
      </w:pPr>
      <w:r w:rsidRPr="00DF386B">
        <w:t xml:space="preserve">If you are asked to draft a provision of a kind not covered by the table but which you think may require consultation with the States and Territories under an intergovernmental agreement, you should discuss this matter with your instructors. You should take any consultation requirements into account in developing a timetable for the </w:t>
      </w:r>
      <w:r w:rsidR="00271333" w:rsidRPr="00DF386B">
        <w:t>draft</w:t>
      </w:r>
      <w:r w:rsidRPr="00DF386B">
        <w:t>.</w:t>
      </w:r>
    </w:p>
    <w:p w:rsidR="009C0FD6" w:rsidRPr="00DF386B" w:rsidRDefault="00FE21C0" w:rsidP="001C0B22">
      <w:pPr>
        <w:pStyle w:val="BodyNum"/>
      </w:pPr>
      <w:r w:rsidRPr="00DF386B">
        <w:t>The website of the Council of Australian Governments (www.coag.gov.au) gives a list of some intergovernmental agreements (although it is not comprehensive).</w:t>
      </w:r>
    </w:p>
    <w:p w:rsidR="009C0FD6" w:rsidRPr="00DF386B" w:rsidRDefault="009C0FD6" w:rsidP="001C0B22">
      <w:pPr>
        <w:pStyle w:val="BodyNum"/>
      </w:pPr>
      <w:r w:rsidRPr="00DF386B">
        <w:t xml:space="preserve">There may be other cases where there is an expectation that the States and Territories will be consulted on amendments of an Act even though this is not strictly required by an intergovernmental agreement (e.g. the </w:t>
      </w:r>
      <w:r w:rsidRPr="00DF386B">
        <w:rPr>
          <w:i/>
        </w:rPr>
        <w:t>Classification (Publications, Films and Computer Games) Act 1995</w:t>
      </w:r>
      <w:r w:rsidRPr="00DF386B">
        <w:t>).</w:t>
      </w:r>
    </w:p>
    <w:p w:rsidR="003A5CB0" w:rsidRPr="00DF386B" w:rsidRDefault="003A5CB0" w:rsidP="00DF386B">
      <w:pPr>
        <w:pStyle w:val="Head2"/>
      </w:pPr>
      <w:bookmarkStart w:id="24" w:name="_Toc474929619"/>
      <w:r w:rsidRPr="00DF386B">
        <w:t>Part 4—Other legislation: other countries</w:t>
      </w:r>
      <w:bookmarkEnd w:id="24"/>
    </w:p>
    <w:p w:rsidR="003A5CB0" w:rsidRPr="00DF386B" w:rsidRDefault="003A5CB0" w:rsidP="00DF386B">
      <w:pPr>
        <w:pStyle w:val="Head3"/>
      </w:pPr>
      <w:bookmarkStart w:id="25" w:name="_Toc474929620"/>
      <w:r w:rsidRPr="00DF386B">
        <w:t>Specific cases</w:t>
      </w:r>
      <w:bookmarkEnd w:id="25"/>
    </w:p>
    <w:p w:rsidR="003A5CB0" w:rsidRPr="00DF386B" w:rsidRDefault="003A5CB0" w:rsidP="003A5CB0">
      <w:pPr>
        <w:pStyle w:val="BodyNum"/>
      </w:pPr>
      <w:r w:rsidRPr="00DF386B">
        <w:t>Amendments of other Commonwealth legislation may also require consultation with, or consultation with and approval of, another jurisdiction under an intergovernmental agreement between Australia and another country. The following table sets out some examples of legislation affected by relevant intergovernmental agreements:</w:t>
      </w:r>
    </w:p>
    <w:p w:rsidR="003A5CB0" w:rsidRPr="00DF386B" w:rsidRDefault="003A5CB0" w:rsidP="003A5CB0">
      <w:pPr>
        <w:pStyle w:val="Tabletext"/>
      </w:pPr>
    </w:p>
    <w:tbl>
      <w:tblPr>
        <w:tblW w:w="0" w:type="auto"/>
        <w:tblInd w:w="108"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714"/>
        <w:gridCol w:w="7932"/>
      </w:tblGrid>
      <w:tr w:rsidR="003A5CB0" w:rsidRPr="00DF386B" w:rsidTr="003A5CB0">
        <w:trPr>
          <w:tblHeader/>
        </w:trPr>
        <w:tc>
          <w:tcPr>
            <w:tcW w:w="8646" w:type="dxa"/>
            <w:gridSpan w:val="2"/>
            <w:tcBorders>
              <w:top w:val="single" w:sz="12" w:space="0" w:color="auto"/>
              <w:bottom w:val="single" w:sz="6" w:space="0" w:color="auto"/>
            </w:tcBorders>
            <w:shd w:val="clear" w:color="auto" w:fill="auto"/>
          </w:tcPr>
          <w:p w:rsidR="003A5CB0" w:rsidRPr="00DF386B" w:rsidRDefault="003A5CB0" w:rsidP="00DA476B">
            <w:pPr>
              <w:pStyle w:val="Tabletext"/>
              <w:rPr>
                <w:b/>
              </w:rPr>
            </w:pPr>
            <w:r w:rsidRPr="00DF386B">
              <w:rPr>
                <w:b/>
              </w:rPr>
              <w:t>Intergovernmental agreements</w:t>
            </w:r>
          </w:p>
        </w:tc>
      </w:tr>
      <w:tr w:rsidR="003A5CB0" w:rsidRPr="00DF386B" w:rsidTr="003A5CB0">
        <w:trPr>
          <w:tblHeader/>
        </w:trPr>
        <w:tc>
          <w:tcPr>
            <w:tcW w:w="714" w:type="dxa"/>
            <w:tcBorders>
              <w:top w:val="single" w:sz="6" w:space="0" w:color="auto"/>
              <w:bottom w:val="single" w:sz="12" w:space="0" w:color="auto"/>
            </w:tcBorders>
            <w:shd w:val="clear" w:color="auto" w:fill="auto"/>
          </w:tcPr>
          <w:p w:rsidR="003A5CB0" w:rsidRPr="00DF386B" w:rsidRDefault="003A5CB0" w:rsidP="00DA476B">
            <w:pPr>
              <w:pStyle w:val="Tabletext"/>
            </w:pPr>
            <w:r w:rsidRPr="00DF386B">
              <w:rPr>
                <w:b/>
              </w:rPr>
              <w:t>Item</w:t>
            </w:r>
          </w:p>
        </w:tc>
        <w:tc>
          <w:tcPr>
            <w:tcW w:w="7932" w:type="dxa"/>
            <w:tcBorders>
              <w:top w:val="single" w:sz="6" w:space="0" w:color="auto"/>
              <w:bottom w:val="single" w:sz="12" w:space="0" w:color="auto"/>
            </w:tcBorders>
            <w:shd w:val="clear" w:color="auto" w:fill="auto"/>
          </w:tcPr>
          <w:p w:rsidR="003A5CB0" w:rsidRPr="00DF386B" w:rsidRDefault="003A5CB0" w:rsidP="00DA476B">
            <w:pPr>
              <w:pStyle w:val="Tabletext"/>
            </w:pPr>
            <w:r w:rsidRPr="00DF386B">
              <w:rPr>
                <w:b/>
              </w:rPr>
              <w:t>Examples</w:t>
            </w:r>
          </w:p>
        </w:tc>
      </w:tr>
      <w:tr w:rsidR="003A5CB0" w:rsidRPr="00DF386B" w:rsidTr="003A5CB0">
        <w:tc>
          <w:tcPr>
            <w:tcW w:w="714" w:type="dxa"/>
            <w:tcBorders>
              <w:top w:val="single" w:sz="12" w:space="0" w:color="auto"/>
              <w:bottom w:val="single" w:sz="12" w:space="0" w:color="auto"/>
            </w:tcBorders>
            <w:shd w:val="clear" w:color="auto" w:fill="auto"/>
          </w:tcPr>
          <w:p w:rsidR="003A5CB0" w:rsidRPr="00DF386B" w:rsidRDefault="003A5CB0" w:rsidP="00DA476B">
            <w:pPr>
              <w:pStyle w:val="Tabletext"/>
            </w:pPr>
            <w:r w:rsidRPr="00DF386B">
              <w:t>1</w:t>
            </w:r>
          </w:p>
        </w:tc>
        <w:tc>
          <w:tcPr>
            <w:tcW w:w="7932" w:type="dxa"/>
            <w:tcBorders>
              <w:top w:val="single" w:sz="12" w:space="0" w:color="auto"/>
              <w:bottom w:val="single" w:sz="12" w:space="0" w:color="auto"/>
            </w:tcBorders>
            <w:shd w:val="clear" w:color="auto" w:fill="auto"/>
          </w:tcPr>
          <w:p w:rsidR="003A5CB0" w:rsidRPr="00DF386B" w:rsidRDefault="003A5CB0" w:rsidP="003A5CB0">
            <w:pPr>
              <w:pStyle w:val="Tabletext"/>
            </w:pPr>
            <w:r w:rsidRPr="00DF386B">
              <w:t xml:space="preserve">Amendments of the </w:t>
            </w:r>
            <w:r w:rsidRPr="00DF386B">
              <w:rPr>
                <w:i/>
              </w:rPr>
              <w:t>Food Standards Australia New Zealand Act 1991</w:t>
            </w:r>
            <w:r w:rsidRPr="00DF386B">
              <w:t xml:space="preserve"> or regulations made under that Act.</w:t>
            </w:r>
          </w:p>
        </w:tc>
      </w:tr>
    </w:tbl>
    <w:p w:rsidR="00AC03EE" w:rsidRPr="00DF386B" w:rsidRDefault="00AC03EE" w:rsidP="00AC03EE">
      <w:pPr>
        <w:pStyle w:val="BodyNum"/>
      </w:pPr>
      <w:r w:rsidRPr="00DF386B">
        <w:t>An “amendment” for the purposes of the above table includes a making or repeal.</w:t>
      </w:r>
    </w:p>
    <w:p w:rsidR="003A5CB0" w:rsidRPr="00DF386B" w:rsidRDefault="003A5CB0" w:rsidP="003A5CB0">
      <w:pPr>
        <w:pStyle w:val="BodyNum"/>
      </w:pPr>
      <w:r w:rsidRPr="00DF386B">
        <w:lastRenderedPageBreak/>
        <w:t>If you are asked to draft a provision of a kind covered by the table, you should discuss with your instructors the consultation and approval processes your instructors intend to follow. You should take these processes into account in developing a timetable for the draft.</w:t>
      </w:r>
    </w:p>
    <w:p w:rsidR="003A5CB0" w:rsidRPr="00DF386B" w:rsidRDefault="003A5CB0" w:rsidP="00DF386B">
      <w:pPr>
        <w:pStyle w:val="Head3"/>
      </w:pPr>
      <w:bookmarkStart w:id="26" w:name="_Toc474929621"/>
      <w:r w:rsidRPr="00DF386B">
        <w:t>Other cases</w:t>
      </w:r>
      <w:bookmarkEnd w:id="26"/>
    </w:p>
    <w:p w:rsidR="003A5CB0" w:rsidRPr="00DF386B" w:rsidRDefault="003A5CB0" w:rsidP="003A5CB0">
      <w:pPr>
        <w:pStyle w:val="BodyNum"/>
      </w:pPr>
      <w:r w:rsidRPr="00DF386B">
        <w:t>If you are asked to draft a provision of a kind not covered by the table but which you think may require consultation with another jurisdiction under an intergovernmental agreement, you should discuss this matter with your instructors. You should take any consultation requirements into account in developing a timetable for the draft.</w:t>
      </w:r>
    </w:p>
    <w:p w:rsidR="00FE21C0" w:rsidRPr="00DF386B" w:rsidRDefault="00FE21C0" w:rsidP="008618F5">
      <w:pPr>
        <w:pStyle w:val="Body"/>
      </w:pPr>
    </w:p>
    <w:p w:rsidR="00FE21C0" w:rsidRPr="00DF386B" w:rsidRDefault="00FE21C0" w:rsidP="008618F5">
      <w:pPr>
        <w:pStyle w:val="Body"/>
      </w:pPr>
    </w:p>
    <w:p w:rsidR="00FE21C0" w:rsidRPr="00DF386B" w:rsidRDefault="00FE21C0" w:rsidP="008618F5">
      <w:pPr>
        <w:pStyle w:val="Body"/>
      </w:pPr>
      <w:r w:rsidRPr="00DF386B">
        <w:t>Peter Quiggin</w:t>
      </w:r>
      <w:r w:rsidR="00A34DC0" w:rsidRPr="00DF386B">
        <w:t xml:space="preserve"> PSM</w:t>
      </w:r>
      <w:r w:rsidRPr="00DF386B">
        <w:br/>
        <w:t>First Parliamentary Counsel</w:t>
      </w:r>
      <w:r w:rsidRPr="00DF386B">
        <w:br/>
      </w:r>
      <w:r w:rsidR="00786734">
        <w:t>15 February 2017</w:t>
      </w:r>
    </w:p>
    <w:p w:rsidR="008F68EA" w:rsidRPr="00DF386B" w:rsidRDefault="008F68EA" w:rsidP="008F68EA">
      <w:pPr>
        <w:pStyle w:val="Body"/>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009"/>
        <w:gridCol w:w="3009"/>
        <w:gridCol w:w="3009"/>
      </w:tblGrid>
      <w:tr w:rsidR="008F68EA" w:rsidRPr="00DF386B" w:rsidTr="005568F9">
        <w:trPr>
          <w:tblHeader/>
        </w:trPr>
        <w:tc>
          <w:tcPr>
            <w:tcW w:w="9027" w:type="dxa"/>
            <w:gridSpan w:val="3"/>
            <w:tcBorders>
              <w:top w:val="single" w:sz="12" w:space="0" w:color="auto"/>
              <w:bottom w:val="single" w:sz="6" w:space="0" w:color="auto"/>
            </w:tcBorders>
            <w:shd w:val="clear" w:color="auto" w:fill="auto"/>
          </w:tcPr>
          <w:p w:rsidR="008F68EA" w:rsidRPr="00DF386B" w:rsidRDefault="008F68EA" w:rsidP="00A823A3">
            <w:pPr>
              <w:pStyle w:val="Tabletext"/>
              <w:keepNext/>
              <w:rPr>
                <w:b/>
              </w:rPr>
            </w:pPr>
            <w:r w:rsidRPr="00DF386B">
              <w:rPr>
                <w:b/>
              </w:rPr>
              <w:t>Document History</w:t>
            </w:r>
          </w:p>
        </w:tc>
      </w:tr>
      <w:tr w:rsidR="008F68EA" w:rsidRPr="00DF386B" w:rsidTr="005568F9">
        <w:trPr>
          <w:tblHeader/>
        </w:trPr>
        <w:tc>
          <w:tcPr>
            <w:tcW w:w="3009" w:type="dxa"/>
            <w:tcBorders>
              <w:top w:val="single" w:sz="6" w:space="0" w:color="auto"/>
              <w:bottom w:val="single" w:sz="12" w:space="0" w:color="auto"/>
            </w:tcBorders>
            <w:shd w:val="clear" w:color="auto" w:fill="auto"/>
          </w:tcPr>
          <w:p w:rsidR="008F68EA" w:rsidRPr="00DF386B" w:rsidRDefault="008F68EA" w:rsidP="008F68EA">
            <w:pPr>
              <w:pStyle w:val="Tabletext"/>
              <w:keepNext/>
              <w:rPr>
                <w:b/>
              </w:rPr>
            </w:pPr>
            <w:r w:rsidRPr="00DF386B">
              <w:rPr>
                <w:b/>
              </w:rPr>
              <w:t>Release</w:t>
            </w:r>
          </w:p>
        </w:tc>
        <w:tc>
          <w:tcPr>
            <w:tcW w:w="3009" w:type="dxa"/>
            <w:tcBorders>
              <w:top w:val="single" w:sz="6" w:space="0" w:color="auto"/>
              <w:bottom w:val="single" w:sz="12" w:space="0" w:color="auto"/>
            </w:tcBorders>
            <w:shd w:val="clear" w:color="auto" w:fill="auto"/>
          </w:tcPr>
          <w:p w:rsidR="008F68EA" w:rsidRPr="00DF386B" w:rsidRDefault="008F68EA" w:rsidP="00A823A3">
            <w:pPr>
              <w:pStyle w:val="Tabletext"/>
              <w:keepNext/>
              <w:rPr>
                <w:b/>
              </w:rPr>
            </w:pPr>
            <w:r w:rsidRPr="00DF386B">
              <w:rPr>
                <w:b/>
              </w:rPr>
              <w:t>Release date</w:t>
            </w:r>
          </w:p>
        </w:tc>
        <w:tc>
          <w:tcPr>
            <w:tcW w:w="3009" w:type="dxa"/>
            <w:tcBorders>
              <w:top w:val="single" w:sz="6" w:space="0" w:color="auto"/>
              <w:bottom w:val="single" w:sz="12" w:space="0" w:color="auto"/>
            </w:tcBorders>
            <w:shd w:val="clear" w:color="auto" w:fill="auto"/>
          </w:tcPr>
          <w:p w:rsidR="008F68EA" w:rsidRPr="00DF386B" w:rsidRDefault="008F68EA" w:rsidP="00A823A3">
            <w:pPr>
              <w:pStyle w:val="Tabletext"/>
              <w:keepNext/>
              <w:rPr>
                <w:b/>
              </w:rPr>
            </w:pPr>
            <w:r w:rsidRPr="00DF386B">
              <w:rPr>
                <w:b/>
              </w:rPr>
              <w:t>Document number</w:t>
            </w:r>
          </w:p>
        </w:tc>
      </w:tr>
      <w:tr w:rsidR="008F68EA" w:rsidRPr="00DF386B" w:rsidTr="005568F9">
        <w:tc>
          <w:tcPr>
            <w:tcW w:w="3009" w:type="dxa"/>
            <w:tcBorders>
              <w:top w:val="single" w:sz="12" w:space="0" w:color="auto"/>
            </w:tcBorders>
            <w:shd w:val="clear" w:color="auto" w:fill="auto"/>
          </w:tcPr>
          <w:p w:rsidR="008F68EA" w:rsidRPr="00DF386B" w:rsidRDefault="008F68EA" w:rsidP="00A823A3">
            <w:pPr>
              <w:pStyle w:val="Tabletext"/>
            </w:pPr>
            <w:r w:rsidRPr="00DF386B">
              <w:t>1.0</w:t>
            </w:r>
          </w:p>
        </w:tc>
        <w:tc>
          <w:tcPr>
            <w:tcW w:w="3009" w:type="dxa"/>
            <w:tcBorders>
              <w:top w:val="single" w:sz="12" w:space="0" w:color="auto"/>
            </w:tcBorders>
            <w:shd w:val="clear" w:color="auto" w:fill="auto"/>
          </w:tcPr>
          <w:p w:rsidR="008F68EA" w:rsidRPr="00DF386B" w:rsidRDefault="008F68EA" w:rsidP="00A823A3">
            <w:pPr>
              <w:pStyle w:val="Tabletext"/>
            </w:pPr>
            <w:r w:rsidRPr="00DF386B">
              <w:t>1 May 2006</w:t>
            </w:r>
          </w:p>
        </w:tc>
        <w:tc>
          <w:tcPr>
            <w:tcW w:w="3009" w:type="dxa"/>
            <w:tcBorders>
              <w:top w:val="single" w:sz="12" w:space="0" w:color="auto"/>
            </w:tcBorders>
            <w:shd w:val="clear" w:color="auto" w:fill="auto"/>
          </w:tcPr>
          <w:p w:rsidR="008F68EA" w:rsidRPr="00DF386B" w:rsidRDefault="008F68EA" w:rsidP="00A823A3">
            <w:pPr>
              <w:pStyle w:val="Tabletext"/>
            </w:pPr>
            <w:r w:rsidRPr="00DF386B">
              <w:t>s06rd392.v01.doc</w:t>
            </w:r>
          </w:p>
        </w:tc>
      </w:tr>
      <w:tr w:rsidR="008F68EA" w:rsidRPr="00DF386B" w:rsidTr="005568F9">
        <w:tc>
          <w:tcPr>
            <w:tcW w:w="3009" w:type="dxa"/>
            <w:shd w:val="clear" w:color="auto" w:fill="auto"/>
          </w:tcPr>
          <w:p w:rsidR="008F68EA" w:rsidRPr="00DF386B" w:rsidRDefault="008F68EA" w:rsidP="00A823A3">
            <w:pPr>
              <w:pStyle w:val="Tabletext"/>
            </w:pPr>
            <w:r w:rsidRPr="00DF386B">
              <w:t>1.1</w:t>
            </w:r>
          </w:p>
        </w:tc>
        <w:tc>
          <w:tcPr>
            <w:tcW w:w="3009" w:type="dxa"/>
            <w:shd w:val="clear" w:color="auto" w:fill="auto"/>
          </w:tcPr>
          <w:p w:rsidR="008F68EA" w:rsidRPr="00DF386B" w:rsidRDefault="008F68EA" w:rsidP="00A823A3">
            <w:pPr>
              <w:pStyle w:val="Tabletext"/>
            </w:pPr>
            <w:r w:rsidRPr="00DF386B">
              <w:t>27 April 2010</w:t>
            </w:r>
          </w:p>
        </w:tc>
        <w:tc>
          <w:tcPr>
            <w:tcW w:w="3009" w:type="dxa"/>
            <w:shd w:val="clear" w:color="auto" w:fill="auto"/>
          </w:tcPr>
          <w:p w:rsidR="008F68EA" w:rsidRPr="00DF386B" w:rsidRDefault="008F68EA" w:rsidP="00A823A3">
            <w:pPr>
              <w:pStyle w:val="Tabletext"/>
            </w:pPr>
            <w:r w:rsidRPr="00DF386B">
              <w:t>s06rd392.v04.docx</w:t>
            </w:r>
          </w:p>
        </w:tc>
      </w:tr>
      <w:tr w:rsidR="00E95ACE" w:rsidRPr="00DF386B" w:rsidTr="005568F9">
        <w:tc>
          <w:tcPr>
            <w:tcW w:w="3009" w:type="dxa"/>
            <w:tcBorders>
              <w:bottom w:val="single" w:sz="4" w:space="0" w:color="auto"/>
            </w:tcBorders>
            <w:shd w:val="clear" w:color="auto" w:fill="auto"/>
          </w:tcPr>
          <w:p w:rsidR="00E95ACE" w:rsidRPr="00DF386B" w:rsidRDefault="00E95ACE" w:rsidP="00A823A3">
            <w:pPr>
              <w:pStyle w:val="Tabletext"/>
            </w:pPr>
            <w:r w:rsidRPr="00DF386B">
              <w:t>2.0</w:t>
            </w:r>
          </w:p>
        </w:tc>
        <w:tc>
          <w:tcPr>
            <w:tcW w:w="3009" w:type="dxa"/>
            <w:tcBorders>
              <w:bottom w:val="single" w:sz="4" w:space="0" w:color="auto"/>
            </w:tcBorders>
            <w:shd w:val="clear" w:color="auto" w:fill="auto"/>
          </w:tcPr>
          <w:p w:rsidR="00E95ACE" w:rsidRPr="00DF386B" w:rsidRDefault="00A2547D" w:rsidP="00A823A3">
            <w:pPr>
              <w:pStyle w:val="Tabletext"/>
            </w:pPr>
            <w:r w:rsidRPr="00DF386B">
              <w:t>8 October 2010</w:t>
            </w:r>
          </w:p>
        </w:tc>
        <w:tc>
          <w:tcPr>
            <w:tcW w:w="3009" w:type="dxa"/>
            <w:tcBorders>
              <w:bottom w:val="single" w:sz="4" w:space="0" w:color="auto"/>
            </w:tcBorders>
            <w:shd w:val="clear" w:color="auto" w:fill="auto"/>
          </w:tcPr>
          <w:p w:rsidR="00E95ACE" w:rsidRPr="00DF386B" w:rsidRDefault="00124D96" w:rsidP="00124D96">
            <w:pPr>
              <w:pStyle w:val="Tabletext"/>
            </w:pPr>
            <w:r w:rsidRPr="00DF386B">
              <w:t>s06rd392.v08.docx</w:t>
            </w:r>
          </w:p>
        </w:tc>
      </w:tr>
      <w:tr w:rsidR="0038683A" w:rsidRPr="00DF386B" w:rsidTr="00A74121">
        <w:tc>
          <w:tcPr>
            <w:tcW w:w="3009" w:type="dxa"/>
            <w:shd w:val="clear" w:color="auto" w:fill="auto"/>
          </w:tcPr>
          <w:p w:rsidR="0038683A" w:rsidRPr="00DF386B" w:rsidRDefault="0038683A" w:rsidP="00A823A3">
            <w:pPr>
              <w:pStyle w:val="Tabletext"/>
            </w:pPr>
            <w:r w:rsidRPr="00DF386B">
              <w:t>2.1</w:t>
            </w:r>
          </w:p>
        </w:tc>
        <w:tc>
          <w:tcPr>
            <w:tcW w:w="3009" w:type="dxa"/>
            <w:shd w:val="clear" w:color="auto" w:fill="auto"/>
          </w:tcPr>
          <w:p w:rsidR="0038683A" w:rsidRPr="00DF386B" w:rsidRDefault="00031E76" w:rsidP="00031E76">
            <w:pPr>
              <w:pStyle w:val="Tabletext"/>
            </w:pPr>
            <w:r w:rsidRPr="00DF386B">
              <w:t>2</w:t>
            </w:r>
            <w:r w:rsidR="00D15735" w:rsidRPr="00DF386B">
              <w:t>1 February 2011</w:t>
            </w:r>
          </w:p>
        </w:tc>
        <w:tc>
          <w:tcPr>
            <w:tcW w:w="3009" w:type="dxa"/>
            <w:shd w:val="clear" w:color="auto" w:fill="auto"/>
          </w:tcPr>
          <w:p w:rsidR="0038683A" w:rsidRPr="00DF386B" w:rsidRDefault="00031E76" w:rsidP="00D15735">
            <w:pPr>
              <w:pStyle w:val="Tabletext"/>
            </w:pPr>
            <w:r w:rsidRPr="00DF386B">
              <w:t>s06rd392.v11</w:t>
            </w:r>
            <w:r w:rsidR="00D15735" w:rsidRPr="00DF386B">
              <w:t>.docx</w:t>
            </w:r>
          </w:p>
        </w:tc>
      </w:tr>
      <w:tr w:rsidR="00A74121" w:rsidRPr="00DF386B" w:rsidTr="00816003">
        <w:tc>
          <w:tcPr>
            <w:tcW w:w="3009" w:type="dxa"/>
            <w:shd w:val="clear" w:color="auto" w:fill="auto"/>
          </w:tcPr>
          <w:p w:rsidR="00A74121" w:rsidRPr="00DF386B" w:rsidRDefault="00A74121" w:rsidP="00A74121">
            <w:pPr>
              <w:pStyle w:val="Tabletext"/>
            </w:pPr>
            <w:r w:rsidRPr="00DF386B">
              <w:t>3.0</w:t>
            </w:r>
          </w:p>
        </w:tc>
        <w:tc>
          <w:tcPr>
            <w:tcW w:w="3009" w:type="dxa"/>
            <w:shd w:val="clear" w:color="auto" w:fill="auto"/>
          </w:tcPr>
          <w:p w:rsidR="00A74121" w:rsidRPr="00DF386B" w:rsidRDefault="00A74121" w:rsidP="00031E76">
            <w:pPr>
              <w:pStyle w:val="Tabletext"/>
            </w:pPr>
            <w:r w:rsidRPr="00DF386B">
              <w:t>2 October 2012</w:t>
            </w:r>
          </w:p>
        </w:tc>
        <w:tc>
          <w:tcPr>
            <w:tcW w:w="3009" w:type="dxa"/>
            <w:shd w:val="clear" w:color="auto" w:fill="auto"/>
          </w:tcPr>
          <w:p w:rsidR="00A74121" w:rsidRPr="00DF386B" w:rsidRDefault="00A74121" w:rsidP="00A74121">
            <w:pPr>
              <w:pStyle w:val="Tabletext"/>
            </w:pPr>
            <w:r w:rsidRPr="00DF386B">
              <w:t>s06rd392.v18.docx</w:t>
            </w:r>
          </w:p>
        </w:tc>
      </w:tr>
      <w:tr w:rsidR="00816003" w:rsidRPr="00DF386B" w:rsidTr="005568F9">
        <w:tc>
          <w:tcPr>
            <w:tcW w:w="3009" w:type="dxa"/>
            <w:tcBorders>
              <w:bottom w:val="single" w:sz="12" w:space="0" w:color="auto"/>
            </w:tcBorders>
            <w:shd w:val="clear" w:color="auto" w:fill="auto"/>
          </w:tcPr>
          <w:p w:rsidR="00816003" w:rsidRPr="00DF386B" w:rsidRDefault="00816003" w:rsidP="00A74121">
            <w:pPr>
              <w:pStyle w:val="Tabletext"/>
            </w:pPr>
            <w:r w:rsidRPr="00DF386B">
              <w:t>3.1</w:t>
            </w:r>
          </w:p>
        </w:tc>
        <w:tc>
          <w:tcPr>
            <w:tcW w:w="3009" w:type="dxa"/>
            <w:tcBorders>
              <w:bottom w:val="single" w:sz="12" w:space="0" w:color="auto"/>
            </w:tcBorders>
            <w:shd w:val="clear" w:color="auto" w:fill="auto"/>
          </w:tcPr>
          <w:p w:rsidR="00816003" w:rsidRPr="00786734" w:rsidRDefault="00786734" w:rsidP="00031E76">
            <w:pPr>
              <w:pStyle w:val="Tabletext"/>
            </w:pPr>
            <w:r>
              <w:t>15 February 2017</w:t>
            </w:r>
          </w:p>
        </w:tc>
        <w:tc>
          <w:tcPr>
            <w:tcW w:w="3009" w:type="dxa"/>
            <w:tcBorders>
              <w:bottom w:val="single" w:sz="12" w:space="0" w:color="auto"/>
            </w:tcBorders>
            <w:shd w:val="clear" w:color="auto" w:fill="auto"/>
          </w:tcPr>
          <w:p w:rsidR="00816003" w:rsidRPr="00DF386B" w:rsidRDefault="00786734" w:rsidP="00786734">
            <w:pPr>
              <w:pStyle w:val="Tabletext"/>
            </w:pPr>
            <w:r w:rsidRPr="00DF386B">
              <w:t>s06rd392.v</w:t>
            </w:r>
            <w:r>
              <w:t>27</w:t>
            </w:r>
            <w:r w:rsidRPr="00DF386B">
              <w:t>.docx</w:t>
            </w:r>
          </w:p>
        </w:tc>
      </w:tr>
    </w:tbl>
    <w:p w:rsidR="008F68EA" w:rsidRPr="00DF386B" w:rsidRDefault="008F68EA" w:rsidP="008F68EA">
      <w:pPr>
        <w:pStyle w:val="notemargin"/>
      </w:pPr>
      <w:r w:rsidRPr="00DF386B">
        <w:t>Note:</w:t>
      </w:r>
      <w:r w:rsidRPr="00DF386B">
        <w:tab/>
        <w:t>Before the issue of the current series of Drafting Directions, this Drafting Direction was known as Drafting Direction No. 19 of 2005.</w:t>
      </w:r>
    </w:p>
    <w:p w:rsidR="00FE21C0" w:rsidRPr="00DF386B" w:rsidRDefault="00FE21C0" w:rsidP="00FE21C0">
      <w:pPr>
        <w:pStyle w:val="PageBreak"/>
      </w:pPr>
      <w:r w:rsidRPr="00DF386B">
        <w:br w:type="page"/>
      </w:r>
    </w:p>
    <w:p w:rsidR="00FE21C0" w:rsidRPr="00DF386B" w:rsidRDefault="00FE21C0" w:rsidP="00DF386B">
      <w:pPr>
        <w:pStyle w:val="Head2"/>
      </w:pPr>
      <w:bookmarkStart w:id="27" w:name="_Toc474929622"/>
      <w:r w:rsidRPr="00DF386B">
        <w:lastRenderedPageBreak/>
        <w:t>Attachment A—extract of Corporations Agreement 2002</w:t>
      </w:r>
      <w:bookmarkEnd w:id="27"/>
    </w:p>
    <w:p w:rsidR="00FE21C0" w:rsidRPr="00DF386B" w:rsidRDefault="00FE21C0" w:rsidP="00DF386B">
      <w:pPr>
        <w:pStyle w:val="Head3"/>
      </w:pPr>
      <w:bookmarkStart w:id="28" w:name="_Toc474929623"/>
      <w:r w:rsidRPr="00DF386B">
        <w:t>Division 2–Alteration of the national law</w:t>
      </w:r>
      <w:bookmarkEnd w:id="28"/>
    </w:p>
    <w:p w:rsidR="00FE21C0" w:rsidRPr="00DF386B" w:rsidRDefault="00FE21C0" w:rsidP="00DF386B">
      <w:pPr>
        <w:pStyle w:val="Head4"/>
      </w:pPr>
      <w:bookmarkStart w:id="29" w:name="_Toc474929624"/>
      <w:r w:rsidRPr="00DF386B">
        <w:t>Commonwealth legislation relating to the national law</w:t>
      </w:r>
      <w:bookmarkEnd w:id="29"/>
    </w:p>
    <w:p w:rsidR="00FE21C0" w:rsidRPr="00DF386B" w:rsidRDefault="00FE21C0" w:rsidP="00FE21C0">
      <w:pPr>
        <w:tabs>
          <w:tab w:val="left" w:pos="567"/>
        </w:tabs>
        <w:ind w:left="1124" w:hanging="1124"/>
      </w:pPr>
      <w:r w:rsidRPr="00DF386B">
        <w:t>506.</w:t>
      </w:r>
      <w:r w:rsidRPr="00DF386B">
        <w:tab/>
        <w:t>(1)</w:t>
      </w:r>
      <w:r w:rsidRPr="00DF386B">
        <w:tab/>
        <w:t>The Commonwealth will not introduce a Bill that would repeal or amend the national law, or make a regulation under the national law unless, before its introduction or making, the Ministerial Council has been consulted about it and, except as provided by this Part, has approved it.</w:t>
      </w:r>
    </w:p>
    <w:p w:rsidR="00FE21C0" w:rsidRPr="00DF386B" w:rsidRDefault="00FE21C0" w:rsidP="00FE21C0">
      <w:pPr>
        <w:tabs>
          <w:tab w:val="left" w:pos="567"/>
        </w:tabs>
        <w:ind w:left="1124" w:hanging="1124"/>
      </w:pPr>
      <w:r w:rsidRPr="00DF386B">
        <w:tab/>
        <w:t>(2)</w:t>
      </w:r>
      <w:r w:rsidRPr="00DF386B">
        <w:tab/>
        <w:t>The Commonwealth is not obliged to introduce, make or support any legislation, or proceed with any legislative proposal, with which it does not concur.</w:t>
      </w:r>
    </w:p>
    <w:p w:rsidR="00FE21C0" w:rsidRPr="00DF386B" w:rsidRDefault="00FE21C0" w:rsidP="00DF386B">
      <w:pPr>
        <w:pStyle w:val="Head4"/>
      </w:pPr>
      <w:bookmarkStart w:id="30" w:name="_Toc474929625"/>
      <w:r w:rsidRPr="00DF386B">
        <w:t>Provisions relating to approval of Commonwealth legislation</w:t>
      </w:r>
      <w:bookmarkEnd w:id="30"/>
    </w:p>
    <w:p w:rsidR="00FE21C0" w:rsidRPr="00DF386B" w:rsidRDefault="00FE21C0" w:rsidP="00FE21C0">
      <w:pPr>
        <w:tabs>
          <w:tab w:val="left" w:pos="567"/>
        </w:tabs>
        <w:spacing w:before="120" w:after="120"/>
        <w:ind w:left="1124" w:hanging="1124"/>
      </w:pPr>
      <w:r w:rsidRPr="00DF386B">
        <w:t>507.</w:t>
      </w:r>
      <w:r w:rsidRPr="00DF386B">
        <w:tab/>
        <w:t>(1)</w:t>
      </w:r>
      <w:r w:rsidRPr="00DF386B">
        <w:tab/>
        <w:t>The approval of the Ministerial Council is not required for a Commonwealth Bill or regulation, so far as it relates to:</w:t>
      </w:r>
    </w:p>
    <w:p w:rsidR="00FE21C0" w:rsidRPr="00DF386B" w:rsidRDefault="00FE21C0" w:rsidP="00FE21C0">
      <w:pPr>
        <w:ind w:left="1701" w:hanging="562"/>
      </w:pPr>
      <w:r w:rsidRPr="00DF386B">
        <w:t>(a)</w:t>
      </w:r>
      <w:r w:rsidRPr="00DF386B">
        <w:tab/>
        <w:t>subject matters for which Chapters 2L, 5C, 6, 6A, 6B, 6C, 6D, 7 and 8 of the Corporations Law as in force on 1 July 2000 made provision, in particular:</w:t>
      </w:r>
    </w:p>
    <w:p w:rsidR="00FE21C0" w:rsidRPr="00DF386B" w:rsidRDefault="00FE21C0" w:rsidP="00FE21C0">
      <w:pPr>
        <w:ind w:left="2268" w:hanging="562"/>
      </w:pPr>
      <w:r w:rsidRPr="00DF386B">
        <w:rPr>
          <w:rFonts w:ascii="Symbol" w:hAnsi="Symbol" w:cs="Symbol"/>
        </w:rPr>
        <w:t></w:t>
      </w:r>
      <w:r w:rsidRPr="00DF386B">
        <w:rPr>
          <w:rFonts w:ascii="Symbol" w:hAnsi="Symbol" w:cs="Symbol"/>
        </w:rPr>
        <w:tab/>
      </w:r>
      <w:r w:rsidRPr="00DF386B">
        <w:t>debentures;</w:t>
      </w:r>
    </w:p>
    <w:p w:rsidR="00FE21C0" w:rsidRPr="00DF386B" w:rsidRDefault="00FE21C0" w:rsidP="00FE21C0">
      <w:pPr>
        <w:ind w:left="2268" w:hanging="562"/>
      </w:pPr>
      <w:r w:rsidRPr="00DF386B">
        <w:rPr>
          <w:rFonts w:ascii="Symbol" w:hAnsi="Symbol" w:cs="Symbol"/>
        </w:rPr>
        <w:t></w:t>
      </w:r>
      <w:r w:rsidRPr="00DF386B">
        <w:rPr>
          <w:rFonts w:ascii="Symbol" w:hAnsi="Symbol" w:cs="Symbol"/>
        </w:rPr>
        <w:tab/>
      </w:r>
      <w:r w:rsidRPr="00DF386B">
        <w:t>managed investment schemes;</w:t>
      </w:r>
    </w:p>
    <w:p w:rsidR="00FE21C0" w:rsidRPr="00DF386B" w:rsidRDefault="00FE21C0" w:rsidP="00FE21C0">
      <w:pPr>
        <w:ind w:left="2268" w:hanging="562"/>
      </w:pPr>
      <w:r w:rsidRPr="00DF386B">
        <w:rPr>
          <w:rFonts w:ascii="Symbol" w:hAnsi="Symbol" w:cs="Symbol"/>
        </w:rPr>
        <w:t></w:t>
      </w:r>
      <w:r w:rsidRPr="00DF386B">
        <w:rPr>
          <w:rFonts w:ascii="Symbol" w:hAnsi="Symbol" w:cs="Symbol"/>
        </w:rPr>
        <w:tab/>
      </w:r>
      <w:r w:rsidRPr="00DF386B">
        <w:t>takeovers, compulsory acquisitions and buy</w:t>
      </w:r>
      <w:r w:rsidR="00B97B09" w:rsidRPr="00DF386B">
        <w:noBreakHyphen/>
      </w:r>
      <w:r w:rsidRPr="00DF386B">
        <w:t>outs, and rights and liabilities in relation to these matters;</w:t>
      </w:r>
    </w:p>
    <w:p w:rsidR="00FE21C0" w:rsidRPr="00DF386B" w:rsidRDefault="00FE21C0" w:rsidP="00FE21C0">
      <w:pPr>
        <w:ind w:left="2268" w:hanging="562"/>
      </w:pPr>
      <w:r w:rsidRPr="00DF386B">
        <w:rPr>
          <w:rFonts w:ascii="Symbol" w:hAnsi="Symbol" w:cs="Symbol"/>
        </w:rPr>
        <w:t></w:t>
      </w:r>
      <w:r w:rsidRPr="00DF386B">
        <w:rPr>
          <w:rFonts w:ascii="Symbol" w:hAnsi="Symbol" w:cs="Symbol"/>
        </w:rPr>
        <w:tab/>
      </w:r>
      <w:r w:rsidRPr="00DF386B">
        <w:t>information about ownership of listed companies and managed investment schemes;</w:t>
      </w:r>
    </w:p>
    <w:p w:rsidR="00FE21C0" w:rsidRPr="00DF386B" w:rsidRDefault="00FE21C0" w:rsidP="00FE21C0">
      <w:pPr>
        <w:ind w:left="2268" w:hanging="562"/>
      </w:pPr>
      <w:r w:rsidRPr="00DF386B">
        <w:rPr>
          <w:rFonts w:ascii="Symbol" w:hAnsi="Symbol" w:cs="Symbol"/>
        </w:rPr>
        <w:t></w:t>
      </w:r>
      <w:r w:rsidRPr="00DF386B">
        <w:rPr>
          <w:rFonts w:ascii="Symbol" w:hAnsi="Symbol" w:cs="Symbol"/>
        </w:rPr>
        <w:tab/>
      </w:r>
      <w:r w:rsidRPr="00DF386B">
        <w:t xml:space="preserve">fundraising; </w:t>
      </w:r>
    </w:p>
    <w:p w:rsidR="00FE21C0" w:rsidRPr="00DF386B" w:rsidRDefault="00FE21C0" w:rsidP="00FE21C0">
      <w:pPr>
        <w:ind w:left="2268" w:hanging="562"/>
      </w:pPr>
      <w:r w:rsidRPr="00DF386B">
        <w:rPr>
          <w:rFonts w:ascii="Symbol" w:hAnsi="Symbol" w:cs="Symbol"/>
        </w:rPr>
        <w:t></w:t>
      </w:r>
      <w:r w:rsidRPr="00DF386B">
        <w:rPr>
          <w:rFonts w:ascii="Symbol" w:hAnsi="Symbol" w:cs="Symbol"/>
        </w:rPr>
        <w:tab/>
      </w:r>
      <w:r w:rsidRPr="00DF386B">
        <w:t>the securities industry; and</w:t>
      </w:r>
    </w:p>
    <w:p w:rsidR="00FE21C0" w:rsidRPr="00DF386B" w:rsidRDefault="00FE21C0" w:rsidP="00FE21C0">
      <w:pPr>
        <w:ind w:left="2268" w:hanging="562"/>
      </w:pPr>
      <w:r w:rsidRPr="00DF386B">
        <w:rPr>
          <w:rFonts w:ascii="Symbol" w:hAnsi="Symbol" w:cs="Symbol"/>
        </w:rPr>
        <w:t></w:t>
      </w:r>
      <w:r w:rsidRPr="00DF386B">
        <w:rPr>
          <w:rFonts w:ascii="Symbol" w:hAnsi="Symbol" w:cs="Symbol"/>
        </w:rPr>
        <w:tab/>
      </w:r>
      <w:r w:rsidRPr="00DF386B">
        <w:t>the futures industry; and</w:t>
      </w:r>
    </w:p>
    <w:p w:rsidR="00FE21C0" w:rsidRPr="00DF386B" w:rsidRDefault="00FE21C0" w:rsidP="00FE21C0">
      <w:pPr>
        <w:ind w:left="1701" w:hanging="567"/>
      </w:pPr>
      <w:r w:rsidRPr="00DF386B">
        <w:t>(b)</w:t>
      </w:r>
      <w:r w:rsidRPr="00DF386B">
        <w:tab/>
        <w:t>subject</w:t>
      </w:r>
      <w:r w:rsidR="00B97B09" w:rsidRPr="00DF386B">
        <w:noBreakHyphen/>
      </w:r>
      <w:r w:rsidRPr="00DF386B">
        <w:t>matters for which Chapter 9.10 of the Corporations Law as so in force made provision; and</w:t>
      </w:r>
    </w:p>
    <w:p w:rsidR="00FE21C0" w:rsidRPr="00DF386B" w:rsidRDefault="00FE21C0" w:rsidP="00FE21C0">
      <w:pPr>
        <w:ind w:left="1701" w:hanging="567"/>
      </w:pPr>
      <w:r w:rsidRPr="00DF386B">
        <w:t>(c)</w:t>
      </w:r>
      <w:r w:rsidRPr="00DF386B">
        <w:tab/>
        <w:t>subject</w:t>
      </w:r>
      <w:r w:rsidR="00B97B09" w:rsidRPr="00DF386B">
        <w:noBreakHyphen/>
      </w:r>
      <w:r w:rsidRPr="00DF386B">
        <w:t>matters for which the other provisions of Chapter 9 of the Corporations Law as so in force made provision, to the extent that those other provisions apply to the chapters referred to in paragraph (a) or the subject</w:t>
      </w:r>
      <w:r w:rsidR="00B97B09" w:rsidRPr="00DF386B">
        <w:noBreakHyphen/>
      </w:r>
      <w:r w:rsidRPr="00DF386B">
        <w:t>matters referred to in paragraph (f); and</w:t>
      </w:r>
    </w:p>
    <w:p w:rsidR="00FE21C0" w:rsidRPr="00DF386B" w:rsidRDefault="00FE21C0" w:rsidP="00FE21C0">
      <w:pPr>
        <w:ind w:left="1701" w:hanging="567"/>
      </w:pPr>
      <w:r w:rsidRPr="00DF386B">
        <w:t>(d)</w:t>
      </w:r>
      <w:r w:rsidRPr="00DF386B">
        <w:tab/>
        <w:t>subject</w:t>
      </w:r>
      <w:r w:rsidR="00B97B09" w:rsidRPr="00DF386B">
        <w:noBreakHyphen/>
      </w:r>
      <w:r w:rsidRPr="00DF386B">
        <w:t>matters for which Chapter 1 of the Corporations Law as so in force made provision, to the extent that Chapter 1 applies to the provisions referred to in paragraphs (a), (b), (c) and (f); and</w:t>
      </w:r>
    </w:p>
    <w:p w:rsidR="00FE21C0" w:rsidRPr="00DF386B" w:rsidRDefault="00FE21C0" w:rsidP="00FE21C0">
      <w:pPr>
        <w:ind w:left="1701" w:hanging="567"/>
      </w:pPr>
      <w:r w:rsidRPr="00DF386B">
        <w:t>(e)</w:t>
      </w:r>
      <w:r w:rsidRPr="00DF386B">
        <w:tab/>
        <w:t>subject</w:t>
      </w:r>
      <w:r w:rsidR="00B97B09" w:rsidRPr="00DF386B">
        <w:noBreakHyphen/>
      </w:r>
      <w:r w:rsidRPr="00DF386B">
        <w:t xml:space="preserve">matters for which the provisions (limited to those specified in subclause (3)) of the </w:t>
      </w:r>
      <w:r w:rsidRPr="00DF386B">
        <w:rPr>
          <w:i/>
          <w:iCs/>
        </w:rPr>
        <w:t>Australian Securities and Investments Commission Act 1989</w:t>
      </w:r>
      <w:r w:rsidRPr="00DF386B">
        <w:t xml:space="preserve"> of the Commonwealth as so in force made provision; and</w:t>
      </w:r>
    </w:p>
    <w:p w:rsidR="00FE21C0" w:rsidRPr="00DF386B" w:rsidRDefault="00FE21C0" w:rsidP="00FE21C0">
      <w:pPr>
        <w:ind w:left="1701" w:hanging="567"/>
      </w:pPr>
      <w:r w:rsidRPr="00DF386B">
        <w:t>(f)</w:t>
      </w:r>
      <w:r w:rsidRPr="00DF386B">
        <w:tab/>
        <w:t>to the extent not otherwise covered by this subclause, financial products and services, including general insurance and life insurance (but not State insurance within the meaning of paragraph 51(xiv) of the Constitution), superannuation, derivatives, retirement savings accounts, foreign exchange, means of payment and banking (but not State banking within the meaning of paragraph 51(xiii) of the Constitution); and</w:t>
      </w:r>
    </w:p>
    <w:p w:rsidR="00FE21C0" w:rsidRPr="00DF386B" w:rsidRDefault="00FE21C0" w:rsidP="00FE21C0">
      <w:pPr>
        <w:ind w:left="1701" w:hanging="567"/>
      </w:pPr>
      <w:r w:rsidRPr="00DF386B">
        <w:t>(g)</w:t>
      </w:r>
      <w:r w:rsidRPr="00DF386B">
        <w:tab/>
        <w:t>other subject</w:t>
      </w:r>
      <w:r w:rsidR="00B97B09" w:rsidRPr="00DF386B">
        <w:noBreakHyphen/>
      </w:r>
      <w:r w:rsidRPr="00DF386B">
        <w:t>matters agreed on unanimously by resolution of the Ministerial Council; and</w:t>
      </w:r>
    </w:p>
    <w:p w:rsidR="00FE21C0" w:rsidRPr="00DF386B" w:rsidRDefault="00FE21C0" w:rsidP="00FE21C0">
      <w:pPr>
        <w:ind w:left="1701" w:hanging="567"/>
      </w:pPr>
      <w:r w:rsidRPr="00DF386B">
        <w:t>(h)</w:t>
      </w:r>
      <w:r w:rsidRPr="00DF386B">
        <w:tab/>
        <w:t xml:space="preserve">a tax imposed under the </w:t>
      </w:r>
      <w:r w:rsidRPr="00DF386B">
        <w:rPr>
          <w:i/>
          <w:iCs/>
        </w:rPr>
        <w:t>Corporations (Futures Organisations Levies) Act 2001</w:t>
      </w:r>
      <w:r w:rsidRPr="00DF386B">
        <w:t xml:space="preserve">, </w:t>
      </w:r>
      <w:r w:rsidRPr="00DF386B">
        <w:rPr>
          <w:i/>
          <w:iCs/>
        </w:rPr>
        <w:t>Corporations (Securities Exchanges Levies) Act 2001</w:t>
      </w:r>
      <w:r w:rsidRPr="00DF386B">
        <w:t xml:space="preserve">, </w:t>
      </w:r>
      <w:r w:rsidRPr="00DF386B">
        <w:rPr>
          <w:i/>
          <w:iCs/>
        </w:rPr>
        <w:t>Corporations (National Guarantee Fund Levies) Act 2001</w:t>
      </w:r>
      <w:r w:rsidRPr="00DF386B">
        <w:t xml:space="preserve">, </w:t>
      </w:r>
      <w:r w:rsidRPr="00DF386B">
        <w:rPr>
          <w:i/>
          <w:iCs/>
        </w:rPr>
        <w:t>Corporations (Fees) Act 2001</w:t>
      </w:r>
      <w:r w:rsidRPr="00DF386B">
        <w:t>; and</w:t>
      </w:r>
    </w:p>
    <w:p w:rsidR="00FE21C0" w:rsidRPr="00DF386B" w:rsidRDefault="00FE21C0" w:rsidP="00FE21C0">
      <w:pPr>
        <w:ind w:left="1701" w:hanging="567"/>
      </w:pPr>
      <w:r w:rsidRPr="00DF386B">
        <w:t>(i)</w:t>
      </w:r>
      <w:r w:rsidRPr="00DF386B">
        <w:tab/>
        <w:t>the preservation of the operation of a State or Territory law in accordance with subclause 515(1).</w:t>
      </w:r>
    </w:p>
    <w:p w:rsidR="00FE21C0" w:rsidRPr="00DF386B" w:rsidRDefault="00FE21C0" w:rsidP="00FE21C0">
      <w:pPr>
        <w:tabs>
          <w:tab w:val="left" w:pos="567"/>
        </w:tabs>
        <w:ind w:left="1124" w:hanging="1124"/>
      </w:pPr>
      <w:r w:rsidRPr="00DF386B">
        <w:lastRenderedPageBreak/>
        <w:tab/>
        <w:t>(2)</w:t>
      </w:r>
      <w:r w:rsidRPr="00DF386B">
        <w:tab/>
        <w:t>The approval of at least 3 State or Territory Ministers (of whom at least 2 must be State Ministers) is required for a Commonwealth Bill to amend the national law, or for a Commonwealth regulation under the national law, to the extent that the Bill or regulation deals with any other subject</w:t>
      </w:r>
      <w:r w:rsidR="00B97B09" w:rsidRPr="00DF386B">
        <w:noBreakHyphen/>
      </w:r>
      <w:r w:rsidRPr="00DF386B">
        <w:t xml:space="preserve">matter. </w:t>
      </w:r>
    </w:p>
    <w:p w:rsidR="00FE21C0" w:rsidRPr="00DF386B" w:rsidRDefault="00FE21C0" w:rsidP="00FE21C0">
      <w:pPr>
        <w:tabs>
          <w:tab w:val="left" w:pos="567"/>
        </w:tabs>
        <w:ind w:left="1124" w:hanging="1124"/>
      </w:pPr>
      <w:r w:rsidRPr="00DF386B">
        <w:tab/>
        <w:t>(3)</w:t>
      </w:r>
      <w:r w:rsidRPr="00DF386B">
        <w:tab/>
        <w:t>If approval is sought for amendments to a Bill which is currently before the Parliament, then State and Territory Ministers will use their best endeavours to vote within a time frame nominated by the Commonwealth.</w:t>
      </w:r>
    </w:p>
    <w:p w:rsidR="00FE21C0" w:rsidRPr="00DF386B" w:rsidRDefault="00FE21C0" w:rsidP="00FE21C0">
      <w:pPr>
        <w:tabs>
          <w:tab w:val="left" w:pos="567"/>
        </w:tabs>
        <w:ind w:left="1124" w:hanging="1124"/>
      </w:pPr>
      <w:r w:rsidRPr="00DF386B">
        <w:tab/>
        <w:t>(4)</w:t>
      </w:r>
      <w:r w:rsidRPr="00DF386B">
        <w:tab/>
        <w:t xml:space="preserve">For the purposes of subclause (1)(e), the following provisions of the </w:t>
      </w:r>
      <w:r w:rsidRPr="00DF386B">
        <w:rPr>
          <w:i/>
          <w:iCs/>
        </w:rPr>
        <w:t>Australian Securities and Investments Commission Act 1989</w:t>
      </w:r>
      <w:r w:rsidRPr="00DF386B">
        <w:t xml:space="preserve"> of the Commonwealth are specified:</w:t>
      </w:r>
    </w:p>
    <w:p w:rsidR="00FE21C0" w:rsidRPr="00DF386B" w:rsidRDefault="00FE21C0" w:rsidP="00FE21C0">
      <w:pPr>
        <w:ind w:left="1701" w:hanging="567"/>
      </w:pPr>
      <w:r w:rsidRPr="00DF386B">
        <w:t>(a)</w:t>
      </w:r>
      <w:r w:rsidRPr="00DF386B">
        <w:tab/>
        <w:t>The following provisions of Part 1 (Preliminary):</w:t>
      </w:r>
    </w:p>
    <w:p w:rsidR="00FE21C0" w:rsidRPr="00DF386B" w:rsidRDefault="00FE21C0" w:rsidP="00FE21C0">
      <w:pPr>
        <w:ind w:left="1701"/>
      </w:pPr>
      <w:r w:rsidRPr="00DF386B">
        <w:t>Section 4 (Extension to external Territories)</w:t>
      </w:r>
    </w:p>
    <w:p w:rsidR="00FE21C0" w:rsidRPr="00DF386B" w:rsidRDefault="00FE21C0" w:rsidP="00FE21C0">
      <w:pPr>
        <w:ind w:left="1701"/>
      </w:pPr>
      <w:r w:rsidRPr="00DF386B">
        <w:t>Section 6C (Presentation of papers to the Parliament)</w:t>
      </w:r>
    </w:p>
    <w:p w:rsidR="00FE21C0" w:rsidRPr="00DF386B" w:rsidRDefault="00FE21C0" w:rsidP="00FE21C0">
      <w:pPr>
        <w:ind w:left="1701"/>
      </w:pPr>
      <w:r w:rsidRPr="00DF386B">
        <w:t>Section 6D (Periodic reports).</w:t>
      </w:r>
    </w:p>
    <w:p w:rsidR="00FE21C0" w:rsidRPr="00DF386B" w:rsidRDefault="00FE21C0" w:rsidP="00FE21C0">
      <w:pPr>
        <w:ind w:left="1701" w:hanging="567"/>
      </w:pPr>
      <w:r w:rsidRPr="00DF386B">
        <w:t>(b)</w:t>
      </w:r>
      <w:r w:rsidRPr="00DF386B">
        <w:tab/>
        <w:t>Part 5 (The Commission’s Members).</w:t>
      </w:r>
    </w:p>
    <w:p w:rsidR="00FE21C0" w:rsidRPr="00DF386B" w:rsidRDefault="00FE21C0" w:rsidP="00FE21C0">
      <w:pPr>
        <w:ind w:left="1701" w:hanging="567"/>
      </w:pPr>
      <w:r w:rsidRPr="00DF386B">
        <w:t>(c)</w:t>
      </w:r>
      <w:r w:rsidRPr="00DF386B">
        <w:tab/>
        <w:t>Part 6 (The Commission’s Staff).</w:t>
      </w:r>
    </w:p>
    <w:p w:rsidR="00FE21C0" w:rsidRPr="00DF386B" w:rsidRDefault="00FE21C0" w:rsidP="00FE21C0">
      <w:pPr>
        <w:ind w:left="1701" w:hanging="567"/>
      </w:pPr>
      <w:r w:rsidRPr="00DF386B">
        <w:t>(d)</w:t>
      </w:r>
      <w:r w:rsidRPr="00DF386B">
        <w:tab/>
        <w:t>The following provisions of Part 7 (Preventing Conflicts of Interest and Misuse of Information):</w:t>
      </w:r>
    </w:p>
    <w:p w:rsidR="00FE21C0" w:rsidRPr="00DF386B" w:rsidRDefault="00FE21C0" w:rsidP="00FE21C0">
      <w:pPr>
        <w:ind w:left="1701"/>
      </w:pPr>
      <w:r w:rsidRPr="00DF386B">
        <w:t>Division 1 (Disclosure of interests).</w:t>
      </w:r>
    </w:p>
    <w:p w:rsidR="00FE21C0" w:rsidRPr="00DF386B" w:rsidRDefault="00FE21C0" w:rsidP="00FE21C0">
      <w:pPr>
        <w:ind w:left="1701" w:hanging="567"/>
      </w:pPr>
      <w:r w:rsidRPr="00DF386B">
        <w:t>(e)</w:t>
      </w:r>
      <w:r w:rsidRPr="00DF386B">
        <w:tab/>
        <w:t>Part 8 (Finance).</w:t>
      </w:r>
    </w:p>
    <w:p w:rsidR="00FE21C0" w:rsidRPr="00DF386B" w:rsidRDefault="00FE21C0" w:rsidP="00FE21C0">
      <w:pPr>
        <w:ind w:left="1701" w:hanging="567"/>
      </w:pPr>
      <w:r w:rsidRPr="00DF386B">
        <w:t>(f)</w:t>
      </w:r>
      <w:r w:rsidRPr="00DF386B">
        <w:tab/>
        <w:t>The following provisions of Part 9 (The Advisory Committee):</w:t>
      </w:r>
    </w:p>
    <w:p w:rsidR="00FE21C0" w:rsidRPr="00DF386B" w:rsidRDefault="00FE21C0" w:rsidP="00FE21C0">
      <w:pPr>
        <w:ind w:left="1701"/>
      </w:pPr>
      <w:r w:rsidRPr="00DF386B">
        <w:t>Sections 149–155 in Division 1 (General)</w:t>
      </w:r>
    </w:p>
    <w:p w:rsidR="00FE21C0" w:rsidRPr="00DF386B" w:rsidRDefault="00FE21C0" w:rsidP="00FE21C0">
      <w:pPr>
        <w:ind w:left="1701"/>
      </w:pPr>
      <w:r w:rsidRPr="00DF386B">
        <w:t>Division 2 (Staff and finance).</w:t>
      </w:r>
    </w:p>
    <w:p w:rsidR="00FE21C0" w:rsidRPr="00DF386B" w:rsidRDefault="00FE21C0" w:rsidP="00FE21C0">
      <w:pPr>
        <w:ind w:left="1701" w:hanging="567"/>
      </w:pPr>
      <w:r w:rsidRPr="00DF386B">
        <w:t>(g)</w:t>
      </w:r>
      <w:r w:rsidRPr="00DF386B">
        <w:tab/>
        <w:t>The following provisions of Part 10 (The Corporations and Securities Panel):</w:t>
      </w:r>
    </w:p>
    <w:p w:rsidR="00FE21C0" w:rsidRPr="00DF386B" w:rsidRDefault="00FE21C0" w:rsidP="00FE21C0">
      <w:pPr>
        <w:ind w:left="1701"/>
      </w:pPr>
      <w:r w:rsidRPr="00DF386B">
        <w:t>Sections 175–183 in Division 1 (General).</w:t>
      </w:r>
    </w:p>
    <w:p w:rsidR="00FE21C0" w:rsidRPr="00DF386B" w:rsidRDefault="00FE21C0" w:rsidP="00FE21C0">
      <w:pPr>
        <w:ind w:left="1701" w:hanging="567"/>
      </w:pPr>
      <w:r w:rsidRPr="00DF386B">
        <w:t>(h)</w:t>
      </w:r>
      <w:r w:rsidRPr="00DF386B">
        <w:tab/>
        <w:t>The following provisions of Part 11 (Companies Auditors and Liquidators Disciplinary Board):</w:t>
      </w:r>
    </w:p>
    <w:p w:rsidR="00FE21C0" w:rsidRPr="00DF386B" w:rsidRDefault="00FE21C0" w:rsidP="00FE21C0">
      <w:pPr>
        <w:ind w:left="1701"/>
      </w:pPr>
      <w:r w:rsidRPr="00DF386B">
        <w:t>Sections 205–214 in Division 1 (Constitution of Disciplinary Board).</w:t>
      </w:r>
    </w:p>
    <w:p w:rsidR="00FE21C0" w:rsidRPr="00DF386B" w:rsidRDefault="00FE21C0" w:rsidP="00FE21C0">
      <w:pPr>
        <w:ind w:left="1701" w:hanging="567"/>
      </w:pPr>
      <w:r w:rsidRPr="00DF386B">
        <w:t>(i)</w:t>
      </w:r>
      <w:r w:rsidRPr="00DF386B">
        <w:tab/>
        <w:t>The following provisions in Part 12 (Australian Accounting Standards Board):</w:t>
      </w:r>
    </w:p>
    <w:p w:rsidR="00FE21C0" w:rsidRPr="00DF386B" w:rsidRDefault="00FE21C0" w:rsidP="00FE21C0">
      <w:pPr>
        <w:ind w:left="1701"/>
      </w:pPr>
      <w:r w:rsidRPr="00DF386B">
        <w:t>Sections 227–234.</w:t>
      </w:r>
    </w:p>
    <w:p w:rsidR="00FE21C0" w:rsidRPr="00DF386B" w:rsidRDefault="00FE21C0" w:rsidP="00FE21C0">
      <w:pPr>
        <w:ind w:left="1701" w:hanging="567"/>
      </w:pPr>
      <w:r w:rsidRPr="00DF386B">
        <w:t>(j)</w:t>
      </w:r>
      <w:r w:rsidRPr="00DF386B">
        <w:tab/>
        <w:t>Part 14 (The Parliamentary Committee).</w:t>
      </w:r>
    </w:p>
    <w:p w:rsidR="00FE21C0" w:rsidRPr="00DF386B" w:rsidRDefault="00FE21C0" w:rsidP="00FE21C0">
      <w:pPr>
        <w:ind w:left="1701" w:hanging="567"/>
      </w:pPr>
      <w:r w:rsidRPr="00DF386B">
        <w:t>(k)</w:t>
      </w:r>
      <w:r w:rsidRPr="00DF386B">
        <w:tab/>
        <w:t>The following provision in Part 15 (Miscellaneous):</w:t>
      </w:r>
    </w:p>
    <w:p w:rsidR="00FE21C0" w:rsidRPr="00DF386B" w:rsidRDefault="00FE21C0" w:rsidP="00FE21C0">
      <w:pPr>
        <w:ind w:left="1701"/>
      </w:pPr>
      <w:r w:rsidRPr="00DF386B">
        <w:t>Section 243D (Financial Transaction Reports).</w:t>
      </w:r>
    </w:p>
    <w:p w:rsidR="00FE21C0" w:rsidRPr="00DF386B" w:rsidRDefault="00FE21C0" w:rsidP="00DF386B">
      <w:pPr>
        <w:pStyle w:val="Head4"/>
      </w:pPr>
      <w:bookmarkStart w:id="31" w:name="_Toc474929626"/>
      <w:r w:rsidRPr="00DF386B">
        <w:t>Further consideration of Commonwealth legislation that does not require approval</w:t>
      </w:r>
      <w:bookmarkEnd w:id="31"/>
    </w:p>
    <w:p w:rsidR="00FE21C0" w:rsidRPr="00DF386B" w:rsidRDefault="00FE21C0" w:rsidP="00FE21C0">
      <w:pPr>
        <w:keepNext/>
        <w:tabs>
          <w:tab w:val="left" w:pos="567"/>
        </w:tabs>
        <w:ind w:left="1124" w:hanging="1124"/>
      </w:pPr>
      <w:r w:rsidRPr="00DF386B">
        <w:t>508.</w:t>
      </w:r>
      <w:r w:rsidRPr="00DF386B">
        <w:tab/>
        <w:t>(1)</w:t>
      </w:r>
      <w:r w:rsidRPr="00DF386B">
        <w:tab/>
        <w:t>Where:</w:t>
      </w:r>
    </w:p>
    <w:p w:rsidR="00FE21C0" w:rsidRPr="00DF386B" w:rsidRDefault="00FE21C0" w:rsidP="00FE21C0">
      <w:pPr>
        <w:ind w:left="1701" w:hanging="572"/>
      </w:pPr>
      <w:r w:rsidRPr="00DF386B">
        <w:t>(a)</w:t>
      </w:r>
      <w:r w:rsidRPr="00DF386B">
        <w:tab/>
        <w:t>under clause 506, the Commonwealth consults the Council in relation to an express amendment of the national law that does not require the approval of the Council under clause 507; and</w:t>
      </w:r>
    </w:p>
    <w:p w:rsidR="00FE21C0" w:rsidRPr="00DF386B" w:rsidRDefault="00FE21C0" w:rsidP="00FE21C0">
      <w:pPr>
        <w:ind w:left="1701" w:hanging="572"/>
      </w:pPr>
      <w:r w:rsidRPr="00DF386B">
        <w:t>(b)</w:t>
      </w:r>
      <w:r w:rsidRPr="00DF386B">
        <w:tab/>
        <w:t>within 21 days of the Commonwealth consulting the Council, the Chairperson is advised by 4 or more State Ministers that they consider the amendment is for a purpose other than the formation of corporations, corporate regulation or the regulation of financial products or services;</w:t>
      </w:r>
    </w:p>
    <w:p w:rsidR="00FE21C0" w:rsidRPr="00DF386B" w:rsidRDefault="00FE21C0" w:rsidP="00FE21C0">
      <w:pPr>
        <w:ind w:left="1701" w:hanging="572"/>
      </w:pPr>
      <w:r w:rsidRPr="00DF386B">
        <w:t>the Chairperson must convene a meeting to consider the amendment.</w:t>
      </w:r>
    </w:p>
    <w:p w:rsidR="00FE21C0" w:rsidRPr="00DF386B" w:rsidRDefault="00FE21C0" w:rsidP="00FE21C0">
      <w:pPr>
        <w:tabs>
          <w:tab w:val="left" w:pos="567"/>
        </w:tabs>
        <w:ind w:left="1124" w:hanging="1124"/>
      </w:pPr>
      <w:r w:rsidRPr="00DF386B">
        <w:tab/>
        <w:t>(2)</w:t>
      </w:r>
      <w:r w:rsidRPr="00DF386B">
        <w:tab/>
        <w:t>The Commonwealth must not pursue an amendment in relation to which a meeting under subclause (1) is convened if, at the meeting, 4 or more State Ministers vote against the amendment.</w:t>
      </w:r>
    </w:p>
    <w:p w:rsidR="00FE21C0" w:rsidRPr="00DF386B" w:rsidRDefault="00FE21C0" w:rsidP="00DF386B">
      <w:pPr>
        <w:pStyle w:val="Head4"/>
      </w:pPr>
      <w:bookmarkStart w:id="32" w:name="_Toc474929627"/>
      <w:r w:rsidRPr="00DF386B">
        <w:t>Exposure of Commonwealth draft Bills</w:t>
      </w:r>
      <w:bookmarkEnd w:id="32"/>
    </w:p>
    <w:p w:rsidR="00FE21C0" w:rsidRPr="00DF386B" w:rsidRDefault="00FE21C0" w:rsidP="00FE21C0">
      <w:pPr>
        <w:tabs>
          <w:tab w:val="left" w:pos="567"/>
        </w:tabs>
        <w:ind w:left="1124" w:hanging="1124"/>
      </w:pPr>
      <w:r w:rsidRPr="00DF386B">
        <w:t>509.</w:t>
      </w:r>
      <w:r w:rsidRPr="00DF386B">
        <w:tab/>
        <w:t>(1)</w:t>
      </w:r>
      <w:r w:rsidRPr="00DF386B">
        <w:tab/>
        <w:t>All Commonwealth Bills referred to in clause 506(1) will be exposed for public comment for at least 3 months before introduction.</w:t>
      </w:r>
    </w:p>
    <w:p w:rsidR="00FE21C0" w:rsidRPr="00DF386B" w:rsidRDefault="00FE21C0" w:rsidP="00FE21C0">
      <w:pPr>
        <w:tabs>
          <w:tab w:val="left" w:pos="567"/>
        </w:tabs>
        <w:ind w:left="1124" w:hanging="1124"/>
      </w:pPr>
      <w:r w:rsidRPr="00DF386B">
        <w:tab/>
        <w:t>(2)</w:t>
      </w:r>
      <w:r w:rsidRPr="00DF386B">
        <w:tab/>
        <w:t xml:space="preserve">If the Bill is one referred to in clause 507(1), the Commonwealth may shorten or dispense with the period of exposure without the agreement of the Ministerial Council. In </w:t>
      </w:r>
      <w:r w:rsidRPr="00DF386B">
        <w:lastRenderedPageBreak/>
        <w:t>that event, the Commonwealth Minister will advise each other member of the Ministerial Council of the reasons for this action.</w:t>
      </w:r>
    </w:p>
    <w:p w:rsidR="00FE21C0" w:rsidRPr="00DF386B" w:rsidRDefault="00FE21C0" w:rsidP="00FE21C0">
      <w:pPr>
        <w:tabs>
          <w:tab w:val="left" w:pos="567"/>
        </w:tabs>
        <w:ind w:left="1124" w:hanging="1124"/>
      </w:pPr>
      <w:r w:rsidRPr="00DF386B">
        <w:tab/>
        <w:t>(3)</w:t>
      </w:r>
      <w:r w:rsidRPr="00DF386B">
        <w:tab/>
        <w:t xml:space="preserve">If the Bill is one referred to in clause 507(2), the Commonwealth may shorten or dispense with the period of exposure, but only with the approval of at least 3 State or Territory Ministers (of whom at least 2 must be State Ministers). </w:t>
      </w:r>
    </w:p>
    <w:p w:rsidR="00FE21C0" w:rsidRPr="00DF386B" w:rsidRDefault="00FE21C0" w:rsidP="00DF386B">
      <w:pPr>
        <w:pStyle w:val="Head4"/>
      </w:pPr>
      <w:bookmarkStart w:id="33" w:name="_Toc474929628"/>
      <w:r w:rsidRPr="00DF386B">
        <w:t>Introduction and passage of Commonwealth Bills</w:t>
      </w:r>
      <w:bookmarkEnd w:id="33"/>
    </w:p>
    <w:p w:rsidR="00FE21C0" w:rsidRPr="00DF386B" w:rsidRDefault="00FE21C0" w:rsidP="00FE21C0">
      <w:pPr>
        <w:tabs>
          <w:tab w:val="left" w:pos="567"/>
        </w:tabs>
        <w:ind w:left="1124" w:hanging="1124"/>
      </w:pPr>
      <w:r w:rsidRPr="00DF386B">
        <w:t>510.</w:t>
      </w:r>
      <w:r w:rsidRPr="00DF386B">
        <w:tab/>
        <w:t>(1)</w:t>
      </w:r>
      <w:r w:rsidRPr="00DF386B">
        <w:tab/>
        <w:t>When introducing into a House of the Commonwealth Parliament a Bill referred to in clause 506(1), a Minister of State for the Commonwealth will inform the House of the outcome of any consultation with the Ministerial Council and, in the case of matters requiring the approval of the Ministerial Council, the outcome of voting.</w:t>
      </w:r>
    </w:p>
    <w:p w:rsidR="00FE21C0" w:rsidRPr="00DF386B" w:rsidRDefault="00FE21C0" w:rsidP="00FE21C0">
      <w:pPr>
        <w:tabs>
          <w:tab w:val="left" w:pos="567"/>
        </w:tabs>
        <w:ind w:left="1124" w:hanging="1124"/>
      </w:pPr>
      <w:r w:rsidRPr="00DF386B">
        <w:tab/>
        <w:t>(2)</w:t>
      </w:r>
      <w:r w:rsidRPr="00DF386B">
        <w:tab/>
        <w:t xml:space="preserve">If amendments to such a Bill are or are to be moved in the Commonwealth Parliament (whether or not on behalf of the Government), the Commonwealth will use its best endeavours to ensure adequate consultation with and, if the subject matter would ordinarily be required to be considered under subclause 507(2), a vote by, the Ministerial Council on those amendments. </w:t>
      </w:r>
    </w:p>
    <w:p w:rsidR="00FE21C0" w:rsidRPr="00DF386B" w:rsidRDefault="00FE21C0" w:rsidP="00FE21C0">
      <w:pPr>
        <w:keepNext/>
        <w:tabs>
          <w:tab w:val="left" w:pos="567"/>
        </w:tabs>
        <w:ind w:left="1124" w:hanging="1124"/>
      </w:pPr>
      <w:r w:rsidRPr="00DF386B">
        <w:tab/>
        <w:t>(3)</w:t>
      </w:r>
      <w:r w:rsidRPr="00DF386B">
        <w:tab/>
        <w:t xml:space="preserve">In addition to the obligations undertaken in subclause 510(2), the Commonwealth will not move amendments to such a Bill and will oppose amendments to such a Bill which are moved by other parties if the amendments: </w:t>
      </w:r>
    </w:p>
    <w:p w:rsidR="00FE21C0" w:rsidRPr="00DF386B" w:rsidRDefault="00FE21C0" w:rsidP="00FE21C0">
      <w:pPr>
        <w:ind w:left="1701" w:hanging="572"/>
      </w:pPr>
      <w:r w:rsidRPr="00DF386B">
        <w:t>(a)</w:t>
      </w:r>
      <w:r w:rsidRPr="00DF386B">
        <w:tab/>
        <w:t xml:space="preserve">rely to any extent on the reference by the States referred to in paragraph 502(a); and </w:t>
      </w:r>
    </w:p>
    <w:p w:rsidR="00FE21C0" w:rsidRPr="00DF386B" w:rsidRDefault="00FE21C0" w:rsidP="00FE21C0">
      <w:pPr>
        <w:ind w:left="1701" w:hanging="572"/>
      </w:pPr>
      <w:r w:rsidRPr="00DF386B">
        <w:t>(b)</w:t>
      </w:r>
      <w:r w:rsidRPr="00DF386B">
        <w:tab/>
        <w:t>are other than for the purpose of the formation of corporations, corporate regulation and the regulation of financial products and services.</w:t>
      </w:r>
    </w:p>
    <w:p w:rsidR="00FE21C0" w:rsidRPr="00DF386B" w:rsidRDefault="00FE21C0" w:rsidP="00DF386B">
      <w:pPr>
        <w:pStyle w:val="Head4"/>
      </w:pPr>
      <w:bookmarkStart w:id="34" w:name="_Toc474929629"/>
      <w:r w:rsidRPr="00DF386B">
        <w:t>Exposure of Commonwealth draft regulations</w:t>
      </w:r>
      <w:bookmarkEnd w:id="34"/>
    </w:p>
    <w:p w:rsidR="00FE21C0" w:rsidRPr="00DF386B" w:rsidRDefault="00FE21C0" w:rsidP="00FE21C0">
      <w:pPr>
        <w:tabs>
          <w:tab w:val="left" w:pos="567"/>
        </w:tabs>
        <w:ind w:left="1124" w:hanging="1124"/>
      </w:pPr>
      <w:r w:rsidRPr="00DF386B">
        <w:t>511.</w:t>
      </w:r>
      <w:r w:rsidRPr="00DF386B">
        <w:tab/>
        <w:t>(1)</w:t>
      </w:r>
      <w:r w:rsidRPr="00DF386B">
        <w:tab/>
        <w:t>Except as provided by this clause, a Commonwealth regulation referred to in clause 506(1) is not required to be exposed for public comment before being made.</w:t>
      </w:r>
    </w:p>
    <w:p w:rsidR="00FE21C0" w:rsidRPr="00DF386B" w:rsidRDefault="00FE21C0" w:rsidP="00FE21C0">
      <w:pPr>
        <w:tabs>
          <w:tab w:val="left" w:pos="567"/>
        </w:tabs>
        <w:ind w:left="1124" w:hanging="1124"/>
      </w:pPr>
      <w:r w:rsidRPr="00DF386B">
        <w:tab/>
        <w:t>(2)</w:t>
      </w:r>
      <w:r w:rsidRPr="00DF386B">
        <w:tab/>
        <w:t>If the regulation is one referred to in clause 507(1), or is one referred to in clause 507(2) and relates exclusively to the imposition or alteration of fees or taxes, the Commonwealth may expose the regulation for public comment for any period it considers appropriate or may decide not to expose it for public comment at all. The Commonwealth Minister will advise each other member of the Ministerial Council whether or not it is to be exposed. The advice will include either the reasons for deciding not to expose it, or a statement of the period of exposure and the reasons for choosing the period of exposure.</w:t>
      </w:r>
    </w:p>
    <w:p w:rsidR="00FE21C0" w:rsidRPr="00DF386B" w:rsidRDefault="00FE21C0" w:rsidP="00FE21C0">
      <w:pPr>
        <w:tabs>
          <w:tab w:val="left" w:pos="567"/>
        </w:tabs>
        <w:ind w:left="1124" w:hanging="1124"/>
      </w:pPr>
      <w:r w:rsidRPr="00DF386B">
        <w:tab/>
        <w:t>(3)</w:t>
      </w:r>
      <w:r w:rsidRPr="00DF386B">
        <w:tab/>
        <w:t>The Commonwealth Minister will consult the Ministerial Council as to whether a regulation referred to in clause 507 (2) should be exposed for public comment. This subclause does not apply to a regulation that relates exclusively to the imposition or alteration of fees or taxes.</w:t>
      </w:r>
    </w:p>
    <w:p w:rsidR="00FE21C0" w:rsidRPr="00DF386B" w:rsidRDefault="00FE21C0" w:rsidP="00FE21C0">
      <w:pPr>
        <w:tabs>
          <w:tab w:val="left" w:pos="567"/>
        </w:tabs>
        <w:ind w:left="1124" w:hanging="1124"/>
      </w:pPr>
      <w:r w:rsidRPr="00DF386B">
        <w:tab/>
        <w:t>(4)</w:t>
      </w:r>
      <w:r w:rsidRPr="00DF386B">
        <w:tab/>
        <w:t xml:space="preserve">If the regulation is one to which subclause (3) applies and the Ministerial Council resolves that the regulation should be exposed for public comment, the regulations will be exposed for public comment for at least one month or a shorter or longer period not exceeding 3 months approved by the Commonwealth Minister and at least 3 State or Territory Ministers (of whom at least 2 must be State Ministers). </w:t>
      </w:r>
    </w:p>
    <w:p w:rsidR="00FE21C0" w:rsidRPr="00DF386B" w:rsidRDefault="00FE21C0" w:rsidP="00DF386B">
      <w:pPr>
        <w:pStyle w:val="Head4"/>
      </w:pPr>
      <w:bookmarkStart w:id="35" w:name="_Toc474929630"/>
      <w:r w:rsidRPr="00DF386B">
        <w:t>Concurrent State and Territory legislation</w:t>
      </w:r>
      <w:bookmarkEnd w:id="35"/>
    </w:p>
    <w:p w:rsidR="00FE21C0" w:rsidRPr="00DF386B" w:rsidRDefault="00FE21C0" w:rsidP="00FE21C0">
      <w:pPr>
        <w:tabs>
          <w:tab w:val="left" w:pos="567"/>
        </w:tabs>
        <w:ind w:left="1124" w:hanging="1124"/>
      </w:pPr>
      <w:r w:rsidRPr="00DF386B">
        <w:t>512.</w:t>
      </w:r>
      <w:r w:rsidRPr="00DF386B">
        <w:tab/>
        <w:t>(1)</w:t>
      </w:r>
      <w:r w:rsidRPr="00DF386B">
        <w:tab/>
        <w:t>The national law will provide that it does not exclude the operation of State and Territory legislation (whether enacted before or after the commencement of the national law) that is capable of operating concurrently with it.</w:t>
      </w:r>
    </w:p>
    <w:p w:rsidR="00FE21C0" w:rsidRPr="00DF386B" w:rsidRDefault="00FE21C0" w:rsidP="00FE21C0">
      <w:pPr>
        <w:tabs>
          <w:tab w:val="left" w:pos="567"/>
        </w:tabs>
        <w:ind w:left="1124" w:hanging="1124"/>
      </w:pPr>
      <w:r w:rsidRPr="00DF386B">
        <w:tab/>
        <w:t>(2)</w:t>
      </w:r>
      <w:r w:rsidRPr="00DF386B">
        <w:tab/>
        <w:t>Nothing in this Part is intended to impose obligations in relation to such State or Territory legislation.</w:t>
      </w:r>
    </w:p>
    <w:p w:rsidR="00FE21C0" w:rsidRPr="00DF386B" w:rsidRDefault="00FE21C0" w:rsidP="00DF386B">
      <w:pPr>
        <w:pStyle w:val="Head4"/>
      </w:pPr>
      <w:bookmarkStart w:id="36" w:name="_Toc474929631"/>
      <w:r w:rsidRPr="00DF386B">
        <w:lastRenderedPageBreak/>
        <w:t>Operation of existing inconsistent State and Territory legislation</w:t>
      </w:r>
      <w:bookmarkEnd w:id="36"/>
    </w:p>
    <w:p w:rsidR="00FE21C0" w:rsidRPr="00DF386B" w:rsidRDefault="00FE21C0" w:rsidP="00FE21C0">
      <w:pPr>
        <w:keepNext/>
        <w:tabs>
          <w:tab w:val="left" w:pos="567"/>
        </w:tabs>
        <w:ind w:left="1124" w:hanging="1124"/>
      </w:pPr>
      <w:r w:rsidRPr="00DF386B">
        <w:t>513.</w:t>
      </w:r>
      <w:r w:rsidRPr="00DF386B">
        <w:tab/>
        <w:t>(1)</w:t>
      </w:r>
      <w:r w:rsidRPr="00DF386B">
        <w:tab/>
        <w:t>Subject to this clause, the national law will provide for the continued operation of State and Territory legislation that is in force immediately before the commencement of the national law that:</w:t>
      </w:r>
    </w:p>
    <w:p w:rsidR="00FE21C0" w:rsidRPr="00DF386B" w:rsidRDefault="00FE21C0" w:rsidP="00FE21C0">
      <w:pPr>
        <w:ind w:left="1701" w:hanging="562"/>
      </w:pPr>
      <w:r w:rsidRPr="00DF386B">
        <w:t>(a)</w:t>
      </w:r>
      <w:r w:rsidRPr="00DF386B">
        <w:tab/>
        <w:t>would otherwise be inconsistent with the national law; and</w:t>
      </w:r>
    </w:p>
    <w:p w:rsidR="00FE21C0" w:rsidRPr="00DF386B" w:rsidRDefault="00FE21C0" w:rsidP="00FE21C0">
      <w:pPr>
        <w:ind w:left="1701" w:hanging="562"/>
      </w:pPr>
      <w:r w:rsidRPr="00DF386B">
        <w:t>(b)</w:t>
      </w:r>
      <w:r w:rsidRPr="00DF386B">
        <w:tab/>
        <w:t>has an operation that is not preserved by the provision referred to in clause 512; and</w:t>
      </w:r>
    </w:p>
    <w:p w:rsidR="00FE21C0" w:rsidRPr="00DF386B" w:rsidRDefault="00FE21C0" w:rsidP="00FE21C0">
      <w:pPr>
        <w:ind w:left="1701" w:hanging="562"/>
      </w:pPr>
      <w:r w:rsidRPr="00DF386B">
        <w:t>(c)</w:t>
      </w:r>
      <w:r w:rsidRPr="00DF386B">
        <w:tab/>
        <w:t>prevailed over the Corporations Law immediately before the commencement of the national law.</w:t>
      </w:r>
    </w:p>
    <w:p w:rsidR="00FE21C0" w:rsidRPr="00DF386B" w:rsidRDefault="00FE21C0" w:rsidP="00FE21C0">
      <w:pPr>
        <w:tabs>
          <w:tab w:val="left" w:pos="567"/>
        </w:tabs>
        <w:ind w:left="1124" w:hanging="1124"/>
      </w:pPr>
      <w:r w:rsidRPr="00DF386B">
        <w:tab/>
        <w:t>(2)</w:t>
      </w:r>
      <w:r w:rsidRPr="00DF386B">
        <w:tab/>
        <w:t>The national law will provide that the State and Territory laws whose operation is continued under the provisions referred to in subclause (1) do not operate to the extent:</w:t>
      </w:r>
    </w:p>
    <w:p w:rsidR="00FE21C0" w:rsidRPr="00DF386B" w:rsidRDefault="00FE21C0" w:rsidP="00FE21C0">
      <w:pPr>
        <w:ind w:left="1701" w:hanging="562"/>
      </w:pPr>
      <w:r w:rsidRPr="00DF386B">
        <w:t>(a)</w:t>
      </w:r>
      <w:r w:rsidRPr="00DF386B">
        <w:tab/>
        <w:t>prescribed by regulations under the national law; and</w:t>
      </w:r>
    </w:p>
    <w:p w:rsidR="00FE21C0" w:rsidRPr="00DF386B" w:rsidRDefault="00FE21C0" w:rsidP="00FE21C0">
      <w:pPr>
        <w:ind w:left="1701" w:hanging="562"/>
      </w:pPr>
      <w:r w:rsidRPr="00DF386B">
        <w:t>(b)</w:t>
      </w:r>
      <w:r w:rsidRPr="00DF386B">
        <w:tab/>
        <w:t>provided by the relevant legislation of the State or Territory concerned including a regulation made under such a law.</w:t>
      </w:r>
    </w:p>
    <w:p w:rsidR="00FE21C0" w:rsidRPr="00DF386B" w:rsidRDefault="00FE21C0" w:rsidP="00FE21C0">
      <w:pPr>
        <w:tabs>
          <w:tab w:val="left" w:pos="567"/>
        </w:tabs>
        <w:ind w:left="1124" w:hanging="1124"/>
      </w:pPr>
      <w:r w:rsidRPr="00DF386B">
        <w:tab/>
        <w:t>(3)</w:t>
      </w:r>
      <w:r w:rsidRPr="00DF386B">
        <w:tab/>
        <w:t>The Commonwealth must not make a regulation of the kind referred to in subclause (2) without the agreement of the State or Territory Minister concerned.</w:t>
      </w:r>
    </w:p>
    <w:p w:rsidR="00FE21C0" w:rsidRPr="00DF386B" w:rsidRDefault="00FE21C0" w:rsidP="00DF386B">
      <w:pPr>
        <w:pStyle w:val="Head4"/>
      </w:pPr>
      <w:bookmarkStart w:id="37" w:name="_Toc474929632"/>
      <w:r w:rsidRPr="00DF386B">
        <w:t>Operation of future inconsistent State and Territory legislation</w:t>
      </w:r>
      <w:bookmarkEnd w:id="37"/>
    </w:p>
    <w:p w:rsidR="00FE21C0" w:rsidRPr="00DF386B" w:rsidRDefault="00FE21C0" w:rsidP="00FE21C0">
      <w:pPr>
        <w:keepNext/>
        <w:tabs>
          <w:tab w:val="left" w:pos="567"/>
        </w:tabs>
        <w:ind w:left="1124" w:hanging="1124"/>
      </w:pPr>
      <w:r w:rsidRPr="00DF386B">
        <w:t>514.</w:t>
      </w:r>
      <w:r w:rsidRPr="00DF386B">
        <w:tab/>
        <w:t>(1)</w:t>
      </w:r>
      <w:r w:rsidRPr="00DF386B">
        <w:tab/>
        <w:t>The national law will provide for the operation of State and Territory legislation that commences after the commencement of the national law that:</w:t>
      </w:r>
    </w:p>
    <w:p w:rsidR="00FE21C0" w:rsidRPr="00DF386B" w:rsidRDefault="00FE21C0" w:rsidP="00FE21C0">
      <w:pPr>
        <w:ind w:left="1701" w:hanging="562"/>
      </w:pPr>
      <w:r w:rsidRPr="00DF386B">
        <w:t>(a)</w:t>
      </w:r>
      <w:r w:rsidRPr="00DF386B">
        <w:tab/>
        <w:t>is inconsistent with the national law;</w:t>
      </w:r>
    </w:p>
    <w:p w:rsidR="00FE21C0" w:rsidRPr="00DF386B" w:rsidRDefault="00FE21C0" w:rsidP="00FE21C0">
      <w:pPr>
        <w:ind w:left="1701" w:hanging="562"/>
      </w:pPr>
      <w:r w:rsidRPr="00DF386B">
        <w:t>(b)</w:t>
      </w:r>
      <w:r w:rsidRPr="00DF386B">
        <w:tab/>
        <w:t>has an operation that is not enabled by the provision referred to in clause 512; and</w:t>
      </w:r>
    </w:p>
    <w:p w:rsidR="00FE21C0" w:rsidRPr="00DF386B" w:rsidRDefault="00FE21C0" w:rsidP="00FE21C0">
      <w:pPr>
        <w:ind w:left="1701" w:hanging="562"/>
      </w:pPr>
      <w:r w:rsidRPr="00DF386B">
        <w:t>(c)</w:t>
      </w:r>
      <w:r w:rsidRPr="00DF386B">
        <w:tab/>
        <w:t>the State or Territory legislation expressly indicates that it is inconsistent legislation in accordance with the provisions of the national law.</w:t>
      </w:r>
    </w:p>
    <w:p w:rsidR="00FE21C0" w:rsidRPr="00DF386B" w:rsidRDefault="00FE21C0" w:rsidP="00FE21C0">
      <w:pPr>
        <w:keepNext/>
      </w:pPr>
      <w:r w:rsidRPr="00DF386B">
        <w:tab/>
        <w:t>(2)</w:t>
      </w:r>
      <w:r w:rsidRPr="00DF386B">
        <w:tab/>
        <w:t>Subclause (3) applies to:</w:t>
      </w:r>
    </w:p>
    <w:p w:rsidR="00FE21C0" w:rsidRPr="00DF386B" w:rsidRDefault="00FE21C0" w:rsidP="00FE21C0">
      <w:pPr>
        <w:ind w:left="1701" w:hanging="562"/>
      </w:pPr>
      <w:r w:rsidRPr="00DF386B">
        <w:t>(a)</w:t>
      </w:r>
      <w:r w:rsidRPr="00DF386B">
        <w:tab/>
        <w:t xml:space="preserve">proposals for State and Territory legislation which is of a kind referred to in subclause (1); and </w:t>
      </w:r>
    </w:p>
    <w:p w:rsidR="00FE21C0" w:rsidRPr="00DF386B" w:rsidRDefault="00FE21C0" w:rsidP="00FE21C0">
      <w:pPr>
        <w:ind w:left="1701" w:hanging="562"/>
      </w:pPr>
      <w:r w:rsidRPr="00DF386B">
        <w:t>(b)</w:t>
      </w:r>
      <w:r w:rsidRPr="00DF386B">
        <w:tab/>
        <w:t>State or Territory legislative proposals which rely on a State or Territory legislative declaration that the matter is an excluded matter in relation to the whole or specified provisions of the national law;</w:t>
      </w:r>
    </w:p>
    <w:p w:rsidR="00FE21C0" w:rsidRPr="00DF386B" w:rsidRDefault="00FE21C0" w:rsidP="00FE21C0">
      <w:pPr>
        <w:keepNext/>
        <w:ind w:left="1134"/>
      </w:pPr>
      <w:r w:rsidRPr="00DF386B">
        <w:t>and which would significantly alter the effect or operation of the national law having regard to the operation of provisions to preserve the operation of State and Territory laws unless:</w:t>
      </w:r>
    </w:p>
    <w:p w:rsidR="00FE21C0" w:rsidRPr="00DF386B" w:rsidRDefault="00FE21C0" w:rsidP="00FE21C0">
      <w:pPr>
        <w:ind w:left="1701" w:hanging="562"/>
      </w:pPr>
      <w:r w:rsidRPr="00DF386B">
        <w:t>(c)</w:t>
      </w:r>
      <w:r w:rsidRPr="00DF386B">
        <w:tab/>
        <w:t>the provisions are of specially limited application (such as transitional provisions relating to the corporatisation or privatisation of a government owned enterprise or entity); or</w:t>
      </w:r>
    </w:p>
    <w:p w:rsidR="00FE21C0" w:rsidRPr="00DF386B" w:rsidRDefault="00FE21C0" w:rsidP="00FE21C0">
      <w:pPr>
        <w:ind w:left="1701" w:hanging="562"/>
      </w:pPr>
      <w:r w:rsidRPr="00DF386B">
        <w:t>(d)</w:t>
      </w:r>
      <w:r w:rsidRPr="00DF386B">
        <w:tab/>
        <w:t>without limiting paragraph (2)(c), the provisions are provisions of State or Territory legislation for the temporary administration of a corporation authorised by the State or Territory to provide electricity, gas, water, drainage, sewerage, railways, pipeline or other essential services.</w:t>
      </w:r>
    </w:p>
    <w:p w:rsidR="00FE21C0" w:rsidRPr="00DF386B" w:rsidRDefault="00FE21C0" w:rsidP="00FE21C0">
      <w:pPr>
        <w:tabs>
          <w:tab w:val="left" w:pos="567"/>
        </w:tabs>
        <w:ind w:left="1124" w:hanging="1124"/>
      </w:pPr>
      <w:r w:rsidRPr="00DF386B">
        <w:tab/>
        <w:t>(3)</w:t>
      </w:r>
      <w:r w:rsidRPr="00DF386B">
        <w:tab/>
        <w:t>A State or Territory must not introduce a Bill or make a regulation which subclause (2) provides is subject to this subclause unless:</w:t>
      </w:r>
    </w:p>
    <w:p w:rsidR="00FE21C0" w:rsidRPr="00DF386B" w:rsidRDefault="00FE21C0" w:rsidP="00FE21C0">
      <w:pPr>
        <w:ind w:left="1701" w:hanging="562"/>
      </w:pPr>
      <w:r w:rsidRPr="00DF386B">
        <w:t>(a)</w:t>
      </w:r>
      <w:r w:rsidRPr="00DF386B">
        <w:tab/>
        <w:t>the relevant State or Territory gives the Council reasonable notice of the inconsistent provisions; and</w:t>
      </w:r>
    </w:p>
    <w:p w:rsidR="00FE21C0" w:rsidRPr="00DF386B" w:rsidRDefault="00FE21C0" w:rsidP="00FE21C0">
      <w:pPr>
        <w:ind w:left="1701" w:hanging="562"/>
      </w:pPr>
      <w:r w:rsidRPr="00DF386B">
        <w:t>(b)</w:t>
      </w:r>
      <w:r w:rsidRPr="00DF386B">
        <w:tab/>
        <w:t>the Council has approved the enactment or making of the inconsistent provisions in accordance with clause 410.</w:t>
      </w:r>
    </w:p>
    <w:p w:rsidR="00FE21C0" w:rsidRPr="00DF386B" w:rsidRDefault="00FE21C0" w:rsidP="00FE21C0">
      <w:pPr>
        <w:tabs>
          <w:tab w:val="left" w:pos="567"/>
        </w:tabs>
        <w:ind w:left="1124" w:hanging="1124"/>
      </w:pPr>
      <w:r w:rsidRPr="00DF386B">
        <w:tab/>
        <w:t>(4)</w:t>
      </w:r>
      <w:r w:rsidRPr="00DF386B">
        <w:tab/>
        <w:t>A State or Territory must not introduce a Bill or make a regulation which is of the kind referred to in subclause (1) or paragraph (2)(b) but which is not subject to subclause (3) unless it has notified the Ministerial Council of the legislative proposal.</w:t>
      </w:r>
    </w:p>
    <w:p w:rsidR="00FE21C0" w:rsidRPr="00DF386B" w:rsidRDefault="00FE21C0" w:rsidP="00FE21C0">
      <w:pPr>
        <w:tabs>
          <w:tab w:val="left" w:pos="567"/>
        </w:tabs>
        <w:ind w:left="1124" w:hanging="1124"/>
      </w:pPr>
      <w:r w:rsidRPr="00DF386B">
        <w:tab/>
        <w:t>(5)</w:t>
      </w:r>
      <w:r w:rsidRPr="00DF386B">
        <w:tab/>
        <w:t xml:space="preserve">The notification required by subclause (4) should ordinarily occur at the earliest practicable time after the development of a legislative proposal and preferably before the introduction of the Bill concerned, or the submission of the subordinate legislation concerned to the Governor in Council (or other appropriate body), to maximise the </w:t>
      </w:r>
      <w:r w:rsidRPr="00DF386B">
        <w:lastRenderedPageBreak/>
        <w:t>opportunity for members of the Ministerial Council to comment on the proposed legislation.</w:t>
      </w:r>
    </w:p>
    <w:p w:rsidR="00FE21C0" w:rsidRPr="00DF386B" w:rsidRDefault="00FE21C0" w:rsidP="00FE21C0">
      <w:pPr>
        <w:keepNext/>
        <w:tabs>
          <w:tab w:val="left" w:pos="567"/>
        </w:tabs>
        <w:ind w:left="1124" w:hanging="1124"/>
      </w:pPr>
      <w:r w:rsidRPr="00DF386B">
        <w:tab/>
        <w:t>(6)</w:t>
      </w:r>
      <w:r w:rsidRPr="00DF386B">
        <w:tab/>
        <w:t>It is sufficient compliance with the notification provisions of subclause (4) if the State or Territory sends to the members of the Ministerial Council a document describing fully:</w:t>
      </w:r>
    </w:p>
    <w:p w:rsidR="00FE21C0" w:rsidRPr="00DF386B" w:rsidRDefault="00FE21C0" w:rsidP="00FE21C0">
      <w:pPr>
        <w:ind w:left="1701" w:hanging="562"/>
      </w:pPr>
      <w:r w:rsidRPr="00DF386B">
        <w:t>(a)</w:t>
      </w:r>
      <w:r w:rsidRPr="00DF386B">
        <w:tab/>
        <w:t>the relevant provisions of the proposed Bill or subordinate legislation; and</w:t>
      </w:r>
    </w:p>
    <w:p w:rsidR="00FE21C0" w:rsidRPr="00DF386B" w:rsidRDefault="00FE21C0" w:rsidP="00FE21C0">
      <w:pPr>
        <w:ind w:left="1701" w:hanging="562"/>
      </w:pPr>
      <w:r w:rsidRPr="00DF386B">
        <w:t>(b)</w:t>
      </w:r>
      <w:r w:rsidRPr="00DF386B">
        <w:tab/>
        <w:t>the manner in which each such provision would alter the effect, scope or operation of the national law.</w:t>
      </w:r>
    </w:p>
    <w:p w:rsidR="00FE21C0" w:rsidRPr="00DF386B" w:rsidRDefault="00FE21C0" w:rsidP="00FE21C0">
      <w:pPr>
        <w:ind w:left="1134"/>
      </w:pPr>
      <w:r w:rsidRPr="00DF386B">
        <w:t>The State or Territory will, at the earliest practicable time, provide a draft of any such provision to each member of the Council.</w:t>
      </w:r>
    </w:p>
    <w:p w:rsidR="00FE21C0" w:rsidRPr="00DF386B" w:rsidRDefault="00FE21C0" w:rsidP="00FE21C0">
      <w:pPr>
        <w:tabs>
          <w:tab w:val="left" w:pos="567"/>
        </w:tabs>
        <w:ind w:left="1124" w:hanging="1124"/>
      </w:pPr>
      <w:r w:rsidRPr="00DF386B">
        <w:tab/>
        <w:t>(7)</w:t>
      </w:r>
      <w:r w:rsidRPr="00DF386B">
        <w:tab/>
        <w:t>If, because of exceptional and unavoidable considerations of government, the requirements of subclauses (3) or (4) cannot be undertaken before the introduction of the Bill concerned or the submission of the subordinate legislation concerned, the State or Territory will, at the earliest practicable time (and, in the case of a Bill, preferably before passage of the Bill), provide copies of the Bill or subordinate legislation to members of the Ministerial Council and indicate the extent to which comments made by them may be able to be taken into account.</w:t>
      </w:r>
    </w:p>
    <w:p w:rsidR="00FE21C0" w:rsidRPr="00DF386B" w:rsidRDefault="00FE21C0" w:rsidP="00FE21C0">
      <w:pPr>
        <w:tabs>
          <w:tab w:val="left" w:pos="567"/>
        </w:tabs>
        <w:ind w:left="1124" w:hanging="1124"/>
      </w:pPr>
      <w:r w:rsidRPr="00DF386B">
        <w:tab/>
        <w:t>(8)</w:t>
      </w:r>
      <w:r w:rsidRPr="00DF386B">
        <w:tab/>
        <w:t>If amendments to a Bill are or are to be moved in the State or Territory Parliament (whether or not on behalf of the Government) and those amendments would require approval under subclause (3) or notification under subclause (4), the State or Territory will use its best endeavours to notify the Ministerial Council of those amendments at the earliest practicable time.</w:t>
      </w:r>
    </w:p>
    <w:p w:rsidR="00FE21C0" w:rsidRPr="00DF386B" w:rsidRDefault="00FE21C0" w:rsidP="00FE21C0">
      <w:pPr>
        <w:tabs>
          <w:tab w:val="left" w:pos="567"/>
        </w:tabs>
        <w:ind w:left="1124" w:hanging="1124"/>
      </w:pPr>
      <w:r w:rsidRPr="00DF386B">
        <w:tab/>
        <w:t>(9)</w:t>
      </w:r>
      <w:r w:rsidRPr="00DF386B">
        <w:tab/>
        <w:t>Where State or Territory legislation which is preserved under the mechanism referred to in clause 513 is amended after the commencement of the national law in such a manner that the inconsistency is dealt with in substantially the same terms, then the requirements of subclauses (3) and (4) do not apply but the relevant State or Territory must notify other members of the Council about the amendments, preferably before their introduction or making.</w:t>
      </w:r>
    </w:p>
    <w:p w:rsidR="00FE21C0" w:rsidRPr="00DF386B" w:rsidRDefault="00FE21C0" w:rsidP="00DF386B">
      <w:pPr>
        <w:pStyle w:val="Head4"/>
      </w:pPr>
      <w:bookmarkStart w:id="38" w:name="_Toc474929633"/>
      <w:r w:rsidRPr="00DF386B">
        <w:t>Additional mechanism</w:t>
      </w:r>
      <w:bookmarkEnd w:id="38"/>
    </w:p>
    <w:p w:rsidR="00FE21C0" w:rsidRPr="00DF386B" w:rsidRDefault="00FE21C0" w:rsidP="00FE21C0">
      <w:pPr>
        <w:tabs>
          <w:tab w:val="left" w:pos="567"/>
        </w:tabs>
        <w:ind w:left="1124" w:hanging="1124"/>
      </w:pPr>
      <w:r w:rsidRPr="00DF386B">
        <w:t>515.</w:t>
      </w:r>
      <w:r w:rsidRPr="00DF386B">
        <w:tab/>
        <w:t>(1)</w:t>
      </w:r>
      <w:r w:rsidRPr="00DF386B">
        <w:tab/>
        <w:t>In addition to the mechanisms referred to in subclauses 513(1) and 514(1), the national law will provide for the making of regulations to allow the effective operation of specified State or Territory laws that may otherwise be incompatible with the national law or regulations under the national law.</w:t>
      </w:r>
    </w:p>
    <w:p w:rsidR="00FE21C0" w:rsidRPr="00DF386B" w:rsidRDefault="00FE21C0" w:rsidP="00FE21C0">
      <w:pPr>
        <w:tabs>
          <w:tab w:val="left" w:pos="567"/>
        </w:tabs>
        <w:ind w:left="1124" w:hanging="1124"/>
      </w:pPr>
      <w:r w:rsidRPr="00DF386B">
        <w:tab/>
        <w:t>(2)</w:t>
      </w:r>
      <w:r w:rsidRPr="00DF386B">
        <w:tab/>
        <w:t>If a State or Territory requests a regulation of the kind referred to in subclause (1), the Commonwealth must determine that request within 6 weeks of receipt unless a longer period is approved by the Ministerial Council. The Commonwealth must not refuse the request without reasonable cause.</w:t>
      </w:r>
    </w:p>
    <w:p w:rsidR="00FE21C0" w:rsidRPr="00DF386B" w:rsidRDefault="00FE21C0" w:rsidP="00FE21C0">
      <w:pPr>
        <w:tabs>
          <w:tab w:val="left" w:pos="567"/>
        </w:tabs>
        <w:ind w:left="1124" w:hanging="1124"/>
      </w:pPr>
      <w:r w:rsidRPr="00DF386B">
        <w:tab/>
        <w:t>(3)</w:t>
      </w:r>
      <w:r w:rsidRPr="00DF386B">
        <w:tab/>
        <w:t>The Commonwealth must expose for public comment any draft regulation made in accordance with this clause for a period of 4 weeks unless a different period is approved by the Ministerial Council.</w:t>
      </w:r>
    </w:p>
    <w:p w:rsidR="00FE21C0" w:rsidRPr="00DF386B" w:rsidRDefault="00FE21C0" w:rsidP="00FE21C0">
      <w:pPr>
        <w:tabs>
          <w:tab w:val="left" w:pos="567"/>
        </w:tabs>
        <w:ind w:left="1124" w:hanging="1124"/>
      </w:pPr>
      <w:r w:rsidRPr="00DF386B">
        <w:tab/>
        <w:t>(4)</w:t>
      </w:r>
      <w:r w:rsidRPr="00DF386B">
        <w:tab/>
        <w:t>The Commonwealth must use its best endeavours to ensure that a regulation to be made under this clause is made at the earliest reasonable opportunity.</w:t>
      </w:r>
    </w:p>
    <w:p w:rsidR="00FE21C0" w:rsidRPr="00DF386B" w:rsidRDefault="00FE21C0" w:rsidP="00DF386B">
      <w:pPr>
        <w:pStyle w:val="Head4"/>
      </w:pPr>
      <w:bookmarkStart w:id="39" w:name="_Toc474929634"/>
      <w:r w:rsidRPr="00DF386B">
        <w:t>Commonwealth to notify Ministerial Council of other legislation</w:t>
      </w:r>
      <w:bookmarkEnd w:id="39"/>
    </w:p>
    <w:p w:rsidR="00FE21C0" w:rsidRPr="00DF386B" w:rsidRDefault="00FE21C0" w:rsidP="00FE21C0">
      <w:pPr>
        <w:tabs>
          <w:tab w:val="left" w:pos="567"/>
        </w:tabs>
        <w:ind w:left="1124" w:hanging="1124"/>
      </w:pPr>
      <w:r w:rsidRPr="00DF386B">
        <w:t>516.</w:t>
      </w:r>
      <w:r w:rsidRPr="00DF386B">
        <w:tab/>
        <w:t>(1)</w:t>
      </w:r>
      <w:r w:rsidRPr="00DF386B">
        <w:tab/>
        <w:t>Subject to this clause, the Commonwealth will notify the Ministerial Council of all other legislative proposals for Commonwealth legislation (including Commonwealth legislation for the Capital Territory) that would alter the effect, scope or operation of the national law.</w:t>
      </w:r>
    </w:p>
    <w:p w:rsidR="00FE21C0" w:rsidRPr="00DF386B" w:rsidRDefault="00FE21C0" w:rsidP="00FE21C0">
      <w:pPr>
        <w:tabs>
          <w:tab w:val="left" w:pos="567"/>
        </w:tabs>
        <w:ind w:left="1124" w:hanging="1124"/>
      </w:pPr>
      <w:r w:rsidRPr="00DF386B">
        <w:tab/>
        <w:t>(2)</w:t>
      </w:r>
      <w:r w:rsidRPr="00DF386B">
        <w:tab/>
        <w:t>The notification required by subclause (1) should ordinarily occur at the earliest practicable time after the development of a legislative proposal and preferably before the introduction of the Bill concerned, or the submission of the subordinate legislation concerned to the Governor</w:t>
      </w:r>
      <w:r w:rsidR="00B97B09" w:rsidRPr="00DF386B">
        <w:noBreakHyphen/>
      </w:r>
      <w:r w:rsidRPr="00DF386B">
        <w:t>General in Council, to maximise the opportunity for members of the Ministerial Council to comment on the proposed legislation.</w:t>
      </w:r>
    </w:p>
    <w:p w:rsidR="00FE21C0" w:rsidRPr="00DF386B" w:rsidRDefault="00FE21C0" w:rsidP="00FE21C0">
      <w:pPr>
        <w:keepNext/>
        <w:tabs>
          <w:tab w:val="left" w:pos="567"/>
        </w:tabs>
        <w:ind w:left="1124" w:hanging="1124"/>
      </w:pPr>
      <w:r w:rsidRPr="00DF386B">
        <w:lastRenderedPageBreak/>
        <w:tab/>
        <w:t>(3)</w:t>
      </w:r>
      <w:r w:rsidRPr="00DF386B">
        <w:tab/>
        <w:t>It is sufficient compliance with the notification provisions of subclause (1) if the Commonwealth sends to the members of the Ministerial Council a document describing fully:</w:t>
      </w:r>
    </w:p>
    <w:p w:rsidR="00FE21C0" w:rsidRPr="00DF386B" w:rsidRDefault="00FE21C0" w:rsidP="00FE21C0">
      <w:pPr>
        <w:ind w:left="1701" w:hanging="567"/>
      </w:pPr>
      <w:r w:rsidRPr="00DF386B">
        <w:t>(a)</w:t>
      </w:r>
      <w:r w:rsidRPr="00DF386B">
        <w:tab/>
        <w:t>the relevant provisions of the proposed Bill or subordinate legislation; and</w:t>
      </w:r>
    </w:p>
    <w:p w:rsidR="00FE21C0" w:rsidRPr="00DF386B" w:rsidRDefault="00FE21C0" w:rsidP="00FE21C0">
      <w:pPr>
        <w:ind w:left="1701" w:hanging="567"/>
      </w:pPr>
      <w:r w:rsidRPr="00DF386B">
        <w:t>(b)</w:t>
      </w:r>
      <w:r w:rsidRPr="00DF386B">
        <w:tab/>
        <w:t>the manner in which each such provision would alter the effect, scope or operation of the national law.</w:t>
      </w:r>
    </w:p>
    <w:p w:rsidR="00FE21C0" w:rsidRPr="00DF386B" w:rsidRDefault="00FE21C0" w:rsidP="00FE21C0">
      <w:pPr>
        <w:ind w:left="1134"/>
      </w:pPr>
      <w:r w:rsidRPr="00DF386B">
        <w:t>The Commonwealth will, at the earliest practicable time, provide a draft of any such provision to each member of the Council.</w:t>
      </w:r>
    </w:p>
    <w:p w:rsidR="00FE21C0" w:rsidRPr="00DF386B" w:rsidRDefault="00FE21C0" w:rsidP="00FE21C0">
      <w:pPr>
        <w:tabs>
          <w:tab w:val="left" w:pos="567"/>
        </w:tabs>
        <w:ind w:left="1124" w:hanging="1124"/>
      </w:pPr>
      <w:r w:rsidRPr="00DF386B">
        <w:tab/>
        <w:t>(4)</w:t>
      </w:r>
      <w:r w:rsidRPr="00DF386B">
        <w:tab/>
        <w:t>If, because of exceptional and unavoidable considerations of government, the notification required by subclause (1) cannot be undertaken before the introduction of the Bill concerned or the submission of the subordinate legislation concerned, the Commonwealth will, at the earliest practicable time (and, in the case of a Bill, preferably before passage of the Bill), provide copies of the Bill or subordinate legislation to the members of the Ministerial Council and indicate the extent to which comments made by them may be able to be taken into account.</w:t>
      </w:r>
    </w:p>
    <w:p w:rsidR="00FE21C0" w:rsidRPr="00DF386B" w:rsidRDefault="00FE21C0" w:rsidP="00FE21C0">
      <w:pPr>
        <w:tabs>
          <w:tab w:val="left" w:pos="567"/>
        </w:tabs>
        <w:ind w:left="1124" w:hanging="1124"/>
      </w:pPr>
      <w:r w:rsidRPr="00DF386B">
        <w:tab/>
        <w:t>(5)</w:t>
      </w:r>
      <w:r w:rsidRPr="00DF386B">
        <w:tab/>
        <w:t>If amendments to a Bill are or are to be moved in the Commonwealth Parliament (whether or not on behalf of the Government) and those amendments would require to be notified under subclause (1) because they would alter the effect, scope or operation of the national law, the Commonwealth will use its best endeavours to notify the Ministerial Council of those amendments at the earliest practicable time.</w:t>
      </w:r>
    </w:p>
    <w:p w:rsidR="00FE21C0" w:rsidRPr="00DF386B" w:rsidRDefault="00FE21C0" w:rsidP="00FE21C0">
      <w:pPr>
        <w:tabs>
          <w:tab w:val="left" w:pos="567"/>
        </w:tabs>
        <w:ind w:left="1124" w:hanging="1124"/>
      </w:pPr>
      <w:r w:rsidRPr="00DF386B">
        <w:tab/>
        <w:t>(6)</w:t>
      </w:r>
      <w:r w:rsidRPr="00DF386B">
        <w:tab/>
        <w:t>The approval of the Ministerial Council is not required for any such legislative proposals or amendments.</w:t>
      </w:r>
    </w:p>
    <w:p w:rsidR="00FE21C0" w:rsidRPr="00DF386B" w:rsidRDefault="00FE21C0" w:rsidP="00DF386B">
      <w:pPr>
        <w:pStyle w:val="Head4"/>
      </w:pPr>
      <w:bookmarkStart w:id="40" w:name="_Toc474929635"/>
      <w:r w:rsidRPr="00DF386B">
        <w:t>Alterations to legislation</w:t>
      </w:r>
      <w:bookmarkEnd w:id="40"/>
    </w:p>
    <w:p w:rsidR="00FE21C0" w:rsidRPr="00DF386B" w:rsidRDefault="00FE21C0" w:rsidP="00FE21C0">
      <w:pPr>
        <w:tabs>
          <w:tab w:val="left" w:pos="567"/>
        </w:tabs>
        <w:ind w:left="1124" w:hanging="1124"/>
      </w:pPr>
      <w:r w:rsidRPr="00DF386B">
        <w:t>517.</w:t>
      </w:r>
      <w:r w:rsidRPr="00DF386B">
        <w:tab/>
        <w:t>(1)</w:t>
      </w:r>
      <w:r w:rsidRPr="00DF386B">
        <w:tab/>
        <w:t>The purpose of this clause is to make provision in regard to alterations made to a Commonwealth Bill or regulation referred to in clause 506 (1) before it is introduced or made.</w:t>
      </w:r>
    </w:p>
    <w:p w:rsidR="00FE21C0" w:rsidRPr="00DF386B" w:rsidRDefault="00FE21C0" w:rsidP="00FE21C0">
      <w:pPr>
        <w:tabs>
          <w:tab w:val="left" w:pos="567"/>
        </w:tabs>
        <w:ind w:left="1124" w:hanging="1124"/>
      </w:pPr>
      <w:r w:rsidRPr="00DF386B">
        <w:tab/>
        <w:t>(2)</w:t>
      </w:r>
      <w:r w:rsidRPr="00DF386B">
        <w:tab/>
        <w:t>A Commonwealth Bill or regulation requiring the approval of the Ministerial Council has to be approved in the form in which it is to be introduced or made.</w:t>
      </w:r>
    </w:p>
    <w:p w:rsidR="00FE21C0" w:rsidRPr="00DF386B" w:rsidRDefault="00FE21C0" w:rsidP="00FE21C0">
      <w:pPr>
        <w:tabs>
          <w:tab w:val="left" w:pos="567"/>
        </w:tabs>
        <w:ind w:left="1124" w:hanging="1124"/>
      </w:pPr>
      <w:r w:rsidRPr="00DF386B">
        <w:tab/>
        <w:t>(3)</w:t>
      </w:r>
      <w:r w:rsidRPr="00DF386B">
        <w:tab/>
        <w:t>However, the approval of the Ministerial Council to such a Bill or regulation may be given so as to permit the making of alterations of a drafting nature, or alterations of other kinds or for other purposes, as specified in the approval, without the need for further approval.</w:t>
      </w:r>
    </w:p>
    <w:p w:rsidR="00FE21C0" w:rsidRPr="00DF386B" w:rsidRDefault="00FE21C0" w:rsidP="00FE21C0">
      <w:pPr>
        <w:tabs>
          <w:tab w:val="left" w:pos="567"/>
        </w:tabs>
        <w:ind w:left="1124" w:hanging="1124"/>
      </w:pPr>
      <w:r w:rsidRPr="00DF386B">
        <w:tab/>
        <w:t>(4)</w:t>
      </w:r>
      <w:r w:rsidRPr="00DF386B">
        <w:tab/>
        <w:t>The exposure provisions of this Division do not apply again to a Commonwealth Bill or regulation merely because it has been altered. However, those provisions do apply again if the alteration amounts to the inclusion in the Bill or regulation of a substantially new subject</w:t>
      </w:r>
      <w:r w:rsidR="00B97B09" w:rsidRPr="00DF386B">
        <w:noBreakHyphen/>
      </w:r>
      <w:r w:rsidRPr="00DF386B">
        <w:t>matter.</w:t>
      </w:r>
    </w:p>
    <w:p w:rsidR="00FE21C0" w:rsidRPr="00DF386B" w:rsidRDefault="00FE21C0" w:rsidP="00FE21C0">
      <w:pPr>
        <w:tabs>
          <w:tab w:val="left" w:pos="567"/>
        </w:tabs>
        <w:ind w:left="1124" w:hanging="1124"/>
      </w:pPr>
      <w:r w:rsidRPr="00DF386B">
        <w:tab/>
        <w:t>(5)</w:t>
      </w:r>
      <w:r w:rsidRPr="00DF386B">
        <w:tab/>
        <w:t>The Commonwealth will provide to the members of the Ministerial Council a statement of and commentary on alterations made to a Commonwealth Bill or regulation after the Council was consulted about the Bill or regulation.</w:t>
      </w:r>
    </w:p>
    <w:p w:rsidR="00FE21C0" w:rsidRPr="00DF386B" w:rsidRDefault="00FE21C0" w:rsidP="00FE21C0">
      <w:pPr>
        <w:keepNext/>
        <w:tabs>
          <w:tab w:val="left" w:pos="567"/>
        </w:tabs>
        <w:ind w:left="1124" w:hanging="1124"/>
      </w:pPr>
      <w:r w:rsidRPr="00DF386B">
        <w:tab/>
        <w:t>(6)</w:t>
      </w:r>
      <w:r w:rsidRPr="00DF386B">
        <w:tab/>
        <w:t>The statement and commentary referred to in subclause (5) will be provided as follows:</w:t>
      </w:r>
    </w:p>
    <w:p w:rsidR="00FE21C0" w:rsidRPr="00DF386B" w:rsidRDefault="00FE21C0" w:rsidP="00FE21C0">
      <w:pPr>
        <w:ind w:left="1701" w:hanging="567"/>
      </w:pPr>
      <w:r w:rsidRPr="00DF386B">
        <w:t>(a)</w:t>
      </w:r>
      <w:r w:rsidRPr="00DF386B">
        <w:tab/>
        <w:t>If the Bill or regulation is one to which clause 507(1) applies, the statement and commentary will be provided not later than the day when the Bill or regulation is first introduced or made.</w:t>
      </w:r>
    </w:p>
    <w:p w:rsidR="00FE21C0" w:rsidRPr="00DF386B" w:rsidRDefault="00FE21C0" w:rsidP="00FE21C0">
      <w:pPr>
        <w:ind w:left="1701" w:hanging="567"/>
      </w:pPr>
      <w:r w:rsidRPr="00DF386B">
        <w:t>(b)</w:t>
      </w:r>
      <w:r w:rsidRPr="00DF386B">
        <w:tab/>
        <w:t>If the Bill or regulation is one to which clause 507(2) applies and the alterations all fall within subclause (3) of this clause, the statement and commentary will be provided not later than the day when the Bill or regulation is first introduced or made.</w:t>
      </w:r>
    </w:p>
    <w:p w:rsidR="00FE21C0" w:rsidRPr="00DF386B" w:rsidRDefault="00FE21C0" w:rsidP="00FE21C0">
      <w:pPr>
        <w:ind w:left="1701" w:hanging="567"/>
      </w:pPr>
      <w:r w:rsidRPr="00DF386B">
        <w:t>(c)</w:t>
      </w:r>
      <w:r w:rsidRPr="00DF386B">
        <w:tab/>
        <w:t>If the Bill or regulation is one to which clause 507(2) applies and the alterations do not all fall within subclause (3) of this clause, the statement and commentary will be provided when the Bill or regulation is submitted or re</w:t>
      </w:r>
      <w:r w:rsidR="00B97B09" w:rsidRPr="00DF386B">
        <w:noBreakHyphen/>
      </w:r>
      <w:r w:rsidRPr="00DF386B">
        <w:t>submitted for the approval of the Ministerial Council.</w:t>
      </w:r>
    </w:p>
    <w:p w:rsidR="00FE21C0" w:rsidRPr="00DF386B" w:rsidRDefault="00FE21C0" w:rsidP="00DF386B">
      <w:pPr>
        <w:pStyle w:val="Head4"/>
      </w:pPr>
      <w:bookmarkStart w:id="41" w:name="_Toc474929636"/>
      <w:r w:rsidRPr="00DF386B">
        <w:lastRenderedPageBreak/>
        <w:t>Exceptions</w:t>
      </w:r>
      <w:bookmarkEnd w:id="41"/>
    </w:p>
    <w:p w:rsidR="00FE21C0" w:rsidRPr="00DF386B" w:rsidRDefault="00FE21C0" w:rsidP="00FE21C0">
      <w:pPr>
        <w:tabs>
          <w:tab w:val="left" w:pos="567"/>
        </w:tabs>
        <w:ind w:left="1124" w:hanging="1124"/>
      </w:pPr>
      <w:r w:rsidRPr="00DF386B">
        <w:t>518.</w:t>
      </w:r>
      <w:r w:rsidRPr="00DF386B">
        <w:tab/>
        <w:t>(1)</w:t>
      </w:r>
      <w:r w:rsidRPr="00DF386B">
        <w:tab/>
        <w:t>This Part does not apply to the re</w:t>
      </w:r>
      <w:r w:rsidR="00B97B09" w:rsidRPr="00DF386B">
        <w:noBreakHyphen/>
      </w:r>
      <w:r w:rsidRPr="00DF386B">
        <w:t>enactment of Commonwealth legislation, so long as the matters are dealt with in substantially the same terms.</w:t>
      </w:r>
    </w:p>
    <w:p w:rsidR="00FE21C0" w:rsidRPr="00DF386B" w:rsidRDefault="00FE21C0" w:rsidP="00FE21C0">
      <w:pPr>
        <w:tabs>
          <w:tab w:val="left" w:pos="567"/>
        </w:tabs>
        <w:ind w:left="1124" w:hanging="1124"/>
      </w:pPr>
      <w:r w:rsidRPr="00DF386B">
        <w:tab/>
        <w:t>(2)</w:t>
      </w:r>
      <w:r w:rsidRPr="00DF386B">
        <w:tab/>
        <w:t>This Part does not apply to Commonwealth legislation that is, or is of a class, approved by a resolution of the Ministerial Council supported by the Commonwealth Minister.</w:t>
      </w:r>
    </w:p>
    <w:p w:rsidR="00FE21C0" w:rsidRPr="00DF386B" w:rsidRDefault="00FE21C0" w:rsidP="00DF386B">
      <w:pPr>
        <w:pStyle w:val="Head3"/>
      </w:pPr>
      <w:bookmarkStart w:id="42" w:name="_Toc474929637"/>
      <w:r w:rsidRPr="00DF386B">
        <w:t>Division 4–Miscellaneous</w:t>
      </w:r>
      <w:bookmarkEnd w:id="42"/>
    </w:p>
    <w:p w:rsidR="00FE21C0" w:rsidRPr="00DF386B" w:rsidRDefault="00FE21C0" w:rsidP="00DF386B">
      <w:pPr>
        <w:pStyle w:val="Head4"/>
      </w:pPr>
      <w:bookmarkStart w:id="43" w:name="_Toc474929638"/>
      <w:r w:rsidRPr="00DF386B">
        <w:t>Meaning of amendment</w:t>
      </w:r>
      <w:bookmarkEnd w:id="43"/>
    </w:p>
    <w:p w:rsidR="00FE21C0" w:rsidRPr="00DF386B" w:rsidRDefault="00FE21C0" w:rsidP="00FE21C0">
      <w:pPr>
        <w:keepNext/>
        <w:tabs>
          <w:tab w:val="left" w:pos="567"/>
        </w:tabs>
        <w:ind w:left="1124" w:hanging="1124"/>
      </w:pPr>
      <w:r w:rsidRPr="00DF386B">
        <w:t>523.</w:t>
      </w:r>
      <w:r w:rsidRPr="00DF386B">
        <w:tab/>
      </w:r>
      <w:r w:rsidRPr="00DF386B">
        <w:tab/>
        <w:t>Except as provided in clause 508, in this Part, “amend” the national law means:</w:t>
      </w:r>
    </w:p>
    <w:p w:rsidR="00FE21C0" w:rsidRPr="00DF386B" w:rsidRDefault="00FE21C0" w:rsidP="00FE21C0">
      <w:pPr>
        <w:ind w:left="1701" w:hanging="567"/>
      </w:pPr>
      <w:r w:rsidRPr="00DF386B">
        <w:t>(a)</w:t>
      </w:r>
      <w:r w:rsidRPr="00DF386B">
        <w:tab/>
        <w:t>directly amend the text of the national law by the insertion, omission or substitution of matter; or</w:t>
      </w:r>
    </w:p>
    <w:p w:rsidR="00FE21C0" w:rsidRPr="00DF386B" w:rsidRDefault="00FE21C0" w:rsidP="00F97F52">
      <w:pPr>
        <w:ind w:left="1701" w:hanging="567"/>
      </w:pPr>
      <w:r w:rsidRPr="00DF386B">
        <w:t>(b)</w:t>
      </w:r>
      <w:r w:rsidRPr="00DF386B">
        <w:tab/>
        <w:t>indirectly amend the national law by making provisions that would significantly alter its effect, scope or operation, unless the provisions are of specially limited application (such as transitional provisions relating to the corporatisation or privatisation of a government owned enterprise or entity).</w:t>
      </w:r>
    </w:p>
    <w:sectPr w:rsidR="00FE21C0" w:rsidRPr="00DF386B" w:rsidSect="00AC5B1A">
      <w:headerReference w:type="even" r:id="rId9"/>
      <w:headerReference w:type="default" r:id="rId10"/>
      <w:footerReference w:type="even" r:id="rId11"/>
      <w:footerReference w:type="default" r:id="rId12"/>
      <w:headerReference w:type="first" r:id="rId13"/>
      <w:footerReference w:type="first" r:id="rId14"/>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D84" w:rsidRDefault="00114D84" w:rsidP="00A34568">
      <w:pPr>
        <w:spacing w:line="240" w:lineRule="auto"/>
      </w:pPr>
      <w:r>
        <w:separator/>
      </w:r>
    </w:p>
  </w:endnote>
  <w:endnote w:type="continuationSeparator" w:id="0">
    <w:p w:rsidR="00114D84" w:rsidRDefault="00114D84"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D84" w:rsidRDefault="00114D84" w:rsidP="00AC5B1A">
    <w:pPr>
      <w:pStyle w:val="Footer"/>
      <w:tabs>
        <w:tab w:val="right" w:pos="8789"/>
      </w:tabs>
    </w:pPr>
    <w:r>
      <w:rPr>
        <w:noProof/>
        <w:sz w:val="20"/>
      </w:rPr>
      <mc:AlternateContent>
        <mc:Choice Requires="wps">
          <w:drawing>
            <wp:anchor distT="0" distB="0" distL="114300" distR="114300" simplePos="0" relativeHeight="251663360" behindDoc="1" locked="0" layoutInCell="1" allowOverlap="1" wp14:anchorId="0737C554" wp14:editId="0199E868">
              <wp:simplePos x="0" y="0"/>
              <wp:positionH relativeFrom="column">
                <wp:align>center</wp:align>
              </wp:positionH>
              <wp:positionV relativeFrom="page">
                <wp:posOffset>10223500</wp:posOffset>
              </wp:positionV>
              <wp:extent cx="4413885" cy="342265"/>
              <wp:effectExtent l="0" t="3175"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4D84" w:rsidRPr="00BB5ED9" w:rsidRDefault="00DF386B" w:rsidP="00BB5ED9">
                          <w:pPr>
                            <w:jc w:val="center"/>
                            <w:rPr>
                              <w:rFonts w:ascii="Arial" w:hAnsi="Arial" w:cs="Arial"/>
                              <w:b/>
                              <w:sz w:val="40"/>
                            </w:rPr>
                          </w:pPr>
                          <w:fldSimple w:instr=" DOCPROPERTY  Classification  \* MERGEFORMAT ">
                            <w:r w:rsidR="00114D84" w:rsidRPr="00BC41A1">
                              <w:rPr>
                                <w:rFonts w:ascii="Arial" w:hAnsi="Arial" w:cs="Arial"/>
                                <w:b/>
                                <w:sz w:val="40"/>
                              </w:rPr>
                              <w:t>UNCLASSIFIED</w:t>
                            </w:r>
                          </w:fldSimple>
                          <w:r w:rsidR="00114D84" w:rsidRPr="00BB5ED9">
                            <w:rPr>
                              <w:rFonts w:ascii="Arial" w:hAnsi="Arial" w:cs="Arial"/>
                              <w:b/>
                              <w:sz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0;margin-top:805pt;width:347.55pt;height:26.95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" stroked="f">
              <v:textbox>
                <w:txbxContent>
                  <w:p w:rsidR="00114D84" w:rsidRPr="00BB5ED9" w:rsidRDefault="00DF386B" w:rsidP="00BB5ED9">
                    <w:pPr>
                      <w:jc w:val="center"/>
                      <w:rPr>
                        <w:rFonts w:ascii="Arial" w:hAnsi="Arial" w:cs="Arial"/>
                        <w:b/>
                        <w:sz w:val="40"/>
                      </w:rPr>
                    </w:pPr>
                    <w:r>
                      <w:fldChar w:fldCharType="begin"/>
                    </w:r>
                    <w:r>
                      <w:instrText xml:space="preserve"> DOCPROPERTY  Clas</w:instrText>
                    </w:r>
                    <w:r>
                      <w:instrText xml:space="preserve">sification  \* MERGEFORMAT </w:instrText>
                    </w:r>
                    <w:r>
                      <w:fldChar w:fldCharType="separate"/>
                    </w:r>
                    <w:r w:rsidR="00114D84" w:rsidRPr="00BC41A1">
                      <w:rPr>
                        <w:rFonts w:ascii="Arial" w:hAnsi="Arial" w:cs="Arial"/>
                        <w:b/>
                        <w:sz w:val="40"/>
                      </w:rPr>
                      <w:t>UNCLASSIFIED</w:t>
                    </w:r>
                    <w:r>
                      <w:rPr>
                        <w:rFonts w:ascii="Arial" w:hAnsi="Arial" w:cs="Arial"/>
                        <w:b/>
                        <w:sz w:val="40"/>
                      </w:rPr>
                      <w:fldChar w:fldCharType="end"/>
                    </w:r>
                    <w:r w:rsidR="00114D84" w:rsidRPr="00BB5ED9">
                      <w:rPr>
                        <w:rFonts w:ascii="Arial" w:hAnsi="Arial" w:cs="Arial"/>
                        <w:b/>
                        <w:sz w:val="40"/>
                      </w:rPr>
                      <w:t xml:space="preserve"> </w:t>
                    </w:r>
                  </w:p>
                </w:txbxContent>
              </v:textbox>
              <w10:wrap anchory="page"/>
            </v:shape>
          </w:pict>
        </mc:Fallback>
      </mc:AlternateContent>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5466F8">
      <w:rPr>
        <w:rStyle w:val="PageNumber"/>
        <w:noProof/>
        <w:sz w:val="20"/>
      </w:rPr>
      <w:t>8</w:t>
    </w:r>
    <w:r>
      <w:rPr>
        <w:rStyle w:val="PageNumber"/>
        <w:sz w:val="20"/>
      </w:rPr>
      <w:fldChar w:fldCharType="end"/>
    </w:r>
    <w:r>
      <w:rPr>
        <w:sz w:val="16"/>
      </w:rPr>
      <w:t xml:space="preserve"> </w:t>
    </w:r>
    <w:r>
      <w:rPr>
        <w:sz w:val="16"/>
      </w:rPr>
      <w:tab/>
      <w:t>[</w:t>
    </w:r>
    <w:r w:rsidR="005466F8">
      <w:rPr>
        <w:noProof/>
        <w:sz w:val="16"/>
      </w:rPr>
      <w:t>s06rd392.v27.docx</w:t>
    </w:r>
    <w:r>
      <w:rPr>
        <w:sz w:val="16"/>
      </w:rPr>
      <w:t>] [</w:t>
    </w:r>
    <w:r w:rsidR="005466F8">
      <w:rPr>
        <w:noProof/>
        <w:sz w:val="16"/>
      </w:rPr>
      <w:t>16 Feb 2017</w:t>
    </w:r>
    <w:r>
      <w:rPr>
        <w:sz w:val="16"/>
      </w:rPr>
      <w:t>] [</w:t>
    </w:r>
    <w:r w:rsidR="005466F8">
      <w:rPr>
        <w:noProof/>
        <w:sz w:val="16"/>
      </w:rPr>
      <w:t>10:01 AM</w:t>
    </w:r>
    <w:r>
      <w:rPr>
        <w:sz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D84" w:rsidRDefault="00114D84" w:rsidP="00AC5B1A">
    <w:pPr>
      <w:tabs>
        <w:tab w:val="right" w:pos="8931"/>
      </w:tabs>
      <w:rPr>
        <w:sz w:val="16"/>
      </w:rPr>
    </w:pPr>
    <w:r>
      <w:rPr>
        <w:noProof/>
        <w:sz w:val="16"/>
        <w:lang w:eastAsia="en-AU"/>
      </w:rPr>
      <mc:AlternateContent>
        <mc:Choice Requires="wps">
          <w:drawing>
            <wp:anchor distT="0" distB="0" distL="114300" distR="114300" simplePos="0" relativeHeight="251662336" behindDoc="1" locked="0" layoutInCell="1" allowOverlap="1" wp14:anchorId="480B4C0E" wp14:editId="74718542">
              <wp:simplePos x="0" y="0"/>
              <wp:positionH relativeFrom="column">
                <wp:align>center</wp:align>
              </wp:positionH>
              <wp:positionV relativeFrom="page">
                <wp:posOffset>10223500</wp:posOffset>
              </wp:positionV>
              <wp:extent cx="4413885" cy="342265"/>
              <wp:effectExtent l="0" t="3175"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4D84" w:rsidRPr="00BB5ED9" w:rsidRDefault="00DF386B" w:rsidP="00BB5ED9">
                          <w:pPr>
                            <w:jc w:val="center"/>
                            <w:rPr>
                              <w:rFonts w:ascii="Arial" w:hAnsi="Arial" w:cs="Arial"/>
                              <w:b/>
                              <w:sz w:val="40"/>
                            </w:rPr>
                          </w:pPr>
                          <w:fldSimple w:instr=" DOCPROPERTY  Classification  \* MERGEFORMAT ">
                            <w:r w:rsidR="00114D84" w:rsidRPr="00BC41A1">
                              <w:rPr>
                                <w:rFonts w:ascii="Arial" w:hAnsi="Arial" w:cs="Arial"/>
                                <w:b/>
                                <w:sz w:val="40"/>
                              </w:rPr>
                              <w:t>UNCLASSIFIED</w:t>
                            </w:r>
                          </w:fldSimple>
                          <w:r w:rsidR="00114D84" w:rsidRPr="00BB5ED9">
                            <w:rPr>
                              <w:rFonts w:ascii="Arial" w:hAnsi="Arial" w:cs="Arial"/>
                              <w:b/>
                              <w:sz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0;margin-top:805pt;width:347.55pt;height:26.9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" stroked="f">
              <v:textbox>
                <w:txbxContent>
                  <w:p w:rsidR="00114D84" w:rsidRPr="00BB5ED9" w:rsidRDefault="00DF386B" w:rsidP="00BB5ED9">
                    <w:pPr>
                      <w:jc w:val="center"/>
                      <w:rPr>
                        <w:rFonts w:ascii="Arial" w:hAnsi="Arial" w:cs="Arial"/>
                        <w:b/>
                        <w:sz w:val="40"/>
                      </w:rPr>
                    </w:pPr>
                    <w:r>
                      <w:fldChar w:fldCharType="begin"/>
                    </w:r>
                    <w:r>
                      <w:instrText xml:space="preserve"> DOCPROPERTY  Classification  \* MERGEFORMAT </w:instrText>
                    </w:r>
                    <w:r>
                      <w:fldChar w:fldCharType="separate"/>
                    </w:r>
                    <w:r w:rsidR="00114D84" w:rsidRPr="00BC41A1">
                      <w:rPr>
                        <w:rFonts w:ascii="Arial" w:hAnsi="Arial" w:cs="Arial"/>
                        <w:b/>
                        <w:sz w:val="40"/>
                      </w:rPr>
                      <w:t>UNCLASSIFIED</w:t>
                    </w:r>
                    <w:r>
                      <w:rPr>
                        <w:rFonts w:ascii="Arial" w:hAnsi="Arial" w:cs="Arial"/>
                        <w:b/>
                        <w:sz w:val="40"/>
                      </w:rPr>
                      <w:fldChar w:fldCharType="end"/>
                    </w:r>
                    <w:r w:rsidR="00114D84" w:rsidRPr="00BB5ED9">
                      <w:rPr>
                        <w:rFonts w:ascii="Arial" w:hAnsi="Arial" w:cs="Arial"/>
                        <w:b/>
                        <w:sz w:val="40"/>
                      </w:rPr>
                      <w:t xml:space="preserve"> </w:t>
                    </w:r>
                  </w:p>
                </w:txbxContent>
              </v:textbox>
              <w10:wrap anchory="page"/>
            </v:shape>
          </w:pict>
        </mc:Fallback>
      </mc:AlternateContent>
    </w:r>
    <w:r>
      <w:rPr>
        <w:sz w:val="16"/>
      </w:rPr>
      <w:t>[</w:t>
    </w:r>
    <w:r w:rsidR="005466F8">
      <w:rPr>
        <w:noProof/>
        <w:sz w:val="16"/>
      </w:rPr>
      <w:t>s06rd392.v27.docx</w:t>
    </w:r>
    <w:r>
      <w:rPr>
        <w:sz w:val="16"/>
      </w:rPr>
      <w:t>] [</w:t>
    </w:r>
    <w:r w:rsidR="005466F8">
      <w:rPr>
        <w:noProof/>
        <w:sz w:val="16"/>
      </w:rPr>
      <w:t>16 Feb 2017</w:t>
    </w:r>
    <w:r>
      <w:rPr>
        <w:sz w:val="16"/>
      </w:rPr>
      <w:t>] [</w:t>
    </w:r>
    <w:r w:rsidR="005466F8">
      <w:rPr>
        <w:noProof/>
        <w:sz w:val="16"/>
      </w:rPr>
      <w:t>10:01 AM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5466F8">
      <w:rPr>
        <w:rStyle w:val="PageNumber"/>
        <w:noProof/>
        <w:sz w:val="20"/>
      </w:rPr>
      <w:t>7</w:t>
    </w:r>
    <w:r>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D84" w:rsidRDefault="00114D84" w:rsidP="00AC5B1A">
    <w:pPr>
      <w:tabs>
        <w:tab w:val="right" w:pos="8931"/>
      </w:tabs>
    </w:pPr>
    <w:r>
      <w:rPr>
        <w:noProof/>
        <w:sz w:val="16"/>
        <w:lang w:eastAsia="en-AU"/>
      </w:rPr>
      <mc:AlternateContent>
        <mc:Choice Requires="wps">
          <w:drawing>
            <wp:anchor distT="0" distB="0" distL="114300" distR="114300" simplePos="0" relativeHeight="251661312" behindDoc="1" locked="0" layoutInCell="1" allowOverlap="1" wp14:anchorId="50AED269" wp14:editId="5DCAD5CB">
              <wp:simplePos x="0" y="0"/>
              <wp:positionH relativeFrom="column">
                <wp:align>center</wp:align>
              </wp:positionH>
              <wp:positionV relativeFrom="page">
                <wp:posOffset>10223500</wp:posOffset>
              </wp:positionV>
              <wp:extent cx="4413885" cy="342265"/>
              <wp:effectExtent l="0" t="317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4D84" w:rsidRPr="00BB5ED9" w:rsidRDefault="00DF386B" w:rsidP="00BB5ED9">
                          <w:pPr>
                            <w:jc w:val="center"/>
                            <w:rPr>
                              <w:rFonts w:ascii="Arial" w:hAnsi="Arial" w:cs="Arial"/>
                              <w:b/>
                              <w:sz w:val="40"/>
                            </w:rPr>
                          </w:pPr>
                          <w:fldSimple w:instr=" DOCPROPERTY  Classification  \* MERGEFORMAT ">
                            <w:r w:rsidR="00114D84" w:rsidRPr="00BC41A1">
                              <w:rPr>
                                <w:rFonts w:ascii="Arial" w:hAnsi="Arial" w:cs="Arial"/>
                                <w:b/>
                                <w:sz w:val="40"/>
                              </w:rPr>
                              <w:t>UNCLASSIFIED</w:t>
                            </w:r>
                          </w:fldSimple>
                          <w:r w:rsidR="00114D84" w:rsidRPr="00BB5ED9">
                            <w:rPr>
                              <w:rFonts w:ascii="Arial" w:hAnsi="Arial" w:cs="Arial"/>
                              <w:b/>
                              <w:sz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margin-left:0;margin-top:805pt;width:347.55pt;height:26.9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" stroked="f">
              <v:textbox>
                <w:txbxContent>
                  <w:p w:rsidR="00114D84" w:rsidRPr="00BB5ED9" w:rsidRDefault="00DF386B" w:rsidP="00BB5ED9">
                    <w:pPr>
                      <w:jc w:val="center"/>
                      <w:rPr>
                        <w:rFonts w:ascii="Arial" w:hAnsi="Arial" w:cs="Arial"/>
                        <w:b/>
                        <w:sz w:val="40"/>
                      </w:rPr>
                    </w:pPr>
                    <w:r>
                      <w:fldChar w:fldCharType="begin"/>
                    </w:r>
                    <w:r>
                      <w:instrText xml:space="preserve"> DOCPROPERTY  Classification  \* MERGEFORMAT </w:instrText>
                    </w:r>
                    <w:r>
                      <w:fldChar w:fldCharType="separate"/>
                    </w:r>
                    <w:r w:rsidR="00114D84" w:rsidRPr="00BC41A1">
                      <w:rPr>
                        <w:rFonts w:ascii="Arial" w:hAnsi="Arial" w:cs="Arial"/>
                        <w:b/>
                        <w:sz w:val="40"/>
                      </w:rPr>
                      <w:t>UNCLASSIFIED</w:t>
                    </w:r>
                    <w:r>
                      <w:rPr>
                        <w:rFonts w:ascii="Arial" w:hAnsi="Arial" w:cs="Arial"/>
                        <w:b/>
                        <w:sz w:val="40"/>
                      </w:rPr>
                      <w:fldChar w:fldCharType="end"/>
                    </w:r>
                    <w:r w:rsidR="00114D84" w:rsidRPr="00BB5ED9">
                      <w:rPr>
                        <w:rFonts w:ascii="Arial" w:hAnsi="Arial" w:cs="Arial"/>
                        <w:b/>
                        <w:sz w:val="40"/>
                      </w:rPr>
                      <w:t xml:space="preserve"> </w:t>
                    </w:r>
                  </w:p>
                </w:txbxContent>
              </v:textbox>
              <w10:wrap anchory="page"/>
            </v:shape>
          </w:pict>
        </mc:Fallback>
      </mc:AlternateContent>
    </w:r>
    <w:r>
      <w:rPr>
        <w:sz w:val="16"/>
      </w:rPr>
      <w:t>[</w:t>
    </w:r>
    <w:r w:rsidR="005466F8">
      <w:rPr>
        <w:noProof/>
        <w:sz w:val="16"/>
      </w:rPr>
      <w:t>s06rd392.v27.docx</w:t>
    </w:r>
    <w:r>
      <w:rPr>
        <w:sz w:val="16"/>
      </w:rPr>
      <w:t>] [</w:t>
    </w:r>
    <w:r w:rsidR="005466F8">
      <w:rPr>
        <w:noProof/>
        <w:sz w:val="16"/>
      </w:rPr>
      <w:t>16 Feb 2017</w:t>
    </w:r>
    <w:r>
      <w:rPr>
        <w:sz w:val="16"/>
      </w:rPr>
      <w:t>] [</w:t>
    </w:r>
    <w:r w:rsidR="005466F8">
      <w:rPr>
        <w:noProof/>
        <w:sz w:val="16"/>
      </w:rPr>
      <w:t>10:01 AM</w:t>
    </w:r>
    <w:r>
      <w:rPr>
        <w:sz w:val="16"/>
      </w:rPr>
      <w:t>]</w:t>
    </w: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5466F8">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D84" w:rsidRDefault="00114D84" w:rsidP="00A34568">
      <w:pPr>
        <w:spacing w:line="240" w:lineRule="auto"/>
      </w:pPr>
      <w:r>
        <w:separator/>
      </w:r>
    </w:p>
  </w:footnote>
  <w:footnote w:type="continuationSeparator" w:id="0">
    <w:p w:rsidR="00114D84" w:rsidRDefault="00114D84" w:rsidP="00A345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D84" w:rsidRDefault="00114D84" w:rsidP="00AC5B1A">
    <w:pPr>
      <w:pStyle w:val="Header"/>
    </w:pPr>
    <w:r>
      <w:rPr>
        <w:noProof/>
      </w:rPr>
      <mc:AlternateContent>
        <mc:Choice Requires="wps">
          <w:drawing>
            <wp:anchor distT="0" distB="0" distL="114300" distR="114300" simplePos="0" relativeHeight="251660288" behindDoc="1" locked="0" layoutInCell="1" allowOverlap="1" wp14:anchorId="1B31AEB2" wp14:editId="5C07B2FC">
              <wp:simplePos x="0" y="0"/>
              <wp:positionH relativeFrom="column">
                <wp:align>center</wp:align>
              </wp:positionH>
              <wp:positionV relativeFrom="page">
                <wp:posOffset>143510</wp:posOffset>
              </wp:positionV>
              <wp:extent cx="4413885" cy="342265"/>
              <wp:effectExtent l="0" t="635"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4D84" w:rsidRPr="00BB5ED9" w:rsidRDefault="00DF386B" w:rsidP="00BB5ED9">
                          <w:pPr>
                            <w:jc w:val="center"/>
                            <w:rPr>
                              <w:rFonts w:ascii="Arial" w:hAnsi="Arial" w:cs="Arial"/>
                              <w:b/>
                              <w:sz w:val="40"/>
                            </w:rPr>
                          </w:pPr>
                          <w:fldSimple w:instr=" DOCPROPERTY  Classification  \* MERGEFORMAT ">
                            <w:r w:rsidR="00114D84" w:rsidRPr="00BC41A1">
                              <w:rPr>
                                <w:rFonts w:ascii="Arial" w:hAnsi="Arial" w:cs="Arial"/>
                                <w:b/>
                                <w:sz w:val="40"/>
                              </w:rPr>
                              <w:t>UNCLASSIFIED</w:t>
                            </w:r>
                          </w:fldSimple>
                          <w:r w:rsidR="00114D84" w:rsidRPr="00BB5ED9">
                            <w:rPr>
                              <w:rFonts w:ascii="Arial" w:hAnsi="Arial" w:cs="Arial"/>
                              <w:b/>
                              <w:sz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1.3pt;width:347.55pt;height:26.9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" stroked="f">
              <v:textbox>
                <w:txbxContent>
                  <w:p w:rsidR="00114D84" w:rsidRPr="00BB5ED9" w:rsidRDefault="00DF386B" w:rsidP="00BB5ED9">
                    <w:pPr>
                      <w:jc w:val="center"/>
                      <w:rPr>
                        <w:rFonts w:ascii="Arial" w:hAnsi="Arial" w:cs="Arial"/>
                        <w:b/>
                        <w:sz w:val="40"/>
                      </w:rPr>
                    </w:pPr>
                    <w:r>
                      <w:fldChar w:fldCharType="begin"/>
                    </w:r>
                    <w:r>
                      <w:instrText xml:space="preserve"> DOCPROPERTY  Classification  \* MERGEFORMAT </w:instrText>
                    </w:r>
                    <w:r>
                      <w:fldChar w:fldCharType="separate"/>
                    </w:r>
                    <w:r w:rsidR="00114D84" w:rsidRPr="00BC41A1">
                      <w:rPr>
                        <w:rFonts w:ascii="Arial" w:hAnsi="Arial" w:cs="Arial"/>
                        <w:b/>
                        <w:sz w:val="40"/>
                      </w:rPr>
                      <w:t>UNCLASSIFIED</w:t>
                    </w:r>
                    <w:r>
                      <w:rPr>
                        <w:rFonts w:ascii="Arial" w:hAnsi="Arial" w:cs="Arial"/>
                        <w:b/>
                        <w:sz w:val="40"/>
                      </w:rPr>
                      <w:fldChar w:fldCharType="end"/>
                    </w:r>
                    <w:r w:rsidR="00114D84" w:rsidRPr="00BB5ED9">
                      <w:rPr>
                        <w:rFonts w:ascii="Arial" w:hAnsi="Arial" w:cs="Arial"/>
                        <w:b/>
                        <w:sz w:val="40"/>
                      </w:rPr>
                      <w:t xml:space="preserve"> </w:t>
                    </w:r>
                  </w:p>
                </w:txbxContent>
              </v:textbox>
              <w10:wrap anchory="page"/>
            </v:shape>
          </w:pict>
        </mc:Fallback>
      </mc:AlternateContent>
    </w:r>
    <w:r>
      <w:rPr>
        <w:rStyle w:val="PageNumber"/>
      </w:rPr>
      <w:fldChar w:fldCharType="begin"/>
    </w:r>
    <w:r>
      <w:rPr>
        <w:rStyle w:val="PageNumber"/>
      </w:rPr>
      <w:instrText xml:space="preserve"> STYLEREF "Head 1" </w:instrText>
    </w:r>
    <w:r>
      <w:rPr>
        <w:rStyle w:val="PageNumber"/>
      </w:rPr>
      <w:fldChar w:fldCharType="separate"/>
    </w:r>
    <w:r w:rsidR="003E2A3F">
      <w:rPr>
        <w:rStyle w:val="PageNumber"/>
        <w:noProof/>
      </w:rPr>
      <w:t>Drafting Direction No. 4.3</w:t>
    </w:r>
    <w:r w:rsidR="003E2A3F">
      <w:rPr>
        <w:rStyle w:val="PageNumber"/>
        <w:noProof/>
      </w:rPr>
      <w:br/>
      <w:t>Amendments requiring consultation under an intergovernmental agreement</w:t>
    </w:r>
    <w:r>
      <w:rPr>
        <w:rStyle w:val="PageNumber"/>
      </w:rPr>
      <w:fldChar w:fldCharType="end"/>
    </w:r>
  </w:p>
  <w:p w:rsidR="00114D84" w:rsidRDefault="00114D84" w:rsidP="00AC5B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D84" w:rsidRDefault="00114D84" w:rsidP="00AC5B1A">
    <w:pPr>
      <w:pStyle w:val="Header"/>
      <w:jc w:val="right"/>
    </w:pPr>
    <w:r>
      <w:rPr>
        <w:noProof/>
      </w:rPr>
      <mc:AlternateContent>
        <mc:Choice Requires="wps">
          <w:drawing>
            <wp:anchor distT="0" distB="0" distL="114300" distR="114300" simplePos="0" relativeHeight="251659264" behindDoc="1" locked="0" layoutInCell="1" allowOverlap="1" wp14:anchorId="08292D6D" wp14:editId="2EC072DC">
              <wp:simplePos x="0" y="0"/>
              <wp:positionH relativeFrom="column">
                <wp:align>center</wp:align>
              </wp:positionH>
              <wp:positionV relativeFrom="page">
                <wp:posOffset>143510</wp:posOffset>
              </wp:positionV>
              <wp:extent cx="4413885" cy="342265"/>
              <wp:effectExtent l="0" t="63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4D84" w:rsidRPr="00BB5ED9" w:rsidRDefault="00DF386B" w:rsidP="00BB5ED9">
                          <w:pPr>
                            <w:jc w:val="center"/>
                            <w:rPr>
                              <w:rFonts w:ascii="Arial" w:hAnsi="Arial" w:cs="Arial"/>
                              <w:b/>
                              <w:sz w:val="40"/>
                            </w:rPr>
                          </w:pPr>
                          <w:fldSimple w:instr=" DOCPROPERTY  Classification  \* MERGEFORMAT ">
                            <w:r w:rsidR="00114D84" w:rsidRPr="00BC41A1">
                              <w:rPr>
                                <w:rFonts w:ascii="Arial" w:hAnsi="Arial" w:cs="Arial"/>
                                <w:b/>
                                <w:sz w:val="40"/>
                              </w:rPr>
                              <w:t>UNCLASSIFIED</w:t>
                            </w:r>
                          </w:fldSimple>
                          <w:r w:rsidR="00114D84" w:rsidRPr="00BB5ED9">
                            <w:rPr>
                              <w:rFonts w:ascii="Arial" w:hAnsi="Arial" w:cs="Arial"/>
                              <w:b/>
                              <w:sz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0;margin-top:11.3pt;width:347.55pt;height:26.9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" stroked="f">
              <v:textbox>
                <w:txbxContent>
                  <w:p w:rsidR="00114D84" w:rsidRPr="00BB5ED9" w:rsidRDefault="00DF386B" w:rsidP="00BB5ED9">
                    <w:pPr>
                      <w:jc w:val="center"/>
                      <w:rPr>
                        <w:rFonts w:ascii="Arial" w:hAnsi="Arial" w:cs="Arial"/>
                        <w:b/>
                        <w:sz w:val="40"/>
                      </w:rPr>
                    </w:pPr>
                    <w:r>
                      <w:fldChar w:fldCharType="begin"/>
                    </w:r>
                    <w:r>
                      <w:instrText xml:space="preserve"> DOCPROPERTY  Classification  \* MERGEFORMAT </w:instrText>
                    </w:r>
                    <w:r>
                      <w:fldChar w:fldCharType="separate"/>
                    </w:r>
                    <w:r w:rsidR="00114D84" w:rsidRPr="00BC41A1">
                      <w:rPr>
                        <w:rFonts w:ascii="Arial" w:hAnsi="Arial" w:cs="Arial"/>
                        <w:b/>
                        <w:sz w:val="40"/>
                      </w:rPr>
                      <w:t>UNCLASSIFIED</w:t>
                    </w:r>
                    <w:r>
                      <w:rPr>
                        <w:rFonts w:ascii="Arial" w:hAnsi="Arial" w:cs="Arial"/>
                        <w:b/>
                        <w:sz w:val="40"/>
                      </w:rPr>
                      <w:fldChar w:fldCharType="end"/>
                    </w:r>
                    <w:r w:rsidR="00114D84" w:rsidRPr="00BB5ED9">
                      <w:rPr>
                        <w:rFonts w:ascii="Arial" w:hAnsi="Arial" w:cs="Arial"/>
                        <w:b/>
                        <w:sz w:val="40"/>
                      </w:rPr>
                      <w:t xml:space="preserve"> </w:t>
                    </w:r>
                  </w:p>
                </w:txbxContent>
              </v:textbox>
              <w10:wrap anchory="page"/>
            </v:shape>
          </w:pict>
        </mc:Fallback>
      </mc:AlternateContent>
    </w:r>
    <w:r>
      <w:rPr>
        <w:rStyle w:val="PageNumber"/>
      </w:rPr>
      <w:fldChar w:fldCharType="begin"/>
    </w:r>
    <w:r>
      <w:rPr>
        <w:rStyle w:val="PageNumber"/>
      </w:rPr>
      <w:instrText xml:space="preserve"> STYLEREF "Head 1" </w:instrText>
    </w:r>
    <w:r>
      <w:rPr>
        <w:rStyle w:val="PageNumber"/>
      </w:rPr>
      <w:fldChar w:fldCharType="separate"/>
    </w:r>
    <w:r w:rsidR="003E2A3F">
      <w:rPr>
        <w:rStyle w:val="PageNumber"/>
        <w:noProof/>
      </w:rPr>
      <w:t>Drafting Direction No. 4.3</w:t>
    </w:r>
    <w:r w:rsidR="003E2A3F">
      <w:rPr>
        <w:rStyle w:val="PageNumber"/>
        <w:noProof/>
      </w:rPr>
      <w:br/>
      <w:t>Amendments requiring consultation under an intergovernmental agreement</w:t>
    </w:r>
    <w:r>
      <w:rPr>
        <w:rStyle w:val="PageNumber"/>
      </w:rPr>
      <w:fldChar w:fldCharType="end"/>
    </w:r>
  </w:p>
  <w:p w:rsidR="00114D84" w:rsidRDefault="00114D84" w:rsidP="00AC5B1A">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D84" w:rsidRDefault="00114D84" w:rsidP="00AC5B1A">
    <w:pPr>
      <w:pStyle w:val="Header"/>
      <w:jc w:val="right"/>
      <w:rPr>
        <w:rStyle w:val="PageNumber"/>
      </w:rPr>
    </w:pPr>
    <w:r>
      <w:rPr>
        <w:noProof/>
      </w:rPr>
      <mc:AlternateContent>
        <mc:Choice Requires="wps">
          <w:drawing>
            <wp:anchor distT="0" distB="0" distL="114300" distR="114300" simplePos="0" relativeHeight="251658240" behindDoc="1" locked="0" layoutInCell="1" allowOverlap="1" wp14:anchorId="56532EB3" wp14:editId="503364BD">
              <wp:simplePos x="0" y="0"/>
              <wp:positionH relativeFrom="column">
                <wp:align>center</wp:align>
              </wp:positionH>
              <wp:positionV relativeFrom="page">
                <wp:posOffset>143510</wp:posOffset>
              </wp:positionV>
              <wp:extent cx="4413885" cy="342265"/>
              <wp:effectExtent l="0"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4D84" w:rsidRPr="00BB5ED9" w:rsidRDefault="00DF386B" w:rsidP="00BB5ED9">
                          <w:pPr>
                            <w:jc w:val="center"/>
                            <w:rPr>
                              <w:rFonts w:ascii="Arial" w:hAnsi="Arial" w:cs="Arial"/>
                              <w:b/>
                              <w:sz w:val="40"/>
                            </w:rPr>
                          </w:pPr>
                          <w:fldSimple w:instr=" DOCPROPERTY  Classification  \* MERGEFORMAT ">
                            <w:r w:rsidR="00114D84" w:rsidRPr="00BC41A1">
                              <w:rPr>
                                <w:rFonts w:ascii="Arial" w:hAnsi="Arial" w:cs="Arial"/>
                                <w:b/>
                                <w:sz w:val="40"/>
                              </w:rPr>
                              <w:t>UNCLASSIFIED</w:t>
                            </w:r>
                          </w:fldSimple>
                          <w:r w:rsidR="00114D84" w:rsidRPr="00BB5ED9">
                            <w:rPr>
                              <w:rFonts w:ascii="Arial" w:hAnsi="Arial" w:cs="Arial"/>
                              <w:b/>
                              <w:sz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left:0;text-align:left;margin-left:0;margin-top:11.3pt;width:347.55pt;height:26.9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" stroked="f">
              <v:textbox>
                <w:txbxContent>
                  <w:p w:rsidR="00114D84" w:rsidRPr="00BB5ED9" w:rsidRDefault="00DF386B" w:rsidP="00BB5ED9">
                    <w:pPr>
                      <w:jc w:val="center"/>
                      <w:rPr>
                        <w:rFonts w:ascii="Arial" w:hAnsi="Arial" w:cs="Arial"/>
                        <w:b/>
                        <w:sz w:val="40"/>
                      </w:rPr>
                    </w:pPr>
                    <w:r>
                      <w:fldChar w:fldCharType="begin"/>
                    </w:r>
                    <w:r>
                      <w:instrText xml:space="preserve"> DOCPROPERTY  Classification  \* MERGEFORMAT </w:instrText>
                    </w:r>
                    <w:r>
                      <w:fldChar w:fldCharType="separate"/>
                    </w:r>
                    <w:r w:rsidR="00114D84" w:rsidRPr="00BC41A1">
                      <w:rPr>
                        <w:rFonts w:ascii="Arial" w:hAnsi="Arial" w:cs="Arial"/>
                        <w:b/>
                        <w:sz w:val="40"/>
                      </w:rPr>
                      <w:t>UNCLASSIFIED</w:t>
                    </w:r>
                    <w:r>
                      <w:rPr>
                        <w:rFonts w:ascii="Arial" w:hAnsi="Arial" w:cs="Arial"/>
                        <w:b/>
                        <w:sz w:val="40"/>
                      </w:rPr>
                      <w:fldChar w:fldCharType="end"/>
                    </w:r>
                    <w:r w:rsidR="00114D84" w:rsidRPr="00BB5ED9">
                      <w:rPr>
                        <w:rFonts w:ascii="Arial" w:hAnsi="Arial" w:cs="Arial"/>
                        <w:b/>
                        <w:sz w:val="40"/>
                      </w:rPr>
                      <w:t xml:space="preserve"> </w:t>
                    </w:r>
                  </w:p>
                </w:txbxContent>
              </v:textbox>
              <w10:wrap anchory="page"/>
            </v:shape>
          </w:pict>
        </mc:Fallback>
      </mc:AlternateContent>
    </w:r>
    <w:r>
      <w:rPr>
        <w:rStyle w:val="PageNumber"/>
      </w:rPr>
      <w:fldChar w:fldCharType="begin"/>
    </w:r>
    <w:r>
      <w:rPr>
        <w:rStyle w:val="PageNumber"/>
      </w:rPr>
      <w:instrText xml:space="preserve"> STYLEREF "Head 1" </w:instrText>
    </w:r>
    <w:r>
      <w:rPr>
        <w:rStyle w:val="PageNumber"/>
      </w:rPr>
      <w:fldChar w:fldCharType="separate"/>
    </w:r>
    <w:r w:rsidR="00786734">
      <w:rPr>
        <w:rStyle w:val="PageNumber"/>
        <w:noProof/>
      </w:rPr>
      <w:t>Drafting Direction No. 4.3</w:t>
    </w:r>
    <w:r w:rsidR="00786734">
      <w:rPr>
        <w:rStyle w:val="PageNumber"/>
        <w:noProof/>
      </w:rPr>
      <w:br/>
      <w:t>Amendments requiring consultation under an intergovernmental agreement</w:t>
    </w:r>
    <w:r>
      <w:rPr>
        <w:rStyle w:val="PageNumber"/>
      </w:rPr>
      <w:fldChar w:fldCharType="end"/>
    </w:r>
  </w:p>
  <w:p w:rsidR="00114D84" w:rsidRDefault="00114D84" w:rsidP="00AC5B1A">
    <w:pPr>
      <w:pStyle w:val="Header"/>
      <w:spacing w:before="240" w:after="600"/>
      <w:jc w:val="center"/>
      <w:rPr>
        <w:b/>
        <w:caps/>
        <w:sz w:val="36"/>
        <w:lang w:val="en-US"/>
      </w:rPr>
    </w:pPr>
    <w:r>
      <w:rPr>
        <w:b/>
        <w:caps/>
        <w:sz w:val="36"/>
        <w:lang w:val="en-US"/>
      </w:rPr>
      <w:t>Parliamentary Counsel</w:t>
    </w:r>
  </w:p>
  <w:p w:rsidR="00114D84" w:rsidRDefault="00114D84" w:rsidP="00AC5B1A">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6CEF80"/>
    <w:lvl w:ilvl="0">
      <w:start w:val="1"/>
      <w:numFmt w:val="decimal"/>
      <w:lvlText w:val="%1."/>
      <w:lvlJc w:val="left"/>
      <w:pPr>
        <w:tabs>
          <w:tab w:val="num" w:pos="1492"/>
        </w:tabs>
        <w:ind w:left="1492" w:hanging="360"/>
      </w:pPr>
    </w:lvl>
  </w:abstractNum>
  <w:abstractNum w:abstractNumId="1">
    <w:nsid w:val="FFFFFF7D"/>
    <w:multiLevelType w:val="singleLevel"/>
    <w:tmpl w:val="0472C198"/>
    <w:lvl w:ilvl="0">
      <w:start w:val="1"/>
      <w:numFmt w:val="decimal"/>
      <w:lvlText w:val="%1."/>
      <w:lvlJc w:val="left"/>
      <w:pPr>
        <w:tabs>
          <w:tab w:val="num" w:pos="1209"/>
        </w:tabs>
        <w:ind w:left="1209" w:hanging="360"/>
      </w:pPr>
    </w:lvl>
  </w:abstractNum>
  <w:abstractNum w:abstractNumId="2">
    <w:nsid w:val="FFFFFF7E"/>
    <w:multiLevelType w:val="singleLevel"/>
    <w:tmpl w:val="AC8851A2"/>
    <w:lvl w:ilvl="0">
      <w:start w:val="1"/>
      <w:numFmt w:val="decimal"/>
      <w:lvlText w:val="%1."/>
      <w:lvlJc w:val="left"/>
      <w:pPr>
        <w:tabs>
          <w:tab w:val="num" w:pos="926"/>
        </w:tabs>
        <w:ind w:left="926" w:hanging="360"/>
      </w:pPr>
    </w:lvl>
  </w:abstractNum>
  <w:abstractNum w:abstractNumId="3">
    <w:nsid w:val="FFFFFF7F"/>
    <w:multiLevelType w:val="singleLevel"/>
    <w:tmpl w:val="296A0F1A"/>
    <w:lvl w:ilvl="0">
      <w:start w:val="1"/>
      <w:numFmt w:val="decimal"/>
      <w:lvlText w:val="%1."/>
      <w:lvlJc w:val="left"/>
      <w:pPr>
        <w:tabs>
          <w:tab w:val="num" w:pos="643"/>
        </w:tabs>
        <w:ind w:left="643" w:hanging="360"/>
      </w:pPr>
    </w:lvl>
  </w:abstractNum>
  <w:abstractNum w:abstractNumId="4">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7C56E0"/>
    <w:lvl w:ilvl="0">
      <w:start w:val="1"/>
      <w:numFmt w:val="decimal"/>
      <w:lvlText w:val="%1."/>
      <w:lvlJc w:val="left"/>
      <w:pPr>
        <w:tabs>
          <w:tab w:val="num" w:pos="360"/>
        </w:tabs>
        <w:ind w:left="360" w:hanging="360"/>
      </w:pPr>
    </w:lvl>
  </w:abstractNum>
  <w:abstractNum w:abstractNumId="9">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1C0"/>
    <w:rsid w:val="000136AF"/>
    <w:rsid w:val="00014082"/>
    <w:rsid w:val="00016849"/>
    <w:rsid w:val="00031E76"/>
    <w:rsid w:val="00047BFE"/>
    <w:rsid w:val="000516FE"/>
    <w:rsid w:val="00053C35"/>
    <w:rsid w:val="00056743"/>
    <w:rsid w:val="00057D60"/>
    <w:rsid w:val="000610F7"/>
    <w:rsid w:val="000614BF"/>
    <w:rsid w:val="000D03C3"/>
    <w:rsid w:val="000D05EF"/>
    <w:rsid w:val="000D54B8"/>
    <w:rsid w:val="00100921"/>
    <w:rsid w:val="0010240A"/>
    <w:rsid w:val="0010745C"/>
    <w:rsid w:val="0011030E"/>
    <w:rsid w:val="00111A5A"/>
    <w:rsid w:val="00114D84"/>
    <w:rsid w:val="00124D96"/>
    <w:rsid w:val="00124EA3"/>
    <w:rsid w:val="00135FC6"/>
    <w:rsid w:val="00150BDD"/>
    <w:rsid w:val="001655E3"/>
    <w:rsid w:val="00166C2F"/>
    <w:rsid w:val="00172EEA"/>
    <w:rsid w:val="001827CC"/>
    <w:rsid w:val="00182890"/>
    <w:rsid w:val="00185027"/>
    <w:rsid w:val="001939E1"/>
    <w:rsid w:val="00195382"/>
    <w:rsid w:val="001A0C1F"/>
    <w:rsid w:val="001A6070"/>
    <w:rsid w:val="001C0B22"/>
    <w:rsid w:val="001C69C4"/>
    <w:rsid w:val="001E264E"/>
    <w:rsid w:val="001E3590"/>
    <w:rsid w:val="001E7407"/>
    <w:rsid w:val="00215D01"/>
    <w:rsid w:val="0024187A"/>
    <w:rsid w:val="00253D1B"/>
    <w:rsid w:val="00262361"/>
    <w:rsid w:val="00271333"/>
    <w:rsid w:val="00276BC1"/>
    <w:rsid w:val="00276CA3"/>
    <w:rsid w:val="00280CC1"/>
    <w:rsid w:val="00283884"/>
    <w:rsid w:val="002869C4"/>
    <w:rsid w:val="00295FBA"/>
    <w:rsid w:val="002970D7"/>
    <w:rsid w:val="00297ECB"/>
    <w:rsid w:val="002D043A"/>
    <w:rsid w:val="002D1FE3"/>
    <w:rsid w:val="002D20DA"/>
    <w:rsid w:val="002E7618"/>
    <w:rsid w:val="00304900"/>
    <w:rsid w:val="00314121"/>
    <w:rsid w:val="00325D1C"/>
    <w:rsid w:val="00343343"/>
    <w:rsid w:val="00352B0F"/>
    <w:rsid w:val="00360FB0"/>
    <w:rsid w:val="00362B9F"/>
    <w:rsid w:val="00363A1A"/>
    <w:rsid w:val="0038683A"/>
    <w:rsid w:val="003A5CB0"/>
    <w:rsid w:val="003B5735"/>
    <w:rsid w:val="003B5FE7"/>
    <w:rsid w:val="003C2F03"/>
    <w:rsid w:val="003D0BFE"/>
    <w:rsid w:val="003D5700"/>
    <w:rsid w:val="003E2A3F"/>
    <w:rsid w:val="004004CD"/>
    <w:rsid w:val="0040603E"/>
    <w:rsid w:val="004116CD"/>
    <w:rsid w:val="00416DD9"/>
    <w:rsid w:val="004171E1"/>
    <w:rsid w:val="00424CA9"/>
    <w:rsid w:val="00440950"/>
    <w:rsid w:val="0044291A"/>
    <w:rsid w:val="00444F79"/>
    <w:rsid w:val="004653F8"/>
    <w:rsid w:val="00467FDC"/>
    <w:rsid w:val="004703CA"/>
    <w:rsid w:val="0047752F"/>
    <w:rsid w:val="004863D4"/>
    <w:rsid w:val="00496F97"/>
    <w:rsid w:val="004D3262"/>
    <w:rsid w:val="004E51D7"/>
    <w:rsid w:val="004F616D"/>
    <w:rsid w:val="00506B7C"/>
    <w:rsid w:val="005129F2"/>
    <w:rsid w:val="00516B8D"/>
    <w:rsid w:val="005310E0"/>
    <w:rsid w:val="005379F7"/>
    <w:rsid w:val="00537FBC"/>
    <w:rsid w:val="005466F8"/>
    <w:rsid w:val="00555A04"/>
    <w:rsid w:val="005568F9"/>
    <w:rsid w:val="00584811"/>
    <w:rsid w:val="00584CE0"/>
    <w:rsid w:val="00590786"/>
    <w:rsid w:val="00594161"/>
    <w:rsid w:val="00594749"/>
    <w:rsid w:val="005A0F9C"/>
    <w:rsid w:val="005A42E3"/>
    <w:rsid w:val="005B40C1"/>
    <w:rsid w:val="005F5822"/>
    <w:rsid w:val="00600219"/>
    <w:rsid w:val="0060254B"/>
    <w:rsid w:val="00611F65"/>
    <w:rsid w:val="006207A3"/>
    <w:rsid w:val="006240DB"/>
    <w:rsid w:val="006429D9"/>
    <w:rsid w:val="00656594"/>
    <w:rsid w:val="00662B97"/>
    <w:rsid w:val="00677CC2"/>
    <w:rsid w:val="00680F77"/>
    <w:rsid w:val="00681E21"/>
    <w:rsid w:val="0069207B"/>
    <w:rsid w:val="006920AD"/>
    <w:rsid w:val="006A4BE3"/>
    <w:rsid w:val="006B1BD6"/>
    <w:rsid w:val="006B792D"/>
    <w:rsid w:val="006C7F8C"/>
    <w:rsid w:val="006D2A67"/>
    <w:rsid w:val="006E068B"/>
    <w:rsid w:val="006E450B"/>
    <w:rsid w:val="006E5DC5"/>
    <w:rsid w:val="006E6C06"/>
    <w:rsid w:val="007020DD"/>
    <w:rsid w:val="007215ED"/>
    <w:rsid w:val="007257AD"/>
    <w:rsid w:val="007276BC"/>
    <w:rsid w:val="00731E00"/>
    <w:rsid w:val="00733990"/>
    <w:rsid w:val="00740B9C"/>
    <w:rsid w:val="00747508"/>
    <w:rsid w:val="007715C9"/>
    <w:rsid w:val="00774EDD"/>
    <w:rsid w:val="007757EC"/>
    <w:rsid w:val="00786734"/>
    <w:rsid w:val="00791CDB"/>
    <w:rsid w:val="007B435E"/>
    <w:rsid w:val="007C699A"/>
    <w:rsid w:val="007E1222"/>
    <w:rsid w:val="0080335D"/>
    <w:rsid w:val="0081542E"/>
    <w:rsid w:val="00816003"/>
    <w:rsid w:val="00824582"/>
    <w:rsid w:val="008430FF"/>
    <w:rsid w:val="0084551F"/>
    <w:rsid w:val="00856A31"/>
    <w:rsid w:val="00857B9F"/>
    <w:rsid w:val="008618F5"/>
    <w:rsid w:val="008754D0"/>
    <w:rsid w:val="0089534B"/>
    <w:rsid w:val="008A767C"/>
    <w:rsid w:val="008D5057"/>
    <w:rsid w:val="008D6C80"/>
    <w:rsid w:val="008D70F8"/>
    <w:rsid w:val="008E3B8C"/>
    <w:rsid w:val="008F68EA"/>
    <w:rsid w:val="00912B17"/>
    <w:rsid w:val="009240A8"/>
    <w:rsid w:val="00944A90"/>
    <w:rsid w:val="0094622F"/>
    <w:rsid w:val="00964794"/>
    <w:rsid w:val="009939E3"/>
    <w:rsid w:val="009977DF"/>
    <w:rsid w:val="009B4899"/>
    <w:rsid w:val="009C0FD6"/>
    <w:rsid w:val="009E4A54"/>
    <w:rsid w:val="00A1194F"/>
    <w:rsid w:val="00A231E2"/>
    <w:rsid w:val="00A2547D"/>
    <w:rsid w:val="00A34568"/>
    <w:rsid w:val="00A34DC0"/>
    <w:rsid w:val="00A6438C"/>
    <w:rsid w:val="00A64912"/>
    <w:rsid w:val="00A70A74"/>
    <w:rsid w:val="00A70CD4"/>
    <w:rsid w:val="00A74121"/>
    <w:rsid w:val="00A823A3"/>
    <w:rsid w:val="00A86041"/>
    <w:rsid w:val="00AA3E3C"/>
    <w:rsid w:val="00AA5F38"/>
    <w:rsid w:val="00AB2405"/>
    <w:rsid w:val="00AC03EE"/>
    <w:rsid w:val="00AC5B1A"/>
    <w:rsid w:val="00AD5641"/>
    <w:rsid w:val="00AD5783"/>
    <w:rsid w:val="00B12EDF"/>
    <w:rsid w:val="00B14AD6"/>
    <w:rsid w:val="00B2493F"/>
    <w:rsid w:val="00B26AE3"/>
    <w:rsid w:val="00B321F8"/>
    <w:rsid w:val="00B33B3C"/>
    <w:rsid w:val="00B41341"/>
    <w:rsid w:val="00B64DBF"/>
    <w:rsid w:val="00B73492"/>
    <w:rsid w:val="00B97B09"/>
    <w:rsid w:val="00BB5ED9"/>
    <w:rsid w:val="00BC41A1"/>
    <w:rsid w:val="00BD3A94"/>
    <w:rsid w:val="00BE719A"/>
    <w:rsid w:val="00BE720A"/>
    <w:rsid w:val="00C27D17"/>
    <w:rsid w:val="00C42BF8"/>
    <w:rsid w:val="00C50043"/>
    <w:rsid w:val="00C61CDD"/>
    <w:rsid w:val="00C7573B"/>
    <w:rsid w:val="00C866C0"/>
    <w:rsid w:val="00C916A9"/>
    <w:rsid w:val="00CA6765"/>
    <w:rsid w:val="00CB67FB"/>
    <w:rsid w:val="00CD7026"/>
    <w:rsid w:val="00CD76D9"/>
    <w:rsid w:val="00CF0BB2"/>
    <w:rsid w:val="00CF2C1A"/>
    <w:rsid w:val="00CF695A"/>
    <w:rsid w:val="00D13441"/>
    <w:rsid w:val="00D15735"/>
    <w:rsid w:val="00D34B35"/>
    <w:rsid w:val="00D419F7"/>
    <w:rsid w:val="00D70DFB"/>
    <w:rsid w:val="00D766DF"/>
    <w:rsid w:val="00D81D88"/>
    <w:rsid w:val="00DA3F33"/>
    <w:rsid w:val="00DA476B"/>
    <w:rsid w:val="00DD33F8"/>
    <w:rsid w:val="00DF386B"/>
    <w:rsid w:val="00DF6A00"/>
    <w:rsid w:val="00E30954"/>
    <w:rsid w:val="00E354B0"/>
    <w:rsid w:val="00E50512"/>
    <w:rsid w:val="00E505E3"/>
    <w:rsid w:val="00E57151"/>
    <w:rsid w:val="00E715F6"/>
    <w:rsid w:val="00E73959"/>
    <w:rsid w:val="00E73B8F"/>
    <w:rsid w:val="00E74DC7"/>
    <w:rsid w:val="00E95ACE"/>
    <w:rsid w:val="00EA4A43"/>
    <w:rsid w:val="00EB3848"/>
    <w:rsid w:val="00EB7F10"/>
    <w:rsid w:val="00EC0DAC"/>
    <w:rsid w:val="00EC1180"/>
    <w:rsid w:val="00EC1313"/>
    <w:rsid w:val="00EE0E70"/>
    <w:rsid w:val="00EF2E3A"/>
    <w:rsid w:val="00F04811"/>
    <w:rsid w:val="00F078DC"/>
    <w:rsid w:val="00F23E5F"/>
    <w:rsid w:val="00F2431B"/>
    <w:rsid w:val="00F51269"/>
    <w:rsid w:val="00F57E3F"/>
    <w:rsid w:val="00F97F52"/>
    <w:rsid w:val="00FA5269"/>
    <w:rsid w:val="00FC76B3"/>
    <w:rsid w:val="00FD32F2"/>
    <w:rsid w:val="00FE21C0"/>
    <w:rsid w:val="00FF64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F386B"/>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F386B"/>
  </w:style>
  <w:style w:type="paragraph" w:customStyle="1" w:styleId="OPCParaBase">
    <w:name w:val="OPCParaBase"/>
    <w:qFormat/>
    <w:rsid w:val="00DF386B"/>
    <w:pPr>
      <w:spacing w:line="260" w:lineRule="atLeast"/>
    </w:pPr>
    <w:rPr>
      <w:rFonts w:eastAsia="Times New Roman" w:cs="Times New Roman"/>
      <w:sz w:val="22"/>
      <w:lang w:eastAsia="en-AU"/>
    </w:rPr>
  </w:style>
  <w:style w:type="paragraph" w:customStyle="1" w:styleId="ShortT">
    <w:name w:val="ShortT"/>
    <w:basedOn w:val="OPCParaBase"/>
    <w:next w:val="Normal"/>
    <w:qFormat/>
    <w:rsid w:val="00DF386B"/>
    <w:pPr>
      <w:spacing w:line="240" w:lineRule="auto"/>
    </w:pPr>
    <w:rPr>
      <w:b/>
      <w:sz w:val="40"/>
    </w:rPr>
  </w:style>
  <w:style w:type="paragraph" w:customStyle="1" w:styleId="ActHead1">
    <w:name w:val="ActHead 1"/>
    <w:aliases w:val="c"/>
    <w:basedOn w:val="OPCParaBase"/>
    <w:next w:val="Normal"/>
    <w:qFormat/>
    <w:rsid w:val="00DF386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F386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F386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F386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F386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F386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F386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F386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F386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F386B"/>
  </w:style>
  <w:style w:type="paragraph" w:customStyle="1" w:styleId="Blocks">
    <w:name w:val="Blocks"/>
    <w:aliases w:val="bb"/>
    <w:basedOn w:val="OPCParaBase"/>
    <w:qFormat/>
    <w:rsid w:val="00DF386B"/>
    <w:pPr>
      <w:spacing w:line="240" w:lineRule="auto"/>
    </w:pPr>
    <w:rPr>
      <w:sz w:val="24"/>
    </w:rPr>
  </w:style>
  <w:style w:type="paragraph" w:customStyle="1" w:styleId="BoxText">
    <w:name w:val="BoxText"/>
    <w:aliases w:val="bt"/>
    <w:basedOn w:val="OPCParaBase"/>
    <w:rsid w:val="00DF386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F386B"/>
    <w:rPr>
      <w:b/>
    </w:rPr>
  </w:style>
  <w:style w:type="paragraph" w:customStyle="1" w:styleId="BoxHeadItalic">
    <w:name w:val="BoxHeadItalic"/>
    <w:aliases w:val="bhi"/>
    <w:basedOn w:val="BoxText"/>
    <w:next w:val="Normal"/>
    <w:qFormat/>
    <w:rsid w:val="00DF386B"/>
    <w:rPr>
      <w:i/>
    </w:rPr>
  </w:style>
  <w:style w:type="paragraph" w:customStyle="1" w:styleId="BoxList">
    <w:name w:val="BoxList"/>
    <w:aliases w:val="bl"/>
    <w:basedOn w:val="BoxText"/>
    <w:qFormat/>
    <w:rsid w:val="00DF386B"/>
    <w:pPr>
      <w:ind w:left="1559" w:hanging="425"/>
    </w:pPr>
  </w:style>
  <w:style w:type="paragraph" w:customStyle="1" w:styleId="BoxNote">
    <w:name w:val="BoxNote"/>
    <w:aliases w:val="bn"/>
    <w:basedOn w:val="BoxText"/>
    <w:qFormat/>
    <w:rsid w:val="00DF386B"/>
    <w:pPr>
      <w:tabs>
        <w:tab w:val="left" w:pos="1985"/>
      </w:tabs>
      <w:spacing w:before="122" w:line="198" w:lineRule="exact"/>
      <w:ind w:left="2948" w:hanging="1814"/>
    </w:pPr>
    <w:rPr>
      <w:sz w:val="18"/>
    </w:rPr>
  </w:style>
  <w:style w:type="paragraph" w:customStyle="1" w:styleId="BoxPara">
    <w:name w:val="BoxPara"/>
    <w:aliases w:val="bp"/>
    <w:basedOn w:val="BoxText"/>
    <w:qFormat/>
    <w:rsid w:val="00DF386B"/>
    <w:pPr>
      <w:tabs>
        <w:tab w:val="right" w:pos="2268"/>
      </w:tabs>
      <w:ind w:left="2552" w:hanging="1418"/>
    </w:pPr>
  </w:style>
  <w:style w:type="paragraph" w:customStyle="1" w:styleId="BoxStep">
    <w:name w:val="BoxStep"/>
    <w:aliases w:val="bs"/>
    <w:basedOn w:val="BoxText"/>
    <w:qFormat/>
    <w:rsid w:val="00DF386B"/>
    <w:pPr>
      <w:ind w:left="1985" w:hanging="851"/>
    </w:pPr>
  </w:style>
  <w:style w:type="character" w:customStyle="1" w:styleId="CharAmPartNo">
    <w:name w:val="CharAmPartNo"/>
    <w:basedOn w:val="OPCCharBase"/>
    <w:uiPriority w:val="1"/>
    <w:qFormat/>
    <w:rsid w:val="00DF386B"/>
  </w:style>
  <w:style w:type="character" w:customStyle="1" w:styleId="CharAmPartText">
    <w:name w:val="CharAmPartText"/>
    <w:basedOn w:val="OPCCharBase"/>
    <w:uiPriority w:val="1"/>
    <w:qFormat/>
    <w:rsid w:val="00DF386B"/>
  </w:style>
  <w:style w:type="character" w:customStyle="1" w:styleId="CharAmSchNo">
    <w:name w:val="CharAmSchNo"/>
    <w:basedOn w:val="OPCCharBase"/>
    <w:uiPriority w:val="1"/>
    <w:qFormat/>
    <w:rsid w:val="00DF386B"/>
  </w:style>
  <w:style w:type="character" w:customStyle="1" w:styleId="CharAmSchText">
    <w:name w:val="CharAmSchText"/>
    <w:basedOn w:val="OPCCharBase"/>
    <w:uiPriority w:val="1"/>
    <w:qFormat/>
    <w:rsid w:val="00DF386B"/>
  </w:style>
  <w:style w:type="character" w:customStyle="1" w:styleId="CharBoldItalic">
    <w:name w:val="CharBoldItalic"/>
    <w:basedOn w:val="OPCCharBase"/>
    <w:uiPriority w:val="1"/>
    <w:qFormat/>
    <w:rsid w:val="00DF386B"/>
    <w:rPr>
      <w:b/>
      <w:i/>
    </w:rPr>
  </w:style>
  <w:style w:type="character" w:customStyle="1" w:styleId="CharChapNo">
    <w:name w:val="CharChapNo"/>
    <w:basedOn w:val="OPCCharBase"/>
    <w:uiPriority w:val="1"/>
    <w:qFormat/>
    <w:rsid w:val="00DF386B"/>
  </w:style>
  <w:style w:type="character" w:customStyle="1" w:styleId="CharChapText">
    <w:name w:val="CharChapText"/>
    <w:basedOn w:val="OPCCharBase"/>
    <w:uiPriority w:val="1"/>
    <w:qFormat/>
    <w:rsid w:val="00DF386B"/>
  </w:style>
  <w:style w:type="character" w:customStyle="1" w:styleId="CharDivNo">
    <w:name w:val="CharDivNo"/>
    <w:basedOn w:val="OPCCharBase"/>
    <w:uiPriority w:val="1"/>
    <w:qFormat/>
    <w:rsid w:val="00DF386B"/>
  </w:style>
  <w:style w:type="character" w:customStyle="1" w:styleId="CharDivText">
    <w:name w:val="CharDivText"/>
    <w:basedOn w:val="OPCCharBase"/>
    <w:uiPriority w:val="1"/>
    <w:qFormat/>
    <w:rsid w:val="00DF386B"/>
  </w:style>
  <w:style w:type="character" w:customStyle="1" w:styleId="CharItalic">
    <w:name w:val="CharItalic"/>
    <w:basedOn w:val="OPCCharBase"/>
    <w:uiPriority w:val="1"/>
    <w:qFormat/>
    <w:rsid w:val="00DF386B"/>
    <w:rPr>
      <w:i/>
    </w:rPr>
  </w:style>
  <w:style w:type="character" w:customStyle="1" w:styleId="CharPartNo">
    <w:name w:val="CharPartNo"/>
    <w:basedOn w:val="OPCCharBase"/>
    <w:uiPriority w:val="1"/>
    <w:qFormat/>
    <w:rsid w:val="00DF386B"/>
  </w:style>
  <w:style w:type="character" w:customStyle="1" w:styleId="CharPartText">
    <w:name w:val="CharPartText"/>
    <w:basedOn w:val="OPCCharBase"/>
    <w:uiPriority w:val="1"/>
    <w:qFormat/>
    <w:rsid w:val="00DF386B"/>
  </w:style>
  <w:style w:type="character" w:customStyle="1" w:styleId="CharSectno">
    <w:name w:val="CharSectno"/>
    <w:basedOn w:val="OPCCharBase"/>
    <w:uiPriority w:val="1"/>
    <w:qFormat/>
    <w:rsid w:val="00DF386B"/>
  </w:style>
  <w:style w:type="character" w:customStyle="1" w:styleId="CharSubdNo">
    <w:name w:val="CharSubdNo"/>
    <w:basedOn w:val="OPCCharBase"/>
    <w:uiPriority w:val="1"/>
    <w:qFormat/>
    <w:rsid w:val="00DF386B"/>
  </w:style>
  <w:style w:type="character" w:customStyle="1" w:styleId="CharSubdText">
    <w:name w:val="CharSubdText"/>
    <w:basedOn w:val="OPCCharBase"/>
    <w:uiPriority w:val="1"/>
    <w:qFormat/>
    <w:rsid w:val="00DF386B"/>
  </w:style>
  <w:style w:type="paragraph" w:customStyle="1" w:styleId="CTA--">
    <w:name w:val="CTA --"/>
    <w:basedOn w:val="OPCParaBase"/>
    <w:next w:val="Normal"/>
    <w:rsid w:val="00DF386B"/>
    <w:pPr>
      <w:spacing w:before="60" w:line="240" w:lineRule="atLeast"/>
      <w:ind w:left="142" w:hanging="142"/>
    </w:pPr>
    <w:rPr>
      <w:sz w:val="20"/>
    </w:rPr>
  </w:style>
  <w:style w:type="paragraph" w:customStyle="1" w:styleId="CTA-">
    <w:name w:val="CTA -"/>
    <w:basedOn w:val="OPCParaBase"/>
    <w:rsid w:val="00DF386B"/>
    <w:pPr>
      <w:spacing w:before="60" w:line="240" w:lineRule="atLeast"/>
      <w:ind w:left="85" w:hanging="85"/>
    </w:pPr>
    <w:rPr>
      <w:sz w:val="20"/>
    </w:rPr>
  </w:style>
  <w:style w:type="paragraph" w:customStyle="1" w:styleId="CTA---">
    <w:name w:val="CTA ---"/>
    <w:basedOn w:val="OPCParaBase"/>
    <w:next w:val="Normal"/>
    <w:rsid w:val="00DF386B"/>
    <w:pPr>
      <w:spacing w:before="60" w:line="240" w:lineRule="atLeast"/>
      <w:ind w:left="198" w:hanging="198"/>
    </w:pPr>
    <w:rPr>
      <w:sz w:val="20"/>
    </w:rPr>
  </w:style>
  <w:style w:type="paragraph" w:customStyle="1" w:styleId="CTA----">
    <w:name w:val="CTA ----"/>
    <w:basedOn w:val="OPCParaBase"/>
    <w:next w:val="Normal"/>
    <w:rsid w:val="00DF386B"/>
    <w:pPr>
      <w:spacing w:before="60" w:line="240" w:lineRule="atLeast"/>
      <w:ind w:left="255" w:hanging="255"/>
    </w:pPr>
    <w:rPr>
      <w:sz w:val="20"/>
    </w:rPr>
  </w:style>
  <w:style w:type="paragraph" w:customStyle="1" w:styleId="CTA1a">
    <w:name w:val="CTA 1(a)"/>
    <w:basedOn w:val="OPCParaBase"/>
    <w:rsid w:val="00DF386B"/>
    <w:pPr>
      <w:tabs>
        <w:tab w:val="right" w:pos="414"/>
      </w:tabs>
      <w:spacing w:before="40" w:line="240" w:lineRule="atLeast"/>
      <w:ind w:left="675" w:hanging="675"/>
    </w:pPr>
    <w:rPr>
      <w:sz w:val="20"/>
    </w:rPr>
  </w:style>
  <w:style w:type="paragraph" w:customStyle="1" w:styleId="CTA1ai">
    <w:name w:val="CTA 1(a)(i)"/>
    <w:basedOn w:val="OPCParaBase"/>
    <w:rsid w:val="00DF386B"/>
    <w:pPr>
      <w:tabs>
        <w:tab w:val="right" w:pos="1004"/>
      </w:tabs>
      <w:spacing w:before="40" w:line="240" w:lineRule="atLeast"/>
      <w:ind w:left="1253" w:hanging="1253"/>
    </w:pPr>
    <w:rPr>
      <w:sz w:val="20"/>
    </w:rPr>
  </w:style>
  <w:style w:type="paragraph" w:customStyle="1" w:styleId="CTA2a">
    <w:name w:val="CTA 2(a)"/>
    <w:basedOn w:val="OPCParaBase"/>
    <w:rsid w:val="00DF386B"/>
    <w:pPr>
      <w:tabs>
        <w:tab w:val="right" w:pos="482"/>
      </w:tabs>
      <w:spacing w:before="40" w:line="240" w:lineRule="atLeast"/>
      <w:ind w:left="748" w:hanging="748"/>
    </w:pPr>
    <w:rPr>
      <w:sz w:val="20"/>
    </w:rPr>
  </w:style>
  <w:style w:type="paragraph" w:customStyle="1" w:styleId="CTA2ai">
    <w:name w:val="CTA 2(a)(i)"/>
    <w:basedOn w:val="OPCParaBase"/>
    <w:rsid w:val="00DF386B"/>
    <w:pPr>
      <w:tabs>
        <w:tab w:val="right" w:pos="1089"/>
      </w:tabs>
      <w:spacing w:before="40" w:line="240" w:lineRule="atLeast"/>
      <w:ind w:left="1327" w:hanging="1327"/>
    </w:pPr>
    <w:rPr>
      <w:sz w:val="20"/>
    </w:rPr>
  </w:style>
  <w:style w:type="paragraph" w:customStyle="1" w:styleId="CTA3a">
    <w:name w:val="CTA 3(a)"/>
    <w:basedOn w:val="OPCParaBase"/>
    <w:rsid w:val="00DF386B"/>
    <w:pPr>
      <w:tabs>
        <w:tab w:val="right" w:pos="556"/>
      </w:tabs>
      <w:spacing w:before="40" w:line="240" w:lineRule="atLeast"/>
      <w:ind w:left="805" w:hanging="805"/>
    </w:pPr>
    <w:rPr>
      <w:sz w:val="20"/>
    </w:rPr>
  </w:style>
  <w:style w:type="paragraph" w:customStyle="1" w:styleId="CTA3ai">
    <w:name w:val="CTA 3(a)(i)"/>
    <w:basedOn w:val="OPCParaBase"/>
    <w:rsid w:val="00DF386B"/>
    <w:pPr>
      <w:tabs>
        <w:tab w:val="right" w:pos="1140"/>
      </w:tabs>
      <w:spacing w:before="40" w:line="240" w:lineRule="atLeast"/>
      <w:ind w:left="1361" w:hanging="1361"/>
    </w:pPr>
    <w:rPr>
      <w:sz w:val="20"/>
    </w:rPr>
  </w:style>
  <w:style w:type="paragraph" w:customStyle="1" w:styleId="CTA4a">
    <w:name w:val="CTA 4(a)"/>
    <w:basedOn w:val="OPCParaBase"/>
    <w:rsid w:val="00DF386B"/>
    <w:pPr>
      <w:tabs>
        <w:tab w:val="right" w:pos="624"/>
      </w:tabs>
      <w:spacing w:before="40" w:line="240" w:lineRule="atLeast"/>
      <w:ind w:left="873" w:hanging="873"/>
    </w:pPr>
    <w:rPr>
      <w:sz w:val="20"/>
    </w:rPr>
  </w:style>
  <w:style w:type="paragraph" w:customStyle="1" w:styleId="CTA4ai">
    <w:name w:val="CTA 4(a)(i)"/>
    <w:basedOn w:val="OPCParaBase"/>
    <w:rsid w:val="00DF386B"/>
    <w:pPr>
      <w:tabs>
        <w:tab w:val="right" w:pos="1213"/>
      </w:tabs>
      <w:spacing w:before="40" w:line="240" w:lineRule="atLeast"/>
      <w:ind w:left="1452" w:hanging="1452"/>
    </w:pPr>
    <w:rPr>
      <w:sz w:val="20"/>
    </w:rPr>
  </w:style>
  <w:style w:type="paragraph" w:customStyle="1" w:styleId="CTACAPS">
    <w:name w:val="CTA CAPS"/>
    <w:basedOn w:val="OPCParaBase"/>
    <w:rsid w:val="00DF386B"/>
    <w:pPr>
      <w:spacing w:before="60" w:line="240" w:lineRule="atLeast"/>
    </w:pPr>
    <w:rPr>
      <w:sz w:val="20"/>
    </w:rPr>
  </w:style>
  <w:style w:type="paragraph" w:customStyle="1" w:styleId="CTAright">
    <w:name w:val="CTA right"/>
    <w:basedOn w:val="OPCParaBase"/>
    <w:rsid w:val="00DF386B"/>
    <w:pPr>
      <w:spacing w:before="60" w:line="240" w:lineRule="auto"/>
      <w:jc w:val="right"/>
    </w:pPr>
    <w:rPr>
      <w:sz w:val="20"/>
    </w:rPr>
  </w:style>
  <w:style w:type="paragraph" w:customStyle="1" w:styleId="subsection">
    <w:name w:val="subsection"/>
    <w:aliases w:val="ss"/>
    <w:basedOn w:val="OPCParaBase"/>
    <w:rsid w:val="00DF386B"/>
    <w:pPr>
      <w:tabs>
        <w:tab w:val="right" w:pos="1021"/>
      </w:tabs>
      <w:spacing w:before="180" w:line="240" w:lineRule="auto"/>
      <w:ind w:left="1134" w:hanging="1134"/>
    </w:pPr>
  </w:style>
  <w:style w:type="paragraph" w:customStyle="1" w:styleId="Definition">
    <w:name w:val="Definition"/>
    <w:aliases w:val="dd"/>
    <w:basedOn w:val="OPCParaBase"/>
    <w:rsid w:val="00DF386B"/>
    <w:pPr>
      <w:spacing w:before="180" w:line="240" w:lineRule="auto"/>
      <w:ind w:left="1134"/>
    </w:pPr>
  </w:style>
  <w:style w:type="paragraph" w:customStyle="1" w:styleId="ETAsubitem">
    <w:name w:val="ETA(subitem)"/>
    <w:basedOn w:val="OPCParaBase"/>
    <w:rsid w:val="00DF386B"/>
    <w:pPr>
      <w:tabs>
        <w:tab w:val="right" w:pos="340"/>
      </w:tabs>
      <w:spacing w:before="60" w:line="240" w:lineRule="auto"/>
      <w:ind w:left="454" w:hanging="454"/>
    </w:pPr>
    <w:rPr>
      <w:sz w:val="20"/>
    </w:rPr>
  </w:style>
  <w:style w:type="paragraph" w:customStyle="1" w:styleId="ETApara">
    <w:name w:val="ETA(para)"/>
    <w:basedOn w:val="OPCParaBase"/>
    <w:rsid w:val="00DF386B"/>
    <w:pPr>
      <w:tabs>
        <w:tab w:val="right" w:pos="754"/>
      </w:tabs>
      <w:spacing w:before="60" w:line="240" w:lineRule="auto"/>
      <w:ind w:left="828" w:hanging="828"/>
    </w:pPr>
    <w:rPr>
      <w:sz w:val="20"/>
    </w:rPr>
  </w:style>
  <w:style w:type="paragraph" w:customStyle="1" w:styleId="ETAsubpara">
    <w:name w:val="ETA(subpara)"/>
    <w:basedOn w:val="OPCParaBase"/>
    <w:rsid w:val="00DF386B"/>
    <w:pPr>
      <w:tabs>
        <w:tab w:val="right" w:pos="1083"/>
      </w:tabs>
      <w:spacing w:before="60" w:line="240" w:lineRule="auto"/>
      <w:ind w:left="1191" w:hanging="1191"/>
    </w:pPr>
    <w:rPr>
      <w:sz w:val="20"/>
    </w:rPr>
  </w:style>
  <w:style w:type="paragraph" w:customStyle="1" w:styleId="ETAsub-subpara">
    <w:name w:val="ETA(sub-subpara)"/>
    <w:basedOn w:val="OPCParaBase"/>
    <w:rsid w:val="00DF386B"/>
    <w:pPr>
      <w:tabs>
        <w:tab w:val="right" w:pos="1412"/>
      </w:tabs>
      <w:spacing w:before="60" w:line="240" w:lineRule="auto"/>
      <w:ind w:left="1525" w:hanging="1525"/>
    </w:pPr>
    <w:rPr>
      <w:sz w:val="20"/>
    </w:rPr>
  </w:style>
  <w:style w:type="paragraph" w:customStyle="1" w:styleId="Formula">
    <w:name w:val="Formula"/>
    <w:basedOn w:val="OPCParaBase"/>
    <w:rsid w:val="00DF386B"/>
    <w:pPr>
      <w:spacing w:line="240" w:lineRule="auto"/>
      <w:ind w:left="1134"/>
    </w:pPr>
    <w:rPr>
      <w:sz w:val="20"/>
    </w:rPr>
  </w:style>
  <w:style w:type="paragraph" w:styleId="Header">
    <w:name w:val="header"/>
    <w:basedOn w:val="OPCParaBase"/>
    <w:link w:val="HeaderChar"/>
    <w:unhideWhenUsed/>
    <w:rsid w:val="00DF386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F386B"/>
    <w:rPr>
      <w:rFonts w:eastAsia="Times New Roman" w:cs="Times New Roman"/>
      <w:sz w:val="16"/>
      <w:lang w:eastAsia="en-AU"/>
    </w:rPr>
  </w:style>
  <w:style w:type="paragraph" w:customStyle="1" w:styleId="House">
    <w:name w:val="House"/>
    <w:basedOn w:val="OPCParaBase"/>
    <w:rsid w:val="00DF386B"/>
    <w:pPr>
      <w:spacing w:line="240" w:lineRule="auto"/>
    </w:pPr>
    <w:rPr>
      <w:sz w:val="28"/>
    </w:rPr>
  </w:style>
  <w:style w:type="paragraph" w:customStyle="1" w:styleId="Item">
    <w:name w:val="Item"/>
    <w:aliases w:val="i"/>
    <w:basedOn w:val="OPCParaBase"/>
    <w:next w:val="ItemHead"/>
    <w:rsid w:val="00DF386B"/>
    <w:pPr>
      <w:keepLines/>
      <w:spacing w:before="80" w:line="240" w:lineRule="auto"/>
      <w:ind w:left="709"/>
    </w:pPr>
  </w:style>
  <w:style w:type="paragraph" w:customStyle="1" w:styleId="ItemHead">
    <w:name w:val="ItemHead"/>
    <w:aliases w:val="ih"/>
    <w:basedOn w:val="OPCParaBase"/>
    <w:next w:val="Item"/>
    <w:rsid w:val="00DF386B"/>
    <w:pPr>
      <w:keepLines/>
      <w:spacing w:before="220" w:line="240" w:lineRule="auto"/>
      <w:ind w:left="709" w:hanging="709"/>
    </w:pPr>
    <w:rPr>
      <w:rFonts w:ascii="Arial" w:hAnsi="Arial"/>
      <w:b/>
      <w:kern w:val="28"/>
      <w:sz w:val="24"/>
    </w:rPr>
  </w:style>
  <w:style w:type="paragraph" w:customStyle="1" w:styleId="LongT">
    <w:name w:val="LongT"/>
    <w:basedOn w:val="OPCParaBase"/>
    <w:rsid w:val="00DF386B"/>
    <w:pPr>
      <w:spacing w:line="240" w:lineRule="auto"/>
    </w:pPr>
    <w:rPr>
      <w:b/>
      <w:sz w:val="32"/>
    </w:rPr>
  </w:style>
  <w:style w:type="paragraph" w:customStyle="1" w:styleId="notedraft">
    <w:name w:val="note(draft)"/>
    <w:aliases w:val="nd"/>
    <w:basedOn w:val="OPCParaBase"/>
    <w:rsid w:val="00DF386B"/>
    <w:pPr>
      <w:spacing w:before="240" w:line="240" w:lineRule="auto"/>
      <w:ind w:left="284" w:hanging="284"/>
    </w:pPr>
    <w:rPr>
      <w:i/>
      <w:sz w:val="24"/>
    </w:rPr>
  </w:style>
  <w:style w:type="paragraph" w:customStyle="1" w:styleId="notemargin">
    <w:name w:val="note(margin)"/>
    <w:aliases w:val="nm"/>
    <w:basedOn w:val="OPCParaBase"/>
    <w:rsid w:val="00DF386B"/>
    <w:pPr>
      <w:tabs>
        <w:tab w:val="left" w:pos="709"/>
      </w:tabs>
      <w:spacing w:before="122" w:line="198" w:lineRule="exact"/>
      <w:ind w:left="709" w:hanging="709"/>
    </w:pPr>
    <w:rPr>
      <w:sz w:val="18"/>
    </w:rPr>
  </w:style>
  <w:style w:type="paragraph" w:customStyle="1" w:styleId="notepara">
    <w:name w:val="note(para)"/>
    <w:aliases w:val="na"/>
    <w:basedOn w:val="OPCParaBase"/>
    <w:rsid w:val="00DF386B"/>
    <w:pPr>
      <w:spacing w:before="40" w:line="198" w:lineRule="exact"/>
      <w:ind w:left="2354" w:hanging="369"/>
    </w:pPr>
    <w:rPr>
      <w:sz w:val="18"/>
    </w:rPr>
  </w:style>
  <w:style w:type="paragraph" w:customStyle="1" w:styleId="noteParlAmend">
    <w:name w:val="note(ParlAmend)"/>
    <w:aliases w:val="npp"/>
    <w:basedOn w:val="OPCParaBase"/>
    <w:next w:val="ParlAmend"/>
    <w:rsid w:val="00DF386B"/>
    <w:pPr>
      <w:spacing w:line="240" w:lineRule="auto"/>
      <w:jc w:val="right"/>
    </w:pPr>
    <w:rPr>
      <w:rFonts w:ascii="Arial" w:hAnsi="Arial"/>
      <w:b/>
      <w:i/>
    </w:rPr>
  </w:style>
  <w:style w:type="paragraph" w:customStyle="1" w:styleId="notetext">
    <w:name w:val="note(text)"/>
    <w:aliases w:val="n"/>
    <w:basedOn w:val="OPCParaBase"/>
    <w:rsid w:val="00DF386B"/>
    <w:pPr>
      <w:spacing w:before="122" w:line="198" w:lineRule="exact"/>
      <w:ind w:left="1985" w:hanging="851"/>
    </w:pPr>
    <w:rPr>
      <w:sz w:val="18"/>
    </w:rPr>
  </w:style>
  <w:style w:type="paragraph" w:customStyle="1" w:styleId="Page1">
    <w:name w:val="Page1"/>
    <w:basedOn w:val="OPCParaBase"/>
    <w:rsid w:val="00DF386B"/>
    <w:pPr>
      <w:spacing w:before="5600" w:line="240" w:lineRule="auto"/>
    </w:pPr>
    <w:rPr>
      <w:b/>
      <w:sz w:val="32"/>
    </w:rPr>
  </w:style>
  <w:style w:type="paragraph" w:customStyle="1" w:styleId="PageBreak">
    <w:name w:val="PageBreak"/>
    <w:aliases w:val="pb"/>
    <w:basedOn w:val="OPCParaBase"/>
    <w:rsid w:val="00DF386B"/>
    <w:pPr>
      <w:spacing w:line="240" w:lineRule="auto"/>
    </w:pPr>
    <w:rPr>
      <w:sz w:val="10"/>
    </w:rPr>
  </w:style>
  <w:style w:type="paragraph" w:customStyle="1" w:styleId="paragraphsub">
    <w:name w:val="paragraph(sub)"/>
    <w:aliases w:val="aa"/>
    <w:basedOn w:val="OPCParaBase"/>
    <w:rsid w:val="00DF386B"/>
    <w:pPr>
      <w:tabs>
        <w:tab w:val="right" w:pos="1985"/>
      </w:tabs>
      <w:spacing w:before="40" w:line="240" w:lineRule="auto"/>
      <w:ind w:left="2098" w:hanging="2098"/>
    </w:pPr>
  </w:style>
  <w:style w:type="paragraph" w:customStyle="1" w:styleId="paragraphsub-sub">
    <w:name w:val="paragraph(sub-sub)"/>
    <w:aliases w:val="aaa"/>
    <w:basedOn w:val="OPCParaBase"/>
    <w:rsid w:val="00DF386B"/>
    <w:pPr>
      <w:tabs>
        <w:tab w:val="right" w:pos="2722"/>
      </w:tabs>
      <w:spacing w:before="40" w:line="240" w:lineRule="auto"/>
      <w:ind w:left="2835" w:hanging="2835"/>
    </w:pPr>
  </w:style>
  <w:style w:type="paragraph" w:customStyle="1" w:styleId="paragraph">
    <w:name w:val="paragraph"/>
    <w:aliases w:val="a"/>
    <w:basedOn w:val="OPCParaBase"/>
    <w:rsid w:val="00DF386B"/>
    <w:pPr>
      <w:tabs>
        <w:tab w:val="right" w:pos="1531"/>
      </w:tabs>
      <w:spacing w:before="40" w:line="240" w:lineRule="auto"/>
      <w:ind w:left="1644" w:hanging="1644"/>
    </w:pPr>
  </w:style>
  <w:style w:type="paragraph" w:customStyle="1" w:styleId="ParlAmend">
    <w:name w:val="ParlAmend"/>
    <w:aliases w:val="pp"/>
    <w:basedOn w:val="OPCParaBase"/>
    <w:rsid w:val="00DF386B"/>
    <w:pPr>
      <w:spacing w:before="240" w:line="240" w:lineRule="atLeast"/>
      <w:ind w:hanging="567"/>
    </w:pPr>
    <w:rPr>
      <w:sz w:val="24"/>
    </w:rPr>
  </w:style>
  <w:style w:type="paragraph" w:customStyle="1" w:styleId="Penalty">
    <w:name w:val="Penalty"/>
    <w:basedOn w:val="OPCParaBase"/>
    <w:rsid w:val="00DF386B"/>
    <w:pPr>
      <w:tabs>
        <w:tab w:val="left" w:pos="2977"/>
      </w:tabs>
      <w:spacing w:before="180" w:line="240" w:lineRule="auto"/>
      <w:ind w:left="1985" w:hanging="851"/>
    </w:pPr>
  </w:style>
  <w:style w:type="paragraph" w:customStyle="1" w:styleId="Portfolio">
    <w:name w:val="Portfolio"/>
    <w:basedOn w:val="OPCParaBase"/>
    <w:rsid w:val="00DF386B"/>
    <w:pPr>
      <w:spacing w:line="240" w:lineRule="auto"/>
    </w:pPr>
    <w:rPr>
      <w:i/>
      <w:sz w:val="20"/>
    </w:rPr>
  </w:style>
  <w:style w:type="paragraph" w:customStyle="1" w:styleId="Preamble">
    <w:name w:val="Preamble"/>
    <w:basedOn w:val="OPCParaBase"/>
    <w:next w:val="Normal"/>
    <w:rsid w:val="00DF386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F386B"/>
    <w:pPr>
      <w:spacing w:line="240" w:lineRule="auto"/>
    </w:pPr>
    <w:rPr>
      <w:i/>
      <w:sz w:val="20"/>
    </w:rPr>
  </w:style>
  <w:style w:type="paragraph" w:customStyle="1" w:styleId="Session">
    <w:name w:val="Session"/>
    <w:basedOn w:val="OPCParaBase"/>
    <w:rsid w:val="00DF386B"/>
    <w:pPr>
      <w:spacing w:line="240" w:lineRule="auto"/>
    </w:pPr>
    <w:rPr>
      <w:sz w:val="28"/>
    </w:rPr>
  </w:style>
  <w:style w:type="paragraph" w:customStyle="1" w:styleId="Sponsor">
    <w:name w:val="Sponsor"/>
    <w:basedOn w:val="OPCParaBase"/>
    <w:rsid w:val="00DF386B"/>
    <w:pPr>
      <w:spacing w:line="240" w:lineRule="auto"/>
    </w:pPr>
    <w:rPr>
      <w:i/>
    </w:rPr>
  </w:style>
  <w:style w:type="paragraph" w:customStyle="1" w:styleId="Subitem">
    <w:name w:val="Subitem"/>
    <w:aliases w:val="iss"/>
    <w:basedOn w:val="OPCParaBase"/>
    <w:rsid w:val="00DF386B"/>
    <w:pPr>
      <w:spacing w:before="180" w:line="240" w:lineRule="auto"/>
      <w:ind w:left="709" w:hanging="709"/>
    </w:pPr>
  </w:style>
  <w:style w:type="paragraph" w:customStyle="1" w:styleId="SubitemHead">
    <w:name w:val="SubitemHead"/>
    <w:aliases w:val="issh"/>
    <w:basedOn w:val="OPCParaBase"/>
    <w:rsid w:val="00DF386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F386B"/>
    <w:pPr>
      <w:spacing w:before="40" w:line="240" w:lineRule="auto"/>
      <w:ind w:left="1134"/>
    </w:pPr>
  </w:style>
  <w:style w:type="paragraph" w:customStyle="1" w:styleId="SubsectionHead">
    <w:name w:val="SubsectionHead"/>
    <w:aliases w:val="ssh"/>
    <w:basedOn w:val="OPCParaBase"/>
    <w:next w:val="subsection"/>
    <w:rsid w:val="00DF386B"/>
    <w:pPr>
      <w:keepNext/>
      <w:keepLines/>
      <w:spacing w:before="240" w:line="240" w:lineRule="auto"/>
      <w:ind w:left="1134"/>
    </w:pPr>
    <w:rPr>
      <w:i/>
    </w:rPr>
  </w:style>
  <w:style w:type="paragraph" w:customStyle="1" w:styleId="Tablea">
    <w:name w:val="Table(a)"/>
    <w:aliases w:val="ta"/>
    <w:basedOn w:val="OPCParaBase"/>
    <w:rsid w:val="00DF386B"/>
    <w:pPr>
      <w:spacing w:before="60" w:line="240" w:lineRule="auto"/>
      <w:ind w:left="284" w:hanging="284"/>
    </w:pPr>
    <w:rPr>
      <w:sz w:val="20"/>
    </w:rPr>
  </w:style>
  <w:style w:type="paragraph" w:customStyle="1" w:styleId="TableAA">
    <w:name w:val="Table(AA)"/>
    <w:aliases w:val="taaa"/>
    <w:basedOn w:val="OPCParaBase"/>
    <w:rsid w:val="00DF386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F386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F386B"/>
    <w:pPr>
      <w:spacing w:before="60" w:line="240" w:lineRule="atLeast"/>
    </w:pPr>
    <w:rPr>
      <w:sz w:val="20"/>
    </w:rPr>
  </w:style>
  <w:style w:type="paragraph" w:customStyle="1" w:styleId="TLPBoxTextnote">
    <w:name w:val="TLPBoxText(note"/>
    <w:aliases w:val="right)"/>
    <w:basedOn w:val="OPCParaBase"/>
    <w:rsid w:val="00DF386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F386B"/>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DF386B"/>
    <w:pPr>
      <w:spacing w:before="122" w:line="198" w:lineRule="exact"/>
      <w:ind w:left="1985" w:hanging="851"/>
      <w:jc w:val="right"/>
    </w:pPr>
    <w:rPr>
      <w:sz w:val="18"/>
    </w:rPr>
  </w:style>
  <w:style w:type="paragraph" w:customStyle="1" w:styleId="TLPTableBullet">
    <w:name w:val="TLPTableBullet"/>
    <w:aliases w:val="ttb"/>
    <w:basedOn w:val="OPCParaBase"/>
    <w:rsid w:val="00DF386B"/>
    <w:pPr>
      <w:spacing w:line="240" w:lineRule="exact"/>
      <w:ind w:left="284" w:hanging="284"/>
    </w:pPr>
    <w:rPr>
      <w:sz w:val="20"/>
    </w:rPr>
  </w:style>
  <w:style w:type="paragraph" w:styleId="TOC1">
    <w:name w:val="toc 1"/>
    <w:basedOn w:val="OPCParaBase"/>
    <w:next w:val="Normal"/>
    <w:uiPriority w:val="39"/>
    <w:unhideWhenUsed/>
    <w:rsid w:val="00DF386B"/>
    <w:pPr>
      <w:spacing w:line="240" w:lineRule="auto"/>
    </w:pPr>
    <w:rPr>
      <w:sz w:val="24"/>
    </w:rPr>
  </w:style>
  <w:style w:type="paragraph" w:styleId="TOC2">
    <w:name w:val="toc 2"/>
    <w:basedOn w:val="OPCParaBase"/>
    <w:next w:val="Normal"/>
    <w:uiPriority w:val="39"/>
    <w:unhideWhenUsed/>
    <w:rsid w:val="00DF386B"/>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DF386B"/>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DF386B"/>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DF386B"/>
    <w:pPr>
      <w:spacing w:line="240" w:lineRule="auto"/>
      <w:ind w:left="958"/>
    </w:pPr>
    <w:rPr>
      <w:sz w:val="24"/>
    </w:rPr>
  </w:style>
  <w:style w:type="paragraph" w:styleId="TOC6">
    <w:name w:val="toc 6"/>
    <w:basedOn w:val="OPCParaBase"/>
    <w:next w:val="Normal"/>
    <w:uiPriority w:val="39"/>
    <w:semiHidden/>
    <w:unhideWhenUsed/>
    <w:rsid w:val="00DF386B"/>
    <w:pPr>
      <w:spacing w:line="240" w:lineRule="auto"/>
      <w:ind w:left="1202"/>
    </w:pPr>
    <w:rPr>
      <w:sz w:val="24"/>
    </w:rPr>
  </w:style>
  <w:style w:type="paragraph" w:styleId="TOC7">
    <w:name w:val="toc 7"/>
    <w:basedOn w:val="OPCParaBase"/>
    <w:next w:val="Normal"/>
    <w:uiPriority w:val="39"/>
    <w:semiHidden/>
    <w:unhideWhenUsed/>
    <w:rsid w:val="00DF386B"/>
    <w:pPr>
      <w:spacing w:line="240" w:lineRule="auto"/>
      <w:ind w:left="1440"/>
    </w:pPr>
    <w:rPr>
      <w:sz w:val="24"/>
    </w:rPr>
  </w:style>
  <w:style w:type="paragraph" w:styleId="TOC8">
    <w:name w:val="toc 8"/>
    <w:basedOn w:val="OPCParaBase"/>
    <w:next w:val="Normal"/>
    <w:uiPriority w:val="39"/>
    <w:semiHidden/>
    <w:unhideWhenUsed/>
    <w:rsid w:val="00DF386B"/>
    <w:pPr>
      <w:spacing w:line="240" w:lineRule="auto"/>
      <w:ind w:left="1678"/>
    </w:pPr>
    <w:rPr>
      <w:sz w:val="24"/>
    </w:rPr>
  </w:style>
  <w:style w:type="paragraph" w:styleId="TOC9">
    <w:name w:val="toc 9"/>
    <w:basedOn w:val="OPCParaBase"/>
    <w:next w:val="Normal"/>
    <w:uiPriority w:val="39"/>
    <w:unhideWhenUsed/>
    <w:rsid w:val="00DF386B"/>
    <w:pPr>
      <w:spacing w:line="240" w:lineRule="auto"/>
      <w:ind w:left="1922"/>
    </w:pPr>
    <w:rPr>
      <w:sz w:val="24"/>
    </w:rPr>
  </w:style>
  <w:style w:type="paragraph" w:customStyle="1" w:styleId="TofSectsGroupHeading">
    <w:name w:val="TofSects(GroupHeading)"/>
    <w:basedOn w:val="OPCParaBase"/>
    <w:next w:val="TofSectsSection"/>
    <w:rsid w:val="00DF386B"/>
    <w:pPr>
      <w:keepLines/>
      <w:spacing w:before="240" w:after="120" w:line="240" w:lineRule="auto"/>
      <w:ind w:left="794"/>
    </w:pPr>
    <w:rPr>
      <w:b/>
      <w:kern w:val="28"/>
      <w:sz w:val="20"/>
    </w:rPr>
  </w:style>
  <w:style w:type="paragraph" w:customStyle="1" w:styleId="TofSectsHeading">
    <w:name w:val="TofSects(Heading)"/>
    <w:basedOn w:val="OPCParaBase"/>
    <w:rsid w:val="00DF386B"/>
    <w:pPr>
      <w:spacing w:before="240" w:after="120" w:line="240" w:lineRule="auto"/>
    </w:pPr>
    <w:rPr>
      <w:b/>
      <w:sz w:val="24"/>
    </w:rPr>
  </w:style>
  <w:style w:type="paragraph" w:customStyle="1" w:styleId="TofSectsSection">
    <w:name w:val="TofSects(Section)"/>
    <w:basedOn w:val="OPCParaBase"/>
    <w:rsid w:val="00DF386B"/>
    <w:pPr>
      <w:keepLines/>
      <w:spacing w:before="40" w:line="240" w:lineRule="auto"/>
      <w:ind w:left="1588" w:hanging="794"/>
    </w:pPr>
    <w:rPr>
      <w:kern w:val="28"/>
      <w:sz w:val="18"/>
    </w:rPr>
  </w:style>
  <w:style w:type="paragraph" w:customStyle="1" w:styleId="TofSectsSubdiv">
    <w:name w:val="TofSects(Subdiv)"/>
    <w:basedOn w:val="OPCParaBase"/>
    <w:rsid w:val="00DF386B"/>
    <w:pPr>
      <w:keepLines/>
      <w:spacing w:before="80" w:line="240" w:lineRule="auto"/>
      <w:ind w:left="1588" w:hanging="794"/>
    </w:pPr>
    <w:rPr>
      <w:kern w:val="28"/>
    </w:rPr>
  </w:style>
  <w:style w:type="paragraph" w:customStyle="1" w:styleId="WRStyle">
    <w:name w:val="WR Style"/>
    <w:aliases w:val="WR"/>
    <w:basedOn w:val="OPCParaBase"/>
    <w:rsid w:val="00DF386B"/>
    <w:pPr>
      <w:spacing w:before="240" w:line="240" w:lineRule="auto"/>
      <w:ind w:left="284" w:hanging="284"/>
    </w:pPr>
    <w:rPr>
      <w:b/>
      <w:i/>
      <w:kern w:val="28"/>
      <w:sz w:val="24"/>
    </w:rPr>
  </w:style>
  <w:style w:type="paragraph" w:customStyle="1" w:styleId="Body">
    <w:name w:val="Body"/>
    <w:aliases w:val="b"/>
    <w:basedOn w:val="OPCParaBase"/>
    <w:rsid w:val="00DF386B"/>
    <w:pPr>
      <w:spacing w:before="240" w:line="240" w:lineRule="auto"/>
    </w:pPr>
    <w:rPr>
      <w:sz w:val="24"/>
    </w:rPr>
  </w:style>
  <w:style w:type="paragraph" w:customStyle="1" w:styleId="BodyNum">
    <w:name w:val="BodyNum"/>
    <w:aliases w:val="b1"/>
    <w:basedOn w:val="OPCParaBase"/>
    <w:rsid w:val="00DF386B"/>
    <w:pPr>
      <w:numPr>
        <w:numId w:val="13"/>
      </w:numPr>
      <w:spacing w:before="240" w:line="240" w:lineRule="auto"/>
    </w:pPr>
    <w:rPr>
      <w:sz w:val="24"/>
    </w:rPr>
  </w:style>
  <w:style w:type="paragraph" w:customStyle="1" w:styleId="BodyPara">
    <w:name w:val="BodyPara"/>
    <w:aliases w:val="ba"/>
    <w:basedOn w:val="OPCParaBase"/>
    <w:rsid w:val="00DF386B"/>
    <w:pPr>
      <w:numPr>
        <w:ilvl w:val="1"/>
        <w:numId w:val="13"/>
      </w:numPr>
      <w:spacing w:before="240" w:line="240" w:lineRule="auto"/>
    </w:pPr>
    <w:rPr>
      <w:sz w:val="24"/>
    </w:rPr>
  </w:style>
  <w:style w:type="paragraph" w:customStyle="1" w:styleId="BodyParaBullet">
    <w:name w:val="BodyParaBullet"/>
    <w:aliases w:val="bpb"/>
    <w:basedOn w:val="OPCParaBase"/>
    <w:rsid w:val="00DF386B"/>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DF386B"/>
    <w:pPr>
      <w:numPr>
        <w:ilvl w:val="3"/>
        <w:numId w:val="13"/>
      </w:numPr>
      <w:spacing w:before="240" w:line="240" w:lineRule="auto"/>
    </w:pPr>
    <w:rPr>
      <w:sz w:val="24"/>
    </w:rPr>
  </w:style>
  <w:style w:type="numbering" w:customStyle="1" w:styleId="OPCBodyList">
    <w:name w:val="OPCBodyList"/>
    <w:uiPriority w:val="99"/>
    <w:rsid w:val="00DF386B"/>
    <w:pPr>
      <w:numPr>
        <w:numId w:val="13"/>
      </w:numPr>
    </w:pPr>
  </w:style>
  <w:style w:type="paragraph" w:customStyle="1" w:styleId="Head1">
    <w:name w:val="Head 1"/>
    <w:aliases w:val="1"/>
    <w:basedOn w:val="OPCParaBase"/>
    <w:next w:val="BodyNum"/>
    <w:rsid w:val="00DF386B"/>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DF386B"/>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DF386B"/>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DF386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DF386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DF386B"/>
    <w:pPr>
      <w:spacing w:before="122" w:line="198" w:lineRule="exact"/>
      <w:ind w:left="2353" w:hanging="709"/>
    </w:pPr>
    <w:rPr>
      <w:sz w:val="18"/>
    </w:rPr>
  </w:style>
  <w:style w:type="paragraph" w:styleId="Footer">
    <w:name w:val="footer"/>
    <w:link w:val="FooterChar"/>
    <w:rsid w:val="00DF386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F386B"/>
    <w:rPr>
      <w:rFonts w:eastAsia="Times New Roman" w:cs="Times New Roman"/>
      <w:sz w:val="22"/>
      <w:szCs w:val="24"/>
      <w:lang w:eastAsia="en-AU"/>
    </w:rPr>
  </w:style>
  <w:style w:type="character" w:styleId="PageNumber">
    <w:name w:val="page number"/>
    <w:basedOn w:val="DefaultParagraphFont"/>
    <w:rsid w:val="00DF386B"/>
  </w:style>
  <w:style w:type="character" w:styleId="Hyperlink">
    <w:name w:val="Hyperlink"/>
    <w:basedOn w:val="DefaultParagraphFont"/>
    <w:uiPriority w:val="99"/>
    <w:semiHidden/>
    <w:unhideWhenUsed/>
    <w:rsid w:val="008430FF"/>
    <w:rPr>
      <w:color w:val="0000FF"/>
      <w:u w:val="single"/>
    </w:rPr>
  </w:style>
  <w:style w:type="character" w:customStyle="1" w:styleId="charpsrch-metadata">
    <w:name w:val="charpsrch-metadata"/>
    <w:basedOn w:val="DefaultParagraphFont"/>
    <w:rsid w:val="006E068B"/>
  </w:style>
  <w:style w:type="paragraph" w:customStyle="1" w:styleId="Issued">
    <w:name w:val="Issued"/>
    <w:basedOn w:val="Body"/>
    <w:rsid w:val="00DF386B"/>
    <w:pPr>
      <w:spacing w:before="120"/>
    </w:pPr>
    <w:rPr>
      <w:b/>
      <w:sz w:val="28"/>
    </w:rPr>
  </w:style>
  <w:style w:type="paragraph" w:customStyle="1" w:styleId="Release">
    <w:name w:val="Release"/>
    <w:basedOn w:val="Body"/>
    <w:rsid w:val="00DF386B"/>
    <w:rPr>
      <w:b/>
    </w:rPr>
  </w:style>
  <w:style w:type="paragraph" w:styleId="BalloonText">
    <w:name w:val="Balloon Text"/>
    <w:basedOn w:val="Normal"/>
    <w:link w:val="BalloonTextChar"/>
    <w:uiPriority w:val="99"/>
    <w:semiHidden/>
    <w:unhideWhenUsed/>
    <w:rsid w:val="00DF38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86B"/>
    <w:rPr>
      <w:rFonts w:ascii="Tahoma" w:hAnsi="Tahoma" w:cs="Tahoma"/>
      <w:sz w:val="16"/>
      <w:szCs w:val="16"/>
    </w:rPr>
  </w:style>
  <w:style w:type="paragraph" w:customStyle="1" w:styleId="NoteDraftingDirection">
    <w:name w:val="Note Drafting Direction"/>
    <w:basedOn w:val="OPCParaBase"/>
    <w:rsid w:val="00DF386B"/>
    <w:pPr>
      <w:spacing w:before="120"/>
      <w:ind w:left="1134" w:hanging="1134"/>
    </w:pPr>
    <w:rPr>
      <w:sz w:val="18"/>
    </w:rPr>
  </w:style>
  <w:style w:type="paragraph" w:customStyle="1" w:styleId="SOText">
    <w:name w:val="SO Text"/>
    <w:aliases w:val="sot"/>
    <w:link w:val="SOTextChar"/>
    <w:rsid w:val="00DF386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F386B"/>
    <w:rPr>
      <w:sz w:val="22"/>
    </w:rPr>
  </w:style>
  <w:style w:type="paragraph" w:customStyle="1" w:styleId="SOTextNote">
    <w:name w:val="SO TextNote"/>
    <w:aliases w:val="sont"/>
    <w:basedOn w:val="SOText"/>
    <w:qFormat/>
    <w:rsid w:val="00DF386B"/>
    <w:pPr>
      <w:spacing w:before="122" w:line="198" w:lineRule="exact"/>
      <w:ind w:left="1843" w:hanging="709"/>
    </w:pPr>
    <w:rPr>
      <w:sz w:val="18"/>
    </w:rPr>
  </w:style>
  <w:style w:type="paragraph" w:customStyle="1" w:styleId="SOPara">
    <w:name w:val="SO Para"/>
    <w:aliases w:val="soa"/>
    <w:basedOn w:val="SOText"/>
    <w:link w:val="SOParaChar"/>
    <w:qFormat/>
    <w:rsid w:val="00DF386B"/>
    <w:pPr>
      <w:tabs>
        <w:tab w:val="right" w:pos="1786"/>
      </w:tabs>
      <w:spacing w:before="40"/>
      <w:ind w:left="2070" w:hanging="936"/>
    </w:pPr>
  </w:style>
  <w:style w:type="character" w:customStyle="1" w:styleId="SOParaChar">
    <w:name w:val="SO Para Char"/>
    <w:aliases w:val="soa Char"/>
    <w:basedOn w:val="DefaultParagraphFont"/>
    <w:link w:val="SOPara"/>
    <w:rsid w:val="00DF386B"/>
    <w:rPr>
      <w:sz w:val="22"/>
    </w:rPr>
  </w:style>
  <w:style w:type="paragraph" w:customStyle="1" w:styleId="FileName">
    <w:name w:val="FileName"/>
    <w:basedOn w:val="Normal"/>
    <w:rsid w:val="00DF386B"/>
  </w:style>
  <w:style w:type="paragraph" w:customStyle="1" w:styleId="TableHeading">
    <w:name w:val="TableHeading"/>
    <w:aliases w:val="th"/>
    <w:basedOn w:val="OPCParaBase"/>
    <w:next w:val="Tabletext"/>
    <w:rsid w:val="00DF386B"/>
    <w:pPr>
      <w:keepNext/>
      <w:spacing w:before="60" w:line="240" w:lineRule="atLeast"/>
    </w:pPr>
    <w:rPr>
      <w:b/>
      <w:sz w:val="20"/>
    </w:rPr>
  </w:style>
  <w:style w:type="paragraph" w:customStyle="1" w:styleId="SOHeadBold">
    <w:name w:val="SO HeadBold"/>
    <w:aliases w:val="sohb"/>
    <w:basedOn w:val="SOText"/>
    <w:next w:val="SOText"/>
    <w:link w:val="SOHeadBoldChar"/>
    <w:qFormat/>
    <w:rsid w:val="00DF386B"/>
    <w:rPr>
      <w:b/>
    </w:rPr>
  </w:style>
  <w:style w:type="character" w:customStyle="1" w:styleId="SOHeadBoldChar">
    <w:name w:val="SO HeadBold Char"/>
    <w:aliases w:val="sohb Char"/>
    <w:basedOn w:val="DefaultParagraphFont"/>
    <w:link w:val="SOHeadBold"/>
    <w:rsid w:val="00DF386B"/>
    <w:rPr>
      <w:b/>
      <w:sz w:val="22"/>
    </w:rPr>
  </w:style>
  <w:style w:type="paragraph" w:customStyle="1" w:styleId="SOHeadItalic">
    <w:name w:val="SO HeadItalic"/>
    <w:aliases w:val="sohi"/>
    <w:basedOn w:val="SOText"/>
    <w:next w:val="SOText"/>
    <w:link w:val="SOHeadItalicChar"/>
    <w:qFormat/>
    <w:rsid w:val="00DF386B"/>
    <w:rPr>
      <w:i/>
    </w:rPr>
  </w:style>
  <w:style w:type="character" w:customStyle="1" w:styleId="SOHeadItalicChar">
    <w:name w:val="SO HeadItalic Char"/>
    <w:aliases w:val="sohi Char"/>
    <w:basedOn w:val="DefaultParagraphFont"/>
    <w:link w:val="SOHeadItalic"/>
    <w:rsid w:val="00DF386B"/>
    <w:rPr>
      <w:i/>
      <w:sz w:val="22"/>
    </w:rPr>
  </w:style>
  <w:style w:type="paragraph" w:customStyle="1" w:styleId="SOBullet">
    <w:name w:val="SO Bullet"/>
    <w:aliases w:val="sotb"/>
    <w:basedOn w:val="SOText"/>
    <w:link w:val="SOBulletChar"/>
    <w:qFormat/>
    <w:rsid w:val="00DF386B"/>
    <w:pPr>
      <w:ind w:left="1559" w:hanging="425"/>
    </w:pPr>
  </w:style>
  <w:style w:type="character" w:customStyle="1" w:styleId="SOBulletChar">
    <w:name w:val="SO Bullet Char"/>
    <w:aliases w:val="sotb Char"/>
    <w:basedOn w:val="DefaultParagraphFont"/>
    <w:link w:val="SOBullet"/>
    <w:rsid w:val="00DF386B"/>
    <w:rPr>
      <w:sz w:val="22"/>
    </w:rPr>
  </w:style>
  <w:style w:type="paragraph" w:customStyle="1" w:styleId="SOBulletNote">
    <w:name w:val="SO BulletNote"/>
    <w:aliases w:val="sonb"/>
    <w:basedOn w:val="SOTextNote"/>
    <w:link w:val="SOBulletNoteChar"/>
    <w:qFormat/>
    <w:rsid w:val="00DF386B"/>
    <w:pPr>
      <w:tabs>
        <w:tab w:val="left" w:pos="1560"/>
      </w:tabs>
      <w:ind w:left="2268" w:hanging="1134"/>
    </w:pPr>
  </w:style>
  <w:style w:type="character" w:customStyle="1" w:styleId="SOBulletNoteChar">
    <w:name w:val="SO BulletNote Char"/>
    <w:aliases w:val="sonb Char"/>
    <w:basedOn w:val="DefaultParagraphFont"/>
    <w:link w:val="SOBulletNote"/>
    <w:rsid w:val="00DF386B"/>
    <w:rPr>
      <w:sz w:val="18"/>
    </w:rPr>
  </w:style>
  <w:style w:type="paragraph" w:customStyle="1" w:styleId="SubPartCASA">
    <w:name w:val="SubPart(CASA)"/>
    <w:aliases w:val="csp"/>
    <w:basedOn w:val="OPCParaBase"/>
    <w:next w:val="ActHead3"/>
    <w:rsid w:val="00DF386B"/>
    <w:pPr>
      <w:keepNext/>
      <w:keepLines/>
      <w:spacing w:before="280"/>
      <w:ind w:left="1134" w:hanging="1134"/>
      <w:outlineLvl w:val="1"/>
    </w:pPr>
    <w:rPr>
      <w:b/>
      <w:kern w:val="28"/>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F386B"/>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F386B"/>
  </w:style>
  <w:style w:type="paragraph" w:customStyle="1" w:styleId="OPCParaBase">
    <w:name w:val="OPCParaBase"/>
    <w:qFormat/>
    <w:rsid w:val="00DF386B"/>
    <w:pPr>
      <w:spacing w:line="260" w:lineRule="atLeast"/>
    </w:pPr>
    <w:rPr>
      <w:rFonts w:eastAsia="Times New Roman" w:cs="Times New Roman"/>
      <w:sz w:val="22"/>
      <w:lang w:eastAsia="en-AU"/>
    </w:rPr>
  </w:style>
  <w:style w:type="paragraph" w:customStyle="1" w:styleId="ShortT">
    <w:name w:val="ShortT"/>
    <w:basedOn w:val="OPCParaBase"/>
    <w:next w:val="Normal"/>
    <w:qFormat/>
    <w:rsid w:val="00DF386B"/>
    <w:pPr>
      <w:spacing w:line="240" w:lineRule="auto"/>
    </w:pPr>
    <w:rPr>
      <w:b/>
      <w:sz w:val="40"/>
    </w:rPr>
  </w:style>
  <w:style w:type="paragraph" w:customStyle="1" w:styleId="ActHead1">
    <w:name w:val="ActHead 1"/>
    <w:aliases w:val="c"/>
    <w:basedOn w:val="OPCParaBase"/>
    <w:next w:val="Normal"/>
    <w:qFormat/>
    <w:rsid w:val="00DF386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F386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F386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F386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F386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F386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F386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F386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F386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F386B"/>
  </w:style>
  <w:style w:type="paragraph" w:customStyle="1" w:styleId="Blocks">
    <w:name w:val="Blocks"/>
    <w:aliases w:val="bb"/>
    <w:basedOn w:val="OPCParaBase"/>
    <w:qFormat/>
    <w:rsid w:val="00DF386B"/>
    <w:pPr>
      <w:spacing w:line="240" w:lineRule="auto"/>
    </w:pPr>
    <w:rPr>
      <w:sz w:val="24"/>
    </w:rPr>
  </w:style>
  <w:style w:type="paragraph" w:customStyle="1" w:styleId="BoxText">
    <w:name w:val="BoxText"/>
    <w:aliases w:val="bt"/>
    <w:basedOn w:val="OPCParaBase"/>
    <w:rsid w:val="00DF386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F386B"/>
    <w:rPr>
      <w:b/>
    </w:rPr>
  </w:style>
  <w:style w:type="paragraph" w:customStyle="1" w:styleId="BoxHeadItalic">
    <w:name w:val="BoxHeadItalic"/>
    <w:aliases w:val="bhi"/>
    <w:basedOn w:val="BoxText"/>
    <w:next w:val="Normal"/>
    <w:qFormat/>
    <w:rsid w:val="00DF386B"/>
    <w:rPr>
      <w:i/>
    </w:rPr>
  </w:style>
  <w:style w:type="paragraph" w:customStyle="1" w:styleId="BoxList">
    <w:name w:val="BoxList"/>
    <w:aliases w:val="bl"/>
    <w:basedOn w:val="BoxText"/>
    <w:qFormat/>
    <w:rsid w:val="00DF386B"/>
    <w:pPr>
      <w:ind w:left="1559" w:hanging="425"/>
    </w:pPr>
  </w:style>
  <w:style w:type="paragraph" w:customStyle="1" w:styleId="BoxNote">
    <w:name w:val="BoxNote"/>
    <w:aliases w:val="bn"/>
    <w:basedOn w:val="BoxText"/>
    <w:qFormat/>
    <w:rsid w:val="00DF386B"/>
    <w:pPr>
      <w:tabs>
        <w:tab w:val="left" w:pos="1985"/>
      </w:tabs>
      <w:spacing w:before="122" w:line="198" w:lineRule="exact"/>
      <w:ind w:left="2948" w:hanging="1814"/>
    </w:pPr>
    <w:rPr>
      <w:sz w:val="18"/>
    </w:rPr>
  </w:style>
  <w:style w:type="paragraph" w:customStyle="1" w:styleId="BoxPara">
    <w:name w:val="BoxPara"/>
    <w:aliases w:val="bp"/>
    <w:basedOn w:val="BoxText"/>
    <w:qFormat/>
    <w:rsid w:val="00DF386B"/>
    <w:pPr>
      <w:tabs>
        <w:tab w:val="right" w:pos="2268"/>
      </w:tabs>
      <w:ind w:left="2552" w:hanging="1418"/>
    </w:pPr>
  </w:style>
  <w:style w:type="paragraph" w:customStyle="1" w:styleId="BoxStep">
    <w:name w:val="BoxStep"/>
    <w:aliases w:val="bs"/>
    <w:basedOn w:val="BoxText"/>
    <w:qFormat/>
    <w:rsid w:val="00DF386B"/>
    <w:pPr>
      <w:ind w:left="1985" w:hanging="851"/>
    </w:pPr>
  </w:style>
  <w:style w:type="character" w:customStyle="1" w:styleId="CharAmPartNo">
    <w:name w:val="CharAmPartNo"/>
    <w:basedOn w:val="OPCCharBase"/>
    <w:uiPriority w:val="1"/>
    <w:qFormat/>
    <w:rsid w:val="00DF386B"/>
  </w:style>
  <w:style w:type="character" w:customStyle="1" w:styleId="CharAmPartText">
    <w:name w:val="CharAmPartText"/>
    <w:basedOn w:val="OPCCharBase"/>
    <w:uiPriority w:val="1"/>
    <w:qFormat/>
    <w:rsid w:val="00DF386B"/>
  </w:style>
  <w:style w:type="character" w:customStyle="1" w:styleId="CharAmSchNo">
    <w:name w:val="CharAmSchNo"/>
    <w:basedOn w:val="OPCCharBase"/>
    <w:uiPriority w:val="1"/>
    <w:qFormat/>
    <w:rsid w:val="00DF386B"/>
  </w:style>
  <w:style w:type="character" w:customStyle="1" w:styleId="CharAmSchText">
    <w:name w:val="CharAmSchText"/>
    <w:basedOn w:val="OPCCharBase"/>
    <w:uiPriority w:val="1"/>
    <w:qFormat/>
    <w:rsid w:val="00DF386B"/>
  </w:style>
  <w:style w:type="character" w:customStyle="1" w:styleId="CharBoldItalic">
    <w:name w:val="CharBoldItalic"/>
    <w:basedOn w:val="OPCCharBase"/>
    <w:uiPriority w:val="1"/>
    <w:qFormat/>
    <w:rsid w:val="00DF386B"/>
    <w:rPr>
      <w:b/>
      <w:i/>
    </w:rPr>
  </w:style>
  <w:style w:type="character" w:customStyle="1" w:styleId="CharChapNo">
    <w:name w:val="CharChapNo"/>
    <w:basedOn w:val="OPCCharBase"/>
    <w:uiPriority w:val="1"/>
    <w:qFormat/>
    <w:rsid w:val="00DF386B"/>
  </w:style>
  <w:style w:type="character" w:customStyle="1" w:styleId="CharChapText">
    <w:name w:val="CharChapText"/>
    <w:basedOn w:val="OPCCharBase"/>
    <w:uiPriority w:val="1"/>
    <w:qFormat/>
    <w:rsid w:val="00DF386B"/>
  </w:style>
  <w:style w:type="character" w:customStyle="1" w:styleId="CharDivNo">
    <w:name w:val="CharDivNo"/>
    <w:basedOn w:val="OPCCharBase"/>
    <w:uiPriority w:val="1"/>
    <w:qFormat/>
    <w:rsid w:val="00DF386B"/>
  </w:style>
  <w:style w:type="character" w:customStyle="1" w:styleId="CharDivText">
    <w:name w:val="CharDivText"/>
    <w:basedOn w:val="OPCCharBase"/>
    <w:uiPriority w:val="1"/>
    <w:qFormat/>
    <w:rsid w:val="00DF386B"/>
  </w:style>
  <w:style w:type="character" w:customStyle="1" w:styleId="CharItalic">
    <w:name w:val="CharItalic"/>
    <w:basedOn w:val="OPCCharBase"/>
    <w:uiPriority w:val="1"/>
    <w:qFormat/>
    <w:rsid w:val="00DF386B"/>
    <w:rPr>
      <w:i/>
    </w:rPr>
  </w:style>
  <w:style w:type="character" w:customStyle="1" w:styleId="CharPartNo">
    <w:name w:val="CharPartNo"/>
    <w:basedOn w:val="OPCCharBase"/>
    <w:uiPriority w:val="1"/>
    <w:qFormat/>
    <w:rsid w:val="00DF386B"/>
  </w:style>
  <w:style w:type="character" w:customStyle="1" w:styleId="CharPartText">
    <w:name w:val="CharPartText"/>
    <w:basedOn w:val="OPCCharBase"/>
    <w:uiPriority w:val="1"/>
    <w:qFormat/>
    <w:rsid w:val="00DF386B"/>
  </w:style>
  <w:style w:type="character" w:customStyle="1" w:styleId="CharSectno">
    <w:name w:val="CharSectno"/>
    <w:basedOn w:val="OPCCharBase"/>
    <w:uiPriority w:val="1"/>
    <w:qFormat/>
    <w:rsid w:val="00DF386B"/>
  </w:style>
  <w:style w:type="character" w:customStyle="1" w:styleId="CharSubdNo">
    <w:name w:val="CharSubdNo"/>
    <w:basedOn w:val="OPCCharBase"/>
    <w:uiPriority w:val="1"/>
    <w:qFormat/>
    <w:rsid w:val="00DF386B"/>
  </w:style>
  <w:style w:type="character" w:customStyle="1" w:styleId="CharSubdText">
    <w:name w:val="CharSubdText"/>
    <w:basedOn w:val="OPCCharBase"/>
    <w:uiPriority w:val="1"/>
    <w:qFormat/>
    <w:rsid w:val="00DF386B"/>
  </w:style>
  <w:style w:type="paragraph" w:customStyle="1" w:styleId="CTA--">
    <w:name w:val="CTA --"/>
    <w:basedOn w:val="OPCParaBase"/>
    <w:next w:val="Normal"/>
    <w:rsid w:val="00DF386B"/>
    <w:pPr>
      <w:spacing w:before="60" w:line="240" w:lineRule="atLeast"/>
      <w:ind w:left="142" w:hanging="142"/>
    </w:pPr>
    <w:rPr>
      <w:sz w:val="20"/>
    </w:rPr>
  </w:style>
  <w:style w:type="paragraph" w:customStyle="1" w:styleId="CTA-">
    <w:name w:val="CTA -"/>
    <w:basedOn w:val="OPCParaBase"/>
    <w:rsid w:val="00DF386B"/>
    <w:pPr>
      <w:spacing w:before="60" w:line="240" w:lineRule="atLeast"/>
      <w:ind w:left="85" w:hanging="85"/>
    </w:pPr>
    <w:rPr>
      <w:sz w:val="20"/>
    </w:rPr>
  </w:style>
  <w:style w:type="paragraph" w:customStyle="1" w:styleId="CTA---">
    <w:name w:val="CTA ---"/>
    <w:basedOn w:val="OPCParaBase"/>
    <w:next w:val="Normal"/>
    <w:rsid w:val="00DF386B"/>
    <w:pPr>
      <w:spacing w:before="60" w:line="240" w:lineRule="atLeast"/>
      <w:ind w:left="198" w:hanging="198"/>
    </w:pPr>
    <w:rPr>
      <w:sz w:val="20"/>
    </w:rPr>
  </w:style>
  <w:style w:type="paragraph" w:customStyle="1" w:styleId="CTA----">
    <w:name w:val="CTA ----"/>
    <w:basedOn w:val="OPCParaBase"/>
    <w:next w:val="Normal"/>
    <w:rsid w:val="00DF386B"/>
    <w:pPr>
      <w:spacing w:before="60" w:line="240" w:lineRule="atLeast"/>
      <w:ind w:left="255" w:hanging="255"/>
    </w:pPr>
    <w:rPr>
      <w:sz w:val="20"/>
    </w:rPr>
  </w:style>
  <w:style w:type="paragraph" w:customStyle="1" w:styleId="CTA1a">
    <w:name w:val="CTA 1(a)"/>
    <w:basedOn w:val="OPCParaBase"/>
    <w:rsid w:val="00DF386B"/>
    <w:pPr>
      <w:tabs>
        <w:tab w:val="right" w:pos="414"/>
      </w:tabs>
      <w:spacing w:before="40" w:line="240" w:lineRule="atLeast"/>
      <w:ind w:left="675" w:hanging="675"/>
    </w:pPr>
    <w:rPr>
      <w:sz w:val="20"/>
    </w:rPr>
  </w:style>
  <w:style w:type="paragraph" w:customStyle="1" w:styleId="CTA1ai">
    <w:name w:val="CTA 1(a)(i)"/>
    <w:basedOn w:val="OPCParaBase"/>
    <w:rsid w:val="00DF386B"/>
    <w:pPr>
      <w:tabs>
        <w:tab w:val="right" w:pos="1004"/>
      </w:tabs>
      <w:spacing w:before="40" w:line="240" w:lineRule="atLeast"/>
      <w:ind w:left="1253" w:hanging="1253"/>
    </w:pPr>
    <w:rPr>
      <w:sz w:val="20"/>
    </w:rPr>
  </w:style>
  <w:style w:type="paragraph" w:customStyle="1" w:styleId="CTA2a">
    <w:name w:val="CTA 2(a)"/>
    <w:basedOn w:val="OPCParaBase"/>
    <w:rsid w:val="00DF386B"/>
    <w:pPr>
      <w:tabs>
        <w:tab w:val="right" w:pos="482"/>
      </w:tabs>
      <w:spacing w:before="40" w:line="240" w:lineRule="atLeast"/>
      <w:ind w:left="748" w:hanging="748"/>
    </w:pPr>
    <w:rPr>
      <w:sz w:val="20"/>
    </w:rPr>
  </w:style>
  <w:style w:type="paragraph" w:customStyle="1" w:styleId="CTA2ai">
    <w:name w:val="CTA 2(a)(i)"/>
    <w:basedOn w:val="OPCParaBase"/>
    <w:rsid w:val="00DF386B"/>
    <w:pPr>
      <w:tabs>
        <w:tab w:val="right" w:pos="1089"/>
      </w:tabs>
      <w:spacing w:before="40" w:line="240" w:lineRule="atLeast"/>
      <w:ind w:left="1327" w:hanging="1327"/>
    </w:pPr>
    <w:rPr>
      <w:sz w:val="20"/>
    </w:rPr>
  </w:style>
  <w:style w:type="paragraph" w:customStyle="1" w:styleId="CTA3a">
    <w:name w:val="CTA 3(a)"/>
    <w:basedOn w:val="OPCParaBase"/>
    <w:rsid w:val="00DF386B"/>
    <w:pPr>
      <w:tabs>
        <w:tab w:val="right" w:pos="556"/>
      </w:tabs>
      <w:spacing w:before="40" w:line="240" w:lineRule="atLeast"/>
      <w:ind w:left="805" w:hanging="805"/>
    </w:pPr>
    <w:rPr>
      <w:sz w:val="20"/>
    </w:rPr>
  </w:style>
  <w:style w:type="paragraph" w:customStyle="1" w:styleId="CTA3ai">
    <w:name w:val="CTA 3(a)(i)"/>
    <w:basedOn w:val="OPCParaBase"/>
    <w:rsid w:val="00DF386B"/>
    <w:pPr>
      <w:tabs>
        <w:tab w:val="right" w:pos="1140"/>
      </w:tabs>
      <w:spacing w:before="40" w:line="240" w:lineRule="atLeast"/>
      <w:ind w:left="1361" w:hanging="1361"/>
    </w:pPr>
    <w:rPr>
      <w:sz w:val="20"/>
    </w:rPr>
  </w:style>
  <w:style w:type="paragraph" w:customStyle="1" w:styleId="CTA4a">
    <w:name w:val="CTA 4(a)"/>
    <w:basedOn w:val="OPCParaBase"/>
    <w:rsid w:val="00DF386B"/>
    <w:pPr>
      <w:tabs>
        <w:tab w:val="right" w:pos="624"/>
      </w:tabs>
      <w:spacing w:before="40" w:line="240" w:lineRule="atLeast"/>
      <w:ind w:left="873" w:hanging="873"/>
    </w:pPr>
    <w:rPr>
      <w:sz w:val="20"/>
    </w:rPr>
  </w:style>
  <w:style w:type="paragraph" w:customStyle="1" w:styleId="CTA4ai">
    <w:name w:val="CTA 4(a)(i)"/>
    <w:basedOn w:val="OPCParaBase"/>
    <w:rsid w:val="00DF386B"/>
    <w:pPr>
      <w:tabs>
        <w:tab w:val="right" w:pos="1213"/>
      </w:tabs>
      <w:spacing w:before="40" w:line="240" w:lineRule="atLeast"/>
      <w:ind w:left="1452" w:hanging="1452"/>
    </w:pPr>
    <w:rPr>
      <w:sz w:val="20"/>
    </w:rPr>
  </w:style>
  <w:style w:type="paragraph" w:customStyle="1" w:styleId="CTACAPS">
    <w:name w:val="CTA CAPS"/>
    <w:basedOn w:val="OPCParaBase"/>
    <w:rsid w:val="00DF386B"/>
    <w:pPr>
      <w:spacing w:before="60" w:line="240" w:lineRule="atLeast"/>
    </w:pPr>
    <w:rPr>
      <w:sz w:val="20"/>
    </w:rPr>
  </w:style>
  <w:style w:type="paragraph" w:customStyle="1" w:styleId="CTAright">
    <w:name w:val="CTA right"/>
    <w:basedOn w:val="OPCParaBase"/>
    <w:rsid w:val="00DF386B"/>
    <w:pPr>
      <w:spacing w:before="60" w:line="240" w:lineRule="auto"/>
      <w:jc w:val="right"/>
    </w:pPr>
    <w:rPr>
      <w:sz w:val="20"/>
    </w:rPr>
  </w:style>
  <w:style w:type="paragraph" w:customStyle="1" w:styleId="subsection">
    <w:name w:val="subsection"/>
    <w:aliases w:val="ss"/>
    <w:basedOn w:val="OPCParaBase"/>
    <w:rsid w:val="00DF386B"/>
    <w:pPr>
      <w:tabs>
        <w:tab w:val="right" w:pos="1021"/>
      </w:tabs>
      <w:spacing w:before="180" w:line="240" w:lineRule="auto"/>
      <w:ind w:left="1134" w:hanging="1134"/>
    </w:pPr>
  </w:style>
  <w:style w:type="paragraph" w:customStyle="1" w:styleId="Definition">
    <w:name w:val="Definition"/>
    <w:aliases w:val="dd"/>
    <w:basedOn w:val="OPCParaBase"/>
    <w:rsid w:val="00DF386B"/>
    <w:pPr>
      <w:spacing w:before="180" w:line="240" w:lineRule="auto"/>
      <w:ind w:left="1134"/>
    </w:pPr>
  </w:style>
  <w:style w:type="paragraph" w:customStyle="1" w:styleId="ETAsubitem">
    <w:name w:val="ETA(subitem)"/>
    <w:basedOn w:val="OPCParaBase"/>
    <w:rsid w:val="00DF386B"/>
    <w:pPr>
      <w:tabs>
        <w:tab w:val="right" w:pos="340"/>
      </w:tabs>
      <w:spacing w:before="60" w:line="240" w:lineRule="auto"/>
      <w:ind w:left="454" w:hanging="454"/>
    </w:pPr>
    <w:rPr>
      <w:sz w:val="20"/>
    </w:rPr>
  </w:style>
  <w:style w:type="paragraph" w:customStyle="1" w:styleId="ETApara">
    <w:name w:val="ETA(para)"/>
    <w:basedOn w:val="OPCParaBase"/>
    <w:rsid w:val="00DF386B"/>
    <w:pPr>
      <w:tabs>
        <w:tab w:val="right" w:pos="754"/>
      </w:tabs>
      <w:spacing w:before="60" w:line="240" w:lineRule="auto"/>
      <w:ind w:left="828" w:hanging="828"/>
    </w:pPr>
    <w:rPr>
      <w:sz w:val="20"/>
    </w:rPr>
  </w:style>
  <w:style w:type="paragraph" w:customStyle="1" w:styleId="ETAsubpara">
    <w:name w:val="ETA(subpara)"/>
    <w:basedOn w:val="OPCParaBase"/>
    <w:rsid w:val="00DF386B"/>
    <w:pPr>
      <w:tabs>
        <w:tab w:val="right" w:pos="1083"/>
      </w:tabs>
      <w:spacing w:before="60" w:line="240" w:lineRule="auto"/>
      <w:ind w:left="1191" w:hanging="1191"/>
    </w:pPr>
    <w:rPr>
      <w:sz w:val="20"/>
    </w:rPr>
  </w:style>
  <w:style w:type="paragraph" w:customStyle="1" w:styleId="ETAsub-subpara">
    <w:name w:val="ETA(sub-subpara)"/>
    <w:basedOn w:val="OPCParaBase"/>
    <w:rsid w:val="00DF386B"/>
    <w:pPr>
      <w:tabs>
        <w:tab w:val="right" w:pos="1412"/>
      </w:tabs>
      <w:spacing w:before="60" w:line="240" w:lineRule="auto"/>
      <w:ind w:left="1525" w:hanging="1525"/>
    </w:pPr>
    <w:rPr>
      <w:sz w:val="20"/>
    </w:rPr>
  </w:style>
  <w:style w:type="paragraph" w:customStyle="1" w:styleId="Formula">
    <w:name w:val="Formula"/>
    <w:basedOn w:val="OPCParaBase"/>
    <w:rsid w:val="00DF386B"/>
    <w:pPr>
      <w:spacing w:line="240" w:lineRule="auto"/>
      <w:ind w:left="1134"/>
    </w:pPr>
    <w:rPr>
      <w:sz w:val="20"/>
    </w:rPr>
  </w:style>
  <w:style w:type="paragraph" w:styleId="Header">
    <w:name w:val="header"/>
    <w:basedOn w:val="OPCParaBase"/>
    <w:link w:val="HeaderChar"/>
    <w:unhideWhenUsed/>
    <w:rsid w:val="00DF386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F386B"/>
    <w:rPr>
      <w:rFonts w:eastAsia="Times New Roman" w:cs="Times New Roman"/>
      <w:sz w:val="16"/>
      <w:lang w:eastAsia="en-AU"/>
    </w:rPr>
  </w:style>
  <w:style w:type="paragraph" w:customStyle="1" w:styleId="House">
    <w:name w:val="House"/>
    <w:basedOn w:val="OPCParaBase"/>
    <w:rsid w:val="00DF386B"/>
    <w:pPr>
      <w:spacing w:line="240" w:lineRule="auto"/>
    </w:pPr>
    <w:rPr>
      <w:sz w:val="28"/>
    </w:rPr>
  </w:style>
  <w:style w:type="paragraph" w:customStyle="1" w:styleId="Item">
    <w:name w:val="Item"/>
    <w:aliases w:val="i"/>
    <w:basedOn w:val="OPCParaBase"/>
    <w:next w:val="ItemHead"/>
    <w:rsid w:val="00DF386B"/>
    <w:pPr>
      <w:keepLines/>
      <w:spacing w:before="80" w:line="240" w:lineRule="auto"/>
      <w:ind w:left="709"/>
    </w:pPr>
  </w:style>
  <w:style w:type="paragraph" w:customStyle="1" w:styleId="ItemHead">
    <w:name w:val="ItemHead"/>
    <w:aliases w:val="ih"/>
    <w:basedOn w:val="OPCParaBase"/>
    <w:next w:val="Item"/>
    <w:rsid w:val="00DF386B"/>
    <w:pPr>
      <w:keepLines/>
      <w:spacing w:before="220" w:line="240" w:lineRule="auto"/>
      <w:ind w:left="709" w:hanging="709"/>
    </w:pPr>
    <w:rPr>
      <w:rFonts w:ascii="Arial" w:hAnsi="Arial"/>
      <w:b/>
      <w:kern w:val="28"/>
      <w:sz w:val="24"/>
    </w:rPr>
  </w:style>
  <w:style w:type="paragraph" w:customStyle="1" w:styleId="LongT">
    <w:name w:val="LongT"/>
    <w:basedOn w:val="OPCParaBase"/>
    <w:rsid w:val="00DF386B"/>
    <w:pPr>
      <w:spacing w:line="240" w:lineRule="auto"/>
    </w:pPr>
    <w:rPr>
      <w:b/>
      <w:sz w:val="32"/>
    </w:rPr>
  </w:style>
  <w:style w:type="paragraph" w:customStyle="1" w:styleId="notedraft">
    <w:name w:val="note(draft)"/>
    <w:aliases w:val="nd"/>
    <w:basedOn w:val="OPCParaBase"/>
    <w:rsid w:val="00DF386B"/>
    <w:pPr>
      <w:spacing w:before="240" w:line="240" w:lineRule="auto"/>
      <w:ind w:left="284" w:hanging="284"/>
    </w:pPr>
    <w:rPr>
      <w:i/>
      <w:sz w:val="24"/>
    </w:rPr>
  </w:style>
  <w:style w:type="paragraph" w:customStyle="1" w:styleId="notemargin">
    <w:name w:val="note(margin)"/>
    <w:aliases w:val="nm"/>
    <w:basedOn w:val="OPCParaBase"/>
    <w:rsid w:val="00DF386B"/>
    <w:pPr>
      <w:tabs>
        <w:tab w:val="left" w:pos="709"/>
      </w:tabs>
      <w:spacing w:before="122" w:line="198" w:lineRule="exact"/>
      <w:ind w:left="709" w:hanging="709"/>
    </w:pPr>
    <w:rPr>
      <w:sz w:val="18"/>
    </w:rPr>
  </w:style>
  <w:style w:type="paragraph" w:customStyle="1" w:styleId="notepara">
    <w:name w:val="note(para)"/>
    <w:aliases w:val="na"/>
    <w:basedOn w:val="OPCParaBase"/>
    <w:rsid w:val="00DF386B"/>
    <w:pPr>
      <w:spacing w:before="40" w:line="198" w:lineRule="exact"/>
      <w:ind w:left="2354" w:hanging="369"/>
    </w:pPr>
    <w:rPr>
      <w:sz w:val="18"/>
    </w:rPr>
  </w:style>
  <w:style w:type="paragraph" w:customStyle="1" w:styleId="noteParlAmend">
    <w:name w:val="note(ParlAmend)"/>
    <w:aliases w:val="npp"/>
    <w:basedOn w:val="OPCParaBase"/>
    <w:next w:val="ParlAmend"/>
    <w:rsid w:val="00DF386B"/>
    <w:pPr>
      <w:spacing w:line="240" w:lineRule="auto"/>
      <w:jc w:val="right"/>
    </w:pPr>
    <w:rPr>
      <w:rFonts w:ascii="Arial" w:hAnsi="Arial"/>
      <w:b/>
      <w:i/>
    </w:rPr>
  </w:style>
  <w:style w:type="paragraph" w:customStyle="1" w:styleId="notetext">
    <w:name w:val="note(text)"/>
    <w:aliases w:val="n"/>
    <w:basedOn w:val="OPCParaBase"/>
    <w:rsid w:val="00DF386B"/>
    <w:pPr>
      <w:spacing w:before="122" w:line="198" w:lineRule="exact"/>
      <w:ind w:left="1985" w:hanging="851"/>
    </w:pPr>
    <w:rPr>
      <w:sz w:val="18"/>
    </w:rPr>
  </w:style>
  <w:style w:type="paragraph" w:customStyle="1" w:styleId="Page1">
    <w:name w:val="Page1"/>
    <w:basedOn w:val="OPCParaBase"/>
    <w:rsid w:val="00DF386B"/>
    <w:pPr>
      <w:spacing w:before="5600" w:line="240" w:lineRule="auto"/>
    </w:pPr>
    <w:rPr>
      <w:b/>
      <w:sz w:val="32"/>
    </w:rPr>
  </w:style>
  <w:style w:type="paragraph" w:customStyle="1" w:styleId="PageBreak">
    <w:name w:val="PageBreak"/>
    <w:aliases w:val="pb"/>
    <w:basedOn w:val="OPCParaBase"/>
    <w:rsid w:val="00DF386B"/>
    <w:pPr>
      <w:spacing w:line="240" w:lineRule="auto"/>
    </w:pPr>
    <w:rPr>
      <w:sz w:val="10"/>
    </w:rPr>
  </w:style>
  <w:style w:type="paragraph" w:customStyle="1" w:styleId="paragraphsub">
    <w:name w:val="paragraph(sub)"/>
    <w:aliases w:val="aa"/>
    <w:basedOn w:val="OPCParaBase"/>
    <w:rsid w:val="00DF386B"/>
    <w:pPr>
      <w:tabs>
        <w:tab w:val="right" w:pos="1985"/>
      </w:tabs>
      <w:spacing w:before="40" w:line="240" w:lineRule="auto"/>
      <w:ind w:left="2098" w:hanging="2098"/>
    </w:pPr>
  </w:style>
  <w:style w:type="paragraph" w:customStyle="1" w:styleId="paragraphsub-sub">
    <w:name w:val="paragraph(sub-sub)"/>
    <w:aliases w:val="aaa"/>
    <w:basedOn w:val="OPCParaBase"/>
    <w:rsid w:val="00DF386B"/>
    <w:pPr>
      <w:tabs>
        <w:tab w:val="right" w:pos="2722"/>
      </w:tabs>
      <w:spacing w:before="40" w:line="240" w:lineRule="auto"/>
      <w:ind w:left="2835" w:hanging="2835"/>
    </w:pPr>
  </w:style>
  <w:style w:type="paragraph" w:customStyle="1" w:styleId="paragraph">
    <w:name w:val="paragraph"/>
    <w:aliases w:val="a"/>
    <w:basedOn w:val="OPCParaBase"/>
    <w:rsid w:val="00DF386B"/>
    <w:pPr>
      <w:tabs>
        <w:tab w:val="right" w:pos="1531"/>
      </w:tabs>
      <w:spacing w:before="40" w:line="240" w:lineRule="auto"/>
      <w:ind w:left="1644" w:hanging="1644"/>
    </w:pPr>
  </w:style>
  <w:style w:type="paragraph" w:customStyle="1" w:styleId="ParlAmend">
    <w:name w:val="ParlAmend"/>
    <w:aliases w:val="pp"/>
    <w:basedOn w:val="OPCParaBase"/>
    <w:rsid w:val="00DF386B"/>
    <w:pPr>
      <w:spacing w:before="240" w:line="240" w:lineRule="atLeast"/>
      <w:ind w:hanging="567"/>
    </w:pPr>
    <w:rPr>
      <w:sz w:val="24"/>
    </w:rPr>
  </w:style>
  <w:style w:type="paragraph" w:customStyle="1" w:styleId="Penalty">
    <w:name w:val="Penalty"/>
    <w:basedOn w:val="OPCParaBase"/>
    <w:rsid w:val="00DF386B"/>
    <w:pPr>
      <w:tabs>
        <w:tab w:val="left" w:pos="2977"/>
      </w:tabs>
      <w:spacing w:before="180" w:line="240" w:lineRule="auto"/>
      <w:ind w:left="1985" w:hanging="851"/>
    </w:pPr>
  </w:style>
  <w:style w:type="paragraph" w:customStyle="1" w:styleId="Portfolio">
    <w:name w:val="Portfolio"/>
    <w:basedOn w:val="OPCParaBase"/>
    <w:rsid w:val="00DF386B"/>
    <w:pPr>
      <w:spacing w:line="240" w:lineRule="auto"/>
    </w:pPr>
    <w:rPr>
      <w:i/>
      <w:sz w:val="20"/>
    </w:rPr>
  </w:style>
  <w:style w:type="paragraph" w:customStyle="1" w:styleId="Preamble">
    <w:name w:val="Preamble"/>
    <w:basedOn w:val="OPCParaBase"/>
    <w:next w:val="Normal"/>
    <w:rsid w:val="00DF386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F386B"/>
    <w:pPr>
      <w:spacing w:line="240" w:lineRule="auto"/>
    </w:pPr>
    <w:rPr>
      <w:i/>
      <w:sz w:val="20"/>
    </w:rPr>
  </w:style>
  <w:style w:type="paragraph" w:customStyle="1" w:styleId="Session">
    <w:name w:val="Session"/>
    <w:basedOn w:val="OPCParaBase"/>
    <w:rsid w:val="00DF386B"/>
    <w:pPr>
      <w:spacing w:line="240" w:lineRule="auto"/>
    </w:pPr>
    <w:rPr>
      <w:sz w:val="28"/>
    </w:rPr>
  </w:style>
  <w:style w:type="paragraph" w:customStyle="1" w:styleId="Sponsor">
    <w:name w:val="Sponsor"/>
    <w:basedOn w:val="OPCParaBase"/>
    <w:rsid w:val="00DF386B"/>
    <w:pPr>
      <w:spacing w:line="240" w:lineRule="auto"/>
    </w:pPr>
    <w:rPr>
      <w:i/>
    </w:rPr>
  </w:style>
  <w:style w:type="paragraph" w:customStyle="1" w:styleId="Subitem">
    <w:name w:val="Subitem"/>
    <w:aliases w:val="iss"/>
    <w:basedOn w:val="OPCParaBase"/>
    <w:rsid w:val="00DF386B"/>
    <w:pPr>
      <w:spacing w:before="180" w:line="240" w:lineRule="auto"/>
      <w:ind w:left="709" w:hanging="709"/>
    </w:pPr>
  </w:style>
  <w:style w:type="paragraph" w:customStyle="1" w:styleId="SubitemHead">
    <w:name w:val="SubitemHead"/>
    <w:aliases w:val="issh"/>
    <w:basedOn w:val="OPCParaBase"/>
    <w:rsid w:val="00DF386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F386B"/>
    <w:pPr>
      <w:spacing w:before="40" w:line="240" w:lineRule="auto"/>
      <w:ind w:left="1134"/>
    </w:pPr>
  </w:style>
  <w:style w:type="paragraph" w:customStyle="1" w:styleId="SubsectionHead">
    <w:name w:val="SubsectionHead"/>
    <w:aliases w:val="ssh"/>
    <w:basedOn w:val="OPCParaBase"/>
    <w:next w:val="subsection"/>
    <w:rsid w:val="00DF386B"/>
    <w:pPr>
      <w:keepNext/>
      <w:keepLines/>
      <w:spacing w:before="240" w:line="240" w:lineRule="auto"/>
      <w:ind w:left="1134"/>
    </w:pPr>
    <w:rPr>
      <w:i/>
    </w:rPr>
  </w:style>
  <w:style w:type="paragraph" w:customStyle="1" w:styleId="Tablea">
    <w:name w:val="Table(a)"/>
    <w:aliases w:val="ta"/>
    <w:basedOn w:val="OPCParaBase"/>
    <w:rsid w:val="00DF386B"/>
    <w:pPr>
      <w:spacing w:before="60" w:line="240" w:lineRule="auto"/>
      <w:ind w:left="284" w:hanging="284"/>
    </w:pPr>
    <w:rPr>
      <w:sz w:val="20"/>
    </w:rPr>
  </w:style>
  <w:style w:type="paragraph" w:customStyle="1" w:styleId="TableAA">
    <w:name w:val="Table(AA)"/>
    <w:aliases w:val="taaa"/>
    <w:basedOn w:val="OPCParaBase"/>
    <w:rsid w:val="00DF386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F386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F386B"/>
    <w:pPr>
      <w:spacing w:before="60" w:line="240" w:lineRule="atLeast"/>
    </w:pPr>
    <w:rPr>
      <w:sz w:val="20"/>
    </w:rPr>
  </w:style>
  <w:style w:type="paragraph" w:customStyle="1" w:styleId="TLPBoxTextnote">
    <w:name w:val="TLPBoxText(note"/>
    <w:aliases w:val="right)"/>
    <w:basedOn w:val="OPCParaBase"/>
    <w:rsid w:val="00DF386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F386B"/>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DF386B"/>
    <w:pPr>
      <w:spacing w:before="122" w:line="198" w:lineRule="exact"/>
      <w:ind w:left="1985" w:hanging="851"/>
      <w:jc w:val="right"/>
    </w:pPr>
    <w:rPr>
      <w:sz w:val="18"/>
    </w:rPr>
  </w:style>
  <w:style w:type="paragraph" w:customStyle="1" w:styleId="TLPTableBullet">
    <w:name w:val="TLPTableBullet"/>
    <w:aliases w:val="ttb"/>
    <w:basedOn w:val="OPCParaBase"/>
    <w:rsid w:val="00DF386B"/>
    <w:pPr>
      <w:spacing w:line="240" w:lineRule="exact"/>
      <w:ind w:left="284" w:hanging="284"/>
    </w:pPr>
    <w:rPr>
      <w:sz w:val="20"/>
    </w:rPr>
  </w:style>
  <w:style w:type="paragraph" w:styleId="TOC1">
    <w:name w:val="toc 1"/>
    <w:basedOn w:val="OPCParaBase"/>
    <w:next w:val="Normal"/>
    <w:uiPriority w:val="39"/>
    <w:unhideWhenUsed/>
    <w:rsid w:val="00DF386B"/>
    <w:pPr>
      <w:spacing w:line="240" w:lineRule="auto"/>
    </w:pPr>
    <w:rPr>
      <w:sz w:val="24"/>
    </w:rPr>
  </w:style>
  <w:style w:type="paragraph" w:styleId="TOC2">
    <w:name w:val="toc 2"/>
    <w:basedOn w:val="OPCParaBase"/>
    <w:next w:val="Normal"/>
    <w:uiPriority w:val="39"/>
    <w:unhideWhenUsed/>
    <w:rsid w:val="00DF386B"/>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DF386B"/>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DF386B"/>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DF386B"/>
    <w:pPr>
      <w:spacing w:line="240" w:lineRule="auto"/>
      <w:ind w:left="958"/>
    </w:pPr>
    <w:rPr>
      <w:sz w:val="24"/>
    </w:rPr>
  </w:style>
  <w:style w:type="paragraph" w:styleId="TOC6">
    <w:name w:val="toc 6"/>
    <w:basedOn w:val="OPCParaBase"/>
    <w:next w:val="Normal"/>
    <w:uiPriority w:val="39"/>
    <w:semiHidden/>
    <w:unhideWhenUsed/>
    <w:rsid w:val="00DF386B"/>
    <w:pPr>
      <w:spacing w:line="240" w:lineRule="auto"/>
      <w:ind w:left="1202"/>
    </w:pPr>
    <w:rPr>
      <w:sz w:val="24"/>
    </w:rPr>
  </w:style>
  <w:style w:type="paragraph" w:styleId="TOC7">
    <w:name w:val="toc 7"/>
    <w:basedOn w:val="OPCParaBase"/>
    <w:next w:val="Normal"/>
    <w:uiPriority w:val="39"/>
    <w:semiHidden/>
    <w:unhideWhenUsed/>
    <w:rsid w:val="00DF386B"/>
    <w:pPr>
      <w:spacing w:line="240" w:lineRule="auto"/>
      <w:ind w:left="1440"/>
    </w:pPr>
    <w:rPr>
      <w:sz w:val="24"/>
    </w:rPr>
  </w:style>
  <w:style w:type="paragraph" w:styleId="TOC8">
    <w:name w:val="toc 8"/>
    <w:basedOn w:val="OPCParaBase"/>
    <w:next w:val="Normal"/>
    <w:uiPriority w:val="39"/>
    <w:semiHidden/>
    <w:unhideWhenUsed/>
    <w:rsid w:val="00DF386B"/>
    <w:pPr>
      <w:spacing w:line="240" w:lineRule="auto"/>
      <w:ind w:left="1678"/>
    </w:pPr>
    <w:rPr>
      <w:sz w:val="24"/>
    </w:rPr>
  </w:style>
  <w:style w:type="paragraph" w:styleId="TOC9">
    <w:name w:val="toc 9"/>
    <w:basedOn w:val="OPCParaBase"/>
    <w:next w:val="Normal"/>
    <w:uiPriority w:val="39"/>
    <w:unhideWhenUsed/>
    <w:rsid w:val="00DF386B"/>
    <w:pPr>
      <w:spacing w:line="240" w:lineRule="auto"/>
      <w:ind w:left="1922"/>
    </w:pPr>
    <w:rPr>
      <w:sz w:val="24"/>
    </w:rPr>
  </w:style>
  <w:style w:type="paragraph" w:customStyle="1" w:styleId="TofSectsGroupHeading">
    <w:name w:val="TofSects(GroupHeading)"/>
    <w:basedOn w:val="OPCParaBase"/>
    <w:next w:val="TofSectsSection"/>
    <w:rsid w:val="00DF386B"/>
    <w:pPr>
      <w:keepLines/>
      <w:spacing w:before="240" w:after="120" w:line="240" w:lineRule="auto"/>
      <w:ind w:left="794"/>
    </w:pPr>
    <w:rPr>
      <w:b/>
      <w:kern w:val="28"/>
      <w:sz w:val="20"/>
    </w:rPr>
  </w:style>
  <w:style w:type="paragraph" w:customStyle="1" w:styleId="TofSectsHeading">
    <w:name w:val="TofSects(Heading)"/>
    <w:basedOn w:val="OPCParaBase"/>
    <w:rsid w:val="00DF386B"/>
    <w:pPr>
      <w:spacing w:before="240" w:after="120" w:line="240" w:lineRule="auto"/>
    </w:pPr>
    <w:rPr>
      <w:b/>
      <w:sz w:val="24"/>
    </w:rPr>
  </w:style>
  <w:style w:type="paragraph" w:customStyle="1" w:styleId="TofSectsSection">
    <w:name w:val="TofSects(Section)"/>
    <w:basedOn w:val="OPCParaBase"/>
    <w:rsid w:val="00DF386B"/>
    <w:pPr>
      <w:keepLines/>
      <w:spacing w:before="40" w:line="240" w:lineRule="auto"/>
      <w:ind w:left="1588" w:hanging="794"/>
    </w:pPr>
    <w:rPr>
      <w:kern w:val="28"/>
      <w:sz w:val="18"/>
    </w:rPr>
  </w:style>
  <w:style w:type="paragraph" w:customStyle="1" w:styleId="TofSectsSubdiv">
    <w:name w:val="TofSects(Subdiv)"/>
    <w:basedOn w:val="OPCParaBase"/>
    <w:rsid w:val="00DF386B"/>
    <w:pPr>
      <w:keepLines/>
      <w:spacing w:before="80" w:line="240" w:lineRule="auto"/>
      <w:ind w:left="1588" w:hanging="794"/>
    </w:pPr>
    <w:rPr>
      <w:kern w:val="28"/>
    </w:rPr>
  </w:style>
  <w:style w:type="paragraph" w:customStyle="1" w:styleId="WRStyle">
    <w:name w:val="WR Style"/>
    <w:aliases w:val="WR"/>
    <w:basedOn w:val="OPCParaBase"/>
    <w:rsid w:val="00DF386B"/>
    <w:pPr>
      <w:spacing w:before="240" w:line="240" w:lineRule="auto"/>
      <w:ind w:left="284" w:hanging="284"/>
    </w:pPr>
    <w:rPr>
      <w:b/>
      <w:i/>
      <w:kern w:val="28"/>
      <w:sz w:val="24"/>
    </w:rPr>
  </w:style>
  <w:style w:type="paragraph" w:customStyle="1" w:styleId="Body">
    <w:name w:val="Body"/>
    <w:aliases w:val="b"/>
    <w:basedOn w:val="OPCParaBase"/>
    <w:rsid w:val="00DF386B"/>
    <w:pPr>
      <w:spacing w:before="240" w:line="240" w:lineRule="auto"/>
    </w:pPr>
    <w:rPr>
      <w:sz w:val="24"/>
    </w:rPr>
  </w:style>
  <w:style w:type="paragraph" w:customStyle="1" w:styleId="BodyNum">
    <w:name w:val="BodyNum"/>
    <w:aliases w:val="b1"/>
    <w:basedOn w:val="OPCParaBase"/>
    <w:rsid w:val="00DF386B"/>
    <w:pPr>
      <w:numPr>
        <w:numId w:val="13"/>
      </w:numPr>
      <w:spacing w:before="240" w:line="240" w:lineRule="auto"/>
    </w:pPr>
    <w:rPr>
      <w:sz w:val="24"/>
    </w:rPr>
  </w:style>
  <w:style w:type="paragraph" w:customStyle="1" w:styleId="BodyPara">
    <w:name w:val="BodyPara"/>
    <w:aliases w:val="ba"/>
    <w:basedOn w:val="OPCParaBase"/>
    <w:rsid w:val="00DF386B"/>
    <w:pPr>
      <w:numPr>
        <w:ilvl w:val="1"/>
        <w:numId w:val="13"/>
      </w:numPr>
      <w:spacing w:before="240" w:line="240" w:lineRule="auto"/>
    </w:pPr>
    <w:rPr>
      <w:sz w:val="24"/>
    </w:rPr>
  </w:style>
  <w:style w:type="paragraph" w:customStyle="1" w:styleId="BodyParaBullet">
    <w:name w:val="BodyParaBullet"/>
    <w:aliases w:val="bpb"/>
    <w:basedOn w:val="OPCParaBase"/>
    <w:rsid w:val="00DF386B"/>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DF386B"/>
    <w:pPr>
      <w:numPr>
        <w:ilvl w:val="3"/>
        <w:numId w:val="13"/>
      </w:numPr>
      <w:spacing w:before="240" w:line="240" w:lineRule="auto"/>
    </w:pPr>
    <w:rPr>
      <w:sz w:val="24"/>
    </w:rPr>
  </w:style>
  <w:style w:type="numbering" w:customStyle="1" w:styleId="OPCBodyList">
    <w:name w:val="OPCBodyList"/>
    <w:uiPriority w:val="99"/>
    <w:rsid w:val="00DF386B"/>
    <w:pPr>
      <w:numPr>
        <w:numId w:val="13"/>
      </w:numPr>
    </w:pPr>
  </w:style>
  <w:style w:type="paragraph" w:customStyle="1" w:styleId="Head1">
    <w:name w:val="Head 1"/>
    <w:aliases w:val="1"/>
    <w:basedOn w:val="OPCParaBase"/>
    <w:next w:val="BodyNum"/>
    <w:rsid w:val="00DF386B"/>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DF386B"/>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DF386B"/>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DF386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DF386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DF386B"/>
    <w:pPr>
      <w:spacing w:before="122" w:line="198" w:lineRule="exact"/>
      <w:ind w:left="2353" w:hanging="709"/>
    </w:pPr>
    <w:rPr>
      <w:sz w:val="18"/>
    </w:rPr>
  </w:style>
  <w:style w:type="paragraph" w:styleId="Footer">
    <w:name w:val="footer"/>
    <w:link w:val="FooterChar"/>
    <w:rsid w:val="00DF386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F386B"/>
    <w:rPr>
      <w:rFonts w:eastAsia="Times New Roman" w:cs="Times New Roman"/>
      <w:sz w:val="22"/>
      <w:szCs w:val="24"/>
      <w:lang w:eastAsia="en-AU"/>
    </w:rPr>
  </w:style>
  <w:style w:type="character" w:styleId="PageNumber">
    <w:name w:val="page number"/>
    <w:basedOn w:val="DefaultParagraphFont"/>
    <w:rsid w:val="00DF386B"/>
  </w:style>
  <w:style w:type="character" w:styleId="Hyperlink">
    <w:name w:val="Hyperlink"/>
    <w:basedOn w:val="DefaultParagraphFont"/>
    <w:uiPriority w:val="99"/>
    <w:semiHidden/>
    <w:unhideWhenUsed/>
    <w:rsid w:val="008430FF"/>
    <w:rPr>
      <w:color w:val="0000FF"/>
      <w:u w:val="single"/>
    </w:rPr>
  </w:style>
  <w:style w:type="character" w:customStyle="1" w:styleId="charpsrch-metadata">
    <w:name w:val="charpsrch-metadata"/>
    <w:basedOn w:val="DefaultParagraphFont"/>
    <w:rsid w:val="006E068B"/>
  </w:style>
  <w:style w:type="paragraph" w:customStyle="1" w:styleId="Issued">
    <w:name w:val="Issued"/>
    <w:basedOn w:val="Body"/>
    <w:rsid w:val="00DF386B"/>
    <w:pPr>
      <w:spacing w:before="120"/>
    </w:pPr>
    <w:rPr>
      <w:b/>
      <w:sz w:val="28"/>
    </w:rPr>
  </w:style>
  <w:style w:type="paragraph" w:customStyle="1" w:styleId="Release">
    <w:name w:val="Release"/>
    <w:basedOn w:val="Body"/>
    <w:rsid w:val="00DF386B"/>
    <w:rPr>
      <w:b/>
    </w:rPr>
  </w:style>
  <w:style w:type="paragraph" w:styleId="BalloonText">
    <w:name w:val="Balloon Text"/>
    <w:basedOn w:val="Normal"/>
    <w:link w:val="BalloonTextChar"/>
    <w:uiPriority w:val="99"/>
    <w:semiHidden/>
    <w:unhideWhenUsed/>
    <w:rsid w:val="00DF38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86B"/>
    <w:rPr>
      <w:rFonts w:ascii="Tahoma" w:hAnsi="Tahoma" w:cs="Tahoma"/>
      <w:sz w:val="16"/>
      <w:szCs w:val="16"/>
    </w:rPr>
  </w:style>
  <w:style w:type="paragraph" w:customStyle="1" w:styleId="NoteDraftingDirection">
    <w:name w:val="Note Drafting Direction"/>
    <w:basedOn w:val="OPCParaBase"/>
    <w:rsid w:val="00DF386B"/>
    <w:pPr>
      <w:spacing w:before="120"/>
      <w:ind w:left="1134" w:hanging="1134"/>
    </w:pPr>
    <w:rPr>
      <w:sz w:val="18"/>
    </w:rPr>
  </w:style>
  <w:style w:type="paragraph" w:customStyle="1" w:styleId="SOText">
    <w:name w:val="SO Text"/>
    <w:aliases w:val="sot"/>
    <w:link w:val="SOTextChar"/>
    <w:rsid w:val="00DF386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F386B"/>
    <w:rPr>
      <w:sz w:val="22"/>
    </w:rPr>
  </w:style>
  <w:style w:type="paragraph" w:customStyle="1" w:styleId="SOTextNote">
    <w:name w:val="SO TextNote"/>
    <w:aliases w:val="sont"/>
    <w:basedOn w:val="SOText"/>
    <w:qFormat/>
    <w:rsid w:val="00DF386B"/>
    <w:pPr>
      <w:spacing w:before="122" w:line="198" w:lineRule="exact"/>
      <w:ind w:left="1843" w:hanging="709"/>
    </w:pPr>
    <w:rPr>
      <w:sz w:val="18"/>
    </w:rPr>
  </w:style>
  <w:style w:type="paragraph" w:customStyle="1" w:styleId="SOPara">
    <w:name w:val="SO Para"/>
    <w:aliases w:val="soa"/>
    <w:basedOn w:val="SOText"/>
    <w:link w:val="SOParaChar"/>
    <w:qFormat/>
    <w:rsid w:val="00DF386B"/>
    <w:pPr>
      <w:tabs>
        <w:tab w:val="right" w:pos="1786"/>
      </w:tabs>
      <w:spacing w:before="40"/>
      <w:ind w:left="2070" w:hanging="936"/>
    </w:pPr>
  </w:style>
  <w:style w:type="character" w:customStyle="1" w:styleId="SOParaChar">
    <w:name w:val="SO Para Char"/>
    <w:aliases w:val="soa Char"/>
    <w:basedOn w:val="DefaultParagraphFont"/>
    <w:link w:val="SOPara"/>
    <w:rsid w:val="00DF386B"/>
    <w:rPr>
      <w:sz w:val="22"/>
    </w:rPr>
  </w:style>
  <w:style w:type="paragraph" w:customStyle="1" w:styleId="FileName">
    <w:name w:val="FileName"/>
    <w:basedOn w:val="Normal"/>
    <w:rsid w:val="00DF386B"/>
  </w:style>
  <w:style w:type="paragraph" w:customStyle="1" w:styleId="TableHeading">
    <w:name w:val="TableHeading"/>
    <w:aliases w:val="th"/>
    <w:basedOn w:val="OPCParaBase"/>
    <w:next w:val="Tabletext"/>
    <w:rsid w:val="00DF386B"/>
    <w:pPr>
      <w:keepNext/>
      <w:spacing w:before="60" w:line="240" w:lineRule="atLeast"/>
    </w:pPr>
    <w:rPr>
      <w:b/>
      <w:sz w:val="20"/>
    </w:rPr>
  </w:style>
  <w:style w:type="paragraph" w:customStyle="1" w:styleId="SOHeadBold">
    <w:name w:val="SO HeadBold"/>
    <w:aliases w:val="sohb"/>
    <w:basedOn w:val="SOText"/>
    <w:next w:val="SOText"/>
    <w:link w:val="SOHeadBoldChar"/>
    <w:qFormat/>
    <w:rsid w:val="00DF386B"/>
    <w:rPr>
      <w:b/>
    </w:rPr>
  </w:style>
  <w:style w:type="character" w:customStyle="1" w:styleId="SOHeadBoldChar">
    <w:name w:val="SO HeadBold Char"/>
    <w:aliases w:val="sohb Char"/>
    <w:basedOn w:val="DefaultParagraphFont"/>
    <w:link w:val="SOHeadBold"/>
    <w:rsid w:val="00DF386B"/>
    <w:rPr>
      <w:b/>
      <w:sz w:val="22"/>
    </w:rPr>
  </w:style>
  <w:style w:type="paragraph" w:customStyle="1" w:styleId="SOHeadItalic">
    <w:name w:val="SO HeadItalic"/>
    <w:aliases w:val="sohi"/>
    <w:basedOn w:val="SOText"/>
    <w:next w:val="SOText"/>
    <w:link w:val="SOHeadItalicChar"/>
    <w:qFormat/>
    <w:rsid w:val="00DF386B"/>
    <w:rPr>
      <w:i/>
    </w:rPr>
  </w:style>
  <w:style w:type="character" w:customStyle="1" w:styleId="SOHeadItalicChar">
    <w:name w:val="SO HeadItalic Char"/>
    <w:aliases w:val="sohi Char"/>
    <w:basedOn w:val="DefaultParagraphFont"/>
    <w:link w:val="SOHeadItalic"/>
    <w:rsid w:val="00DF386B"/>
    <w:rPr>
      <w:i/>
      <w:sz w:val="22"/>
    </w:rPr>
  </w:style>
  <w:style w:type="paragraph" w:customStyle="1" w:styleId="SOBullet">
    <w:name w:val="SO Bullet"/>
    <w:aliases w:val="sotb"/>
    <w:basedOn w:val="SOText"/>
    <w:link w:val="SOBulletChar"/>
    <w:qFormat/>
    <w:rsid w:val="00DF386B"/>
    <w:pPr>
      <w:ind w:left="1559" w:hanging="425"/>
    </w:pPr>
  </w:style>
  <w:style w:type="character" w:customStyle="1" w:styleId="SOBulletChar">
    <w:name w:val="SO Bullet Char"/>
    <w:aliases w:val="sotb Char"/>
    <w:basedOn w:val="DefaultParagraphFont"/>
    <w:link w:val="SOBullet"/>
    <w:rsid w:val="00DF386B"/>
    <w:rPr>
      <w:sz w:val="22"/>
    </w:rPr>
  </w:style>
  <w:style w:type="paragraph" w:customStyle="1" w:styleId="SOBulletNote">
    <w:name w:val="SO BulletNote"/>
    <w:aliases w:val="sonb"/>
    <w:basedOn w:val="SOTextNote"/>
    <w:link w:val="SOBulletNoteChar"/>
    <w:qFormat/>
    <w:rsid w:val="00DF386B"/>
    <w:pPr>
      <w:tabs>
        <w:tab w:val="left" w:pos="1560"/>
      </w:tabs>
      <w:ind w:left="2268" w:hanging="1134"/>
    </w:pPr>
  </w:style>
  <w:style w:type="character" w:customStyle="1" w:styleId="SOBulletNoteChar">
    <w:name w:val="SO BulletNote Char"/>
    <w:aliases w:val="sonb Char"/>
    <w:basedOn w:val="DefaultParagraphFont"/>
    <w:link w:val="SOBulletNote"/>
    <w:rsid w:val="00DF386B"/>
    <w:rPr>
      <w:sz w:val="18"/>
    </w:rPr>
  </w:style>
  <w:style w:type="paragraph" w:customStyle="1" w:styleId="SubPartCASA">
    <w:name w:val="SubPart(CASA)"/>
    <w:aliases w:val="csp"/>
    <w:basedOn w:val="OPCParaBase"/>
    <w:next w:val="ActHead3"/>
    <w:rsid w:val="00DF386B"/>
    <w:pPr>
      <w:keepNext/>
      <w:keepLines/>
      <w:spacing w:before="280"/>
      <w:ind w:left="1134" w:hanging="1134"/>
      <w:outlineLvl w:val="1"/>
    </w:pPr>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39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84873-3BE8-4E36-8D80-882FD189F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Directions.dotx</Template>
  <TotalTime>0</TotalTime>
  <Pages>15</Pages>
  <Words>6121</Words>
  <Characters>33232</Characters>
  <Application>Microsoft Office Word</Application>
  <DocSecurity>0</DocSecurity>
  <Lines>659</Lines>
  <Paragraphs>334</Paragraphs>
  <ScaleCrop>false</ScaleCrop>
  <HeadingPairs>
    <vt:vector size="2" baseType="variant">
      <vt:variant>
        <vt:lpstr>Title</vt:lpstr>
      </vt:variant>
      <vt:variant>
        <vt:i4>1</vt:i4>
      </vt:variant>
    </vt:vector>
  </HeadingPairs>
  <TitlesOfParts>
    <vt:vector size="1" baseType="lpstr">
      <vt:lpstr>Drafting Direction No. 4.3_x000d_
Amendments requiring consultation with States and Territories under an intergovernmental agreement</vt:lpstr>
    </vt:vector>
  </TitlesOfParts>
  <Company>Office of Parliamentary Counsel</Company>
  <LinksUpToDate>false</LinksUpToDate>
  <CharactersWithSpaces>39060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4.3 Amendments requiring consultation under an intergovernmental agreement</dc:title>
  <dc:subject/>
  <dc:creator>Janis Dogan</dc:creator>
  <cp:keywords/>
  <dc:description/>
  <cp:lastModifiedBy>Fletcherm</cp:lastModifiedBy>
  <cp:revision>2</cp:revision>
  <cp:lastPrinted>2011-02-14T22:20:00Z</cp:lastPrinted>
  <dcterms:created xsi:type="dcterms:W3CDTF">2017-02-15T23:01:00Z</dcterms:created>
  <dcterms:modified xsi:type="dcterms:W3CDTF">2017-02-15T23:01:00Z</dcterms:modified>
  <cp:category>Other - reissue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oNotAsk">
    <vt:lpwstr>0</vt:lpwstr>
  </property>
  <property fmtid="{D5CDD505-2E9C-101B-9397-08002B2CF9AE}" pid="4" name="ChangedTitle">
    <vt:lpwstr/>
  </property>
  <property fmtid="{D5CDD505-2E9C-101B-9397-08002B2CF9AE}" pid="5" name="DLM">
    <vt:lpwstr>No DLM</vt:lpwstr>
  </property>
  <property fmtid="{D5CDD505-2E9C-101B-9397-08002B2CF9AE}" pid="8193" name="TrimID">
    <vt:lpwstr>PC:D17/1770</vt:lpwstr>
  </property>
</Properties>
</file>