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855" w:rsidRDefault="00235855" w:rsidP="00235855">
      <w:pPr>
        <w:pStyle w:val="Head1"/>
      </w:pPr>
      <w:r w:rsidRPr="001C61FA">
        <w:t>Drafting Direction No. 1.1A</w:t>
      </w:r>
      <w:r w:rsidRPr="001C61FA">
        <w:br/>
        <w:t>Names of instruments and provision units of instruments</w:t>
      </w:r>
      <w:bookmarkStart w:id="0" w:name="_GoBack"/>
      <w:bookmarkEnd w:id="0"/>
    </w:p>
    <w:p w:rsidR="00712446" w:rsidRDefault="00712446" w:rsidP="00712446">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235855" w:rsidRDefault="00235855" w:rsidP="00235855">
      <w:pPr>
        <w:pStyle w:val="Release"/>
      </w:pPr>
      <w:r>
        <w:t>Document release</w:t>
      </w:r>
      <w:r w:rsidR="00C230FD">
        <w:t xml:space="preserve"> </w:t>
      </w:r>
      <w:r w:rsidR="00F12681" w:rsidRPr="007D40E4">
        <w:t>3</w:t>
      </w:r>
      <w:r w:rsidRPr="007D40E4">
        <w:t>.</w:t>
      </w:r>
      <w:r w:rsidR="00A239CE">
        <w:t>2</w:t>
      </w:r>
    </w:p>
    <w:p w:rsidR="00235855" w:rsidRDefault="00882F08" w:rsidP="00235855">
      <w:pPr>
        <w:pStyle w:val="Issued"/>
      </w:pPr>
      <w:r>
        <w:t>Rei</w:t>
      </w:r>
      <w:r w:rsidR="00A22FBB">
        <w:t xml:space="preserve">ssued </w:t>
      </w:r>
      <w:r w:rsidR="00A239CE">
        <w:t>Ju</w:t>
      </w:r>
      <w:r w:rsidR="00667C27">
        <w:t>ly</w:t>
      </w:r>
      <w:r w:rsidR="00A239CE">
        <w:t xml:space="preserve"> 2022</w:t>
      </w:r>
    </w:p>
    <w:p w:rsidR="00235855" w:rsidRDefault="00235855" w:rsidP="00235855"/>
    <w:p w:rsidR="00235855" w:rsidRPr="00B707C1" w:rsidRDefault="00235855" w:rsidP="00235855">
      <w:pPr>
        <w:rPr>
          <w:sz w:val="32"/>
        </w:rPr>
      </w:pPr>
      <w:r w:rsidRPr="00B707C1">
        <w:rPr>
          <w:sz w:val="32"/>
        </w:rPr>
        <w:t>Contents</w:t>
      </w:r>
    </w:p>
    <w:bookmarkStart w:id="1" w:name="BKCheck15B_1"/>
    <w:bookmarkEnd w:id="1"/>
    <w:p w:rsidR="0035168C" w:rsidRDefault="007D40E4">
      <w:pPr>
        <w:pStyle w:val="TOC2"/>
        <w:rPr>
          <w:rFonts w:asciiTheme="minorHAnsi" w:eastAsiaTheme="minorEastAsia" w:hAnsiTheme="minorHAnsi" w:cstheme="minorBidi"/>
          <w:b w:val="0"/>
          <w:sz w:val="22"/>
          <w:szCs w:val="22"/>
        </w:rPr>
      </w:pPr>
      <w:r w:rsidRPr="001A64A7">
        <w:rPr>
          <w:sz w:val="18"/>
        </w:rPr>
        <w:fldChar w:fldCharType="begin"/>
      </w:r>
      <w:r>
        <w:rPr>
          <w:sz w:val="18"/>
        </w:rPr>
        <w:instrText xml:space="preserve"> TOC \o "2-9" </w:instrText>
      </w:r>
      <w:r w:rsidRPr="001A64A7">
        <w:rPr>
          <w:sz w:val="18"/>
        </w:rPr>
        <w:fldChar w:fldCharType="separate"/>
      </w:r>
      <w:r w:rsidR="0035168C">
        <w:t>Part 1—Introduction</w:t>
      </w:r>
      <w:r w:rsidR="0035168C" w:rsidRPr="0035168C">
        <w:rPr>
          <w:b w:val="0"/>
          <w:sz w:val="20"/>
        </w:rPr>
        <w:tab/>
      </w:r>
      <w:r w:rsidR="0035168C" w:rsidRPr="0035168C">
        <w:rPr>
          <w:b w:val="0"/>
          <w:sz w:val="20"/>
        </w:rPr>
        <w:fldChar w:fldCharType="begin"/>
      </w:r>
      <w:r w:rsidR="0035168C" w:rsidRPr="0035168C">
        <w:rPr>
          <w:b w:val="0"/>
          <w:sz w:val="20"/>
        </w:rPr>
        <w:instrText xml:space="preserve"> PAGEREF _Toc108428152 \h </w:instrText>
      </w:r>
      <w:r w:rsidR="0035168C" w:rsidRPr="0035168C">
        <w:rPr>
          <w:b w:val="0"/>
          <w:sz w:val="20"/>
        </w:rPr>
      </w:r>
      <w:r w:rsidR="0035168C" w:rsidRPr="0035168C">
        <w:rPr>
          <w:b w:val="0"/>
          <w:sz w:val="20"/>
        </w:rPr>
        <w:fldChar w:fldCharType="separate"/>
      </w:r>
      <w:r w:rsidR="007A7267">
        <w:rPr>
          <w:b w:val="0"/>
          <w:sz w:val="20"/>
        </w:rPr>
        <w:t>2</w:t>
      </w:r>
      <w:r w:rsidR="0035168C" w:rsidRPr="0035168C">
        <w:rPr>
          <w:b w:val="0"/>
          <w:sz w:val="20"/>
        </w:rPr>
        <w:fldChar w:fldCharType="end"/>
      </w:r>
    </w:p>
    <w:p w:rsidR="0035168C" w:rsidRDefault="0035168C">
      <w:pPr>
        <w:pStyle w:val="TOC2"/>
        <w:rPr>
          <w:rFonts w:asciiTheme="minorHAnsi" w:eastAsiaTheme="minorEastAsia" w:hAnsiTheme="minorHAnsi" w:cstheme="minorBidi"/>
          <w:b w:val="0"/>
          <w:sz w:val="22"/>
          <w:szCs w:val="22"/>
        </w:rPr>
      </w:pPr>
      <w:r>
        <w:t>Part 2—References to instruments</w:t>
      </w:r>
      <w:r w:rsidRPr="0035168C">
        <w:rPr>
          <w:b w:val="0"/>
          <w:sz w:val="20"/>
        </w:rPr>
        <w:tab/>
      </w:r>
      <w:r w:rsidRPr="0035168C">
        <w:rPr>
          <w:b w:val="0"/>
          <w:sz w:val="20"/>
        </w:rPr>
        <w:fldChar w:fldCharType="begin"/>
      </w:r>
      <w:r w:rsidRPr="0035168C">
        <w:rPr>
          <w:b w:val="0"/>
          <w:sz w:val="20"/>
        </w:rPr>
        <w:instrText xml:space="preserve"> PAGEREF _Toc108428153 \h </w:instrText>
      </w:r>
      <w:r w:rsidRPr="0035168C">
        <w:rPr>
          <w:b w:val="0"/>
          <w:sz w:val="20"/>
        </w:rPr>
      </w:r>
      <w:r w:rsidRPr="0035168C">
        <w:rPr>
          <w:b w:val="0"/>
          <w:sz w:val="20"/>
        </w:rPr>
        <w:fldChar w:fldCharType="separate"/>
      </w:r>
      <w:r w:rsidR="007A7267">
        <w:rPr>
          <w:b w:val="0"/>
          <w:sz w:val="20"/>
        </w:rPr>
        <w:t>3</w:t>
      </w:r>
      <w:r w:rsidRPr="0035168C">
        <w:rPr>
          <w:b w:val="0"/>
          <w:sz w:val="20"/>
        </w:rPr>
        <w:fldChar w:fldCharType="end"/>
      </w:r>
    </w:p>
    <w:p w:rsidR="0035168C" w:rsidRDefault="0035168C">
      <w:pPr>
        <w:pStyle w:val="TOC3"/>
        <w:rPr>
          <w:rFonts w:asciiTheme="minorHAnsi" w:eastAsiaTheme="minorEastAsia" w:hAnsiTheme="minorHAnsi" w:cstheme="minorBidi"/>
          <w:sz w:val="22"/>
          <w:szCs w:val="22"/>
        </w:rPr>
      </w:pPr>
      <w:r>
        <w:t>Internal references to whole instruments</w:t>
      </w:r>
      <w:r w:rsidRPr="0035168C">
        <w:rPr>
          <w:sz w:val="20"/>
        </w:rPr>
        <w:tab/>
      </w:r>
      <w:r w:rsidRPr="0035168C">
        <w:rPr>
          <w:sz w:val="20"/>
        </w:rPr>
        <w:fldChar w:fldCharType="begin"/>
      </w:r>
      <w:r w:rsidRPr="0035168C">
        <w:rPr>
          <w:sz w:val="20"/>
        </w:rPr>
        <w:instrText xml:space="preserve"> PAGEREF _Toc108428154 \h </w:instrText>
      </w:r>
      <w:r w:rsidRPr="0035168C">
        <w:rPr>
          <w:sz w:val="20"/>
        </w:rPr>
      </w:r>
      <w:r w:rsidRPr="0035168C">
        <w:rPr>
          <w:sz w:val="20"/>
        </w:rPr>
        <w:fldChar w:fldCharType="separate"/>
      </w:r>
      <w:r w:rsidR="007A7267">
        <w:rPr>
          <w:sz w:val="20"/>
        </w:rPr>
        <w:t>3</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External references to whole instruments</w:t>
      </w:r>
      <w:r w:rsidRPr="0035168C">
        <w:rPr>
          <w:sz w:val="20"/>
        </w:rPr>
        <w:tab/>
      </w:r>
      <w:r w:rsidRPr="0035168C">
        <w:rPr>
          <w:sz w:val="20"/>
        </w:rPr>
        <w:fldChar w:fldCharType="begin"/>
      </w:r>
      <w:r w:rsidRPr="0035168C">
        <w:rPr>
          <w:sz w:val="20"/>
        </w:rPr>
        <w:instrText xml:space="preserve"> PAGEREF _Toc108428155 \h </w:instrText>
      </w:r>
      <w:r w:rsidRPr="0035168C">
        <w:rPr>
          <w:sz w:val="20"/>
        </w:rPr>
      </w:r>
      <w:r w:rsidRPr="0035168C">
        <w:rPr>
          <w:sz w:val="20"/>
        </w:rPr>
        <w:fldChar w:fldCharType="separate"/>
      </w:r>
      <w:r w:rsidR="007A7267">
        <w:rPr>
          <w:sz w:val="20"/>
        </w:rPr>
        <w:t>3</w:t>
      </w:r>
      <w:r w:rsidRPr="0035168C">
        <w:rPr>
          <w:sz w:val="20"/>
        </w:rPr>
        <w:fldChar w:fldCharType="end"/>
      </w:r>
    </w:p>
    <w:p w:rsidR="0035168C" w:rsidRDefault="0035168C">
      <w:pPr>
        <w:pStyle w:val="TOC2"/>
        <w:rPr>
          <w:rFonts w:asciiTheme="minorHAnsi" w:eastAsiaTheme="minorEastAsia" w:hAnsiTheme="minorHAnsi" w:cstheme="minorBidi"/>
          <w:b w:val="0"/>
          <w:sz w:val="22"/>
          <w:szCs w:val="22"/>
        </w:rPr>
      </w:pPr>
      <w:r>
        <w:t>Part 3—Naming of instruments</w:t>
      </w:r>
      <w:r w:rsidRPr="0035168C">
        <w:rPr>
          <w:b w:val="0"/>
          <w:sz w:val="20"/>
        </w:rPr>
        <w:tab/>
      </w:r>
      <w:r w:rsidRPr="0035168C">
        <w:rPr>
          <w:b w:val="0"/>
          <w:sz w:val="20"/>
        </w:rPr>
        <w:fldChar w:fldCharType="begin"/>
      </w:r>
      <w:r w:rsidRPr="0035168C">
        <w:rPr>
          <w:b w:val="0"/>
          <w:sz w:val="20"/>
        </w:rPr>
        <w:instrText xml:space="preserve"> PAGEREF _Toc108428156 \h </w:instrText>
      </w:r>
      <w:r w:rsidRPr="0035168C">
        <w:rPr>
          <w:b w:val="0"/>
          <w:sz w:val="20"/>
        </w:rPr>
      </w:r>
      <w:r w:rsidRPr="0035168C">
        <w:rPr>
          <w:b w:val="0"/>
          <w:sz w:val="20"/>
        </w:rPr>
        <w:fldChar w:fldCharType="separate"/>
      </w:r>
      <w:r w:rsidR="007A7267">
        <w:rPr>
          <w:b w:val="0"/>
          <w:sz w:val="20"/>
        </w:rPr>
        <w:t>4</w:t>
      </w:r>
      <w:r w:rsidRPr="0035168C">
        <w:rPr>
          <w:b w:val="0"/>
          <w:sz w:val="20"/>
        </w:rPr>
        <w:fldChar w:fldCharType="end"/>
      </w:r>
    </w:p>
    <w:p w:rsidR="0035168C" w:rsidRDefault="0035168C">
      <w:pPr>
        <w:pStyle w:val="TOC3"/>
        <w:rPr>
          <w:rFonts w:asciiTheme="minorHAnsi" w:eastAsiaTheme="minorEastAsia" w:hAnsiTheme="minorHAnsi" w:cstheme="minorBidi"/>
          <w:sz w:val="22"/>
          <w:szCs w:val="22"/>
        </w:rPr>
      </w:pPr>
      <w:r>
        <w:t>Purpose of naming</w:t>
      </w:r>
      <w:r w:rsidRPr="0035168C">
        <w:rPr>
          <w:sz w:val="20"/>
        </w:rPr>
        <w:tab/>
      </w:r>
      <w:r w:rsidRPr="0035168C">
        <w:rPr>
          <w:sz w:val="20"/>
        </w:rPr>
        <w:fldChar w:fldCharType="begin"/>
      </w:r>
      <w:r w:rsidRPr="0035168C">
        <w:rPr>
          <w:sz w:val="20"/>
        </w:rPr>
        <w:instrText xml:space="preserve"> PAGEREF _Toc108428157 \h </w:instrText>
      </w:r>
      <w:r w:rsidRPr="0035168C">
        <w:rPr>
          <w:sz w:val="20"/>
        </w:rPr>
      </w:r>
      <w:r w:rsidRPr="0035168C">
        <w:rPr>
          <w:sz w:val="20"/>
        </w:rPr>
        <w:fldChar w:fldCharType="separate"/>
      </w:r>
      <w:r w:rsidR="007A7267">
        <w:rPr>
          <w:sz w:val="20"/>
        </w:rPr>
        <w:t>4</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Formal presentation of name</w:t>
      </w:r>
      <w:r w:rsidRPr="0035168C">
        <w:rPr>
          <w:sz w:val="20"/>
        </w:rPr>
        <w:tab/>
      </w:r>
      <w:r w:rsidRPr="0035168C">
        <w:rPr>
          <w:sz w:val="20"/>
        </w:rPr>
        <w:fldChar w:fldCharType="begin"/>
      </w:r>
      <w:r w:rsidRPr="0035168C">
        <w:rPr>
          <w:sz w:val="20"/>
        </w:rPr>
        <w:instrText xml:space="preserve"> PAGEREF _Toc108428158 \h </w:instrText>
      </w:r>
      <w:r w:rsidRPr="0035168C">
        <w:rPr>
          <w:sz w:val="20"/>
        </w:rPr>
      </w:r>
      <w:r w:rsidRPr="0035168C">
        <w:rPr>
          <w:sz w:val="20"/>
        </w:rPr>
        <w:fldChar w:fldCharType="separate"/>
      </w:r>
      <w:r w:rsidR="007A7267">
        <w:rPr>
          <w:sz w:val="20"/>
        </w:rPr>
        <w:t>4</w:t>
      </w:r>
      <w:r w:rsidRPr="0035168C">
        <w:rPr>
          <w:sz w:val="20"/>
        </w:rPr>
        <w:fldChar w:fldCharType="end"/>
      </w:r>
    </w:p>
    <w:p w:rsidR="0035168C" w:rsidRDefault="0035168C" w:rsidP="0035168C">
      <w:pPr>
        <w:pStyle w:val="TOC3"/>
        <w:rPr>
          <w:rFonts w:asciiTheme="minorHAnsi" w:eastAsiaTheme="minorEastAsia" w:hAnsiTheme="minorHAnsi" w:cstheme="minorBidi"/>
          <w:sz w:val="22"/>
          <w:szCs w:val="22"/>
        </w:rPr>
      </w:pPr>
      <w:r>
        <w:t>Capitalisation</w:t>
      </w:r>
      <w:r w:rsidRPr="0035168C">
        <w:rPr>
          <w:sz w:val="20"/>
        </w:rPr>
        <w:tab/>
      </w:r>
      <w:r w:rsidRPr="0035168C">
        <w:rPr>
          <w:sz w:val="20"/>
        </w:rPr>
        <w:fldChar w:fldCharType="begin"/>
      </w:r>
      <w:r w:rsidRPr="0035168C">
        <w:rPr>
          <w:sz w:val="20"/>
        </w:rPr>
        <w:instrText xml:space="preserve"> PAGEREF _Toc108428159 \h </w:instrText>
      </w:r>
      <w:r w:rsidRPr="0035168C">
        <w:rPr>
          <w:sz w:val="20"/>
        </w:rPr>
      </w:r>
      <w:r w:rsidRPr="0035168C">
        <w:rPr>
          <w:sz w:val="20"/>
        </w:rPr>
        <w:fldChar w:fldCharType="separate"/>
      </w:r>
      <w:r w:rsidR="007A7267">
        <w:rPr>
          <w:sz w:val="20"/>
        </w:rPr>
        <w:t>4</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Name must always end with type and year of making of instrument</w:t>
      </w:r>
      <w:r w:rsidRPr="0035168C">
        <w:rPr>
          <w:sz w:val="20"/>
        </w:rPr>
        <w:tab/>
      </w:r>
      <w:r w:rsidRPr="0035168C">
        <w:rPr>
          <w:sz w:val="20"/>
        </w:rPr>
        <w:fldChar w:fldCharType="begin"/>
      </w:r>
      <w:r w:rsidRPr="0035168C">
        <w:rPr>
          <w:sz w:val="20"/>
        </w:rPr>
        <w:instrText xml:space="preserve"> PAGEREF _Toc108428160 \h </w:instrText>
      </w:r>
      <w:r w:rsidRPr="0035168C">
        <w:rPr>
          <w:sz w:val="20"/>
        </w:rPr>
      </w:r>
      <w:r w:rsidRPr="0035168C">
        <w:rPr>
          <w:sz w:val="20"/>
        </w:rPr>
        <w:fldChar w:fldCharType="separate"/>
      </w:r>
      <w:r w:rsidR="007A7267">
        <w:rPr>
          <w:sz w:val="20"/>
        </w:rPr>
        <w:t>4</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Naming principal instrument made under single Act</w:t>
      </w:r>
      <w:r w:rsidRPr="0035168C">
        <w:rPr>
          <w:sz w:val="20"/>
        </w:rPr>
        <w:tab/>
      </w:r>
      <w:r w:rsidRPr="0035168C">
        <w:rPr>
          <w:sz w:val="20"/>
        </w:rPr>
        <w:fldChar w:fldCharType="begin"/>
      </w:r>
      <w:r w:rsidRPr="0035168C">
        <w:rPr>
          <w:sz w:val="20"/>
        </w:rPr>
        <w:instrText xml:space="preserve"> PAGEREF _Toc108428161 \h </w:instrText>
      </w:r>
      <w:r w:rsidRPr="0035168C">
        <w:rPr>
          <w:sz w:val="20"/>
        </w:rPr>
      </w:r>
      <w:r w:rsidRPr="0035168C">
        <w:rPr>
          <w:sz w:val="20"/>
        </w:rPr>
        <w:fldChar w:fldCharType="separate"/>
      </w:r>
      <w:r w:rsidR="007A7267">
        <w:rPr>
          <w:sz w:val="20"/>
        </w:rPr>
        <w:t>6</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Naming non-principal instrument made under single Act</w:t>
      </w:r>
      <w:r w:rsidRPr="0035168C">
        <w:rPr>
          <w:sz w:val="20"/>
        </w:rPr>
        <w:tab/>
      </w:r>
      <w:r w:rsidRPr="0035168C">
        <w:rPr>
          <w:sz w:val="20"/>
        </w:rPr>
        <w:fldChar w:fldCharType="begin"/>
      </w:r>
      <w:r w:rsidRPr="0035168C">
        <w:rPr>
          <w:sz w:val="20"/>
        </w:rPr>
        <w:instrText xml:space="preserve"> PAGEREF _Toc108428162 \h </w:instrText>
      </w:r>
      <w:r w:rsidRPr="0035168C">
        <w:rPr>
          <w:sz w:val="20"/>
        </w:rPr>
      </w:r>
      <w:r w:rsidRPr="0035168C">
        <w:rPr>
          <w:sz w:val="20"/>
        </w:rPr>
        <w:fldChar w:fldCharType="separate"/>
      </w:r>
      <w:r w:rsidR="007A7267">
        <w:rPr>
          <w:sz w:val="20"/>
        </w:rPr>
        <w:t>7</w:t>
      </w:r>
      <w:r w:rsidRPr="0035168C">
        <w:rPr>
          <w:sz w:val="20"/>
        </w:rPr>
        <w:fldChar w:fldCharType="end"/>
      </w:r>
    </w:p>
    <w:p w:rsidR="0035168C" w:rsidRDefault="0035168C">
      <w:pPr>
        <w:pStyle w:val="TOC4"/>
        <w:rPr>
          <w:rFonts w:asciiTheme="minorHAnsi" w:eastAsiaTheme="minorEastAsia" w:hAnsiTheme="minorHAnsi" w:cstheme="minorBidi"/>
          <w:sz w:val="22"/>
          <w:szCs w:val="22"/>
        </w:rPr>
      </w:pPr>
      <w:r>
        <w:t>Instrument to amend or repeal single principal instrument</w:t>
      </w:r>
      <w:r w:rsidRPr="0035168C">
        <w:rPr>
          <w:sz w:val="20"/>
        </w:rPr>
        <w:tab/>
      </w:r>
      <w:r w:rsidRPr="0035168C">
        <w:rPr>
          <w:sz w:val="20"/>
        </w:rPr>
        <w:fldChar w:fldCharType="begin"/>
      </w:r>
      <w:r w:rsidRPr="0035168C">
        <w:rPr>
          <w:sz w:val="20"/>
        </w:rPr>
        <w:instrText xml:space="preserve"> PAGEREF _Toc108428163 \h </w:instrText>
      </w:r>
      <w:r w:rsidRPr="0035168C">
        <w:rPr>
          <w:sz w:val="20"/>
        </w:rPr>
      </w:r>
      <w:r w:rsidRPr="0035168C">
        <w:rPr>
          <w:sz w:val="20"/>
        </w:rPr>
        <w:fldChar w:fldCharType="separate"/>
      </w:r>
      <w:r w:rsidR="007A7267">
        <w:rPr>
          <w:sz w:val="20"/>
        </w:rPr>
        <w:t>7</w:t>
      </w:r>
      <w:r w:rsidRPr="0035168C">
        <w:rPr>
          <w:sz w:val="20"/>
        </w:rPr>
        <w:fldChar w:fldCharType="end"/>
      </w:r>
    </w:p>
    <w:p w:rsidR="0035168C" w:rsidRDefault="0035168C">
      <w:pPr>
        <w:pStyle w:val="TOC4"/>
        <w:rPr>
          <w:rFonts w:asciiTheme="minorHAnsi" w:eastAsiaTheme="minorEastAsia" w:hAnsiTheme="minorHAnsi" w:cstheme="minorBidi"/>
          <w:sz w:val="22"/>
          <w:szCs w:val="22"/>
        </w:rPr>
      </w:pPr>
      <w:r>
        <w:t>Instrument to amend or repeal multiple instruments</w:t>
      </w:r>
      <w:r w:rsidRPr="0035168C">
        <w:rPr>
          <w:sz w:val="20"/>
        </w:rPr>
        <w:tab/>
      </w:r>
      <w:r w:rsidRPr="0035168C">
        <w:rPr>
          <w:sz w:val="20"/>
        </w:rPr>
        <w:fldChar w:fldCharType="begin"/>
      </w:r>
      <w:r w:rsidRPr="0035168C">
        <w:rPr>
          <w:sz w:val="20"/>
        </w:rPr>
        <w:instrText xml:space="preserve"> PAGEREF _Toc108428164 \h </w:instrText>
      </w:r>
      <w:r w:rsidRPr="0035168C">
        <w:rPr>
          <w:sz w:val="20"/>
        </w:rPr>
      </w:r>
      <w:r w:rsidRPr="0035168C">
        <w:rPr>
          <w:sz w:val="20"/>
        </w:rPr>
        <w:fldChar w:fldCharType="separate"/>
      </w:r>
      <w:r w:rsidR="007A7267">
        <w:rPr>
          <w:sz w:val="20"/>
        </w:rPr>
        <w:t>7</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Naming Territory Ordinances and instruments made under them</w:t>
      </w:r>
      <w:r w:rsidRPr="0035168C">
        <w:rPr>
          <w:sz w:val="20"/>
        </w:rPr>
        <w:tab/>
      </w:r>
      <w:r w:rsidRPr="0035168C">
        <w:rPr>
          <w:sz w:val="20"/>
        </w:rPr>
        <w:fldChar w:fldCharType="begin"/>
      </w:r>
      <w:r w:rsidRPr="0035168C">
        <w:rPr>
          <w:sz w:val="20"/>
        </w:rPr>
        <w:instrText xml:space="preserve"> PAGEREF _Toc108428165 \h </w:instrText>
      </w:r>
      <w:r w:rsidRPr="0035168C">
        <w:rPr>
          <w:sz w:val="20"/>
        </w:rPr>
      </w:r>
      <w:r w:rsidRPr="0035168C">
        <w:rPr>
          <w:sz w:val="20"/>
        </w:rPr>
        <w:fldChar w:fldCharType="separate"/>
      </w:r>
      <w:r w:rsidR="007A7267">
        <w:rPr>
          <w:sz w:val="20"/>
        </w:rPr>
        <w:t>8</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Naming instruments made under multiple Acts</w:t>
      </w:r>
      <w:r w:rsidRPr="0035168C">
        <w:rPr>
          <w:sz w:val="20"/>
        </w:rPr>
        <w:tab/>
      </w:r>
      <w:r w:rsidRPr="0035168C">
        <w:rPr>
          <w:sz w:val="20"/>
        </w:rPr>
        <w:fldChar w:fldCharType="begin"/>
      </w:r>
      <w:r w:rsidRPr="0035168C">
        <w:rPr>
          <w:sz w:val="20"/>
        </w:rPr>
        <w:instrText xml:space="preserve"> PAGEREF _Toc108428166 \h </w:instrText>
      </w:r>
      <w:r w:rsidRPr="0035168C">
        <w:rPr>
          <w:sz w:val="20"/>
        </w:rPr>
      </w:r>
      <w:r w:rsidRPr="0035168C">
        <w:rPr>
          <w:sz w:val="20"/>
        </w:rPr>
        <w:fldChar w:fldCharType="separate"/>
      </w:r>
      <w:r w:rsidR="007A7267">
        <w:rPr>
          <w:sz w:val="20"/>
        </w:rPr>
        <w:t>8</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Naming instruments made under prerogative power</w:t>
      </w:r>
      <w:r w:rsidRPr="0035168C">
        <w:rPr>
          <w:sz w:val="20"/>
        </w:rPr>
        <w:tab/>
      </w:r>
      <w:r w:rsidRPr="0035168C">
        <w:rPr>
          <w:sz w:val="20"/>
        </w:rPr>
        <w:fldChar w:fldCharType="begin"/>
      </w:r>
      <w:r w:rsidRPr="0035168C">
        <w:rPr>
          <w:sz w:val="20"/>
        </w:rPr>
        <w:instrText xml:space="preserve"> PAGEREF _Toc108428167 \h </w:instrText>
      </w:r>
      <w:r w:rsidRPr="0035168C">
        <w:rPr>
          <w:sz w:val="20"/>
        </w:rPr>
      </w:r>
      <w:r w:rsidRPr="0035168C">
        <w:rPr>
          <w:sz w:val="20"/>
        </w:rPr>
        <w:fldChar w:fldCharType="separate"/>
      </w:r>
      <w:r w:rsidR="007A7267">
        <w:rPr>
          <w:sz w:val="20"/>
        </w:rPr>
        <w:t>9</w:t>
      </w:r>
      <w:r w:rsidRPr="0035168C">
        <w:rPr>
          <w:sz w:val="20"/>
        </w:rPr>
        <w:fldChar w:fldCharType="end"/>
      </w:r>
    </w:p>
    <w:p w:rsidR="0035168C" w:rsidRDefault="0035168C">
      <w:pPr>
        <w:pStyle w:val="TOC3"/>
        <w:rPr>
          <w:rFonts w:asciiTheme="minorHAnsi" w:eastAsiaTheme="minorEastAsia" w:hAnsiTheme="minorHAnsi" w:cstheme="minorBidi"/>
          <w:sz w:val="22"/>
          <w:szCs w:val="22"/>
        </w:rPr>
      </w:pPr>
      <w:r>
        <w:t>Amending names of instruments from before 1998</w:t>
      </w:r>
      <w:r w:rsidRPr="0035168C">
        <w:rPr>
          <w:sz w:val="20"/>
        </w:rPr>
        <w:tab/>
      </w:r>
      <w:r w:rsidRPr="0035168C">
        <w:rPr>
          <w:sz w:val="20"/>
        </w:rPr>
        <w:fldChar w:fldCharType="begin"/>
      </w:r>
      <w:r w:rsidRPr="0035168C">
        <w:rPr>
          <w:sz w:val="20"/>
        </w:rPr>
        <w:instrText xml:space="preserve"> PAGEREF _Toc108428168 \h </w:instrText>
      </w:r>
      <w:r w:rsidRPr="0035168C">
        <w:rPr>
          <w:sz w:val="20"/>
        </w:rPr>
      </w:r>
      <w:r w:rsidRPr="0035168C">
        <w:rPr>
          <w:sz w:val="20"/>
        </w:rPr>
        <w:fldChar w:fldCharType="separate"/>
      </w:r>
      <w:r w:rsidR="007A7267">
        <w:rPr>
          <w:sz w:val="20"/>
        </w:rPr>
        <w:t>9</w:t>
      </w:r>
      <w:r w:rsidRPr="0035168C">
        <w:rPr>
          <w:sz w:val="20"/>
        </w:rPr>
        <w:fldChar w:fldCharType="end"/>
      </w:r>
    </w:p>
    <w:p w:rsidR="0035168C" w:rsidRPr="0035168C" w:rsidRDefault="0035168C">
      <w:pPr>
        <w:pStyle w:val="TOC2"/>
        <w:rPr>
          <w:rFonts w:eastAsiaTheme="minorEastAsia"/>
          <w:b w:val="0"/>
          <w:sz w:val="20"/>
          <w:szCs w:val="22"/>
        </w:rPr>
      </w:pPr>
      <w:r>
        <w:t>Part 4—Provision units of instruments</w:t>
      </w:r>
      <w:r w:rsidRPr="0035168C">
        <w:rPr>
          <w:b w:val="0"/>
          <w:sz w:val="20"/>
        </w:rPr>
        <w:tab/>
      </w:r>
      <w:r w:rsidRPr="0035168C">
        <w:rPr>
          <w:b w:val="0"/>
          <w:sz w:val="20"/>
        </w:rPr>
        <w:fldChar w:fldCharType="begin"/>
      </w:r>
      <w:r w:rsidRPr="0035168C">
        <w:rPr>
          <w:b w:val="0"/>
          <w:sz w:val="20"/>
        </w:rPr>
        <w:instrText xml:space="preserve"> PAGEREF _Toc108428169 \h </w:instrText>
      </w:r>
      <w:r w:rsidRPr="0035168C">
        <w:rPr>
          <w:b w:val="0"/>
          <w:sz w:val="20"/>
        </w:rPr>
      </w:r>
      <w:r w:rsidRPr="0035168C">
        <w:rPr>
          <w:b w:val="0"/>
          <w:sz w:val="20"/>
        </w:rPr>
        <w:fldChar w:fldCharType="separate"/>
      </w:r>
      <w:r w:rsidR="007A7267">
        <w:rPr>
          <w:b w:val="0"/>
          <w:sz w:val="20"/>
        </w:rPr>
        <w:t>9</w:t>
      </w:r>
      <w:r w:rsidRPr="0035168C">
        <w:rPr>
          <w:b w:val="0"/>
          <w:sz w:val="20"/>
        </w:rPr>
        <w:fldChar w:fldCharType="end"/>
      </w:r>
    </w:p>
    <w:p w:rsidR="00235855" w:rsidRDefault="007D40E4" w:rsidP="0035168C">
      <w:pPr>
        <w:rPr>
          <w:rFonts w:cs="Times New Roman"/>
          <w:sz w:val="18"/>
        </w:rPr>
      </w:pPr>
      <w:r w:rsidRPr="0035168C">
        <w:rPr>
          <w:rFonts w:cs="Times New Roman"/>
          <w:sz w:val="20"/>
        </w:rPr>
        <w:fldChar w:fldCharType="end"/>
      </w:r>
    </w:p>
    <w:p w:rsidR="00235855" w:rsidRDefault="00235855" w:rsidP="00235855">
      <w:pPr>
        <w:pStyle w:val="PageBreak"/>
      </w:pPr>
      <w:r>
        <w:br w:type="page"/>
      </w:r>
    </w:p>
    <w:p w:rsidR="00295967" w:rsidRDefault="00295967" w:rsidP="00295967">
      <w:pPr>
        <w:pStyle w:val="Head2"/>
      </w:pPr>
      <w:bookmarkStart w:id="2" w:name="_Toc108428152"/>
      <w:r>
        <w:lastRenderedPageBreak/>
        <w:t>Part 1—</w:t>
      </w:r>
      <w:r w:rsidRPr="001C61FA">
        <w:t>Introduction</w:t>
      </w:r>
      <w:bookmarkEnd w:id="2"/>
    </w:p>
    <w:p w:rsidR="00295967" w:rsidRDefault="00295967" w:rsidP="00295967">
      <w:pPr>
        <w:pStyle w:val="BodyNum"/>
      </w:pPr>
      <w:r w:rsidRPr="001C61FA">
        <w:t>This Drafting Direction sets out requirements for naming instruments and the provision units of instruments.</w:t>
      </w:r>
      <w:bookmarkStart w:id="3" w:name="BK_S1P3L3C76"/>
      <w:bookmarkEnd w:id="3"/>
      <w:r w:rsidRPr="001C61FA">
        <w:t xml:space="preserve"> </w:t>
      </w:r>
      <w:r>
        <w:t>This Drafting Direction applies to instruments whether they are legislative instruments, notifiable instruments or other kinds of instruments (such as instruments of appointment or delegation and instruments made under prerogative powers).</w:t>
      </w:r>
    </w:p>
    <w:p w:rsidR="00295967" w:rsidRDefault="00295967" w:rsidP="00295967">
      <w:pPr>
        <w:pStyle w:val="BodyNum"/>
      </w:pPr>
      <w:r w:rsidRPr="001C61FA">
        <w:t>Because of the variety and number of instruments and the need for cons</w:t>
      </w:r>
      <w:r>
        <w:t>i</w:t>
      </w:r>
      <w:r w:rsidRPr="001C61FA">
        <w:t xml:space="preserve">stency with the </w:t>
      </w:r>
      <w:r w:rsidR="00B20DB7">
        <w:t>enabling Act</w:t>
      </w:r>
      <w:r w:rsidRPr="001C61FA">
        <w:t>, the requirements for the naming of ins</w:t>
      </w:r>
      <w:bookmarkStart w:id="4" w:name="opcCurrentPosition"/>
      <w:bookmarkEnd w:id="4"/>
      <w:r w:rsidRPr="001C61FA">
        <w:t xml:space="preserve">truments are more structured and allow less creativity than the equivalent requirements for Bills in Drafting Direction </w:t>
      </w:r>
      <w:r w:rsidR="00FE34ED">
        <w:t xml:space="preserve">No. </w:t>
      </w:r>
      <w:r w:rsidRPr="001C61FA">
        <w:t>1.1.</w:t>
      </w:r>
      <w:bookmarkStart w:id="5" w:name="BK_S1P3L6C65"/>
      <w:bookmarkEnd w:id="5"/>
      <w:r w:rsidRPr="001C61FA">
        <w:t xml:space="preserve"> The </w:t>
      </w:r>
      <w:r>
        <w:t xml:space="preserve">main objective of the </w:t>
      </w:r>
      <w:r w:rsidRPr="001C61FA">
        <w:t xml:space="preserve">requirements </w:t>
      </w:r>
      <w:r>
        <w:t xml:space="preserve">for the naming of instruments is </w:t>
      </w:r>
      <w:r w:rsidRPr="00437B60">
        <w:t xml:space="preserve">to establish a </w:t>
      </w:r>
      <w:r w:rsidRPr="00437B60">
        <w:rPr>
          <w:i/>
        </w:rPr>
        <w:t>system</w:t>
      </w:r>
      <w:r w:rsidRPr="00437B60">
        <w:t xml:space="preserve"> for naming instruments that is coherent and comprehensive</w:t>
      </w:r>
      <w:r>
        <w:t>.</w:t>
      </w:r>
      <w:r w:rsidR="008D6D82">
        <w:t xml:space="preserve"> (However, the requirements do not override any requirements of an Act for naming instruments made under the Act.)</w:t>
      </w:r>
    </w:p>
    <w:p w:rsidR="00295967" w:rsidRPr="00ED4296" w:rsidRDefault="00295967" w:rsidP="00295967">
      <w:pPr>
        <w:pStyle w:val="notemargin"/>
      </w:pPr>
      <w:r w:rsidRPr="005056E0">
        <w:t>Note:</w:t>
      </w:r>
      <w:r w:rsidRPr="005056E0">
        <w:tab/>
        <w:t>An instrument may be cited by its name, or by reference to the secular year in which it was passed and its number.</w:t>
      </w:r>
      <w:bookmarkStart w:id="6" w:name="BK_S1P3L12C8"/>
      <w:bookmarkEnd w:id="6"/>
      <w:r w:rsidRPr="005056E0">
        <w:t xml:space="preserve"> See </w:t>
      </w:r>
      <w:r>
        <w:t>sub</w:t>
      </w:r>
      <w:r w:rsidRPr="005056E0">
        <w:t>paragraph 40(1</w:t>
      </w:r>
      <w:r>
        <w:t>A</w:t>
      </w:r>
      <w:r w:rsidRPr="005056E0">
        <w:t>)(a)</w:t>
      </w:r>
      <w:r>
        <w:t>(ii)</w:t>
      </w:r>
      <w:r w:rsidRPr="005056E0">
        <w:t xml:space="preserve"> of the </w:t>
      </w:r>
      <w:r w:rsidRPr="00A3270F">
        <w:rPr>
          <w:i/>
        </w:rPr>
        <w:t>Acts Interpretation Act 1901</w:t>
      </w:r>
      <w:r>
        <w:t xml:space="preserve"> as it applies because of </w:t>
      </w:r>
      <w:r w:rsidRPr="001C61FA">
        <w:t xml:space="preserve">paragraph 13(1)(a) of the </w:t>
      </w:r>
      <w:r w:rsidRPr="001C61FA">
        <w:rPr>
          <w:i/>
        </w:rPr>
        <w:t>Legislati</w:t>
      </w:r>
      <w:r>
        <w:rPr>
          <w:i/>
        </w:rPr>
        <w:t xml:space="preserve">on </w:t>
      </w:r>
      <w:r w:rsidRPr="001C61FA">
        <w:rPr>
          <w:i/>
        </w:rPr>
        <w:t>Act 2003</w:t>
      </w:r>
      <w:r w:rsidRPr="00CA4ABA">
        <w:t xml:space="preserve"> </w:t>
      </w:r>
      <w:r>
        <w:t xml:space="preserve">or </w:t>
      </w:r>
      <w:r w:rsidRPr="001C61FA">
        <w:t xml:space="preserve">paragraph 46(1)(a) of the </w:t>
      </w:r>
      <w:r w:rsidRPr="001C61FA">
        <w:rPr>
          <w:i/>
        </w:rPr>
        <w:t>Acts Interpretation Act 1901</w:t>
      </w:r>
      <w:r>
        <w:t>.</w:t>
      </w:r>
    </w:p>
    <w:p w:rsidR="00295967" w:rsidRPr="001C61FA" w:rsidRDefault="00295967" w:rsidP="00295967">
      <w:pPr>
        <w:pStyle w:val="BodyNum"/>
      </w:pPr>
      <w:r>
        <w:t xml:space="preserve">The main objective of the rules in this Drafting Direction about naming the provision units of instruments is to ensure alignment of </w:t>
      </w:r>
      <w:r w:rsidRPr="00437B60">
        <w:t xml:space="preserve">the names of </w:t>
      </w:r>
      <w:r>
        <w:t>those</w:t>
      </w:r>
      <w:r w:rsidRPr="00437B60">
        <w:t xml:space="preserve"> units with the </w:t>
      </w:r>
      <w:r>
        <w:t xml:space="preserve">names of </w:t>
      </w:r>
      <w:r w:rsidRPr="00437B60">
        <w:t xml:space="preserve">corresponding units of Acts (except in rules of court and </w:t>
      </w:r>
      <w:r>
        <w:t>in references to units in instruments made before 2012</w:t>
      </w:r>
      <w:r w:rsidRPr="00437B60">
        <w:t>).</w:t>
      </w:r>
    </w:p>
    <w:p w:rsidR="00295967" w:rsidRDefault="00295967" w:rsidP="00295967">
      <w:pPr>
        <w:pStyle w:val="BodyNum"/>
      </w:pPr>
      <w:r w:rsidRPr="001C61FA">
        <w:t xml:space="preserve">For </w:t>
      </w:r>
      <w:r>
        <w:t xml:space="preserve">the purposes of </w:t>
      </w:r>
      <w:r w:rsidRPr="001C61FA">
        <w:t xml:space="preserve">this Drafting Direction, the </w:t>
      </w:r>
      <w:r w:rsidR="00B20DB7">
        <w:rPr>
          <w:b/>
          <w:i/>
        </w:rPr>
        <w:t>enabling Act</w:t>
      </w:r>
      <w:r w:rsidRPr="001C61FA">
        <w:t xml:space="preserve"> of an instrument is</w:t>
      </w:r>
      <w:r>
        <w:t xml:space="preserve"> </w:t>
      </w:r>
      <w:r w:rsidRPr="005056E0">
        <w:t>the Act under which the instrument is made</w:t>
      </w:r>
      <w:r>
        <w:t xml:space="preserve"> either directly or indirectly (if the instrument is made under another instrument that is made directly or indirectly under the Act).</w:t>
      </w:r>
    </w:p>
    <w:p w:rsidR="00295967" w:rsidRDefault="00295967" w:rsidP="00295967">
      <w:pPr>
        <w:pStyle w:val="BodyNum"/>
      </w:pPr>
      <w:bookmarkStart w:id="7" w:name="_Ref451526673"/>
      <w:r>
        <w:t>For</w:t>
      </w:r>
      <w:r w:rsidRPr="001C61FA">
        <w:t xml:space="preserve"> </w:t>
      </w:r>
      <w:r>
        <w:t xml:space="preserve">the purposes of this Drafting Direction, the </w:t>
      </w:r>
      <w:r w:rsidRPr="00487256">
        <w:rPr>
          <w:b/>
          <w:i/>
        </w:rPr>
        <w:t>Act component</w:t>
      </w:r>
      <w:r>
        <w:t xml:space="preserve"> of the name of an instrument is the short title of the </w:t>
      </w:r>
      <w:r w:rsidR="00B20DB7">
        <w:t>enabling Act</w:t>
      </w:r>
      <w:r>
        <w:t>, without:</w:t>
      </w:r>
      <w:bookmarkEnd w:id="7"/>
    </w:p>
    <w:p w:rsidR="00295967" w:rsidRDefault="00295967" w:rsidP="00295967">
      <w:pPr>
        <w:pStyle w:val="BodyPara"/>
      </w:pPr>
      <w:r>
        <w:t>the word “Act”; and</w:t>
      </w:r>
    </w:p>
    <w:p w:rsidR="00295967" w:rsidRDefault="00295967" w:rsidP="00295967">
      <w:pPr>
        <w:pStyle w:val="BodyPara"/>
      </w:pPr>
      <w:r>
        <w:t>the year of passage of the Act; and</w:t>
      </w:r>
    </w:p>
    <w:p w:rsidR="00295967" w:rsidRDefault="00295967" w:rsidP="00295967">
      <w:pPr>
        <w:pStyle w:val="BodyPara"/>
      </w:pPr>
      <w:r>
        <w:t>any word (e.g. “Amendment”) that would, if included in the instrument name, give a misleading impression of the nature of the instrument; and</w:t>
      </w:r>
    </w:p>
    <w:p w:rsidR="00295967" w:rsidRDefault="00295967" w:rsidP="00295967">
      <w:pPr>
        <w:pStyle w:val="BodyPara"/>
      </w:pPr>
      <w:r>
        <w:t>any other word that would, if included in the instrument name, make the instrument name too cumbersome.</w:t>
      </w:r>
    </w:p>
    <w:p w:rsidR="00295967" w:rsidRPr="00566C73" w:rsidRDefault="001C546C" w:rsidP="001C546C">
      <w:pPr>
        <w:pStyle w:val="notemargin"/>
      </w:pPr>
      <w:r>
        <w:t>E</w:t>
      </w:r>
      <w:r w:rsidR="00295967">
        <w:t>xample</w:t>
      </w:r>
      <w:r>
        <w:t>:</w:t>
      </w:r>
      <w:r>
        <w:tab/>
        <w:t>T</w:t>
      </w:r>
      <w:r w:rsidR="00295967">
        <w:t xml:space="preserve">he Act component of the name of regulations made under the </w:t>
      </w:r>
      <w:r w:rsidR="00295967" w:rsidRPr="00566C73">
        <w:rPr>
          <w:i/>
        </w:rPr>
        <w:t>Antarctic Treaty (Environment Protection) Act 1980</w:t>
      </w:r>
      <w:r w:rsidR="00295967">
        <w:t xml:space="preserve"> is “Antarctic Treaty (Environment Protection)”.</w:t>
      </w:r>
    </w:p>
    <w:p w:rsidR="00295967" w:rsidRPr="001C61FA" w:rsidRDefault="00295967" w:rsidP="00295967">
      <w:pPr>
        <w:pStyle w:val="BodyNum"/>
      </w:pPr>
      <w:r>
        <w:t xml:space="preserve">For the purposes of this Drafting Direction, a </w:t>
      </w:r>
      <w:r w:rsidRPr="00437B60">
        <w:rPr>
          <w:b/>
          <w:i/>
        </w:rPr>
        <w:t>principal instrument</w:t>
      </w:r>
      <w:r>
        <w:t xml:space="preserve"> is an instrument </w:t>
      </w:r>
      <w:r w:rsidRPr="00FC679E">
        <w:t>with substantive, and not merely amending or repealing, provisions</w:t>
      </w:r>
      <w:r>
        <w:t>. Note that an instrument with substantive provisions will be a principal instrument even if it also contains amending or repealing provisions.</w:t>
      </w:r>
    </w:p>
    <w:p w:rsidR="00FC30DE" w:rsidRDefault="00295967" w:rsidP="00295967">
      <w:pPr>
        <w:pStyle w:val="Head2"/>
      </w:pPr>
      <w:bookmarkStart w:id="8" w:name="_Toc108428153"/>
      <w:r>
        <w:lastRenderedPageBreak/>
        <w:t>Part 2—</w:t>
      </w:r>
      <w:r w:rsidR="00FC30DE">
        <w:t>References to instruments</w:t>
      </w:r>
      <w:bookmarkEnd w:id="8"/>
    </w:p>
    <w:p w:rsidR="00295967" w:rsidRDefault="00295967" w:rsidP="00FC30DE">
      <w:pPr>
        <w:pStyle w:val="Head3"/>
      </w:pPr>
      <w:bookmarkStart w:id="9" w:name="_Toc108428154"/>
      <w:r>
        <w:t>Internal references to whole instruments</w:t>
      </w:r>
      <w:bookmarkEnd w:id="9"/>
    </w:p>
    <w:p w:rsidR="00295967" w:rsidRPr="00C37802" w:rsidRDefault="00295967" w:rsidP="00295967">
      <w:pPr>
        <w:pStyle w:val="BodyNum"/>
      </w:pPr>
      <w:bookmarkStart w:id="10" w:name="_Ref48206171"/>
      <w:r w:rsidRPr="00C37802">
        <w:t xml:space="preserve">A reference in an instrument </w:t>
      </w:r>
      <w:r w:rsidR="00613987">
        <w:t xml:space="preserve">to be </w:t>
      </w:r>
      <w:r w:rsidRPr="00C37802">
        <w:t xml:space="preserve">made on or after </w:t>
      </w:r>
      <w:r w:rsidR="00613987">
        <w:t xml:space="preserve">the date of this Drafting Direction </w:t>
      </w:r>
      <w:r w:rsidRPr="00C37802">
        <w:t>to the instrument itself should use the phrase “this instrument”</w:t>
      </w:r>
      <w:r w:rsidR="00C230FD">
        <w:t xml:space="preserve"> (with a lower-case “i”)</w:t>
      </w:r>
      <w:r w:rsidRPr="00C37802">
        <w:t>, except in the following cases:</w:t>
      </w:r>
      <w:bookmarkEnd w:id="10"/>
    </w:p>
    <w:p w:rsidR="00295967" w:rsidRDefault="00295967" w:rsidP="00295967">
      <w:pPr>
        <w:pStyle w:val="BodyPara"/>
      </w:pPr>
      <w:r w:rsidRPr="0001717B">
        <w:t>in an Ordinance, the phrase “this Ordinance” (with a capital “O”) should be used</w:t>
      </w:r>
      <w:r w:rsidR="00CD2318">
        <w:t>;</w:t>
      </w:r>
    </w:p>
    <w:p w:rsidR="00C363B8" w:rsidRPr="0001717B" w:rsidRDefault="00C363B8" w:rsidP="006C4333">
      <w:pPr>
        <w:pStyle w:val="BodyPara"/>
      </w:pPr>
      <w:bookmarkStart w:id="11" w:name="_Ref48206156"/>
      <w:r w:rsidRPr="0001717B">
        <w:t>in rules of court, the phrase “these Rules” (with a capital “R”) should be used;</w:t>
      </w:r>
    </w:p>
    <w:p w:rsidR="00C363B8" w:rsidRDefault="00CD2318" w:rsidP="006C4333">
      <w:pPr>
        <w:pStyle w:val="BodyPara"/>
      </w:pPr>
      <w:r>
        <w:t>in the “making words” of the instrument, the phrase set out in the following table should be used.</w:t>
      </w:r>
      <w:bookmarkEnd w:id="11"/>
    </w:p>
    <w:p w:rsidR="00CD2318" w:rsidRDefault="00CD2318" w:rsidP="00CD231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5387"/>
      </w:tblGrid>
      <w:tr w:rsidR="00CD2318" w:rsidTr="004238D2">
        <w:trPr>
          <w:tblHeader/>
        </w:trPr>
        <w:tc>
          <w:tcPr>
            <w:tcW w:w="8926" w:type="dxa"/>
            <w:gridSpan w:val="3"/>
            <w:tcBorders>
              <w:top w:val="single" w:sz="12" w:space="0" w:color="auto"/>
              <w:bottom w:val="single" w:sz="6" w:space="0" w:color="auto"/>
            </w:tcBorders>
            <w:shd w:val="clear" w:color="auto" w:fill="auto"/>
          </w:tcPr>
          <w:p w:rsidR="00CD2318" w:rsidRDefault="00331C93" w:rsidP="00331C93">
            <w:pPr>
              <w:pStyle w:val="TableHeading"/>
            </w:pPr>
            <w:r>
              <w:t>References to an instrument in its</w:t>
            </w:r>
            <w:r w:rsidR="00CD2318">
              <w:t xml:space="preserve"> “making words”</w:t>
            </w:r>
          </w:p>
        </w:tc>
      </w:tr>
      <w:tr w:rsidR="00CD2318" w:rsidTr="004238D2">
        <w:trPr>
          <w:tblHeader/>
        </w:trPr>
        <w:tc>
          <w:tcPr>
            <w:tcW w:w="714" w:type="dxa"/>
            <w:tcBorders>
              <w:top w:val="single" w:sz="6" w:space="0" w:color="auto"/>
              <w:bottom w:val="single" w:sz="12" w:space="0" w:color="auto"/>
            </w:tcBorders>
            <w:shd w:val="clear" w:color="auto" w:fill="auto"/>
          </w:tcPr>
          <w:p w:rsidR="00CD2318" w:rsidRDefault="00CD2318" w:rsidP="00CD2318">
            <w:pPr>
              <w:pStyle w:val="TableHeading"/>
            </w:pPr>
            <w:r>
              <w:t>Item</w:t>
            </w:r>
          </w:p>
        </w:tc>
        <w:tc>
          <w:tcPr>
            <w:tcW w:w="2825" w:type="dxa"/>
            <w:tcBorders>
              <w:top w:val="single" w:sz="6" w:space="0" w:color="auto"/>
              <w:bottom w:val="single" w:sz="12" w:space="0" w:color="auto"/>
            </w:tcBorders>
            <w:shd w:val="clear" w:color="auto" w:fill="auto"/>
          </w:tcPr>
          <w:p w:rsidR="00CD2318" w:rsidRDefault="00CD2318" w:rsidP="00CD2318">
            <w:pPr>
              <w:pStyle w:val="TableHeading"/>
            </w:pPr>
            <w:r>
              <w:t>In …</w:t>
            </w:r>
          </w:p>
        </w:tc>
        <w:tc>
          <w:tcPr>
            <w:tcW w:w="5387" w:type="dxa"/>
            <w:tcBorders>
              <w:top w:val="single" w:sz="6" w:space="0" w:color="auto"/>
              <w:bottom w:val="single" w:sz="12" w:space="0" w:color="auto"/>
            </w:tcBorders>
            <w:shd w:val="clear" w:color="auto" w:fill="auto"/>
          </w:tcPr>
          <w:p w:rsidR="00CD2318" w:rsidRDefault="00CD2318" w:rsidP="00CD2318">
            <w:pPr>
              <w:pStyle w:val="TableHeading"/>
            </w:pPr>
            <w:r>
              <w:t>the “making words” should use the phrase …</w:t>
            </w:r>
          </w:p>
        </w:tc>
      </w:tr>
      <w:tr w:rsidR="00CD2318" w:rsidTr="004238D2">
        <w:tc>
          <w:tcPr>
            <w:tcW w:w="714" w:type="dxa"/>
            <w:tcBorders>
              <w:top w:val="single" w:sz="12" w:space="0" w:color="auto"/>
            </w:tcBorders>
            <w:shd w:val="clear" w:color="auto" w:fill="auto"/>
          </w:tcPr>
          <w:p w:rsidR="00CD2318" w:rsidRDefault="00CD2318" w:rsidP="00CD2318">
            <w:pPr>
              <w:pStyle w:val="Tabletext"/>
            </w:pPr>
            <w:r>
              <w:t>1</w:t>
            </w:r>
          </w:p>
        </w:tc>
        <w:tc>
          <w:tcPr>
            <w:tcW w:w="2825" w:type="dxa"/>
            <w:tcBorders>
              <w:top w:val="single" w:sz="12" w:space="0" w:color="auto"/>
            </w:tcBorders>
            <w:shd w:val="clear" w:color="auto" w:fill="auto"/>
          </w:tcPr>
          <w:p w:rsidR="00CD2318" w:rsidRDefault="00CD2318" w:rsidP="00CD2318">
            <w:pPr>
              <w:pStyle w:val="Tabletext"/>
            </w:pPr>
            <w:r>
              <w:t>an Ordinance</w:t>
            </w:r>
          </w:p>
        </w:tc>
        <w:tc>
          <w:tcPr>
            <w:tcW w:w="5387" w:type="dxa"/>
            <w:tcBorders>
              <w:top w:val="single" w:sz="12" w:space="0" w:color="auto"/>
            </w:tcBorders>
            <w:shd w:val="clear" w:color="auto" w:fill="auto"/>
          </w:tcPr>
          <w:p w:rsidR="00CD2318" w:rsidRDefault="00CD2318" w:rsidP="00F74437">
            <w:pPr>
              <w:pStyle w:val="Tabletext"/>
            </w:pPr>
            <w:r>
              <w:t>“the following Ordinance”</w:t>
            </w:r>
            <w:r w:rsidR="00F74437" w:rsidRPr="0001717B">
              <w:t xml:space="preserve"> (with a capital “</w:t>
            </w:r>
            <w:r w:rsidR="00F74437">
              <w:t>O</w:t>
            </w:r>
            <w:r w:rsidR="00F74437" w:rsidRPr="0001717B">
              <w:t>”)</w:t>
            </w:r>
            <w:r>
              <w:t>.</w:t>
            </w:r>
          </w:p>
        </w:tc>
      </w:tr>
      <w:tr w:rsidR="00CD2318" w:rsidTr="004238D2">
        <w:tc>
          <w:tcPr>
            <w:tcW w:w="714" w:type="dxa"/>
            <w:shd w:val="clear" w:color="auto" w:fill="auto"/>
          </w:tcPr>
          <w:p w:rsidR="00CD2318" w:rsidRDefault="00CD2318" w:rsidP="00CD2318">
            <w:pPr>
              <w:pStyle w:val="Tabletext"/>
            </w:pPr>
            <w:r>
              <w:t>2</w:t>
            </w:r>
          </w:p>
        </w:tc>
        <w:tc>
          <w:tcPr>
            <w:tcW w:w="2825" w:type="dxa"/>
            <w:shd w:val="clear" w:color="auto" w:fill="auto"/>
          </w:tcPr>
          <w:p w:rsidR="00CD2318" w:rsidRDefault="00CD2318" w:rsidP="00CD2318">
            <w:pPr>
              <w:pStyle w:val="Tabletext"/>
            </w:pPr>
            <w:r>
              <w:t>a Proclamation</w:t>
            </w:r>
          </w:p>
        </w:tc>
        <w:tc>
          <w:tcPr>
            <w:tcW w:w="5387" w:type="dxa"/>
            <w:shd w:val="clear" w:color="auto" w:fill="auto"/>
          </w:tcPr>
          <w:p w:rsidR="00CD2318" w:rsidRDefault="00CD2318" w:rsidP="00F74437">
            <w:pPr>
              <w:pStyle w:val="Tabletext"/>
            </w:pPr>
            <w:r>
              <w:t>“the following Proclamation”</w:t>
            </w:r>
            <w:r w:rsidR="00F74437" w:rsidRPr="0001717B">
              <w:t xml:space="preserve"> (with a capital “</w:t>
            </w:r>
            <w:r w:rsidR="00F74437">
              <w:t>P</w:t>
            </w:r>
            <w:r w:rsidR="00F74437" w:rsidRPr="0001717B">
              <w:t>”)</w:t>
            </w:r>
            <w:r>
              <w:t>.</w:t>
            </w:r>
          </w:p>
        </w:tc>
      </w:tr>
      <w:tr w:rsidR="00CD2318" w:rsidTr="004238D2">
        <w:tc>
          <w:tcPr>
            <w:tcW w:w="714" w:type="dxa"/>
            <w:tcBorders>
              <w:bottom w:val="single" w:sz="2" w:space="0" w:color="auto"/>
            </w:tcBorders>
            <w:shd w:val="clear" w:color="auto" w:fill="auto"/>
          </w:tcPr>
          <w:p w:rsidR="00CD2318" w:rsidRDefault="00CD2318" w:rsidP="00CD2318">
            <w:pPr>
              <w:pStyle w:val="Tabletext"/>
            </w:pPr>
            <w:r>
              <w:t>3</w:t>
            </w:r>
          </w:p>
        </w:tc>
        <w:tc>
          <w:tcPr>
            <w:tcW w:w="2825" w:type="dxa"/>
            <w:tcBorders>
              <w:bottom w:val="single" w:sz="2" w:space="0" w:color="auto"/>
            </w:tcBorders>
            <w:shd w:val="clear" w:color="auto" w:fill="auto"/>
          </w:tcPr>
          <w:p w:rsidR="00CD2318" w:rsidRDefault="00CD2318" w:rsidP="00CD2318">
            <w:pPr>
              <w:pStyle w:val="Tabletext"/>
            </w:pPr>
            <w:r>
              <w:t>regulations</w:t>
            </w:r>
          </w:p>
        </w:tc>
        <w:tc>
          <w:tcPr>
            <w:tcW w:w="5387" w:type="dxa"/>
            <w:tcBorders>
              <w:bottom w:val="single" w:sz="2" w:space="0" w:color="auto"/>
            </w:tcBorders>
            <w:shd w:val="clear" w:color="auto" w:fill="auto"/>
          </w:tcPr>
          <w:p w:rsidR="00CD2318" w:rsidRDefault="00CD2318" w:rsidP="00F74437">
            <w:pPr>
              <w:pStyle w:val="Tabletext"/>
            </w:pPr>
            <w:r>
              <w:t>“the following regulations”</w:t>
            </w:r>
            <w:r w:rsidR="00F74437" w:rsidRPr="0001717B">
              <w:t xml:space="preserve"> (with a </w:t>
            </w:r>
            <w:r w:rsidR="00F74437">
              <w:t xml:space="preserve">lower-case </w:t>
            </w:r>
            <w:r w:rsidR="00F74437" w:rsidRPr="0001717B">
              <w:t>“</w:t>
            </w:r>
            <w:r w:rsidR="00F74437">
              <w:t>r</w:t>
            </w:r>
            <w:r w:rsidR="00F74437" w:rsidRPr="0001717B">
              <w:t>”)</w:t>
            </w:r>
            <w:r>
              <w:t>.</w:t>
            </w:r>
          </w:p>
        </w:tc>
      </w:tr>
      <w:tr w:rsidR="00CD2318" w:rsidTr="004238D2">
        <w:tc>
          <w:tcPr>
            <w:tcW w:w="714" w:type="dxa"/>
            <w:tcBorders>
              <w:top w:val="single" w:sz="2" w:space="0" w:color="auto"/>
              <w:bottom w:val="single" w:sz="2" w:space="0" w:color="auto"/>
            </w:tcBorders>
            <w:shd w:val="clear" w:color="auto" w:fill="auto"/>
          </w:tcPr>
          <w:p w:rsidR="00CD2318" w:rsidRDefault="00CD2318" w:rsidP="00CD2318">
            <w:pPr>
              <w:pStyle w:val="Tabletext"/>
            </w:pPr>
            <w:r>
              <w:t>4</w:t>
            </w:r>
          </w:p>
        </w:tc>
        <w:tc>
          <w:tcPr>
            <w:tcW w:w="2825" w:type="dxa"/>
            <w:tcBorders>
              <w:top w:val="single" w:sz="2" w:space="0" w:color="auto"/>
              <w:bottom w:val="single" w:sz="2" w:space="0" w:color="auto"/>
            </w:tcBorders>
            <w:shd w:val="clear" w:color="auto" w:fill="auto"/>
          </w:tcPr>
          <w:p w:rsidR="00CD2318" w:rsidRDefault="00CD2318" w:rsidP="00CD2318">
            <w:pPr>
              <w:pStyle w:val="Tabletext"/>
            </w:pPr>
            <w:r>
              <w:t>rules (other than rules of court)</w:t>
            </w:r>
          </w:p>
        </w:tc>
        <w:tc>
          <w:tcPr>
            <w:tcW w:w="5387" w:type="dxa"/>
            <w:tcBorders>
              <w:top w:val="single" w:sz="2" w:space="0" w:color="auto"/>
              <w:bottom w:val="single" w:sz="2" w:space="0" w:color="auto"/>
            </w:tcBorders>
            <w:shd w:val="clear" w:color="auto" w:fill="auto"/>
          </w:tcPr>
          <w:p w:rsidR="00CD2318" w:rsidRDefault="00CD2318" w:rsidP="00F74437">
            <w:pPr>
              <w:pStyle w:val="Tabletext"/>
            </w:pPr>
            <w:r>
              <w:t>“the following rules”</w:t>
            </w:r>
            <w:r w:rsidR="00F74437" w:rsidRPr="0001717B">
              <w:t xml:space="preserve"> (with a </w:t>
            </w:r>
            <w:r w:rsidR="00F74437">
              <w:t>lower-case</w:t>
            </w:r>
            <w:r w:rsidR="00F74437" w:rsidRPr="0001717B">
              <w:t xml:space="preserve"> “</w:t>
            </w:r>
            <w:r w:rsidR="00F74437">
              <w:t>r</w:t>
            </w:r>
            <w:r w:rsidR="00F74437" w:rsidRPr="0001717B">
              <w:t>”)</w:t>
            </w:r>
            <w:r>
              <w:t>.</w:t>
            </w:r>
          </w:p>
        </w:tc>
      </w:tr>
      <w:tr w:rsidR="00CD2318" w:rsidTr="004238D2">
        <w:tc>
          <w:tcPr>
            <w:tcW w:w="714" w:type="dxa"/>
            <w:tcBorders>
              <w:top w:val="single" w:sz="2" w:space="0" w:color="auto"/>
              <w:bottom w:val="single" w:sz="2" w:space="0" w:color="auto"/>
            </w:tcBorders>
            <w:shd w:val="clear" w:color="auto" w:fill="auto"/>
          </w:tcPr>
          <w:p w:rsidR="00CD2318" w:rsidRDefault="00EB1A99" w:rsidP="00CD2318">
            <w:pPr>
              <w:pStyle w:val="Tabletext"/>
            </w:pPr>
            <w:r>
              <w:t>5</w:t>
            </w:r>
          </w:p>
        </w:tc>
        <w:tc>
          <w:tcPr>
            <w:tcW w:w="2825" w:type="dxa"/>
            <w:tcBorders>
              <w:top w:val="single" w:sz="2" w:space="0" w:color="auto"/>
              <w:bottom w:val="single" w:sz="2" w:space="0" w:color="auto"/>
            </w:tcBorders>
            <w:shd w:val="clear" w:color="auto" w:fill="auto"/>
          </w:tcPr>
          <w:p w:rsidR="00CD2318" w:rsidRDefault="00CD2318" w:rsidP="00CD2318">
            <w:pPr>
              <w:pStyle w:val="Tabletext"/>
            </w:pPr>
            <w:r>
              <w:t>rules of court</w:t>
            </w:r>
          </w:p>
        </w:tc>
        <w:tc>
          <w:tcPr>
            <w:tcW w:w="5387" w:type="dxa"/>
            <w:tcBorders>
              <w:top w:val="single" w:sz="2" w:space="0" w:color="auto"/>
              <w:bottom w:val="single" w:sz="2" w:space="0" w:color="auto"/>
            </w:tcBorders>
            <w:shd w:val="clear" w:color="auto" w:fill="auto"/>
          </w:tcPr>
          <w:p w:rsidR="00CD2318" w:rsidRDefault="00CD2318" w:rsidP="00CD2318">
            <w:pPr>
              <w:pStyle w:val="Tabletext"/>
            </w:pPr>
            <w:r>
              <w:t>“the following Rules”</w:t>
            </w:r>
            <w:r w:rsidR="00F74437" w:rsidRPr="0001717B">
              <w:t xml:space="preserve"> (with a capital “R”)</w:t>
            </w:r>
            <w:r>
              <w:t>.</w:t>
            </w:r>
          </w:p>
        </w:tc>
      </w:tr>
      <w:tr w:rsidR="00CD2318" w:rsidTr="004238D2">
        <w:tc>
          <w:tcPr>
            <w:tcW w:w="714" w:type="dxa"/>
            <w:tcBorders>
              <w:top w:val="single" w:sz="2" w:space="0" w:color="auto"/>
              <w:bottom w:val="single" w:sz="12" w:space="0" w:color="auto"/>
            </w:tcBorders>
            <w:shd w:val="clear" w:color="auto" w:fill="auto"/>
          </w:tcPr>
          <w:p w:rsidR="00CD2318" w:rsidRDefault="00EB1A99" w:rsidP="00CD2318">
            <w:pPr>
              <w:pStyle w:val="Tabletext"/>
            </w:pPr>
            <w:r>
              <w:t>6</w:t>
            </w:r>
          </w:p>
        </w:tc>
        <w:tc>
          <w:tcPr>
            <w:tcW w:w="2825" w:type="dxa"/>
            <w:tcBorders>
              <w:top w:val="single" w:sz="2" w:space="0" w:color="auto"/>
              <w:bottom w:val="single" w:sz="12" w:space="0" w:color="auto"/>
            </w:tcBorders>
            <w:shd w:val="clear" w:color="auto" w:fill="auto"/>
          </w:tcPr>
          <w:p w:rsidR="00CD2318" w:rsidRDefault="00CD2318" w:rsidP="00CD2318">
            <w:pPr>
              <w:pStyle w:val="Tabletext"/>
            </w:pPr>
            <w:r>
              <w:t>all other instruments</w:t>
            </w:r>
          </w:p>
        </w:tc>
        <w:tc>
          <w:tcPr>
            <w:tcW w:w="5387" w:type="dxa"/>
            <w:tcBorders>
              <w:top w:val="single" w:sz="2" w:space="0" w:color="auto"/>
              <w:bottom w:val="single" w:sz="12" w:space="0" w:color="auto"/>
            </w:tcBorders>
            <w:shd w:val="clear" w:color="auto" w:fill="auto"/>
          </w:tcPr>
          <w:p w:rsidR="00CD2318" w:rsidRDefault="00CD2318" w:rsidP="00CD2318">
            <w:pPr>
              <w:pStyle w:val="Tabletext"/>
            </w:pPr>
            <w:r w:rsidRPr="0001717B">
              <w:t>“the following [type of instrument</w:t>
            </w:r>
            <w:r>
              <w:t xml:space="preserve"> (in lower case)</w:t>
            </w:r>
            <w:r w:rsidRPr="0001717B">
              <w:t>]”</w:t>
            </w:r>
            <w:r>
              <w:t xml:space="preserve"> except if </w:t>
            </w:r>
            <w:r w:rsidRPr="0001717B">
              <w:t>it would be clearer to use the phrase “the following instrument”</w:t>
            </w:r>
            <w:r>
              <w:t xml:space="preserve"> (with a lower-case “i”).</w:t>
            </w:r>
          </w:p>
        </w:tc>
      </w:tr>
    </w:tbl>
    <w:p w:rsidR="00CD2318" w:rsidRDefault="00CD2318" w:rsidP="00CD2318">
      <w:pPr>
        <w:pStyle w:val="notemargin"/>
      </w:pPr>
      <w:r>
        <w:t>Note:</w:t>
      </w:r>
      <w:r>
        <w:tab/>
        <w:t>The “making words” of an instrument are the words on the cover page identifying the maker of the instrument and stating that the maker makes the instrument.</w:t>
      </w:r>
    </w:p>
    <w:p w:rsidR="005F0231" w:rsidRDefault="00295967" w:rsidP="00295967">
      <w:pPr>
        <w:pStyle w:val="BodyNum"/>
      </w:pPr>
      <w:r w:rsidRPr="00C37802">
        <w:t xml:space="preserve">If an </w:t>
      </w:r>
      <w:r w:rsidR="005F0231">
        <w:t xml:space="preserve">amending </w:t>
      </w:r>
      <w:r w:rsidRPr="00C37802">
        <w:t xml:space="preserve">instrument contains text to be included in another instrument (the </w:t>
      </w:r>
      <w:r w:rsidRPr="0001717B">
        <w:rPr>
          <w:b/>
          <w:i/>
        </w:rPr>
        <w:t>amended instrument</w:t>
      </w:r>
      <w:r w:rsidRPr="00C37802">
        <w:t xml:space="preserve">) to refer to the </w:t>
      </w:r>
      <w:r>
        <w:t>amended</w:t>
      </w:r>
      <w:r w:rsidRPr="00C37802">
        <w:t xml:space="preserve"> instrument, that text should reflect the </w:t>
      </w:r>
      <w:r w:rsidR="001C546C">
        <w:t xml:space="preserve">way </w:t>
      </w:r>
      <w:r w:rsidRPr="00C37802">
        <w:t xml:space="preserve">existing </w:t>
      </w:r>
      <w:r w:rsidR="001C546C">
        <w:t xml:space="preserve">provisions of </w:t>
      </w:r>
      <w:r w:rsidRPr="00C37802">
        <w:t xml:space="preserve">the </w:t>
      </w:r>
      <w:r>
        <w:t>amended</w:t>
      </w:r>
      <w:r w:rsidRPr="00C37802">
        <w:t xml:space="preserve"> instrument</w:t>
      </w:r>
      <w:r>
        <w:t xml:space="preserve"> </w:t>
      </w:r>
      <w:r w:rsidR="001C546C">
        <w:t>refer to</w:t>
      </w:r>
      <w:r w:rsidRPr="00C37802">
        <w:t xml:space="preserve"> the </w:t>
      </w:r>
      <w:r>
        <w:t>amended</w:t>
      </w:r>
      <w:r w:rsidRPr="00C37802">
        <w:t xml:space="preserve"> instrument itself.</w:t>
      </w:r>
      <w:r w:rsidR="005F0231">
        <w:t xml:space="preserve"> (This does not require repeating the name of the amended instrument.)</w:t>
      </w:r>
    </w:p>
    <w:p w:rsidR="00295967" w:rsidRPr="00C37802" w:rsidRDefault="005F0231" w:rsidP="005F0231">
      <w:pPr>
        <w:pStyle w:val="notemargin"/>
      </w:pPr>
      <w:r>
        <w:t>E</w:t>
      </w:r>
      <w:r w:rsidR="00295967">
        <w:t>xample</w:t>
      </w:r>
      <w:r>
        <w:t>: T</w:t>
      </w:r>
      <w:r w:rsidR="00295967">
        <w:t>ext inserted by amending regulations in regulations made before 2012 would use “these Regulations” (not “this instrument”) to refer to the set of regulations into which the text is inserted.</w:t>
      </w:r>
    </w:p>
    <w:p w:rsidR="00FC30DE" w:rsidRDefault="00FC30DE" w:rsidP="00FC30DE">
      <w:pPr>
        <w:pStyle w:val="Head3"/>
      </w:pPr>
      <w:bookmarkStart w:id="12" w:name="_Toc108428155"/>
      <w:r>
        <w:t>External references to whole instruments</w:t>
      </w:r>
      <w:bookmarkEnd w:id="12"/>
    </w:p>
    <w:p w:rsidR="00CD7BA0" w:rsidRDefault="00FC30DE" w:rsidP="00FC30DE">
      <w:pPr>
        <w:pStyle w:val="BodyNum"/>
      </w:pPr>
      <w:bookmarkStart w:id="13" w:name="_Ref100829625"/>
      <w:bookmarkStart w:id="14" w:name="_Ref100829344"/>
      <w:r w:rsidRPr="00C37802">
        <w:t>A</w:t>
      </w:r>
      <w:r>
        <w:t xml:space="preserve"> subsequent</w:t>
      </w:r>
      <w:r w:rsidRPr="00C37802">
        <w:t xml:space="preserve"> reference </w:t>
      </w:r>
      <w:r>
        <w:t xml:space="preserve">in legislation </w:t>
      </w:r>
      <w:r w:rsidRPr="00C37802">
        <w:t xml:space="preserve">to </w:t>
      </w:r>
      <w:r>
        <w:t xml:space="preserve">a legislative or notifiable instrument </w:t>
      </w:r>
      <w:r w:rsidR="00FE34ED">
        <w:t xml:space="preserve">(other than a reference in the legislative or notifiable instrument itself) </w:t>
      </w:r>
      <w:r>
        <w:t xml:space="preserve">should </w:t>
      </w:r>
      <w:r w:rsidRPr="00C37802">
        <w:t>use the phrase “th</w:t>
      </w:r>
      <w:r>
        <w:t>at</w:t>
      </w:r>
      <w:r w:rsidRPr="00C37802">
        <w:t xml:space="preserve"> instrument”</w:t>
      </w:r>
      <w:r>
        <w:t xml:space="preserve"> (with a lower-case “i”)</w:t>
      </w:r>
      <w:r w:rsidRPr="00C37802">
        <w:t xml:space="preserve">, </w:t>
      </w:r>
      <w:r>
        <w:t>rather than “those regulations” etc.</w:t>
      </w:r>
      <w:bookmarkEnd w:id="13"/>
    </w:p>
    <w:p w:rsidR="00FC30DE" w:rsidRPr="00C37802" w:rsidRDefault="00CD7BA0" w:rsidP="00FC30DE">
      <w:pPr>
        <w:pStyle w:val="BodyNum"/>
      </w:pPr>
      <w:r>
        <w:t xml:space="preserve">Paragraph </w:t>
      </w:r>
      <w:r w:rsidR="005C7D78">
        <w:fldChar w:fldCharType="begin"/>
      </w:r>
      <w:r w:rsidR="005C7D78">
        <w:instrText xml:space="preserve"> REF _Ref100829625 \r \h </w:instrText>
      </w:r>
      <w:r w:rsidR="005C7D78">
        <w:fldChar w:fldCharType="separate"/>
      </w:r>
      <w:r w:rsidR="007A7267">
        <w:t>9</w:t>
      </w:r>
      <w:r w:rsidR="005C7D78">
        <w:fldChar w:fldCharType="end"/>
      </w:r>
      <w:r>
        <w:t xml:space="preserve"> does not apply </w:t>
      </w:r>
      <w:r w:rsidR="00FC30DE" w:rsidRPr="00C37802">
        <w:t>in the following cases:</w:t>
      </w:r>
      <w:bookmarkEnd w:id="14"/>
    </w:p>
    <w:p w:rsidR="00FC30DE" w:rsidRDefault="00FC30DE" w:rsidP="00FC30DE">
      <w:pPr>
        <w:pStyle w:val="BodyPara"/>
      </w:pPr>
      <w:r>
        <w:t>references to an</w:t>
      </w:r>
      <w:r w:rsidRPr="0001717B">
        <w:t xml:space="preserve"> Ordinance</w:t>
      </w:r>
      <w:r>
        <w:t xml:space="preserve"> should use</w:t>
      </w:r>
      <w:r w:rsidRPr="0001717B">
        <w:t xml:space="preserve"> the phrase “th</w:t>
      </w:r>
      <w:r>
        <w:t>at</w:t>
      </w:r>
      <w:r w:rsidRPr="0001717B">
        <w:t xml:space="preserve"> Ordinance” (with a capital “O”)</w:t>
      </w:r>
      <w:r>
        <w:t>;</w:t>
      </w:r>
    </w:p>
    <w:p w:rsidR="00FC30DE" w:rsidRDefault="00FC30DE" w:rsidP="00FC30DE">
      <w:pPr>
        <w:pStyle w:val="BodyPara"/>
      </w:pPr>
      <w:r>
        <w:t xml:space="preserve">references to </w:t>
      </w:r>
      <w:r w:rsidRPr="0001717B">
        <w:t xml:space="preserve">rules of court </w:t>
      </w:r>
      <w:r>
        <w:t xml:space="preserve">should use the phrase </w:t>
      </w:r>
      <w:r w:rsidRPr="0001717B">
        <w:t>“th</w:t>
      </w:r>
      <w:r>
        <w:t>o</w:t>
      </w:r>
      <w:r w:rsidRPr="0001717B">
        <w:t>se Rules” (with a capital “R”)</w:t>
      </w:r>
      <w:r w:rsidR="00CD7BA0">
        <w:t>;</w:t>
      </w:r>
    </w:p>
    <w:p w:rsidR="00CD7BA0" w:rsidRDefault="00CD7BA0" w:rsidP="00CD7BA0">
      <w:pPr>
        <w:pStyle w:val="BodyPara"/>
      </w:pPr>
      <w:r>
        <w:lastRenderedPageBreak/>
        <w:t xml:space="preserve">a case in which applying the rule in paragraph </w:t>
      </w:r>
      <w:r>
        <w:fldChar w:fldCharType="begin"/>
      </w:r>
      <w:r>
        <w:instrText xml:space="preserve"> REF _Ref100829625 \r \h </w:instrText>
      </w:r>
      <w:r>
        <w:fldChar w:fldCharType="separate"/>
      </w:r>
      <w:r w:rsidR="007A7267">
        <w:t>9</w:t>
      </w:r>
      <w:r>
        <w:fldChar w:fldCharType="end"/>
      </w:r>
      <w:r>
        <w:t xml:space="preserve"> could create ambiguity because the relevant provision refers to more than one instrument.</w:t>
      </w:r>
    </w:p>
    <w:p w:rsidR="00295967" w:rsidRPr="001C61FA" w:rsidRDefault="00295967" w:rsidP="00CD7BA0">
      <w:pPr>
        <w:pStyle w:val="Head2"/>
      </w:pPr>
      <w:bookmarkStart w:id="15" w:name="_Toc108428156"/>
      <w:r w:rsidRPr="001C61FA">
        <w:t>Part 3—Naming of instruments</w:t>
      </w:r>
      <w:bookmarkEnd w:id="15"/>
    </w:p>
    <w:p w:rsidR="00295967" w:rsidRDefault="00295967" w:rsidP="00295967">
      <w:pPr>
        <w:pStyle w:val="Head3"/>
      </w:pPr>
      <w:bookmarkStart w:id="16" w:name="_Toc108428157"/>
      <w:r>
        <w:t>Purpose of naming</w:t>
      </w:r>
      <w:bookmarkEnd w:id="16"/>
    </w:p>
    <w:p w:rsidR="00295967" w:rsidRPr="00365A03" w:rsidRDefault="00295967" w:rsidP="00295967">
      <w:pPr>
        <w:pStyle w:val="BodyNum"/>
      </w:pPr>
      <w:bookmarkStart w:id="17" w:name="_Ref451510814"/>
      <w:r w:rsidRPr="00365A03">
        <w:t xml:space="preserve">The name </w:t>
      </w:r>
      <w:r>
        <w:t>of</w:t>
      </w:r>
      <w:r w:rsidRPr="00365A03">
        <w:t xml:space="preserve"> an instrument </w:t>
      </w:r>
      <w:r>
        <w:t>is to</w:t>
      </w:r>
      <w:r w:rsidRPr="00365A03">
        <w:t>:</w:t>
      </w:r>
      <w:bookmarkEnd w:id="17"/>
    </w:p>
    <w:p w:rsidR="00295967" w:rsidRPr="001F45F7" w:rsidRDefault="00295967" w:rsidP="00295967">
      <w:pPr>
        <w:pStyle w:val="BodyPara"/>
      </w:pPr>
      <w:r w:rsidRPr="001F45F7">
        <w:t>provide a convenient way of referring to the instrument (i.e. must not be too cumbersome); and</w:t>
      </w:r>
    </w:p>
    <w:p w:rsidR="00295967" w:rsidRPr="001F45F7" w:rsidRDefault="00295967" w:rsidP="00295967">
      <w:pPr>
        <w:pStyle w:val="BodyPara"/>
      </w:pPr>
      <w:r w:rsidRPr="001F45F7">
        <w:t>be unique (so that the instrument can be identified with complete certainty from its name alone).</w:t>
      </w:r>
    </w:p>
    <w:p w:rsidR="00295967" w:rsidRPr="001C61FA" w:rsidRDefault="00295967" w:rsidP="00295967">
      <w:pPr>
        <w:pStyle w:val="Head3"/>
      </w:pPr>
      <w:bookmarkStart w:id="18" w:name="_Toc108428158"/>
      <w:r>
        <w:t>Formal presentation of name</w:t>
      </w:r>
      <w:bookmarkEnd w:id="18"/>
    </w:p>
    <w:p w:rsidR="00295967" w:rsidRDefault="00295967" w:rsidP="00295967">
      <w:pPr>
        <w:pStyle w:val="BodyNum"/>
      </w:pPr>
      <w:r w:rsidRPr="001C61FA">
        <w:t>Legislative instruments must have a naming section.</w:t>
      </w:r>
      <w:bookmarkStart w:id="19" w:name="BK_S1P8L8C16"/>
      <w:bookmarkEnd w:id="19"/>
      <w:r>
        <w:t xml:space="preserve"> </w:t>
      </w:r>
      <w:r w:rsidRPr="001C61FA">
        <w:t>Non-legislative instruments may have a naming section or may be named by the inclusion of a name</w:t>
      </w:r>
      <w:r>
        <w:t xml:space="preserve"> in a heading</w:t>
      </w:r>
      <w:r w:rsidRPr="001C61FA">
        <w:t xml:space="preserve"> at the beginning of the instrument</w:t>
      </w:r>
      <w:r>
        <w:t xml:space="preserve"> (after any coat of arms)</w:t>
      </w:r>
      <w:r w:rsidRPr="001C61FA">
        <w:t>.</w:t>
      </w:r>
    </w:p>
    <w:p w:rsidR="001C546C" w:rsidRPr="001C546C" w:rsidRDefault="001C546C" w:rsidP="001C546C">
      <w:pPr>
        <w:pStyle w:val="notemargin"/>
      </w:pPr>
      <w:r>
        <w:t>Example:</w:t>
      </w:r>
      <w:r>
        <w:tab/>
        <w:t>A commencement Proclamation (which is not a legislative instrument) is named using a heading between the coat of arms and the words of the Proclamation.</w:t>
      </w:r>
    </w:p>
    <w:p w:rsidR="00295967" w:rsidRDefault="00295967" w:rsidP="00295967">
      <w:pPr>
        <w:pStyle w:val="BodyNum"/>
      </w:pPr>
      <w:r w:rsidRPr="001C61FA">
        <w:t>The naming section should be the first section of an instrument.</w:t>
      </w:r>
      <w:r>
        <w:t xml:space="preserve"> In the naming section, the name of the instrument should be italicised.</w:t>
      </w:r>
    </w:p>
    <w:p w:rsidR="00295967" w:rsidRPr="006D12B3" w:rsidRDefault="00295967" w:rsidP="006D12B3">
      <w:pPr>
        <w:pStyle w:val="notemargin"/>
      </w:pPr>
      <w:r w:rsidRPr="006D12B3">
        <w:t>Example:</w:t>
      </w:r>
    </w:p>
    <w:p w:rsidR="00295967" w:rsidRPr="00AC50B9" w:rsidRDefault="00295967" w:rsidP="00295967">
      <w:pPr>
        <w:pStyle w:val="Specials"/>
      </w:pPr>
      <w:r w:rsidRPr="00AC50B9">
        <w:t>1  Name</w:t>
      </w:r>
    </w:p>
    <w:p w:rsidR="00295967" w:rsidRPr="00AC50B9" w:rsidRDefault="00295967" w:rsidP="00295967">
      <w:pPr>
        <w:pStyle w:val="subsection"/>
      </w:pPr>
      <w:r>
        <w:tab/>
      </w:r>
      <w:r>
        <w:tab/>
      </w:r>
      <w:r w:rsidRPr="00AC50B9">
        <w:t xml:space="preserve">This </w:t>
      </w:r>
      <w:r>
        <w:t xml:space="preserve">instrument </w:t>
      </w:r>
      <w:r w:rsidRPr="00AC50B9">
        <w:t xml:space="preserve">is the </w:t>
      </w:r>
      <w:r w:rsidR="00A81E32">
        <w:rPr>
          <w:i/>
        </w:rPr>
        <w:t>Dog</w:t>
      </w:r>
      <w:r w:rsidRPr="00FC679E">
        <w:rPr>
          <w:i/>
        </w:rPr>
        <w:t xml:space="preserve"> Regulation</w:t>
      </w:r>
      <w:r>
        <w:rPr>
          <w:i/>
        </w:rPr>
        <w:t>s</w:t>
      </w:r>
      <w:r w:rsidRPr="00FC679E">
        <w:rPr>
          <w:i/>
        </w:rPr>
        <w:t xml:space="preserve"> 20</w:t>
      </w:r>
      <w:r w:rsidR="005A224C">
        <w:rPr>
          <w:i/>
        </w:rPr>
        <w:t>22</w:t>
      </w:r>
      <w:r w:rsidRPr="00AC50B9">
        <w:t>.</w:t>
      </w:r>
    </w:p>
    <w:p w:rsidR="00112711" w:rsidRPr="00112711" w:rsidRDefault="00112711" w:rsidP="00112711">
      <w:pPr>
        <w:pStyle w:val="Head3"/>
      </w:pPr>
      <w:bookmarkStart w:id="20" w:name="_Ref45881637"/>
      <w:bookmarkStart w:id="21" w:name="OLE_LINK1"/>
      <w:bookmarkStart w:id="22" w:name="OLE_LINK2"/>
      <w:bookmarkStart w:id="23" w:name="_Toc108428159"/>
      <w:r>
        <w:t>Capitalisation</w:t>
      </w:r>
      <w:bookmarkEnd w:id="23"/>
    </w:p>
    <w:p w:rsidR="00295967" w:rsidRDefault="00112711" w:rsidP="00295967">
      <w:pPr>
        <w:pStyle w:val="BodyNum"/>
      </w:pPr>
      <w:bookmarkStart w:id="24" w:name="_Ref45882053"/>
      <w:r>
        <w:t>E</w:t>
      </w:r>
      <w:r w:rsidR="00295967">
        <w:t xml:space="preserve">ach </w:t>
      </w:r>
      <w:r w:rsidR="00295967" w:rsidRPr="00011C95">
        <w:t xml:space="preserve">word in </w:t>
      </w:r>
      <w:r w:rsidR="00295967">
        <w:t>the</w:t>
      </w:r>
      <w:r w:rsidR="00295967" w:rsidRPr="00011C95">
        <w:t xml:space="preserve"> name must begin with a capital</w:t>
      </w:r>
      <w:r w:rsidR="00295967">
        <w:t xml:space="preserve">, except for </w:t>
      </w:r>
      <w:r w:rsidR="00295967" w:rsidRPr="00011C95">
        <w:t>any definite or indefinite article, preposition or conjunction.</w:t>
      </w:r>
      <w:bookmarkEnd w:id="20"/>
      <w:bookmarkEnd w:id="24"/>
    </w:p>
    <w:p w:rsidR="00112711" w:rsidRPr="00112711" w:rsidRDefault="00112711" w:rsidP="00112711">
      <w:pPr>
        <w:pStyle w:val="notemargin"/>
      </w:pPr>
      <w:r>
        <w:t>Note:</w:t>
      </w:r>
      <w:r>
        <w:tab/>
        <w:t xml:space="preserve">For an exception to this rule, see paragraph </w:t>
      </w:r>
      <w:r>
        <w:fldChar w:fldCharType="begin"/>
      </w:r>
      <w:r>
        <w:instrText xml:space="preserve"> REF _Ref45881735 \r \h </w:instrText>
      </w:r>
      <w:r>
        <w:fldChar w:fldCharType="separate"/>
      </w:r>
      <w:r w:rsidR="007A7267">
        <w:t>25</w:t>
      </w:r>
      <w:r>
        <w:fldChar w:fldCharType="end"/>
      </w:r>
      <w:r>
        <w:t>.</w:t>
      </w:r>
    </w:p>
    <w:p w:rsidR="00295967" w:rsidRDefault="00295967" w:rsidP="00295967">
      <w:pPr>
        <w:pStyle w:val="Head3"/>
      </w:pPr>
      <w:bookmarkStart w:id="25" w:name="_Toc108428160"/>
      <w:r>
        <w:t>Name must always end with type and year of making of instrument</w:t>
      </w:r>
      <w:bookmarkEnd w:id="25"/>
    </w:p>
    <w:p w:rsidR="00295967" w:rsidRDefault="00295967" w:rsidP="00295967">
      <w:pPr>
        <w:pStyle w:val="BodyNum"/>
      </w:pPr>
      <w:bookmarkStart w:id="26" w:name="_Ref451526508"/>
      <w:r>
        <w:t xml:space="preserve">The name of any instrument must end with what type of instrument it is and what year it was made (subject to paragraph </w:t>
      </w:r>
      <w:r>
        <w:fldChar w:fldCharType="begin"/>
      </w:r>
      <w:r>
        <w:instrText xml:space="preserve"> REF _Ref454551304 \r \h </w:instrText>
      </w:r>
      <w:r>
        <w:fldChar w:fldCharType="separate"/>
      </w:r>
      <w:r w:rsidR="007A7267">
        <w:t>21</w:t>
      </w:r>
      <w:r>
        <w:fldChar w:fldCharType="end"/>
      </w:r>
      <w:r>
        <w:t>, about using numbers between the type of instrument and the year to avoid instruments having identical names).</w:t>
      </w:r>
    </w:p>
    <w:bookmarkEnd w:id="26"/>
    <w:p w:rsidR="00295967" w:rsidRDefault="00295967" w:rsidP="00295967">
      <w:pPr>
        <w:pStyle w:val="BodyNum"/>
      </w:pPr>
      <w:r w:rsidRPr="001C61FA">
        <w:t xml:space="preserve">An instrument made </w:t>
      </w:r>
      <w:r>
        <w:t xml:space="preserve">on or after </w:t>
      </w:r>
      <w:r w:rsidR="00613987">
        <w:t>1 January 2017</w:t>
      </w:r>
      <w:r>
        <w:t xml:space="preserve"> </w:t>
      </w:r>
      <w:r w:rsidRPr="001C61FA">
        <w:t xml:space="preserve">in </w:t>
      </w:r>
      <w:r w:rsidR="008D6D82">
        <w:t xml:space="preserve">the </w:t>
      </w:r>
      <w:r w:rsidRPr="001C61FA">
        <w:t xml:space="preserve">exercise of regulation-making powers is </w:t>
      </w:r>
      <w:r>
        <w:t>to be named</w:t>
      </w:r>
      <w:r w:rsidRPr="001C61FA">
        <w:t xml:space="preserve"> as </w:t>
      </w:r>
      <w:r>
        <w:t>R</w:t>
      </w:r>
      <w:r w:rsidRPr="001C61FA">
        <w:t>egulation</w:t>
      </w:r>
      <w:r>
        <w:t>s (plural)</w:t>
      </w:r>
      <w:r w:rsidRPr="001C61FA">
        <w:t>.</w:t>
      </w:r>
      <w:bookmarkStart w:id="27" w:name="BK_S1P20L26C88"/>
      <w:bookmarkEnd w:id="27"/>
      <w:r w:rsidRPr="001C61FA">
        <w:t xml:space="preserve"> </w:t>
      </w:r>
      <w:r>
        <w:t xml:space="preserve">An instrument made on or after </w:t>
      </w:r>
      <w:r w:rsidR="00613987">
        <w:t xml:space="preserve">the date of this Drafting Direction </w:t>
      </w:r>
      <w:r>
        <w:t>in exercise of rule-making powers is to be named as Rules (plural). An instrument made in exercise of a power to fix a date or time for commencement of all or part of an Act by Proclamation is to be named as a Commencement Proclamation.</w:t>
      </w:r>
    </w:p>
    <w:p w:rsidR="00E30224" w:rsidRPr="00E30224" w:rsidRDefault="00E30224" w:rsidP="00E30224">
      <w:pPr>
        <w:pStyle w:val="notemargin"/>
      </w:pPr>
      <w:r>
        <w:t>Example:</w:t>
      </w:r>
      <w:r>
        <w:tab/>
        <w:t xml:space="preserve">A Proclamation to fix the date for commencement of the </w:t>
      </w:r>
      <w:r w:rsidRPr="00E30224">
        <w:rPr>
          <w:i/>
        </w:rPr>
        <w:t>Dog Act 20</w:t>
      </w:r>
      <w:r w:rsidR="005A224C">
        <w:rPr>
          <w:i/>
        </w:rPr>
        <w:t>22</w:t>
      </w:r>
      <w:r>
        <w:t xml:space="preserve"> would be named the </w:t>
      </w:r>
      <w:r w:rsidRPr="00E30224">
        <w:rPr>
          <w:i/>
        </w:rPr>
        <w:t>Dog Commencement Proclamation 20</w:t>
      </w:r>
      <w:r w:rsidR="005A224C">
        <w:rPr>
          <w:i/>
        </w:rPr>
        <w:t>22</w:t>
      </w:r>
      <w:r>
        <w:t>.</w:t>
      </w:r>
    </w:p>
    <w:p w:rsidR="00295967" w:rsidRPr="001C61FA" w:rsidRDefault="00295967" w:rsidP="00295967">
      <w:pPr>
        <w:pStyle w:val="BodyNum"/>
      </w:pPr>
      <w:r w:rsidRPr="001C61FA">
        <w:lastRenderedPageBreak/>
        <w:t>The name of any other type of instrument</w:t>
      </w:r>
      <w:r w:rsidR="002423EE">
        <w:t xml:space="preserve"> made on or after the date of this Drafting Direction</w:t>
      </w:r>
      <w:r w:rsidRPr="001C61FA">
        <w:t xml:space="preserve"> should generally reflect the </w:t>
      </w:r>
      <w:r>
        <w:t>verb used in the conferral of power to make the instrument</w:t>
      </w:r>
      <w:r w:rsidRPr="001C61FA">
        <w:t>.</w:t>
      </w:r>
      <w:bookmarkStart w:id="28" w:name="BK_S1P20L27C73"/>
      <w:bookmarkEnd w:id="28"/>
      <w:r w:rsidRPr="001C61FA">
        <w:t xml:space="preserve"> Some examples are:</w:t>
      </w:r>
    </w:p>
    <w:p w:rsidR="00295967" w:rsidRDefault="00295967" w:rsidP="0029596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513"/>
        <w:gridCol w:w="4513"/>
      </w:tblGrid>
      <w:tr w:rsidR="00295967" w:rsidTr="00CC777A">
        <w:trPr>
          <w:tblHeader/>
        </w:trPr>
        <w:tc>
          <w:tcPr>
            <w:tcW w:w="9026" w:type="dxa"/>
            <w:gridSpan w:val="2"/>
            <w:tcBorders>
              <w:top w:val="single" w:sz="12" w:space="0" w:color="auto"/>
              <w:bottom w:val="single" w:sz="6" w:space="0" w:color="auto"/>
            </w:tcBorders>
            <w:shd w:val="clear" w:color="auto" w:fill="auto"/>
          </w:tcPr>
          <w:p w:rsidR="00295967" w:rsidRDefault="00295967" w:rsidP="002423EE">
            <w:pPr>
              <w:pStyle w:val="TableHeading"/>
            </w:pPr>
            <w:r>
              <w:t>Naming of instrument to reflect wording of power to make instrument</w:t>
            </w:r>
          </w:p>
        </w:tc>
      </w:tr>
      <w:tr w:rsidR="00295967" w:rsidTr="00CC777A">
        <w:trPr>
          <w:tblHeader/>
        </w:trPr>
        <w:tc>
          <w:tcPr>
            <w:tcW w:w="4513" w:type="dxa"/>
            <w:tcBorders>
              <w:top w:val="single" w:sz="6" w:space="0" w:color="auto"/>
              <w:bottom w:val="single" w:sz="12" w:space="0" w:color="auto"/>
            </w:tcBorders>
            <w:shd w:val="clear" w:color="auto" w:fill="auto"/>
          </w:tcPr>
          <w:p w:rsidR="00295967" w:rsidRPr="00310D6C" w:rsidRDefault="00295967" w:rsidP="00CC777A">
            <w:pPr>
              <w:pStyle w:val="TableHeading"/>
            </w:pPr>
            <w:r w:rsidRPr="00310D6C">
              <w:t>Column 1</w:t>
            </w:r>
          </w:p>
          <w:p w:rsidR="00295967" w:rsidRDefault="00295967" w:rsidP="00CC777A">
            <w:pPr>
              <w:pStyle w:val="TableHeading"/>
            </w:pPr>
            <w:r w:rsidRPr="00310D6C">
              <w:t>A power to ...</w:t>
            </w:r>
          </w:p>
        </w:tc>
        <w:tc>
          <w:tcPr>
            <w:tcW w:w="4513" w:type="dxa"/>
            <w:tcBorders>
              <w:top w:val="single" w:sz="6" w:space="0" w:color="auto"/>
              <w:bottom w:val="single" w:sz="12" w:space="0" w:color="auto"/>
            </w:tcBorders>
            <w:shd w:val="clear" w:color="auto" w:fill="auto"/>
          </w:tcPr>
          <w:p w:rsidR="00295967" w:rsidRPr="00310D6C" w:rsidRDefault="00295967" w:rsidP="00CC777A">
            <w:pPr>
              <w:pStyle w:val="TableHeading"/>
            </w:pPr>
            <w:r w:rsidRPr="00310D6C">
              <w:t>Column 2</w:t>
            </w:r>
          </w:p>
          <w:p w:rsidR="00295967" w:rsidRDefault="00295967" w:rsidP="00CC777A">
            <w:pPr>
              <w:pStyle w:val="TableHeading"/>
            </w:pPr>
            <w:r w:rsidRPr="00310D6C">
              <w:t xml:space="preserve">is given effect in an instrument </w:t>
            </w:r>
            <w:r>
              <w:t>named</w:t>
            </w:r>
            <w:r w:rsidRPr="00310D6C">
              <w:t xml:space="preserve"> ...</w:t>
            </w:r>
          </w:p>
        </w:tc>
      </w:tr>
      <w:tr w:rsidR="00295967" w:rsidTr="00CC777A">
        <w:tc>
          <w:tcPr>
            <w:tcW w:w="4513" w:type="dxa"/>
            <w:tcBorders>
              <w:top w:val="single" w:sz="12" w:space="0" w:color="auto"/>
            </w:tcBorders>
            <w:shd w:val="clear" w:color="auto" w:fill="auto"/>
          </w:tcPr>
          <w:p w:rsidR="00295967" w:rsidRPr="001C61FA" w:rsidRDefault="00295967" w:rsidP="00CC777A">
            <w:pPr>
              <w:pStyle w:val="Tabletext"/>
            </w:pPr>
            <w:r>
              <w:t>appoint</w:t>
            </w:r>
          </w:p>
        </w:tc>
        <w:tc>
          <w:tcPr>
            <w:tcW w:w="4513" w:type="dxa"/>
            <w:tcBorders>
              <w:top w:val="single" w:sz="12" w:space="0" w:color="auto"/>
            </w:tcBorders>
            <w:shd w:val="clear" w:color="auto" w:fill="auto"/>
          </w:tcPr>
          <w:p w:rsidR="00295967" w:rsidRDefault="00295967" w:rsidP="00CC777A">
            <w:pPr>
              <w:pStyle w:val="Tabletext"/>
            </w:pPr>
            <w:r>
              <w:t>… Appointment …</w:t>
            </w:r>
          </w:p>
        </w:tc>
      </w:tr>
      <w:tr w:rsidR="00295967" w:rsidTr="00CC777A">
        <w:tc>
          <w:tcPr>
            <w:tcW w:w="4513" w:type="dxa"/>
            <w:shd w:val="clear" w:color="auto" w:fill="auto"/>
          </w:tcPr>
          <w:p w:rsidR="00295967" w:rsidRPr="001C61FA" w:rsidRDefault="00295967" w:rsidP="00CC777A">
            <w:pPr>
              <w:pStyle w:val="Tabletext"/>
            </w:pPr>
            <w:r w:rsidRPr="001C61FA">
              <w:t>approve</w:t>
            </w:r>
          </w:p>
        </w:tc>
        <w:tc>
          <w:tcPr>
            <w:tcW w:w="4513" w:type="dxa"/>
            <w:shd w:val="clear" w:color="auto" w:fill="auto"/>
          </w:tcPr>
          <w:p w:rsidR="00295967" w:rsidRPr="001C61FA" w:rsidRDefault="00295967" w:rsidP="00CC777A">
            <w:pPr>
              <w:pStyle w:val="Tabletext"/>
            </w:pPr>
            <w:r>
              <w:t>…</w:t>
            </w:r>
            <w:r w:rsidRPr="001C61FA">
              <w:t xml:space="preserve"> </w:t>
            </w:r>
            <w:r>
              <w:t>A</w:t>
            </w:r>
            <w:r w:rsidRPr="001C61FA">
              <w:t>pproval</w:t>
            </w:r>
            <w:r>
              <w:t xml:space="preserve"> …</w:t>
            </w:r>
          </w:p>
        </w:tc>
      </w:tr>
      <w:tr w:rsidR="00295967" w:rsidTr="00CC777A">
        <w:tc>
          <w:tcPr>
            <w:tcW w:w="4513" w:type="dxa"/>
            <w:shd w:val="clear" w:color="auto" w:fill="auto"/>
          </w:tcPr>
          <w:p w:rsidR="00295967" w:rsidRPr="001C61FA" w:rsidRDefault="00295967" w:rsidP="00CC777A">
            <w:pPr>
              <w:pStyle w:val="Tabletext"/>
            </w:pPr>
            <w:r w:rsidRPr="001C61FA">
              <w:t>authorise</w:t>
            </w:r>
          </w:p>
        </w:tc>
        <w:tc>
          <w:tcPr>
            <w:tcW w:w="4513" w:type="dxa"/>
            <w:shd w:val="clear" w:color="auto" w:fill="auto"/>
          </w:tcPr>
          <w:p w:rsidR="00295967" w:rsidRPr="001C61FA" w:rsidRDefault="00295967" w:rsidP="00CC777A">
            <w:pPr>
              <w:pStyle w:val="Tabletext"/>
            </w:pPr>
            <w:r>
              <w:t>…</w:t>
            </w:r>
            <w:r w:rsidRPr="001C61FA">
              <w:t xml:space="preserve"> </w:t>
            </w:r>
            <w:r>
              <w:t>A</w:t>
            </w:r>
            <w:r w:rsidRPr="001C61FA">
              <w:t>uthorisation</w:t>
            </w:r>
            <w:r>
              <w:t xml:space="preserve"> …</w:t>
            </w:r>
          </w:p>
        </w:tc>
      </w:tr>
      <w:tr w:rsidR="00295967" w:rsidTr="00CC777A">
        <w:tc>
          <w:tcPr>
            <w:tcW w:w="4513" w:type="dxa"/>
            <w:shd w:val="clear" w:color="auto" w:fill="auto"/>
          </w:tcPr>
          <w:p w:rsidR="00295967" w:rsidRPr="001C61FA" w:rsidRDefault="00295967" w:rsidP="00CC777A">
            <w:pPr>
              <w:pStyle w:val="Tabletext"/>
            </w:pPr>
            <w:r w:rsidRPr="001C61FA">
              <w:t>certify</w:t>
            </w:r>
          </w:p>
        </w:tc>
        <w:tc>
          <w:tcPr>
            <w:tcW w:w="4513" w:type="dxa"/>
            <w:shd w:val="clear" w:color="auto" w:fill="auto"/>
          </w:tcPr>
          <w:p w:rsidR="00295967" w:rsidRPr="001C61FA" w:rsidRDefault="00295967" w:rsidP="00CC777A">
            <w:pPr>
              <w:pStyle w:val="Tabletext"/>
            </w:pPr>
            <w:r>
              <w:t>…</w:t>
            </w:r>
            <w:r w:rsidRPr="001C61FA">
              <w:t xml:space="preserve"> </w:t>
            </w:r>
            <w:r>
              <w:t>C</w:t>
            </w:r>
            <w:r w:rsidRPr="001C61FA">
              <w:t>ertificate</w:t>
            </w:r>
            <w:r>
              <w:t xml:space="preserve"> …</w:t>
            </w:r>
          </w:p>
        </w:tc>
      </w:tr>
      <w:tr w:rsidR="00295967" w:rsidTr="00CC777A">
        <w:tc>
          <w:tcPr>
            <w:tcW w:w="4513" w:type="dxa"/>
            <w:shd w:val="clear" w:color="auto" w:fill="auto"/>
          </w:tcPr>
          <w:p w:rsidR="00295967" w:rsidRPr="001C61FA" w:rsidRDefault="00295967" w:rsidP="00CC777A">
            <w:pPr>
              <w:pStyle w:val="Tabletext"/>
            </w:pPr>
            <w:r w:rsidRPr="001C61FA">
              <w:t>declare</w:t>
            </w:r>
          </w:p>
        </w:tc>
        <w:tc>
          <w:tcPr>
            <w:tcW w:w="4513" w:type="dxa"/>
            <w:shd w:val="clear" w:color="auto" w:fill="auto"/>
          </w:tcPr>
          <w:p w:rsidR="00295967" w:rsidRPr="001C61FA" w:rsidRDefault="00295967" w:rsidP="00CC777A">
            <w:pPr>
              <w:pStyle w:val="Tabletext"/>
            </w:pPr>
            <w:r>
              <w:t>…</w:t>
            </w:r>
            <w:r w:rsidRPr="001C61FA">
              <w:t xml:space="preserve"> </w:t>
            </w:r>
            <w:r>
              <w:t>D</w:t>
            </w:r>
            <w:r w:rsidRPr="001C61FA">
              <w:t>eclaration</w:t>
            </w:r>
            <w:r>
              <w:t xml:space="preserve"> …</w:t>
            </w:r>
          </w:p>
        </w:tc>
      </w:tr>
      <w:tr w:rsidR="00295967" w:rsidTr="00CC777A">
        <w:tc>
          <w:tcPr>
            <w:tcW w:w="4513" w:type="dxa"/>
            <w:shd w:val="clear" w:color="auto" w:fill="auto"/>
          </w:tcPr>
          <w:p w:rsidR="00295967" w:rsidRPr="001C61FA" w:rsidRDefault="00295967" w:rsidP="00CC777A">
            <w:pPr>
              <w:pStyle w:val="Tabletext"/>
            </w:pPr>
            <w:r w:rsidRPr="001C61FA">
              <w:t>delegate</w:t>
            </w:r>
          </w:p>
        </w:tc>
        <w:tc>
          <w:tcPr>
            <w:tcW w:w="4513" w:type="dxa"/>
            <w:shd w:val="clear" w:color="auto" w:fill="auto"/>
          </w:tcPr>
          <w:p w:rsidR="00295967" w:rsidRPr="001C61FA" w:rsidRDefault="00295967" w:rsidP="00CC777A">
            <w:pPr>
              <w:pStyle w:val="Tabletext"/>
            </w:pPr>
            <w:r>
              <w:t>…</w:t>
            </w:r>
            <w:r w:rsidRPr="001C61FA">
              <w:t xml:space="preserve"> </w:t>
            </w:r>
            <w:r>
              <w:t>D</w:t>
            </w:r>
            <w:r w:rsidRPr="001C61FA">
              <w:t>elegation</w:t>
            </w:r>
            <w:r>
              <w:t xml:space="preserve"> …</w:t>
            </w:r>
          </w:p>
        </w:tc>
      </w:tr>
      <w:tr w:rsidR="00295967" w:rsidTr="00CC777A">
        <w:tc>
          <w:tcPr>
            <w:tcW w:w="4513" w:type="dxa"/>
            <w:shd w:val="clear" w:color="auto" w:fill="auto"/>
          </w:tcPr>
          <w:p w:rsidR="00295967" w:rsidRPr="001C61FA" w:rsidRDefault="00295967" w:rsidP="00CC777A">
            <w:pPr>
              <w:pStyle w:val="Tabletext"/>
            </w:pPr>
            <w:r w:rsidRPr="001C61FA">
              <w:t>determine</w:t>
            </w:r>
          </w:p>
        </w:tc>
        <w:tc>
          <w:tcPr>
            <w:tcW w:w="4513" w:type="dxa"/>
            <w:shd w:val="clear" w:color="auto" w:fill="auto"/>
          </w:tcPr>
          <w:p w:rsidR="00295967" w:rsidRPr="001C61FA" w:rsidRDefault="00295967" w:rsidP="00CC777A">
            <w:pPr>
              <w:pStyle w:val="Tabletext"/>
            </w:pPr>
            <w:r>
              <w:t>…</w:t>
            </w:r>
            <w:r w:rsidRPr="001C61FA">
              <w:t xml:space="preserve"> </w:t>
            </w:r>
            <w:r>
              <w:t>D</w:t>
            </w:r>
            <w:r w:rsidRPr="001C61FA">
              <w:t>etermination</w:t>
            </w:r>
            <w:r>
              <w:t xml:space="preserve"> …</w:t>
            </w:r>
          </w:p>
        </w:tc>
      </w:tr>
      <w:tr w:rsidR="00295967" w:rsidTr="00CC777A">
        <w:tc>
          <w:tcPr>
            <w:tcW w:w="4513" w:type="dxa"/>
            <w:shd w:val="clear" w:color="auto" w:fill="auto"/>
          </w:tcPr>
          <w:p w:rsidR="00295967" w:rsidRPr="001C61FA" w:rsidRDefault="00295967" w:rsidP="00CC777A">
            <w:pPr>
              <w:pStyle w:val="Tabletext"/>
            </w:pPr>
            <w:r w:rsidRPr="001C61FA">
              <w:t>direct</w:t>
            </w:r>
          </w:p>
        </w:tc>
        <w:tc>
          <w:tcPr>
            <w:tcW w:w="4513" w:type="dxa"/>
            <w:shd w:val="clear" w:color="auto" w:fill="auto"/>
          </w:tcPr>
          <w:p w:rsidR="00295967" w:rsidRPr="001C61FA" w:rsidRDefault="00295967" w:rsidP="00CC777A">
            <w:pPr>
              <w:pStyle w:val="Tabletext"/>
            </w:pPr>
            <w:r>
              <w:t>…</w:t>
            </w:r>
            <w:r w:rsidRPr="001C61FA">
              <w:t xml:space="preserve"> </w:t>
            </w:r>
            <w:r>
              <w:t>D</w:t>
            </w:r>
            <w:r w:rsidRPr="001C61FA">
              <w:t>irection</w:t>
            </w:r>
            <w:r>
              <w:t xml:space="preserve"> …</w:t>
            </w:r>
          </w:p>
        </w:tc>
      </w:tr>
      <w:tr w:rsidR="00295967" w:rsidTr="00CC777A">
        <w:tc>
          <w:tcPr>
            <w:tcW w:w="4513" w:type="dxa"/>
            <w:tcBorders>
              <w:bottom w:val="single" w:sz="2" w:space="0" w:color="auto"/>
            </w:tcBorders>
            <w:shd w:val="clear" w:color="auto" w:fill="auto"/>
          </w:tcPr>
          <w:p w:rsidR="00295967" w:rsidRPr="001C61FA" w:rsidRDefault="00295967" w:rsidP="00CC777A">
            <w:pPr>
              <w:pStyle w:val="Tabletext"/>
            </w:pPr>
            <w:r w:rsidRPr="001C61FA">
              <w:t>exempt</w:t>
            </w:r>
          </w:p>
        </w:tc>
        <w:tc>
          <w:tcPr>
            <w:tcW w:w="4513" w:type="dxa"/>
            <w:tcBorders>
              <w:bottom w:val="single" w:sz="2" w:space="0" w:color="auto"/>
            </w:tcBorders>
            <w:shd w:val="clear" w:color="auto" w:fill="auto"/>
          </w:tcPr>
          <w:p w:rsidR="00295967" w:rsidRPr="001C61FA" w:rsidRDefault="00295967" w:rsidP="00CC777A">
            <w:pPr>
              <w:pStyle w:val="Tabletext"/>
            </w:pPr>
            <w:r>
              <w:t>…</w:t>
            </w:r>
            <w:r w:rsidRPr="001C61FA">
              <w:t xml:space="preserve"> </w:t>
            </w:r>
            <w:r>
              <w:t>E</w:t>
            </w:r>
            <w:r w:rsidRPr="001C61FA">
              <w:t>xemption</w:t>
            </w:r>
            <w:r>
              <w:t xml:space="preserve"> …</w:t>
            </w:r>
          </w:p>
        </w:tc>
      </w:tr>
      <w:tr w:rsidR="00295967" w:rsidTr="00CC777A">
        <w:tc>
          <w:tcPr>
            <w:tcW w:w="4513" w:type="dxa"/>
            <w:tcBorders>
              <w:top w:val="single" w:sz="2" w:space="0" w:color="auto"/>
              <w:bottom w:val="single" w:sz="12" w:space="0" w:color="auto"/>
            </w:tcBorders>
            <w:shd w:val="clear" w:color="auto" w:fill="auto"/>
          </w:tcPr>
          <w:p w:rsidR="00295967" w:rsidRPr="001C61FA" w:rsidRDefault="00295967" w:rsidP="00CC777A">
            <w:pPr>
              <w:pStyle w:val="Tabletext"/>
            </w:pPr>
            <w:r w:rsidRPr="001C61FA">
              <w:t>proclaim</w:t>
            </w:r>
          </w:p>
        </w:tc>
        <w:tc>
          <w:tcPr>
            <w:tcW w:w="4513" w:type="dxa"/>
            <w:tcBorders>
              <w:top w:val="single" w:sz="2" w:space="0" w:color="auto"/>
              <w:bottom w:val="single" w:sz="12" w:space="0" w:color="auto"/>
            </w:tcBorders>
            <w:shd w:val="clear" w:color="auto" w:fill="auto"/>
          </w:tcPr>
          <w:p w:rsidR="00295967" w:rsidRPr="001C61FA" w:rsidRDefault="00295967" w:rsidP="00CC777A">
            <w:pPr>
              <w:pStyle w:val="Tabletext"/>
            </w:pPr>
            <w:r>
              <w:t>…</w:t>
            </w:r>
            <w:r w:rsidRPr="001C61FA">
              <w:t xml:space="preserve"> Proclamation</w:t>
            </w:r>
            <w:r>
              <w:t xml:space="preserve"> …</w:t>
            </w:r>
          </w:p>
        </w:tc>
      </w:tr>
    </w:tbl>
    <w:p w:rsidR="00295967" w:rsidRPr="00B910E9" w:rsidRDefault="00295967" w:rsidP="00295967">
      <w:pPr>
        <w:pStyle w:val="notemargin"/>
      </w:pPr>
      <w:r w:rsidRPr="00B910E9">
        <w:t>Note:</w:t>
      </w:r>
      <w:r w:rsidRPr="00B910E9">
        <w:tab/>
        <w:t>The instrument’s name should be given in the singular in all cases</w:t>
      </w:r>
      <w:r>
        <w:t xml:space="preserve"> in which it is based on the nature of the power</w:t>
      </w:r>
      <w:r w:rsidRPr="00B910E9">
        <w:t>, even though, for example, the instrument provides for multiple delegations.</w:t>
      </w:r>
    </w:p>
    <w:p w:rsidR="00295967" w:rsidRDefault="00295967" w:rsidP="00295967">
      <w:pPr>
        <w:pStyle w:val="BodyNum"/>
      </w:pPr>
      <w:r>
        <w:t xml:space="preserve">However, some verbs used in a conferral of a power to make an instrument may be inappropriate to use as a basis for naming an instrument. For example, an instrument for the exercise of a power to “fix”, “specify” or “prescribe” is not to be named a “fixation”, “specification” or “prescription”. </w:t>
      </w:r>
      <w:r w:rsidR="00455835">
        <w:t>Similarly, an instrument made under an exercise of an express power to “amend”</w:t>
      </w:r>
      <w:r w:rsidR="002423EE">
        <w:t xml:space="preserve"> (not relying on subsection 33(3) of the </w:t>
      </w:r>
      <w:r w:rsidR="002423EE" w:rsidRPr="00455835">
        <w:rPr>
          <w:i/>
        </w:rPr>
        <w:t>Acts Interpretation Act 1901</w:t>
      </w:r>
      <w:r w:rsidR="002423EE">
        <w:t>)</w:t>
      </w:r>
      <w:r w:rsidR="00455835">
        <w:t xml:space="preserve"> is not to be named an “amendment” (although the word “Amendment” may be used in the name of the instrument before the reference to the type of the instrument). </w:t>
      </w:r>
      <w:r>
        <w:t>If the verb is not an appropriate basis for naming the instrument, it can be named using the generic noun “Instrument” (not the phrase “Legislative Instrument” or “Notifiable Instrument”).</w:t>
      </w:r>
    </w:p>
    <w:p w:rsidR="00295967" w:rsidRDefault="00295967" w:rsidP="00295967">
      <w:pPr>
        <w:pStyle w:val="BodyNum"/>
      </w:pPr>
      <w:r w:rsidRPr="001C61FA">
        <w:t>The fact that an Act may require something to be done in a way</w:t>
      </w:r>
      <w:r>
        <w:t xml:space="preserve"> described generically</w:t>
      </w:r>
      <w:r w:rsidRPr="001C61FA">
        <w:t xml:space="preserve">, </w:t>
      </w:r>
      <w:r>
        <w:t>such as</w:t>
      </w:r>
      <w:r w:rsidRPr="001C61FA">
        <w:t xml:space="preserve"> “by legislative instrument”</w:t>
      </w:r>
      <w:r>
        <w:t xml:space="preserve"> or “by notice”</w:t>
      </w:r>
      <w:r w:rsidRPr="001C61FA">
        <w:t>, does not affect the principle that the name of the instrument should generally reflect</w:t>
      </w:r>
      <w:r>
        <w:t>:</w:t>
      </w:r>
    </w:p>
    <w:p w:rsidR="00295967" w:rsidRDefault="00295967" w:rsidP="00295967">
      <w:pPr>
        <w:pStyle w:val="BodyPara"/>
      </w:pPr>
      <w:r w:rsidRPr="001C61FA">
        <w:t>the nature of the power under which the instrument is to be made</w:t>
      </w:r>
      <w:r>
        <w:t>; or</w:t>
      </w:r>
    </w:p>
    <w:p w:rsidR="00295967" w:rsidRPr="001C61FA" w:rsidRDefault="00295967" w:rsidP="00295967">
      <w:pPr>
        <w:pStyle w:val="BodyPara"/>
      </w:pPr>
      <w:r>
        <w:t>the particular type of instrument by which the power is provided to be exercised</w:t>
      </w:r>
      <w:r w:rsidRPr="001C61FA">
        <w:t>.</w:t>
      </w:r>
      <w:bookmarkStart w:id="29" w:name="BK_S1P21L7C42"/>
      <w:bookmarkEnd w:id="29"/>
    </w:p>
    <w:p w:rsidR="00295967" w:rsidRPr="009469B5" w:rsidRDefault="00295967" w:rsidP="00295967">
      <w:pPr>
        <w:pStyle w:val="BodyNum"/>
      </w:pPr>
      <w:bookmarkStart w:id="30" w:name="_Ref451510403"/>
      <w:r w:rsidRPr="001C61FA">
        <w:t xml:space="preserve">If an instrument exercises more than one kind of power (e.g. an authorisation and a determination), it should generally be </w:t>
      </w:r>
      <w:r>
        <w:t>named</w:t>
      </w:r>
      <w:r w:rsidRPr="001C61FA">
        <w:t xml:space="preserve"> an </w:t>
      </w:r>
      <w:r>
        <w:t>“I</w:t>
      </w:r>
      <w:r w:rsidRPr="001C61FA">
        <w:t>nstrument</w:t>
      </w:r>
      <w:r>
        <w:t>”</w:t>
      </w:r>
      <w:r w:rsidRPr="001C61FA">
        <w:t>.</w:t>
      </w:r>
      <w:bookmarkStart w:id="31" w:name="BK_S1P22L17C61"/>
      <w:bookmarkEnd w:id="31"/>
      <w:r w:rsidRPr="001C61FA">
        <w:t xml:space="preserve"> In some cases, however, one power may be so closely linked to another that it is appropriate to identify the instrument by the main power exercised (e.g. an instrument that </w:t>
      </w:r>
      <w:r>
        <w:t xml:space="preserve">delegates a power and </w:t>
      </w:r>
      <w:r w:rsidRPr="001C61FA">
        <w:t xml:space="preserve">includes directions about how </w:t>
      </w:r>
      <w:r>
        <w:t>the</w:t>
      </w:r>
      <w:r w:rsidRPr="001C61FA">
        <w:t xml:space="preserve"> delegated power is to be exercised may be named a </w:t>
      </w:r>
      <w:r>
        <w:t>D</w:t>
      </w:r>
      <w:r w:rsidRPr="001C61FA">
        <w:t>elegation).</w:t>
      </w:r>
      <w:bookmarkEnd w:id="30"/>
    </w:p>
    <w:p w:rsidR="00295967" w:rsidRDefault="00295967" w:rsidP="00295967">
      <w:pPr>
        <w:pStyle w:val="BodyNum"/>
      </w:pPr>
      <w:bookmarkStart w:id="32" w:name="_Ref454551304"/>
      <w:bookmarkEnd w:id="21"/>
      <w:bookmarkEnd w:id="22"/>
      <w:r>
        <w:t>If:</w:t>
      </w:r>
      <w:bookmarkEnd w:id="32"/>
    </w:p>
    <w:p w:rsidR="00295967" w:rsidRDefault="00295967" w:rsidP="00295967">
      <w:pPr>
        <w:pStyle w:val="BodyPara"/>
      </w:pPr>
      <w:r>
        <w:t>it is reasonably likely (or certain) that 2 or more instruments to be made in the same year would otherwise have identical names; and</w:t>
      </w:r>
    </w:p>
    <w:p w:rsidR="00295967" w:rsidRDefault="00295967" w:rsidP="00295967">
      <w:pPr>
        <w:pStyle w:val="BodyPara"/>
      </w:pPr>
      <w:r>
        <w:lastRenderedPageBreak/>
        <w:t>this cannot be avoided by inclusion of descriptions of their subject matter before the reference to the type of instrument in their names as described below;</w:t>
      </w:r>
    </w:p>
    <w:p w:rsidR="006A7A45" w:rsidRDefault="00295967" w:rsidP="00295967">
      <w:pPr>
        <w:pStyle w:val="Body"/>
      </w:pPr>
      <w:r>
        <w:t>a unique bracketed number (e.g. “(No. 1)” or “(No. 2)”) must be included in the name of each of the instruments between the type of the instrument and the year of its making.</w:t>
      </w:r>
    </w:p>
    <w:p w:rsidR="00295967" w:rsidRDefault="006A7A45" w:rsidP="006A7A45">
      <w:pPr>
        <w:pStyle w:val="notemargin"/>
      </w:pPr>
      <w:r>
        <w:t>Note:</w:t>
      </w:r>
      <w:r>
        <w:tab/>
        <w:t>This is most likely to be relevant to principal instruments, such as instruments each appointing a person to an identical office (for example, appointment as an ordinary member of a particular body)</w:t>
      </w:r>
      <w:r w:rsidR="003F61E4">
        <w:t>.</w:t>
      </w:r>
      <w:r w:rsidR="00CC777A">
        <w:t xml:space="preserve"> For amending instruments, it should generally be possible to have distinctive descriptions of subject matter, even if only “(20</w:t>
      </w:r>
      <w:r w:rsidR="005A224C">
        <w:t>22</w:t>
      </w:r>
      <w:r w:rsidR="00CC777A">
        <w:t xml:space="preserve"> Measures No. 1)”, “(20</w:t>
      </w:r>
      <w:r w:rsidR="005A224C">
        <w:t>22</w:t>
      </w:r>
      <w:r w:rsidR="00CC777A">
        <w:t xml:space="preserve"> Measures No. 2)” etc., as required by paragraph </w:t>
      </w:r>
      <w:r w:rsidR="00CC777A">
        <w:fldChar w:fldCharType="begin"/>
      </w:r>
      <w:r w:rsidR="00CC777A">
        <w:instrText xml:space="preserve"> REF _Ref451495088 \r \h </w:instrText>
      </w:r>
      <w:r w:rsidR="00CC777A">
        <w:fldChar w:fldCharType="separate"/>
      </w:r>
      <w:r w:rsidR="007A7267">
        <w:t>24(b)(ii)</w:t>
      </w:r>
      <w:r w:rsidR="00CC777A">
        <w:fldChar w:fldCharType="end"/>
      </w:r>
      <w:r w:rsidR="00CC777A">
        <w:t>.</w:t>
      </w:r>
    </w:p>
    <w:p w:rsidR="00295967" w:rsidRDefault="00295967" w:rsidP="00295967">
      <w:pPr>
        <w:pStyle w:val="Head3"/>
      </w:pPr>
      <w:bookmarkStart w:id="33" w:name="_Toc108428161"/>
      <w:r>
        <w:t>Naming principal instrument made under single Act</w:t>
      </w:r>
      <w:bookmarkEnd w:id="33"/>
    </w:p>
    <w:p w:rsidR="00295967" w:rsidRDefault="00295967" w:rsidP="00295967">
      <w:pPr>
        <w:pStyle w:val="BodyNum"/>
      </w:pPr>
      <w:bookmarkStart w:id="34" w:name="_Ref451526616"/>
      <w:r>
        <w:t>The name of a principal instrument made under a single Act:</w:t>
      </w:r>
      <w:bookmarkEnd w:id="34"/>
    </w:p>
    <w:p w:rsidR="00295967" w:rsidRDefault="00295967" w:rsidP="00295967">
      <w:pPr>
        <w:pStyle w:val="BodyPara"/>
      </w:pPr>
      <w:bookmarkStart w:id="35" w:name="_Ref451950303"/>
      <w:r>
        <w:t xml:space="preserve">must start with the Act component (see paragraph </w:t>
      </w:r>
      <w:r>
        <w:fldChar w:fldCharType="begin"/>
      </w:r>
      <w:r>
        <w:instrText xml:space="preserve"> REF _Ref451526673 \r \h </w:instrText>
      </w:r>
      <w:r>
        <w:fldChar w:fldCharType="separate"/>
      </w:r>
      <w:r w:rsidR="007A7267">
        <w:t>5</w:t>
      </w:r>
      <w:r>
        <w:fldChar w:fldCharType="end"/>
      </w:r>
      <w:r>
        <w:t>); and</w:t>
      </w:r>
      <w:bookmarkEnd w:id="35"/>
    </w:p>
    <w:p w:rsidR="00295967" w:rsidRDefault="00295967" w:rsidP="00295967">
      <w:pPr>
        <w:pStyle w:val="BodyPara"/>
      </w:pPr>
      <w:bookmarkStart w:id="36" w:name="_Ref451950311"/>
      <w:r>
        <w:t>may include after the Act component an extra expression describing the subject matter of the instrument in brackets</w:t>
      </w:r>
      <w:r w:rsidR="006D7A36">
        <w:t xml:space="preserve"> (the subject matter of the instrument might be transitional provisions, or both transitional provisions and consequential amendments, relating to the amendment or repeal of other legislation, in which case the word(s) “Transitional”, “Transitional and Consequential” or “Consequential and Transitional”, as appropriate might be included in brackets)</w:t>
      </w:r>
      <w:r>
        <w:t>; and</w:t>
      </w:r>
      <w:bookmarkEnd w:id="36"/>
    </w:p>
    <w:p w:rsidR="00295967" w:rsidRPr="00011CBA" w:rsidRDefault="00295967" w:rsidP="00295967">
      <w:pPr>
        <w:pStyle w:val="BodyPara"/>
      </w:pPr>
      <w:bookmarkStart w:id="37" w:name="_Ref453239654"/>
      <w:r>
        <w:t xml:space="preserve">must end with the type of the instrument and its year of making, with a bracketed number between them if relevant (see paragraphs </w:t>
      </w:r>
      <w:r>
        <w:fldChar w:fldCharType="begin"/>
      </w:r>
      <w:r>
        <w:instrText xml:space="preserve"> REF _Ref451526508 \r \h </w:instrText>
      </w:r>
      <w:r>
        <w:fldChar w:fldCharType="separate"/>
      </w:r>
      <w:r w:rsidR="007A7267">
        <w:t>15</w:t>
      </w:r>
      <w:r>
        <w:fldChar w:fldCharType="end"/>
      </w:r>
      <w:r>
        <w:t xml:space="preserve"> to </w:t>
      </w:r>
      <w:r>
        <w:fldChar w:fldCharType="begin"/>
      </w:r>
      <w:r>
        <w:instrText xml:space="preserve"> REF _Ref454551304 \r \h </w:instrText>
      </w:r>
      <w:r>
        <w:fldChar w:fldCharType="separate"/>
      </w:r>
      <w:r w:rsidR="007A7267">
        <w:t>21</w:t>
      </w:r>
      <w:r>
        <w:fldChar w:fldCharType="end"/>
      </w:r>
      <w:r>
        <w:t>).</w:t>
      </w:r>
      <w:bookmarkEnd w:id="37"/>
    </w:p>
    <w:p w:rsidR="00295967" w:rsidRDefault="001C546C" w:rsidP="001C546C">
      <w:pPr>
        <w:pStyle w:val="notemargin"/>
      </w:pPr>
      <w:r>
        <w:t>E</w:t>
      </w:r>
      <w:r w:rsidR="00295967">
        <w:t>xample</w:t>
      </w:r>
      <w:r>
        <w:t>:</w:t>
      </w:r>
      <w:r>
        <w:tab/>
        <w:t>P</w:t>
      </w:r>
      <w:r w:rsidR="00295967">
        <w:t xml:space="preserve">rincipal regulations made under the </w:t>
      </w:r>
      <w:r w:rsidR="00295967" w:rsidRPr="00444BE6">
        <w:rPr>
          <w:i/>
        </w:rPr>
        <w:t>Dog Act 201</w:t>
      </w:r>
      <w:r w:rsidR="000A2BEE">
        <w:rPr>
          <w:i/>
        </w:rPr>
        <w:t>7</w:t>
      </w:r>
      <w:r w:rsidR="00295967">
        <w:t xml:space="preserve"> to deal with the breeding of dogs could be named the </w:t>
      </w:r>
      <w:r w:rsidR="00295967" w:rsidRPr="00444BE6">
        <w:rPr>
          <w:i/>
        </w:rPr>
        <w:t>Dog (</w:t>
      </w:r>
      <w:r w:rsidR="00295967">
        <w:rPr>
          <w:i/>
        </w:rPr>
        <w:t>Breeding</w:t>
      </w:r>
      <w:r w:rsidR="00295967" w:rsidRPr="00444BE6">
        <w:rPr>
          <w:i/>
        </w:rPr>
        <w:t>) Regulations 20</w:t>
      </w:r>
      <w:r w:rsidR="005A224C">
        <w:rPr>
          <w:i/>
        </w:rPr>
        <w:t>22</w:t>
      </w:r>
      <w:r w:rsidR="00295967">
        <w:t>.</w:t>
      </w:r>
    </w:p>
    <w:p w:rsidR="00FA24FC" w:rsidRDefault="00FA24FC" w:rsidP="001C546C">
      <w:pPr>
        <w:pStyle w:val="notemargin"/>
      </w:pPr>
      <w:r>
        <w:t>Example:</w:t>
      </w:r>
      <w:r>
        <w:tab/>
        <w:t xml:space="preserve">Principal regulations made under the </w:t>
      </w:r>
      <w:r w:rsidRPr="00FA24FC">
        <w:rPr>
          <w:i/>
        </w:rPr>
        <w:t>Export Control Act 2017</w:t>
      </w:r>
      <w:r>
        <w:t xml:space="preserve"> to deal with transitional matters could be named the </w:t>
      </w:r>
      <w:r w:rsidR="00765C2D" w:rsidRPr="00765C2D">
        <w:rPr>
          <w:i/>
        </w:rPr>
        <w:t xml:space="preserve">Export Control </w:t>
      </w:r>
      <w:r w:rsidR="006D7A36">
        <w:rPr>
          <w:i/>
        </w:rPr>
        <w:t>(</w:t>
      </w:r>
      <w:r w:rsidR="00765C2D" w:rsidRPr="00765C2D">
        <w:rPr>
          <w:i/>
        </w:rPr>
        <w:t>Transitional</w:t>
      </w:r>
      <w:r w:rsidR="006D7A36">
        <w:rPr>
          <w:i/>
        </w:rPr>
        <w:t>)</w:t>
      </w:r>
      <w:r w:rsidR="00765C2D" w:rsidRPr="00765C2D">
        <w:rPr>
          <w:i/>
        </w:rPr>
        <w:t xml:space="preserve"> Regulations 20</w:t>
      </w:r>
      <w:r w:rsidR="005A224C">
        <w:rPr>
          <w:i/>
        </w:rPr>
        <w:t>22</w:t>
      </w:r>
      <w:r w:rsidR="00765C2D">
        <w:t xml:space="preserve">. If the regulations primarily made consequential amendments, as well as dealing with transitional matters, the regulations could be named the </w:t>
      </w:r>
      <w:r w:rsidR="00765C2D" w:rsidRPr="00765C2D">
        <w:rPr>
          <w:i/>
        </w:rPr>
        <w:t xml:space="preserve">Export Control </w:t>
      </w:r>
      <w:r w:rsidR="006D7A36">
        <w:rPr>
          <w:i/>
        </w:rPr>
        <w:t>(</w:t>
      </w:r>
      <w:r w:rsidR="00765C2D">
        <w:rPr>
          <w:i/>
        </w:rPr>
        <w:t xml:space="preserve">Consequential </w:t>
      </w:r>
      <w:r w:rsidR="006D7A36">
        <w:rPr>
          <w:i/>
        </w:rPr>
        <w:t xml:space="preserve">Amendments </w:t>
      </w:r>
      <w:r w:rsidR="00765C2D">
        <w:rPr>
          <w:i/>
        </w:rPr>
        <w:t xml:space="preserve">and </w:t>
      </w:r>
      <w:r w:rsidR="00765C2D" w:rsidRPr="00765C2D">
        <w:rPr>
          <w:i/>
        </w:rPr>
        <w:t>Transitional</w:t>
      </w:r>
      <w:r w:rsidR="006D7A36">
        <w:rPr>
          <w:i/>
        </w:rPr>
        <w:t xml:space="preserve"> Provisions)</w:t>
      </w:r>
      <w:r w:rsidR="00765C2D" w:rsidRPr="00765C2D">
        <w:rPr>
          <w:i/>
        </w:rPr>
        <w:t xml:space="preserve"> Regulations 20</w:t>
      </w:r>
      <w:r w:rsidR="005A224C">
        <w:rPr>
          <w:i/>
        </w:rPr>
        <w:t>22</w:t>
      </w:r>
      <w:r w:rsidR="00765C2D" w:rsidRPr="00765C2D">
        <w:t>.</w:t>
      </w:r>
    </w:p>
    <w:p w:rsidR="004D6975" w:rsidRDefault="00362A18" w:rsidP="00362A18">
      <w:pPr>
        <w:pStyle w:val="notemargin"/>
      </w:pPr>
      <w:r>
        <w:t>Example:</w:t>
      </w:r>
      <w:r>
        <w:tab/>
        <w:t xml:space="preserve">A Proclamation to fix the date for commencement of the </w:t>
      </w:r>
      <w:r w:rsidR="006A69C2">
        <w:rPr>
          <w:i/>
        </w:rPr>
        <w:t>Dog</w:t>
      </w:r>
      <w:r w:rsidRPr="00E30224">
        <w:rPr>
          <w:i/>
        </w:rPr>
        <w:t xml:space="preserve"> </w:t>
      </w:r>
      <w:r>
        <w:rPr>
          <w:i/>
        </w:rPr>
        <w:t xml:space="preserve">Amendment </w:t>
      </w:r>
      <w:r w:rsidR="004D6975">
        <w:rPr>
          <w:i/>
        </w:rPr>
        <w:t>(</w:t>
      </w:r>
      <w:r w:rsidR="002A0F42">
        <w:rPr>
          <w:i/>
        </w:rPr>
        <w:t>Enforcement</w:t>
      </w:r>
      <w:r w:rsidR="004D6975">
        <w:rPr>
          <w:i/>
        </w:rPr>
        <w:t xml:space="preserve">) </w:t>
      </w:r>
      <w:r w:rsidRPr="00E30224">
        <w:rPr>
          <w:i/>
        </w:rPr>
        <w:t>Act 20</w:t>
      </w:r>
      <w:r>
        <w:rPr>
          <w:i/>
        </w:rPr>
        <w:t>2</w:t>
      </w:r>
      <w:r w:rsidR="005A224C">
        <w:rPr>
          <w:i/>
        </w:rPr>
        <w:t>2</w:t>
      </w:r>
      <w:r>
        <w:t xml:space="preserve"> would be named the </w:t>
      </w:r>
      <w:r w:rsidRPr="00E30224">
        <w:rPr>
          <w:i/>
        </w:rPr>
        <w:t>Dog</w:t>
      </w:r>
      <w:r>
        <w:rPr>
          <w:i/>
        </w:rPr>
        <w:t xml:space="preserve"> Amendment</w:t>
      </w:r>
      <w:r w:rsidRPr="00E30224">
        <w:rPr>
          <w:i/>
        </w:rPr>
        <w:t xml:space="preserve"> </w:t>
      </w:r>
      <w:r w:rsidR="004D6975">
        <w:rPr>
          <w:i/>
        </w:rPr>
        <w:t>(</w:t>
      </w:r>
      <w:r w:rsidR="002A0F42">
        <w:rPr>
          <w:i/>
        </w:rPr>
        <w:t>Enforcement</w:t>
      </w:r>
      <w:r w:rsidR="004D6975">
        <w:rPr>
          <w:i/>
        </w:rPr>
        <w:t xml:space="preserve">) </w:t>
      </w:r>
      <w:r w:rsidRPr="00E30224">
        <w:rPr>
          <w:i/>
        </w:rPr>
        <w:t>Commencement Proclamation 20</w:t>
      </w:r>
      <w:r>
        <w:rPr>
          <w:i/>
        </w:rPr>
        <w:t>2</w:t>
      </w:r>
      <w:r w:rsidR="005A224C">
        <w:rPr>
          <w:i/>
        </w:rPr>
        <w:t>2</w:t>
      </w:r>
      <w:r>
        <w:t>.</w:t>
      </w:r>
    </w:p>
    <w:p w:rsidR="00B72A69" w:rsidRDefault="004D6975" w:rsidP="00362A18">
      <w:pPr>
        <w:pStyle w:val="notemargin"/>
      </w:pPr>
      <w:r>
        <w:tab/>
      </w:r>
      <w:r w:rsidR="00362A18">
        <w:t xml:space="preserve">If the commencement table of the Act provided for different provisions to commence on different proclaimed days, a particular Proclamation </w:t>
      </w:r>
      <w:r w:rsidR="00E370F6">
        <w:t xml:space="preserve">was to </w:t>
      </w:r>
      <w:r w:rsidR="00362A18">
        <w:t xml:space="preserve">fix the commencement of some but not all of those provisions (e.g. only Schedule 1, about the </w:t>
      </w:r>
      <w:r w:rsidR="002A0F42">
        <w:t>National Dog</w:t>
      </w:r>
      <w:r w:rsidR="00362A18">
        <w:t xml:space="preserve"> Authority),</w:t>
      </w:r>
      <w:r>
        <w:t xml:space="preserve"> and it was reasonably possible that a later Proclamation would be made fixing the commencement of other provisions of the Act,</w:t>
      </w:r>
      <w:r w:rsidR="00362A18">
        <w:t xml:space="preserve"> the</w:t>
      </w:r>
      <w:r>
        <w:t xml:space="preserve"> first</w:t>
      </w:r>
      <w:r w:rsidR="00362A18">
        <w:t xml:space="preserve"> Proclamation could be named</w:t>
      </w:r>
      <w:r w:rsidR="00B72A69">
        <w:t>:</w:t>
      </w:r>
    </w:p>
    <w:p w:rsidR="00B72A69" w:rsidRPr="00B72A69" w:rsidRDefault="00B72A69" w:rsidP="00B72A69">
      <w:pPr>
        <w:pStyle w:val="notetext"/>
      </w:pPr>
      <w:r>
        <w:t>(a)</w:t>
      </w:r>
      <w:r>
        <w:tab/>
        <w:t>t</w:t>
      </w:r>
      <w:r w:rsidR="00362A18">
        <w:t xml:space="preserve">he </w:t>
      </w:r>
      <w:r w:rsidR="00362A18" w:rsidRPr="00B72A69">
        <w:rPr>
          <w:i/>
        </w:rPr>
        <w:t xml:space="preserve">Dog </w:t>
      </w:r>
      <w:r w:rsidR="004D6975" w:rsidRPr="00B72A69">
        <w:rPr>
          <w:i/>
        </w:rPr>
        <w:t>Amendment (</w:t>
      </w:r>
      <w:r w:rsidR="002A0F42" w:rsidRPr="00B72A69">
        <w:rPr>
          <w:i/>
        </w:rPr>
        <w:t>Enforcement</w:t>
      </w:r>
      <w:r w:rsidR="004D6975" w:rsidRPr="00B72A69">
        <w:rPr>
          <w:i/>
        </w:rPr>
        <w:t xml:space="preserve">) </w:t>
      </w:r>
      <w:r w:rsidR="00362A18" w:rsidRPr="00B72A69">
        <w:rPr>
          <w:i/>
        </w:rPr>
        <w:t>(Schedule 1) Commencement Proclamation 202</w:t>
      </w:r>
      <w:r w:rsidR="005A224C">
        <w:rPr>
          <w:i/>
        </w:rPr>
        <w:t>2</w:t>
      </w:r>
      <w:r w:rsidRPr="00B72A69">
        <w:rPr>
          <w:i/>
        </w:rPr>
        <w:t>;</w:t>
      </w:r>
      <w:r w:rsidR="00362A18" w:rsidRPr="00B72A69">
        <w:t xml:space="preserve"> or</w:t>
      </w:r>
    </w:p>
    <w:p w:rsidR="00362A18" w:rsidRDefault="00B72A69" w:rsidP="00B72A69">
      <w:pPr>
        <w:pStyle w:val="notetext"/>
      </w:pPr>
      <w:r w:rsidRPr="00B72A69">
        <w:t>(b)</w:t>
      </w:r>
      <w:r w:rsidRPr="00B72A69">
        <w:tab/>
      </w:r>
      <w:r w:rsidR="00362A18" w:rsidRPr="00B72A69">
        <w:t xml:space="preserve">the </w:t>
      </w:r>
      <w:r w:rsidR="00362A18" w:rsidRPr="00B72A69">
        <w:rPr>
          <w:i/>
        </w:rPr>
        <w:t xml:space="preserve">Dog </w:t>
      </w:r>
      <w:r w:rsidR="004D6975" w:rsidRPr="00B72A69">
        <w:rPr>
          <w:i/>
        </w:rPr>
        <w:t>Amendment (</w:t>
      </w:r>
      <w:r w:rsidR="002A0F42" w:rsidRPr="00B72A69">
        <w:rPr>
          <w:i/>
        </w:rPr>
        <w:t>Enforcement</w:t>
      </w:r>
      <w:r w:rsidR="004D6975" w:rsidRPr="00B72A69">
        <w:rPr>
          <w:i/>
        </w:rPr>
        <w:t xml:space="preserve">) </w:t>
      </w:r>
      <w:r w:rsidR="00362A18" w:rsidRPr="00B72A69">
        <w:rPr>
          <w:i/>
        </w:rPr>
        <w:t>(</w:t>
      </w:r>
      <w:r w:rsidR="002A0F42" w:rsidRPr="00B72A69">
        <w:rPr>
          <w:i/>
        </w:rPr>
        <w:t>National</w:t>
      </w:r>
      <w:r w:rsidR="00362A18" w:rsidRPr="00B72A69">
        <w:rPr>
          <w:i/>
        </w:rPr>
        <w:t xml:space="preserve"> </w:t>
      </w:r>
      <w:r w:rsidR="002A0F42" w:rsidRPr="00B72A69">
        <w:rPr>
          <w:i/>
        </w:rPr>
        <w:t>Dog</w:t>
      </w:r>
      <w:r w:rsidR="004D6975" w:rsidRPr="00B72A69">
        <w:rPr>
          <w:i/>
        </w:rPr>
        <w:t xml:space="preserve"> </w:t>
      </w:r>
      <w:r w:rsidR="00362A18" w:rsidRPr="00B72A69">
        <w:rPr>
          <w:i/>
        </w:rPr>
        <w:t>Authority) Commencement Proclamation 202</w:t>
      </w:r>
      <w:r w:rsidR="005A224C">
        <w:rPr>
          <w:i/>
        </w:rPr>
        <w:t>2</w:t>
      </w:r>
      <w:r w:rsidR="00C41BE9">
        <w:t>; or</w:t>
      </w:r>
    </w:p>
    <w:p w:rsidR="00C41BE9" w:rsidRPr="00362A18" w:rsidRDefault="00C41BE9" w:rsidP="00C41BE9">
      <w:pPr>
        <w:pStyle w:val="notetext"/>
      </w:pPr>
      <w:r w:rsidRPr="00B72A69">
        <w:t>(</w:t>
      </w:r>
      <w:r>
        <w:t>c</w:t>
      </w:r>
      <w:r w:rsidRPr="00B72A69">
        <w:t>)</w:t>
      </w:r>
      <w:r w:rsidRPr="00B72A69">
        <w:tab/>
        <w:t xml:space="preserve">the </w:t>
      </w:r>
      <w:r w:rsidRPr="00B72A69">
        <w:rPr>
          <w:i/>
        </w:rPr>
        <w:t xml:space="preserve">Dog Amendment (Enforcement) Commencement Proclamation </w:t>
      </w:r>
      <w:r>
        <w:rPr>
          <w:i/>
        </w:rPr>
        <w:t xml:space="preserve">(No. 1) </w:t>
      </w:r>
      <w:r w:rsidRPr="00B72A69">
        <w:rPr>
          <w:i/>
        </w:rPr>
        <w:t>202</w:t>
      </w:r>
      <w:r w:rsidR="005A224C">
        <w:rPr>
          <w:i/>
        </w:rPr>
        <w:t>2</w:t>
      </w:r>
      <w:r>
        <w:t>.</w:t>
      </w:r>
    </w:p>
    <w:p w:rsidR="00295967" w:rsidRDefault="00295967" w:rsidP="00295967">
      <w:pPr>
        <w:pStyle w:val="BodyNum"/>
      </w:pPr>
      <w:r>
        <w:t xml:space="preserve">Paragraph </w:t>
      </w:r>
      <w:r>
        <w:fldChar w:fldCharType="begin"/>
      </w:r>
      <w:r>
        <w:instrText xml:space="preserve"> REF _Ref451526616 \r \h </w:instrText>
      </w:r>
      <w:r>
        <w:fldChar w:fldCharType="separate"/>
      </w:r>
      <w:r w:rsidR="007A7267">
        <w:t>22</w:t>
      </w:r>
      <w:r>
        <w:fldChar w:fldCharType="end"/>
      </w:r>
      <w:r>
        <w:t xml:space="preserve"> does not apply to a Territory Ordinance or an instrument made under a Territory Ordinance: see instead paragraph </w:t>
      </w:r>
      <w:r>
        <w:fldChar w:fldCharType="begin"/>
      </w:r>
      <w:r>
        <w:instrText xml:space="preserve"> REF _Ref454551798 \r \h </w:instrText>
      </w:r>
      <w:r>
        <w:fldChar w:fldCharType="separate"/>
      </w:r>
      <w:r w:rsidR="007A7267">
        <w:t>27</w:t>
      </w:r>
      <w:r>
        <w:fldChar w:fldCharType="end"/>
      </w:r>
      <w:r>
        <w:t xml:space="preserve"> for the naming of such Ordinances and instruments.</w:t>
      </w:r>
    </w:p>
    <w:p w:rsidR="00295967" w:rsidRDefault="00295967" w:rsidP="00295967">
      <w:pPr>
        <w:pStyle w:val="Head3"/>
      </w:pPr>
      <w:bookmarkStart w:id="38" w:name="_Toc108428162"/>
      <w:r>
        <w:lastRenderedPageBreak/>
        <w:t>Naming non-principal instrument made under single Act</w:t>
      </w:r>
      <w:bookmarkEnd w:id="38"/>
    </w:p>
    <w:p w:rsidR="00295967" w:rsidRPr="005A4ACF" w:rsidRDefault="00295967" w:rsidP="00295967">
      <w:pPr>
        <w:pStyle w:val="Head4"/>
      </w:pPr>
      <w:bookmarkStart w:id="39" w:name="_Toc108428163"/>
      <w:r>
        <w:t>Instrument to amend or repeal single principal instrument</w:t>
      </w:r>
      <w:bookmarkEnd w:id="39"/>
    </w:p>
    <w:p w:rsidR="00295967" w:rsidRDefault="00295967" w:rsidP="00295967">
      <w:pPr>
        <w:pStyle w:val="BodyNum"/>
      </w:pPr>
      <w:bookmarkStart w:id="40" w:name="_Ref451951789"/>
      <w:r>
        <w:t xml:space="preserve">The name of an instrument that </w:t>
      </w:r>
      <w:r w:rsidR="008D6D82">
        <w:t>on</w:t>
      </w:r>
      <w:r>
        <w:t>ly amends or repeals a single principal instrument must:</w:t>
      </w:r>
      <w:bookmarkEnd w:id="40"/>
    </w:p>
    <w:p w:rsidR="00795813" w:rsidRDefault="00295967" w:rsidP="00295967">
      <w:pPr>
        <w:pStyle w:val="BodyPara"/>
      </w:pPr>
      <w:bookmarkStart w:id="41" w:name="_Ref453241099"/>
      <w:r>
        <w:t>start with</w:t>
      </w:r>
      <w:r w:rsidR="00795813">
        <w:t xml:space="preserve"> the following:</w:t>
      </w:r>
    </w:p>
    <w:p w:rsidR="00795813" w:rsidRDefault="00E614D6" w:rsidP="00795813">
      <w:pPr>
        <w:pStyle w:val="BodySubPara"/>
      </w:pPr>
      <w:r>
        <w:t xml:space="preserve">first, </w:t>
      </w:r>
      <w:r w:rsidR="00295967">
        <w:t xml:space="preserve">the Act component (see paragraph </w:t>
      </w:r>
      <w:r w:rsidR="00295967">
        <w:fldChar w:fldCharType="begin"/>
      </w:r>
      <w:r w:rsidR="00295967">
        <w:instrText xml:space="preserve"> REF _Ref451526673 \r \h </w:instrText>
      </w:r>
      <w:r w:rsidR="00295967">
        <w:fldChar w:fldCharType="separate"/>
      </w:r>
      <w:r w:rsidR="007A7267">
        <w:t>5</w:t>
      </w:r>
      <w:r w:rsidR="00295967">
        <w:fldChar w:fldCharType="end"/>
      </w:r>
      <w:r w:rsidR="00295967">
        <w:t>)</w:t>
      </w:r>
      <w:r w:rsidR="00795813">
        <w:t>;</w:t>
      </w:r>
    </w:p>
    <w:p w:rsidR="00795813" w:rsidRDefault="00E614D6" w:rsidP="00795813">
      <w:pPr>
        <w:pStyle w:val="BodySubPara"/>
      </w:pPr>
      <w:r>
        <w:t xml:space="preserve">next, </w:t>
      </w:r>
      <w:r w:rsidR="00295967">
        <w:t>any extra bracketed expression included in the name of the principal instrument after the Act component in that name to describe the subject matter of the principal instrument</w:t>
      </w:r>
      <w:r w:rsidR="00795813">
        <w:t>; and</w:t>
      </w:r>
    </w:p>
    <w:p w:rsidR="00295967" w:rsidRDefault="00795813" w:rsidP="00795813">
      <w:pPr>
        <w:pStyle w:val="noteToPara"/>
      </w:pPr>
      <w:r>
        <w:t>Note:</w:t>
      </w:r>
      <w:r>
        <w:tab/>
        <w:t>In accordance with this paragraph,</w:t>
      </w:r>
      <w:r w:rsidR="00295967">
        <w:t xml:space="preserve"> if the principal instrument was named in accordance with this Drafting Direction the name of the amending instrument will start with the part of</w:t>
      </w:r>
      <w:r w:rsidR="00765C2D">
        <w:t xml:space="preserve"> the</w:t>
      </w:r>
      <w:r w:rsidR="00295967">
        <w:t xml:space="preserve"> name of the principal instrument that came before the type of the principal instrument</w:t>
      </w:r>
      <w:bookmarkEnd w:id="41"/>
      <w:r>
        <w:t>.</w:t>
      </w:r>
    </w:p>
    <w:p w:rsidR="00295967" w:rsidRDefault="00295967" w:rsidP="00295967">
      <w:pPr>
        <w:pStyle w:val="BodyPara"/>
      </w:pPr>
      <w:bookmarkStart w:id="42" w:name="_Ref453239984"/>
      <w:r>
        <w:t xml:space="preserve">include, after the material described in paragraph </w:t>
      </w:r>
      <w:r>
        <w:fldChar w:fldCharType="begin"/>
      </w:r>
      <w:r>
        <w:instrText xml:space="preserve"> REF _Ref453241099 \r \h </w:instrText>
      </w:r>
      <w:r>
        <w:fldChar w:fldCharType="separate"/>
      </w:r>
      <w:r w:rsidR="007A7267">
        <w:t>(a)</w:t>
      </w:r>
      <w:r>
        <w:fldChar w:fldCharType="end"/>
      </w:r>
      <w:r>
        <w:t>:</w:t>
      </w:r>
      <w:bookmarkEnd w:id="42"/>
    </w:p>
    <w:p w:rsidR="00295967" w:rsidRPr="005A4ACF" w:rsidRDefault="00295967" w:rsidP="00295967">
      <w:pPr>
        <w:pStyle w:val="BodySubPara"/>
      </w:pPr>
      <w:bookmarkStart w:id="43" w:name="_Ref451950990"/>
      <w:r>
        <w:t xml:space="preserve">one or more of the expressions </w:t>
      </w:r>
      <w:r w:rsidRPr="005A4ACF">
        <w:t>“Amendment”</w:t>
      </w:r>
      <w:r>
        <w:t>,</w:t>
      </w:r>
      <w:r w:rsidRPr="005A4ACF">
        <w:t xml:space="preserve"> “Consequential Amendments</w:t>
      </w:r>
      <w:r>
        <w:t>”</w:t>
      </w:r>
      <w:r w:rsidRPr="005A4ACF">
        <w:t xml:space="preserve"> or “Repeal”</w:t>
      </w:r>
      <w:r>
        <w:t>,</w:t>
      </w:r>
      <w:r w:rsidRPr="005A4ACF">
        <w:t xml:space="preserve"> as appropriate to describe the </w:t>
      </w:r>
      <w:r>
        <w:t>main purpose of the amending or repealing</w:t>
      </w:r>
      <w:r w:rsidRPr="005A4ACF">
        <w:t xml:space="preserve"> instrument; and</w:t>
      </w:r>
      <w:bookmarkEnd w:id="43"/>
    </w:p>
    <w:p w:rsidR="00295967" w:rsidRPr="005A4ACF" w:rsidRDefault="00295967" w:rsidP="00295967">
      <w:pPr>
        <w:pStyle w:val="BodySubPara"/>
      </w:pPr>
      <w:bookmarkStart w:id="44" w:name="_Ref451495088"/>
      <w:r>
        <w:t xml:space="preserve">a bracketed </w:t>
      </w:r>
      <w:r w:rsidRPr="005A4ACF">
        <w:t xml:space="preserve">description of </w:t>
      </w:r>
      <w:r>
        <w:t xml:space="preserve">the </w:t>
      </w:r>
      <w:r w:rsidRPr="005A4ACF">
        <w:t>subject-matter of amendments</w:t>
      </w:r>
      <w:r>
        <w:t>,</w:t>
      </w:r>
      <w:r w:rsidRPr="005A4ACF">
        <w:t xml:space="preserve"> </w:t>
      </w:r>
      <w:r>
        <w:t>other than consequential amendments, or, if a succinct description that will give a unique name is not possible, a bracketed expression in the form “([year of making] Measures No. [unique number])”</w:t>
      </w:r>
      <w:r w:rsidRPr="005A4ACF">
        <w:t>; and</w:t>
      </w:r>
      <w:bookmarkEnd w:id="44"/>
    </w:p>
    <w:p w:rsidR="00295967" w:rsidRDefault="00295967" w:rsidP="00295967">
      <w:pPr>
        <w:pStyle w:val="BodyPara"/>
      </w:pPr>
      <w:bookmarkStart w:id="45" w:name="_Ref453239996"/>
      <w:r>
        <w:t xml:space="preserve">end with the type of the amending or repealing instrument and its year of making (see paragraphs </w:t>
      </w:r>
      <w:r>
        <w:fldChar w:fldCharType="begin"/>
      </w:r>
      <w:r>
        <w:instrText xml:space="preserve"> REF _Ref451526508 \r \h </w:instrText>
      </w:r>
      <w:r>
        <w:fldChar w:fldCharType="separate"/>
      </w:r>
      <w:r w:rsidR="007A7267">
        <w:t>15</w:t>
      </w:r>
      <w:r>
        <w:fldChar w:fldCharType="end"/>
      </w:r>
      <w:r>
        <w:t xml:space="preserve"> to </w:t>
      </w:r>
      <w:r>
        <w:fldChar w:fldCharType="begin"/>
      </w:r>
      <w:r>
        <w:instrText xml:space="preserve"> REF _Ref451510403 \r \h </w:instrText>
      </w:r>
      <w:r>
        <w:fldChar w:fldCharType="separate"/>
      </w:r>
      <w:r w:rsidR="007A7267">
        <w:t>20</w:t>
      </w:r>
      <w:r>
        <w:fldChar w:fldCharType="end"/>
      </w:r>
      <w:r>
        <w:t>).</w:t>
      </w:r>
      <w:bookmarkEnd w:id="45"/>
    </w:p>
    <w:p w:rsidR="00295967" w:rsidRDefault="001C546C" w:rsidP="001C546C">
      <w:pPr>
        <w:pStyle w:val="notemargin"/>
      </w:pPr>
      <w:r>
        <w:t>E</w:t>
      </w:r>
      <w:r w:rsidR="00295967">
        <w:t>xample</w:t>
      </w:r>
      <w:r>
        <w:t>:</w:t>
      </w:r>
      <w:r>
        <w:tab/>
        <w:t>R</w:t>
      </w:r>
      <w:r w:rsidR="00295967">
        <w:t xml:space="preserve">egulations under the </w:t>
      </w:r>
      <w:r w:rsidR="00295967" w:rsidRPr="00351CAE">
        <w:rPr>
          <w:i/>
        </w:rPr>
        <w:t>Dog Act 201</w:t>
      </w:r>
      <w:r w:rsidR="000A2BEE">
        <w:rPr>
          <w:i/>
        </w:rPr>
        <w:t>7</w:t>
      </w:r>
      <w:r w:rsidR="00295967">
        <w:t xml:space="preserve"> to amend the </w:t>
      </w:r>
      <w:r w:rsidR="00295967" w:rsidRPr="004A10F4">
        <w:rPr>
          <w:i/>
        </w:rPr>
        <w:t>Dog (</w:t>
      </w:r>
      <w:r w:rsidR="00295967">
        <w:rPr>
          <w:i/>
        </w:rPr>
        <w:t>Breeding</w:t>
      </w:r>
      <w:r w:rsidR="00295967" w:rsidRPr="004A10F4">
        <w:rPr>
          <w:i/>
        </w:rPr>
        <w:t>) Regulations 201</w:t>
      </w:r>
      <w:r w:rsidR="000A2BEE">
        <w:rPr>
          <w:i/>
        </w:rPr>
        <w:t>7</w:t>
      </w:r>
      <w:r w:rsidR="00295967">
        <w:t xml:space="preserve"> to deal with registration of breeders would be named the </w:t>
      </w:r>
      <w:r w:rsidR="00295967" w:rsidRPr="004A10F4">
        <w:rPr>
          <w:i/>
        </w:rPr>
        <w:t>Dog (</w:t>
      </w:r>
      <w:r w:rsidR="00295967">
        <w:rPr>
          <w:i/>
        </w:rPr>
        <w:t>Breeding</w:t>
      </w:r>
      <w:r w:rsidR="00295967" w:rsidRPr="004A10F4">
        <w:rPr>
          <w:i/>
        </w:rPr>
        <w:t>) Amendment (</w:t>
      </w:r>
      <w:r w:rsidR="00295967">
        <w:rPr>
          <w:i/>
        </w:rPr>
        <w:t xml:space="preserve">Breeder </w:t>
      </w:r>
      <w:r w:rsidR="00295967" w:rsidRPr="004A10F4">
        <w:rPr>
          <w:i/>
        </w:rPr>
        <w:t>Registration) Regulations 20</w:t>
      </w:r>
      <w:r w:rsidR="005A224C">
        <w:rPr>
          <w:i/>
        </w:rPr>
        <w:t>22</w:t>
      </w:r>
      <w:r w:rsidR="00295967">
        <w:t>.</w:t>
      </w:r>
    </w:p>
    <w:p w:rsidR="00765C2D" w:rsidRDefault="00765C2D" w:rsidP="001C546C">
      <w:pPr>
        <w:pStyle w:val="notemargin"/>
      </w:pPr>
      <w:r>
        <w:t>Example:</w:t>
      </w:r>
      <w:r>
        <w:tab/>
        <w:t xml:space="preserve">Regulations under the </w:t>
      </w:r>
      <w:r w:rsidRPr="00765C2D">
        <w:rPr>
          <w:i/>
        </w:rPr>
        <w:t>Air Navigation Act 1920</w:t>
      </w:r>
      <w:r>
        <w:t xml:space="preserve"> to repeal the </w:t>
      </w:r>
      <w:r w:rsidRPr="00E30224">
        <w:rPr>
          <w:i/>
        </w:rPr>
        <w:t>Air Navigation (Aircraft Noise) Regulations 1984</w:t>
      </w:r>
      <w:r>
        <w:t xml:space="preserve"> would be named the </w:t>
      </w:r>
      <w:r w:rsidRPr="00E30224">
        <w:rPr>
          <w:i/>
        </w:rPr>
        <w:t xml:space="preserve">Air Navigation (Aircraft Noise) Repeal Regulations </w:t>
      </w:r>
      <w:r w:rsidR="00E30224" w:rsidRPr="00E30224">
        <w:rPr>
          <w:i/>
        </w:rPr>
        <w:t>20</w:t>
      </w:r>
      <w:r w:rsidR="005A224C">
        <w:rPr>
          <w:i/>
        </w:rPr>
        <w:t>22</w:t>
      </w:r>
      <w:r>
        <w:t>.</w:t>
      </w:r>
    </w:p>
    <w:p w:rsidR="00112711" w:rsidRDefault="00112711" w:rsidP="00112711">
      <w:pPr>
        <w:pStyle w:val="BodyNum"/>
      </w:pPr>
      <w:bookmarkStart w:id="46" w:name="_Ref45881735"/>
      <w:r>
        <w:t xml:space="preserve">The material described in paragraph </w:t>
      </w:r>
      <w:r w:rsidR="000357AF">
        <w:fldChar w:fldCharType="begin"/>
      </w:r>
      <w:r w:rsidR="000357AF">
        <w:instrText xml:space="preserve"> REF _Ref451951789 \r \h </w:instrText>
      </w:r>
      <w:r w:rsidR="000357AF">
        <w:fldChar w:fldCharType="separate"/>
      </w:r>
      <w:r w:rsidR="007A7267">
        <w:t>24</w:t>
      </w:r>
      <w:r w:rsidR="000357AF">
        <w:fldChar w:fldCharType="end"/>
      </w:r>
      <w:r>
        <w:t xml:space="preserve">(a) must match the capitalisation used in the name of the principal instrument. This means that if, contrary to paragraph </w:t>
      </w:r>
      <w:bookmarkEnd w:id="46"/>
      <w:r w:rsidR="00037906">
        <w:fldChar w:fldCharType="begin"/>
      </w:r>
      <w:r w:rsidR="00037906">
        <w:instrText xml:space="preserve"> REF _Ref45882053 \r \h </w:instrText>
      </w:r>
      <w:r w:rsidR="00037906">
        <w:fldChar w:fldCharType="separate"/>
      </w:r>
      <w:r w:rsidR="007A7267">
        <w:t>14</w:t>
      </w:r>
      <w:r w:rsidR="00037906">
        <w:fldChar w:fldCharType="end"/>
      </w:r>
      <w:r>
        <w:t>, not all of the words in the name of the principal instrument start with a capital, the equivalent words in the name of the amending instrument must not start with a capital.</w:t>
      </w:r>
    </w:p>
    <w:p w:rsidR="00295967" w:rsidRDefault="00295967" w:rsidP="00295967">
      <w:pPr>
        <w:pStyle w:val="Head4"/>
      </w:pPr>
      <w:bookmarkStart w:id="47" w:name="_Toc108428164"/>
      <w:r>
        <w:t>Instrument to amend or repeal multiple instruments</w:t>
      </w:r>
      <w:bookmarkEnd w:id="47"/>
    </w:p>
    <w:p w:rsidR="00295967" w:rsidRDefault="00295967" w:rsidP="00295967">
      <w:pPr>
        <w:pStyle w:val="BodyNum"/>
      </w:pPr>
      <w:r>
        <w:t xml:space="preserve">An instrument that </w:t>
      </w:r>
      <w:r w:rsidR="008D6D82">
        <w:t>on</w:t>
      </w:r>
      <w:r>
        <w:t xml:space="preserve">ly amends or repeals multiple principal instruments made under the same </w:t>
      </w:r>
      <w:r w:rsidR="00B20DB7">
        <w:t>enabling Act</w:t>
      </w:r>
      <w:r>
        <w:t xml:space="preserve"> must be named like an instrument that merely amends or repeals one principal instrument (see paragraph </w:t>
      </w:r>
      <w:r>
        <w:fldChar w:fldCharType="begin"/>
      </w:r>
      <w:r>
        <w:instrText xml:space="preserve"> REF _Ref451951789 \r \h </w:instrText>
      </w:r>
      <w:r>
        <w:fldChar w:fldCharType="separate"/>
      </w:r>
      <w:r w:rsidR="007A7267">
        <w:t>24</w:t>
      </w:r>
      <w:r>
        <w:fldChar w:fldCharType="end"/>
      </w:r>
      <w:r>
        <w:t>), but:</w:t>
      </w:r>
    </w:p>
    <w:p w:rsidR="00295967" w:rsidRDefault="00295967" w:rsidP="00295967">
      <w:pPr>
        <w:pStyle w:val="BodyPara"/>
      </w:pPr>
      <w:r>
        <w:t>with the word “Legislation” after the Act component; and</w:t>
      </w:r>
    </w:p>
    <w:p w:rsidR="00295967" w:rsidRDefault="00295967" w:rsidP="00295967">
      <w:pPr>
        <w:pStyle w:val="BodyPara"/>
      </w:pPr>
      <w:r>
        <w:t>without any extra bracketed expression included in the name of any of the principal instruments to describe the subject matter of the principal instrument.</w:t>
      </w:r>
    </w:p>
    <w:p w:rsidR="00295967" w:rsidRDefault="006A7A45" w:rsidP="006A7A45">
      <w:pPr>
        <w:pStyle w:val="notemargin"/>
      </w:pPr>
      <w:r>
        <w:lastRenderedPageBreak/>
        <w:t>E</w:t>
      </w:r>
      <w:r w:rsidR="00295967">
        <w:t>xample</w:t>
      </w:r>
      <w:r>
        <w:t>:</w:t>
      </w:r>
      <w:r>
        <w:tab/>
        <w:t>R</w:t>
      </w:r>
      <w:r w:rsidR="00295967">
        <w:t xml:space="preserve">egulations made under the </w:t>
      </w:r>
      <w:r w:rsidR="00295967" w:rsidRPr="006A7A45">
        <w:rPr>
          <w:i/>
        </w:rPr>
        <w:t>Airports Act 1996</w:t>
      </w:r>
      <w:r w:rsidR="00295967">
        <w:t xml:space="preserve"> to amend various aspects of the </w:t>
      </w:r>
      <w:r w:rsidR="00295967" w:rsidRPr="006A7A45">
        <w:rPr>
          <w:i/>
        </w:rPr>
        <w:t>Airports (Building Control) Regulations 1996</w:t>
      </w:r>
      <w:r w:rsidR="00295967">
        <w:t xml:space="preserve"> and the </w:t>
      </w:r>
      <w:r w:rsidR="00295967" w:rsidRPr="006A7A45">
        <w:rPr>
          <w:i/>
        </w:rPr>
        <w:t>Airports (Environment Protection) Regulations 1997</w:t>
      </w:r>
      <w:r w:rsidR="00295967">
        <w:t xml:space="preserve"> would be named the </w:t>
      </w:r>
      <w:r w:rsidR="00295967" w:rsidRPr="006A7A45">
        <w:rPr>
          <w:i/>
        </w:rPr>
        <w:t>Airports Legislation Amendment (201</w:t>
      </w:r>
      <w:r w:rsidR="000A2BEE">
        <w:rPr>
          <w:i/>
        </w:rPr>
        <w:t>7</w:t>
      </w:r>
      <w:r w:rsidR="00295967" w:rsidRPr="006A7A45">
        <w:rPr>
          <w:i/>
        </w:rPr>
        <w:t xml:space="preserve"> Measures No. 1) Regulations 20</w:t>
      </w:r>
      <w:r w:rsidR="005A224C">
        <w:rPr>
          <w:i/>
        </w:rPr>
        <w:t>22</w:t>
      </w:r>
      <w:r w:rsidR="00295967">
        <w:t>.</w:t>
      </w:r>
    </w:p>
    <w:p w:rsidR="00295967" w:rsidRDefault="00295967" w:rsidP="00295967">
      <w:pPr>
        <w:pStyle w:val="Head3"/>
      </w:pPr>
      <w:bookmarkStart w:id="48" w:name="_Toc108428165"/>
      <w:r>
        <w:t>Naming Territory Ordinances and instruments made under them</w:t>
      </w:r>
      <w:bookmarkEnd w:id="48"/>
    </w:p>
    <w:p w:rsidR="00CC777A" w:rsidRDefault="00295967" w:rsidP="00295967">
      <w:pPr>
        <w:pStyle w:val="BodyNum"/>
      </w:pPr>
      <w:bookmarkStart w:id="49" w:name="_Ref457458108"/>
      <w:bookmarkStart w:id="50" w:name="_Ref454551798"/>
      <w:r>
        <w:t>The name of a Territory Ordinance must start with the name of the Territory (as set out in Drafting Direction 3.10, but without the words “Territory of”), then follow the practice for the short titles of Acts as described in Drafting Direction 1.1 (but with the word</w:t>
      </w:r>
      <w:r w:rsidR="00CC777A">
        <w:t xml:space="preserve"> “Ordinance” instead of “Act”).</w:t>
      </w:r>
      <w:bookmarkEnd w:id="49"/>
    </w:p>
    <w:p w:rsidR="00CC777A" w:rsidRDefault="00295967" w:rsidP="00295967">
      <w:pPr>
        <w:pStyle w:val="BodyNum"/>
      </w:pPr>
      <w:bookmarkStart w:id="51" w:name="_Ref457458128"/>
      <w:r>
        <w:t xml:space="preserve">This Part applies to naming an instrument made under an Ordinance as if the Ordinance were the </w:t>
      </w:r>
      <w:r w:rsidR="00B20DB7">
        <w:t>enabling Act</w:t>
      </w:r>
      <w:r>
        <w:t xml:space="preserve"> for the instrument.</w:t>
      </w:r>
      <w:bookmarkEnd w:id="51"/>
    </w:p>
    <w:p w:rsidR="00295967" w:rsidRDefault="00CC777A" w:rsidP="00295967">
      <w:pPr>
        <w:pStyle w:val="BodyNum"/>
      </w:pPr>
      <w:r>
        <w:t>P</w:t>
      </w:r>
      <w:r w:rsidR="00295967">
        <w:t>aragraph</w:t>
      </w:r>
      <w:r>
        <w:t xml:space="preserve">s </w:t>
      </w:r>
      <w:r>
        <w:fldChar w:fldCharType="begin"/>
      </w:r>
      <w:r>
        <w:instrText xml:space="preserve"> REF _Ref457458108 \r \h </w:instrText>
      </w:r>
      <w:r>
        <w:fldChar w:fldCharType="separate"/>
      </w:r>
      <w:r w:rsidR="007A7267">
        <w:t>27</w:t>
      </w:r>
      <w:r>
        <w:fldChar w:fldCharType="end"/>
      </w:r>
      <w:r>
        <w:t xml:space="preserve"> and </w:t>
      </w:r>
      <w:r>
        <w:fldChar w:fldCharType="begin"/>
      </w:r>
      <w:r>
        <w:instrText xml:space="preserve"> REF _Ref457458128 \r \h </w:instrText>
      </w:r>
      <w:r>
        <w:fldChar w:fldCharType="separate"/>
      </w:r>
      <w:r w:rsidR="007A7267">
        <w:t>28</w:t>
      </w:r>
      <w:r>
        <w:fldChar w:fldCharType="end"/>
      </w:r>
      <w:r w:rsidR="00295967">
        <w:t xml:space="preserve"> ha</w:t>
      </w:r>
      <w:r>
        <w:t>ve</w:t>
      </w:r>
      <w:r w:rsidR="00295967">
        <w:t xml:space="preserve"> effect despite the rest of this Part.</w:t>
      </w:r>
      <w:bookmarkEnd w:id="50"/>
    </w:p>
    <w:p w:rsidR="00295967" w:rsidRDefault="00295967" w:rsidP="00295967">
      <w:pPr>
        <w:pStyle w:val="Head3"/>
      </w:pPr>
      <w:bookmarkStart w:id="52" w:name="_Toc108428166"/>
      <w:r>
        <w:t>Naming instruments made under multiple Acts</w:t>
      </w:r>
      <w:bookmarkEnd w:id="52"/>
    </w:p>
    <w:p w:rsidR="00295967" w:rsidRDefault="00295967" w:rsidP="00295967">
      <w:pPr>
        <w:pStyle w:val="BodyNum"/>
      </w:pPr>
      <w:r>
        <w:t xml:space="preserve">If an instrument is to be made under 2 or more </w:t>
      </w:r>
      <w:r w:rsidR="00B20DB7">
        <w:t>enabling Act</w:t>
      </w:r>
      <w:r>
        <w:t>s, its name should reflect this by starting either:</w:t>
      </w:r>
    </w:p>
    <w:p w:rsidR="00295967" w:rsidRDefault="00295967" w:rsidP="00295967">
      <w:pPr>
        <w:pStyle w:val="BodyPara"/>
      </w:pPr>
      <w:bookmarkStart w:id="53" w:name="_Ref453238164"/>
      <w:r>
        <w:t xml:space="preserve">with an Act component based on the short titles of each of the </w:t>
      </w:r>
      <w:r w:rsidR="00B20DB7">
        <w:t>enabling Act</w:t>
      </w:r>
      <w:r>
        <w:t xml:space="preserve">s (as described in paragraph </w:t>
      </w:r>
      <w:r>
        <w:fldChar w:fldCharType="begin"/>
      </w:r>
      <w:r>
        <w:instrText xml:space="preserve"> REF _Ref453237796 \r \h </w:instrText>
      </w:r>
      <w:r>
        <w:fldChar w:fldCharType="separate"/>
      </w:r>
      <w:r w:rsidR="007A7267">
        <w:t>31</w:t>
      </w:r>
      <w:r>
        <w:fldChar w:fldCharType="end"/>
      </w:r>
      <w:r>
        <w:t xml:space="preserve">) unless the instrument is made predominantly under one of the </w:t>
      </w:r>
      <w:r w:rsidR="00B20DB7">
        <w:t>enabling Act</w:t>
      </w:r>
      <w:r>
        <w:t>s and it would not be misleading for the Act component to be based on the short title of only that Act; or</w:t>
      </w:r>
      <w:bookmarkEnd w:id="53"/>
    </w:p>
    <w:p w:rsidR="006A7A45" w:rsidRDefault="00295967" w:rsidP="00295967">
      <w:pPr>
        <w:pStyle w:val="BodyPara"/>
      </w:pPr>
      <w:bookmarkStart w:id="54" w:name="_Ref453239599"/>
      <w:r>
        <w:t xml:space="preserve">with an indication of the common theme dealt with by the instrument in relation to all the </w:t>
      </w:r>
      <w:r w:rsidR="00B20DB7">
        <w:t>enabling Act</w:t>
      </w:r>
      <w:r>
        <w:t xml:space="preserve">s (see paragraph </w:t>
      </w:r>
      <w:r w:rsidR="000C0E09">
        <w:fldChar w:fldCharType="begin"/>
      </w:r>
      <w:r w:rsidR="000C0E09">
        <w:instrText xml:space="preserve"> REF _Ref464050801 \r \h </w:instrText>
      </w:r>
      <w:r w:rsidR="000C0E09">
        <w:fldChar w:fldCharType="separate"/>
      </w:r>
      <w:r w:rsidR="007A7267">
        <w:t>32</w:t>
      </w:r>
      <w:r w:rsidR="000C0E09">
        <w:fldChar w:fldCharType="end"/>
      </w:r>
      <w:r>
        <w:t>), followed by the word “Legislation”</w:t>
      </w:r>
      <w:r w:rsidR="006F7820">
        <w:t xml:space="preserve"> or “Laws”</w:t>
      </w:r>
      <w:r w:rsidR="006A7A45">
        <w:t>.</w:t>
      </w:r>
    </w:p>
    <w:p w:rsidR="00295967" w:rsidRDefault="006A7A45" w:rsidP="006A7A45">
      <w:pPr>
        <w:pStyle w:val="notemargin"/>
      </w:pPr>
      <w:r>
        <w:t>E</w:t>
      </w:r>
      <w:r w:rsidR="00295967">
        <w:t>xample</w:t>
      </w:r>
      <w:r>
        <w:t>:</w:t>
      </w:r>
      <w:r>
        <w:tab/>
        <w:t>Consistently with paragraph (b)</w:t>
      </w:r>
      <w:r w:rsidR="00295967">
        <w:t xml:space="preserve">, regulations made to deal with licensing of premises under several </w:t>
      </w:r>
      <w:r w:rsidR="00B20DB7">
        <w:t>enabling Act</w:t>
      </w:r>
      <w:r w:rsidR="00295967">
        <w:t xml:space="preserve">s might have a name starting with “Premises Licensing Legislation”, such as </w:t>
      </w:r>
      <w:r w:rsidR="00295967">
        <w:rPr>
          <w:i/>
        </w:rPr>
        <w:t xml:space="preserve">Premises </w:t>
      </w:r>
      <w:r w:rsidR="00295967" w:rsidRPr="00682E87">
        <w:rPr>
          <w:i/>
        </w:rPr>
        <w:t>Licensing Legislation Regulations 20</w:t>
      </w:r>
      <w:r w:rsidR="005A224C">
        <w:rPr>
          <w:i/>
        </w:rPr>
        <w:t>22</w:t>
      </w:r>
      <w:r w:rsidR="00295967">
        <w:t>.</w:t>
      </w:r>
      <w:bookmarkEnd w:id="54"/>
    </w:p>
    <w:p w:rsidR="00295967" w:rsidRDefault="00295967" w:rsidP="00295967">
      <w:pPr>
        <w:pStyle w:val="BodyNum"/>
      </w:pPr>
      <w:bookmarkStart w:id="55" w:name="_Ref453237796"/>
      <w:r>
        <w:t xml:space="preserve">An Act component based on the short titles of multiple </w:t>
      </w:r>
      <w:r w:rsidR="00B20DB7">
        <w:t>enabling Act</w:t>
      </w:r>
      <w:r>
        <w:t xml:space="preserve">s (as envisaged in paragraph </w:t>
      </w:r>
      <w:r>
        <w:fldChar w:fldCharType="begin"/>
      </w:r>
      <w:r>
        <w:instrText xml:space="preserve"> REF _Ref453238164 \r \h </w:instrText>
      </w:r>
      <w:r>
        <w:fldChar w:fldCharType="separate"/>
      </w:r>
      <w:r w:rsidR="007A7267">
        <w:t>30(a)</w:t>
      </w:r>
      <w:r>
        <w:fldChar w:fldCharType="end"/>
      </w:r>
      <w:r>
        <w:t>) could be based on either:</w:t>
      </w:r>
    </w:p>
    <w:p w:rsidR="00295967" w:rsidRPr="00F03F51" w:rsidRDefault="00295967" w:rsidP="00295967">
      <w:pPr>
        <w:pStyle w:val="BodyPara"/>
      </w:pPr>
      <w:bookmarkStart w:id="56" w:name="_Ref453238087"/>
      <w:bookmarkEnd w:id="55"/>
      <w:r w:rsidRPr="00F03F51">
        <w:t xml:space="preserve">the short titles of each of the </w:t>
      </w:r>
      <w:r w:rsidR="00B20DB7">
        <w:t>enabling Act</w:t>
      </w:r>
      <w:r w:rsidRPr="00F03F51">
        <w:t>s, in alphabetical order or another appropriate order; or</w:t>
      </w:r>
    </w:p>
    <w:p w:rsidR="00295967" w:rsidRPr="00F03F51" w:rsidRDefault="00295967" w:rsidP="00295967">
      <w:pPr>
        <w:pStyle w:val="BodyPara"/>
      </w:pPr>
      <w:r>
        <w:t>the common component</w:t>
      </w:r>
      <w:r w:rsidRPr="00F03F51">
        <w:t xml:space="preserve"> of the short titles of the </w:t>
      </w:r>
      <w:r w:rsidR="00B20DB7">
        <w:t>enabling Act</w:t>
      </w:r>
      <w:r w:rsidRPr="00F03F51">
        <w:t>s</w:t>
      </w:r>
      <w:r>
        <w:t xml:space="preserve"> with similar short titles</w:t>
      </w:r>
      <w:r w:rsidRPr="00F03F51">
        <w:t>, followed by the word “Legislation”</w:t>
      </w:r>
      <w:r>
        <w:t>.</w:t>
      </w:r>
    </w:p>
    <w:p w:rsidR="00B20DB7" w:rsidRDefault="00B20DB7" w:rsidP="00B20DB7">
      <w:pPr>
        <w:pStyle w:val="notemargin"/>
      </w:pPr>
      <w:bookmarkStart w:id="57" w:name="_Ref454553097"/>
      <w:r>
        <w:t>Example:</w:t>
      </w:r>
      <w:r>
        <w:tab/>
        <w:t xml:space="preserve">Consistently with paragraph (a), the Act component of the name of an instrument made under both the </w:t>
      </w:r>
      <w:r w:rsidRPr="00FC1DAE">
        <w:rPr>
          <w:i/>
        </w:rPr>
        <w:t>Cat Act 2016</w:t>
      </w:r>
      <w:r>
        <w:t xml:space="preserve"> and the </w:t>
      </w:r>
      <w:r w:rsidRPr="00FC1DAE">
        <w:rPr>
          <w:i/>
        </w:rPr>
        <w:t>Dog Act 2017</w:t>
      </w:r>
      <w:r>
        <w:t xml:space="preserve"> could be “Cat and Dog”.</w:t>
      </w:r>
    </w:p>
    <w:p w:rsidR="00B20DB7" w:rsidRDefault="00B20DB7" w:rsidP="00B20DB7">
      <w:pPr>
        <w:pStyle w:val="notemargin"/>
      </w:pPr>
      <w:r>
        <w:t>Example:</w:t>
      </w:r>
      <w:r>
        <w:tab/>
        <w:t xml:space="preserve">Consistently with paragraph (b), the Act component of the name of an instrument made under both the </w:t>
      </w:r>
      <w:r w:rsidRPr="00FC1DAE">
        <w:rPr>
          <w:i/>
        </w:rPr>
        <w:t>Bird Care Act 2016</w:t>
      </w:r>
      <w:r>
        <w:t xml:space="preserve"> and the </w:t>
      </w:r>
      <w:r w:rsidRPr="00FC1DAE">
        <w:rPr>
          <w:i/>
        </w:rPr>
        <w:t>Bird Licensing Act 2016</w:t>
      </w:r>
      <w:r>
        <w:t xml:space="preserve"> could be “Bird Legislation”.</w:t>
      </w:r>
    </w:p>
    <w:p w:rsidR="00295967" w:rsidRDefault="00295967" w:rsidP="00295967">
      <w:pPr>
        <w:pStyle w:val="BodyNum"/>
      </w:pPr>
      <w:bookmarkStart w:id="58" w:name="_Ref464050801"/>
      <w:r>
        <w:t xml:space="preserve">An instrument made under multiple </w:t>
      </w:r>
      <w:r w:rsidR="00B20DB7">
        <w:t>enabling Act</w:t>
      </w:r>
      <w:r>
        <w:t>s may deal with a common theme relating to all the Acts in various ways. Some examples of themes are:</w:t>
      </w:r>
      <w:bookmarkEnd w:id="57"/>
      <w:bookmarkEnd w:id="58"/>
    </w:p>
    <w:bookmarkEnd w:id="56"/>
    <w:p w:rsidR="00295967" w:rsidRDefault="00295967" w:rsidP="00295967">
      <w:pPr>
        <w:pStyle w:val="BodyPara"/>
      </w:pPr>
      <w:r>
        <w:t>the instrument may deal with the same subject in relation to various Acts (so the instrument name could start with that subject); or</w:t>
      </w:r>
    </w:p>
    <w:p w:rsidR="00295967" w:rsidRDefault="00295967" w:rsidP="00295967">
      <w:pPr>
        <w:pStyle w:val="BodyPara"/>
      </w:pPr>
      <w:r>
        <w:lastRenderedPageBreak/>
        <w:t>the instrument may amend provisions dealing with a particular subject in instruments made under various Acts (so the instrument name could start with that subject); or</w:t>
      </w:r>
    </w:p>
    <w:p w:rsidR="00295967" w:rsidRDefault="00295967" w:rsidP="00295967">
      <w:pPr>
        <w:pStyle w:val="BodyPara"/>
      </w:pPr>
      <w:r>
        <w:t>the instrument may amend or repeal instruments under various Acts all administered as part of a particular portfolio or by a particular agency (so the instrument name could start with the name of that portfolio or agency).</w:t>
      </w:r>
    </w:p>
    <w:p w:rsidR="00295967" w:rsidRDefault="00295967" w:rsidP="00295967">
      <w:pPr>
        <w:pStyle w:val="BodyNum"/>
      </w:pPr>
      <w:r>
        <w:t xml:space="preserve">After the material described in paragraph </w:t>
      </w:r>
      <w:r>
        <w:fldChar w:fldCharType="begin"/>
      </w:r>
      <w:r>
        <w:instrText xml:space="preserve"> REF _Ref453238164 \r \h </w:instrText>
      </w:r>
      <w:r>
        <w:fldChar w:fldCharType="separate"/>
      </w:r>
      <w:r w:rsidR="007A7267">
        <w:t>30(a)</w:t>
      </w:r>
      <w:r>
        <w:fldChar w:fldCharType="end"/>
      </w:r>
      <w:r>
        <w:t xml:space="preserve"> or </w:t>
      </w:r>
      <w:r>
        <w:fldChar w:fldCharType="begin"/>
      </w:r>
      <w:r>
        <w:instrText xml:space="preserve"> REF _Ref453239599 \r \h </w:instrText>
      </w:r>
      <w:r>
        <w:fldChar w:fldCharType="separate"/>
      </w:r>
      <w:r w:rsidR="007A7267">
        <w:t>30(b)</w:t>
      </w:r>
      <w:r>
        <w:fldChar w:fldCharType="end"/>
      </w:r>
      <w:r>
        <w:t>, the name of the instrument should reflect:</w:t>
      </w:r>
    </w:p>
    <w:p w:rsidR="00295967" w:rsidRDefault="00295967" w:rsidP="00295967">
      <w:pPr>
        <w:pStyle w:val="BodyPara"/>
      </w:pPr>
      <w:r>
        <w:t xml:space="preserve">paragraph </w:t>
      </w:r>
      <w:r>
        <w:fldChar w:fldCharType="begin"/>
      </w:r>
      <w:r>
        <w:instrText xml:space="preserve"> REF _Ref451950311 \r \h </w:instrText>
      </w:r>
      <w:r>
        <w:fldChar w:fldCharType="separate"/>
      </w:r>
      <w:r w:rsidR="007A7267">
        <w:t>22(b)</w:t>
      </w:r>
      <w:r>
        <w:fldChar w:fldCharType="end"/>
      </w:r>
      <w:r>
        <w:t xml:space="preserve"> and </w:t>
      </w:r>
      <w:r>
        <w:fldChar w:fldCharType="begin"/>
      </w:r>
      <w:r>
        <w:instrText xml:space="preserve"> REF _Ref453239654 \r \h </w:instrText>
      </w:r>
      <w:r>
        <w:fldChar w:fldCharType="separate"/>
      </w:r>
      <w:r w:rsidR="007A7267">
        <w:t>22(c)</w:t>
      </w:r>
      <w:r>
        <w:fldChar w:fldCharType="end"/>
      </w:r>
      <w:r>
        <w:t xml:space="preserve"> (about naming a principal instrument), if the instrument is a principal instrument; or</w:t>
      </w:r>
    </w:p>
    <w:p w:rsidR="00295967" w:rsidRPr="005D20F6" w:rsidRDefault="00295967" w:rsidP="00295967">
      <w:pPr>
        <w:pStyle w:val="BodyPara"/>
      </w:pPr>
      <w:r>
        <w:t xml:space="preserve">paragraph </w:t>
      </w:r>
      <w:r>
        <w:fldChar w:fldCharType="begin"/>
      </w:r>
      <w:r>
        <w:instrText xml:space="preserve"> REF _Ref453239984 \r \h </w:instrText>
      </w:r>
      <w:r>
        <w:fldChar w:fldCharType="separate"/>
      </w:r>
      <w:r w:rsidR="007A7267">
        <w:t>24(b)</w:t>
      </w:r>
      <w:r>
        <w:fldChar w:fldCharType="end"/>
      </w:r>
      <w:r>
        <w:t xml:space="preserve"> and </w:t>
      </w:r>
      <w:r>
        <w:fldChar w:fldCharType="begin"/>
      </w:r>
      <w:r>
        <w:instrText xml:space="preserve"> REF _Ref453239996 \r \h </w:instrText>
      </w:r>
      <w:r>
        <w:fldChar w:fldCharType="separate"/>
      </w:r>
      <w:r w:rsidR="007A7267">
        <w:t>24(c)</w:t>
      </w:r>
      <w:r>
        <w:fldChar w:fldCharType="end"/>
      </w:r>
      <w:r>
        <w:t xml:space="preserve">, if the instrument </w:t>
      </w:r>
      <w:r w:rsidR="008D6D82">
        <w:t>on</w:t>
      </w:r>
      <w:r>
        <w:t>ly amends or repeals one or more other instruments.</w:t>
      </w:r>
    </w:p>
    <w:p w:rsidR="00295967" w:rsidRDefault="00295967" w:rsidP="00295967">
      <w:pPr>
        <w:pStyle w:val="Head3"/>
      </w:pPr>
      <w:bookmarkStart w:id="59" w:name="_Toc108428167"/>
      <w:r>
        <w:t>Naming instruments made under prerogative</w:t>
      </w:r>
      <w:r w:rsidR="00FA24FC">
        <w:t xml:space="preserve"> power</w:t>
      </w:r>
      <w:bookmarkEnd w:id="59"/>
    </w:p>
    <w:p w:rsidR="006A7A45" w:rsidRDefault="00295967" w:rsidP="00295967">
      <w:pPr>
        <w:pStyle w:val="BodyNum"/>
      </w:pPr>
      <w:r w:rsidRPr="001C61FA">
        <w:t xml:space="preserve">An instrument made </w:t>
      </w:r>
      <w:r>
        <w:t xml:space="preserve">solely </w:t>
      </w:r>
      <w:r w:rsidRPr="001C61FA">
        <w:t xml:space="preserve">under </w:t>
      </w:r>
      <w:r>
        <w:t>prerogative powers</w:t>
      </w:r>
      <w:r w:rsidRPr="001C61FA">
        <w:t xml:space="preserve"> </w:t>
      </w:r>
      <w:r>
        <w:t xml:space="preserve">must be </w:t>
      </w:r>
      <w:r w:rsidRPr="001C61FA">
        <w:t xml:space="preserve">named </w:t>
      </w:r>
      <w:r>
        <w:t xml:space="preserve">with an indication of its subject matter followed by the type of the instrument and its year of making </w:t>
      </w:r>
      <w:r w:rsidRPr="001C61FA">
        <w:t>(and an instrument made under a prerogative instrument could follow the name of the authorising prerogative instrument).</w:t>
      </w:r>
    </w:p>
    <w:p w:rsidR="006A7A45" w:rsidRDefault="006A7A45" w:rsidP="006A7A45">
      <w:pPr>
        <w:pStyle w:val="notemargin"/>
      </w:pPr>
      <w:r>
        <w:t>E</w:t>
      </w:r>
      <w:r w:rsidR="00295967">
        <w:t>xample</w:t>
      </w:r>
      <w:r>
        <w:t>:</w:t>
      </w:r>
      <w:r>
        <w:tab/>
        <w:t>A</w:t>
      </w:r>
      <w:r w:rsidR="00295967">
        <w:t xml:space="preserve">n instrument providing for rules for a new system of Australian honours could be named the </w:t>
      </w:r>
      <w:r w:rsidR="00295967" w:rsidRPr="00173E72">
        <w:rPr>
          <w:i/>
        </w:rPr>
        <w:t>Australian Honours Rules 20</w:t>
      </w:r>
      <w:r w:rsidR="005A224C">
        <w:rPr>
          <w:i/>
        </w:rPr>
        <w:t>22</w:t>
      </w:r>
      <w:r>
        <w:t>.</w:t>
      </w:r>
    </w:p>
    <w:p w:rsidR="00295967" w:rsidRDefault="00295967" w:rsidP="00295967">
      <w:pPr>
        <w:pStyle w:val="BodyNum"/>
      </w:pPr>
      <w:r>
        <w:t xml:space="preserve">An instrument made partly under prerogative powers and partly under </w:t>
      </w:r>
      <w:r w:rsidR="00B20DB7">
        <w:t>an enabling Act</w:t>
      </w:r>
      <w:r>
        <w:t xml:space="preserve"> could be named using the Act component followed by the type of the instrument and its year of making. However, if more appropriate, it could be named in the same way as an instrument made solely under prerogative powers.</w:t>
      </w:r>
    </w:p>
    <w:p w:rsidR="00295967" w:rsidRDefault="00295967" w:rsidP="00295967">
      <w:pPr>
        <w:pStyle w:val="Head3"/>
      </w:pPr>
      <w:bookmarkStart w:id="60" w:name="_Toc108428168"/>
      <w:r>
        <w:t>Amending names of instruments from before 1998</w:t>
      </w:r>
      <w:bookmarkEnd w:id="60"/>
    </w:p>
    <w:p w:rsidR="00295967" w:rsidRPr="004B2F03" w:rsidRDefault="00295967" w:rsidP="00295967">
      <w:pPr>
        <w:pStyle w:val="BodyNum"/>
      </w:pPr>
      <w:r w:rsidRPr="001C61FA">
        <w:t xml:space="preserve">The names of regulations, and of many other instruments, made before </w:t>
      </w:r>
      <w:smartTag w:uri="urn:schemas-microsoft-com:office:smarttags" w:element="date">
        <w:smartTagPr>
          <w:attr w:name="Month" w:val="1"/>
          <w:attr w:name="Day" w:val="1"/>
          <w:attr w:name="Year" w:val="1998"/>
        </w:smartTagPr>
        <w:r w:rsidRPr="001C61FA">
          <w:t>1 January 1998</w:t>
        </w:r>
      </w:smartTag>
      <w:r w:rsidRPr="001C61FA">
        <w:t xml:space="preserve"> did not include the year of making and were not set in italics.</w:t>
      </w:r>
      <w:bookmarkStart w:id="61" w:name="BK_S1P23L21C64"/>
      <w:bookmarkEnd w:id="61"/>
      <w:r w:rsidRPr="001C61FA">
        <w:t xml:space="preserve"> If a pre-1998 instrument is being amended, and the naming section has not already been replaced to provide for the new form of name, the amendments may, if appropriate,</w:t>
      </w:r>
      <w:bookmarkStart w:id="62" w:name="BK_S1P23L23C50"/>
      <w:bookmarkEnd w:id="62"/>
      <w:r w:rsidRPr="001C61FA">
        <w:t xml:space="preserve"> bring the naming section into line with current practice (and make necessary consequential changes).</w:t>
      </w:r>
    </w:p>
    <w:p w:rsidR="00295967" w:rsidRDefault="00295967" w:rsidP="00295967">
      <w:pPr>
        <w:pStyle w:val="Head2"/>
      </w:pPr>
      <w:bookmarkStart w:id="63" w:name="_Toc108428169"/>
      <w:r>
        <w:t>Part 4—Provision units of instruments</w:t>
      </w:r>
      <w:bookmarkEnd w:id="63"/>
    </w:p>
    <w:p w:rsidR="00295967" w:rsidRDefault="00295967" w:rsidP="00295967">
      <w:pPr>
        <w:pStyle w:val="BodyNum"/>
      </w:pPr>
      <w:r>
        <w:t>The provision units of instruments made from 2012 generally have the same name as the corresponding units of Acts, as shown in the following table:</w:t>
      </w:r>
    </w:p>
    <w:p w:rsidR="00295967" w:rsidRDefault="00295967" w:rsidP="0029596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106"/>
        <w:gridCol w:w="2835"/>
        <w:gridCol w:w="2086"/>
      </w:tblGrid>
      <w:tr w:rsidR="00295967" w:rsidTr="00CC777A">
        <w:trPr>
          <w:tblHeader/>
        </w:trPr>
        <w:tc>
          <w:tcPr>
            <w:tcW w:w="9027" w:type="dxa"/>
            <w:gridSpan w:val="3"/>
            <w:tcBorders>
              <w:top w:val="single" w:sz="12" w:space="0" w:color="auto"/>
              <w:bottom w:val="single" w:sz="6" w:space="0" w:color="auto"/>
            </w:tcBorders>
            <w:shd w:val="clear" w:color="auto" w:fill="auto"/>
          </w:tcPr>
          <w:p w:rsidR="00295967" w:rsidRDefault="00295967" w:rsidP="00CC777A">
            <w:pPr>
              <w:pStyle w:val="TableHeading"/>
            </w:pPr>
            <w:r>
              <w:t>Provision units of instruments made from 2012 and Acts</w:t>
            </w:r>
          </w:p>
        </w:tc>
      </w:tr>
      <w:tr w:rsidR="00295967" w:rsidTr="00CC777A">
        <w:trPr>
          <w:tblHeader/>
        </w:trPr>
        <w:tc>
          <w:tcPr>
            <w:tcW w:w="4106" w:type="dxa"/>
            <w:tcBorders>
              <w:top w:val="single" w:sz="6" w:space="0" w:color="auto"/>
              <w:bottom w:val="single" w:sz="12" w:space="0" w:color="auto"/>
            </w:tcBorders>
            <w:shd w:val="clear" w:color="auto" w:fill="auto"/>
          </w:tcPr>
          <w:p w:rsidR="00295967" w:rsidRDefault="00295967" w:rsidP="00CC777A">
            <w:pPr>
              <w:pStyle w:val="TableHeading"/>
            </w:pPr>
            <w:r>
              <w:t>Acts</w:t>
            </w:r>
          </w:p>
        </w:tc>
        <w:tc>
          <w:tcPr>
            <w:tcW w:w="2835" w:type="dxa"/>
            <w:tcBorders>
              <w:top w:val="single" w:sz="6" w:space="0" w:color="auto"/>
              <w:bottom w:val="single" w:sz="12" w:space="0" w:color="auto"/>
            </w:tcBorders>
            <w:shd w:val="clear" w:color="auto" w:fill="auto"/>
          </w:tcPr>
          <w:p w:rsidR="00295967" w:rsidRDefault="00295967" w:rsidP="00CC777A">
            <w:pPr>
              <w:pStyle w:val="TableHeading"/>
            </w:pPr>
            <w:r>
              <w:t>Instruments</w:t>
            </w:r>
            <w:r>
              <w:br/>
              <w:t>(except rules of court)</w:t>
            </w:r>
          </w:p>
        </w:tc>
        <w:tc>
          <w:tcPr>
            <w:tcW w:w="2086" w:type="dxa"/>
            <w:tcBorders>
              <w:top w:val="single" w:sz="6" w:space="0" w:color="auto"/>
              <w:bottom w:val="single" w:sz="12" w:space="0" w:color="auto"/>
            </w:tcBorders>
            <w:shd w:val="clear" w:color="auto" w:fill="auto"/>
          </w:tcPr>
          <w:p w:rsidR="00295967" w:rsidRDefault="00295967" w:rsidP="00CC777A">
            <w:pPr>
              <w:pStyle w:val="TableHeading"/>
            </w:pPr>
            <w:r>
              <w:t>Rules of court</w:t>
            </w:r>
          </w:p>
        </w:tc>
      </w:tr>
      <w:tr w:rsidR="00295967" w:rsidTr="00CC777A">
        <w:tc>
          <w:tcPr>
            <w:tcW w:w="4106" w:type="dxa"/>
            <w:tcBorders>
              <w:top w:val="single" w:sz="12" w:space="0" w:color="auto"/>
            </w:tcBorders>
            <w:shd w:val="clear" w:color="auto" w:fill="auto"/>
          </w:tcPr>
          <w:p w:rsidR="00295967" w:rsidRDefault="00295967" w:rsidP="00CC777A">
            <w:pPr>
              <w:pStyle w:val="Tabletext"/>
            </w:pPr>
            <w:r>
              <w:t>Chapter</w:t>
            </w:r>
          </w:p>
        </w:tc>
        <w:tc>
          <w:tcPr>
            <w:tcW w:w="2835" w:type="dxa"/>
            <w:tcBorders>
              <w:top w:val="single" w:sz="12" w:space="0" w:color="auto"/>
            </w:tcBorders>
            <w:shd w:val="clear" w:color="auto" w:fill="auto"/>
          </w:tcPr>
          <w:p w:rsidR="00295967" w:rsidRDefault="00295967" w:rsidP="00CC777A">
            <w:pPr>
              <w:pStyle w:val="Tabletext"/>
            </w:pPr>
            <w:r>
              <w:t>Chapter</w:t>
            </w:r>
          </w:p>
        </w:tc>
        <w:tc>
          <w:tcPr>
            <w:tcW w:w="2086" w:type="dxa"/>
            <w:tcBorders>
              <w:top w:val="single" w:sz="12" w:space="0" w:color="auto"/>
            </w:tcBorders>
            <w:shd w:val="clear" w:color="auto" w:fill="auto"/>
          </w:tcPr>
          <w:p w:rsidR="00295967" w:rsidRDefault="00295967" w:rsidP="00CC777A">
            <w:pPr>
              <w:pStyle w:val="Tabletext"/>
            </w:pPr>
          </w:p>
        </w:tc>
      </w:tr>
      <w:tr w:rsidR="00295967" w:rsidTr="00CC777A">
        <w:tc>
          <w:tcPr>
            <w:tcW w:w="4106" w:type="dxa"/>
            <w:shd w:val="clear" w:color="auto" w:fill="auto"/>
          </w:tcPr>
          <w:p w:rsidR="00295967" w:rsidRDefault="00295967" w:rsidP="00CC777A">
            <w:pPr>
              <w:pStyle w:val="Tabletext"/>
            </w:pPr>
            <w:r>
              <w:t>Part (in body or Schedule)</w:t>
            </w:r>
          </w:p>
        </w:tc>
        <w:tc>
          <w:tcPr>
            <w:tcW w:w="2835" w:type="dxa"/>
            <w:shd w:val="clear" w:color="auto" w:fill="auto"/>
          </w:tcPr>
          <w:p w:rsidR="00295967" w:rsidRDefault="00295967" w:rsidP="00CC777A">
            <w:pPr>
              <w:pStyle w:val="Tabletext"/>
            </w:pPr>
            <w:r>
              <w:t>Part</w:t>
            </w:r>
          </w:p>
        </w:tc>
        <w:tc>
          <w:tcPr>
            <w:tcW w:w="2086" w:type="dxa"/>
            <w:shd w:val="clear" w:color="auto" w:fill="auto"/>
          </w:tcPr>
          <w:p w:rsidR="00295967" w:rsidRDefault="00295967" w:rsidP="00CC777A">
            <w:pPr>
              <w:pStyle w:val="Tabletext"/>
            </w:pPr>
          </w:p>
        </w:tc>
      </w:tr>
      <w:tr w:rsidR="00295967" w:rsidTr="00CC777A">
        <w:tc>
          <w:tcPr>
            <w:tcW w:w="4106" w:type="dxa"/>
            <w:shd w:val="clear" w:color="auto" w:fill="auto"/>
          </w:tcPr>
          <w:p w:rsidR="00295967" w:rsidRDefault="00295967" w:rsidP="00CC777A">
            <w:pPr>
              <w:pStyle w:val="Tabletext"/>
            </w:pPr>
            <w:r>
              <w:t>Division (in body or Schedule)</w:t>
            </w:r>
          </w:p>
        </w:tc>
        <w:tc>
          <w:tcPr>
            <w:tcW w:w="2835" w:type="dxa"/>
            <w:shd w:val="clear" w:color="auto" w:fill="auto"/>
          </w:tcPr>
          <w:p w:rsidR="00295967" w:rsidRDefault="00295967" w:rsidP="00CC777A">
            <w:pPr>
              <w:pStyle w:val="Tabletext"/>
            </w:pPr>
            <w:r>
              <w:t>Division</w:t>
            </w:r>
          </w:p>
        </w:tc>
        <w:tc>
          <w:tcPr>
            <w:tcW w:w="2086" w:type="dxa"/>
            <w:shd w:val="clear" w:color="auto" w:fill="auto"/>
          </w:tcPr>
          <w:p w:rsidR="00295967" w:rsidRDefault="00295967" w:rsidP="00CC777A">
            <w:pPr>
              <w:pStyle w:val="Tabletext"/>
            </w:pPr>
          </w:p>
        </w:tc>
      </w:tr>
      <w:tr w:rsidR="00295967" w:rsidTr="00CC777A">
        <w:tc>
          <w:tcPr>
            <w:tcW w:w="4106" w:type="dxa"/>
            <w:shd w:val="clear" w:color="auto" w:fill="auto"/>
          </w:tcPr>
          <w:p w:rsidR="00295967" w:rsidRDefault="00295967" w:rsidP="00CC777A">
            <w:pPr>
              <w:pStyle w:val="Tabletext"/>
            </w:pPr>
            <w:r>
              <w:lastRenderedPageBreak/>
              <w:t>Subdivision (in body or non-amending Schedule)</w:t>
            </w:r>
          </w:p>
        </w:tc>
        <w:tc>
          <w:tcPr>
            <w:tcW w:w="2835" w:type="dxa"/>
            <w:shd w:val="clear" w:color="auto" w:fill="auto"/>
          </w:tcPr>
          <w:p w:rsidR="00295967" w:rsidRDefault="00295967" w:rsidP="00CC777A">
            <w:pPr>
              <w:pStyle w:val="Tabletext"/>
            </w:pPr>
            <w:r>
              <w:t>Subdivision</w:t>
            </w:r>
          </w:p>
        </w:tc>
        <w:tc>
          <w:tcPr>
            <w:tcW w:w="2086" w:type="dxa"/>
            <w:shd w:val="clear" w:color="auto" w:fill="auto"/>
          </w:tcPr>
          <w:p w:rsidR="00295967" w:rsidRDefault="00295967" w:rsidP="00CC777A">
            <w:pPr>
              <w:pStyle w:val="Tabletext"/>
            </w:pPr>
          </w:p>
        </w:tc>
      </w:tr>
      <w:tr w:rsidR="00295967" w:rsidTr="00CC777A">
        <w:tc>
          <w:tcPr>
            <w:tcW w:w="4106" w:type="dxa"/>
            <w:shd w:val="clear" w:color="auto" w:fill="auto"/>
          </w:tcPr>
          <w:p w:rsidR="00295967" w:rsidRDefault="00295967" w:rsidP="00CC777A">
            <w:pPr>
              <w:pStyle w:val="Tabletext"/>
            </w:pPr>
            <w:r>
              <w:t>Section</w:t>
            </w:r>
          </w:p>
        </w:tc>
        <w:tc>
          <w:tcPr>
            <w:tcW w:w="2835" w:type="dxa"/>
            <w:shd w:val="clear" w:color="auto" w:fill="auto"/>
          </w:tcPr>
          <w:p w:rsidR="00295967" w:rsidRDefault="00295967" w:rsidP="00CC777A">
            <w:pPr>
              <w:pStyle w:val="Tabletext"/>
            </w:pPr>
            <w:r>
              <w:t>Section</w:t>
            </w:r>
          </w:p>
        </w:tc>
        <w:tc>
          <w:tcPr>
            <w:tcW w:w="2086" w:type="dxa"/>
            <w:shd w:val="clear" w:color="auto" w:fill="auto"/>
          </w:tcPr>
          <w:p w:rsidR="00295967" w:rsidRDefault="00295967" w:rsidP="00CC777A">
            <w:pPr>
              <w:pStyle w:val="Tabletext"/>
            </w:pPr>
            <w:r>
              <w:t>Rule</w:t>
            </w:r>
          </w:p>
        </w:tc>
      </w:tr>
      <w:tr w:rsidR="00295967" w:rsidTr="00CC777A">
        <w:tc>
          <w:tcPr>
            <w:tcW w:w="4106" w:type="dxa"/>
            <w:shd w:val="clear" w:color="auto" w:fill="auto"/>
          </w:tcPr>
          <w:p w:rsidR="00295967" w:rsidRDefault="00295967" w:rsidP="00CC777A">
            <w:pPr>
              <w:pStyle w:val="Tabletext"/>
            </w:pPr>
            <w:r>
              <w:t>Subsection</w:t>
            </w:r>
          </w:p>
        </w:tc>
        <w:tc>
          <w:tcPr>
            <w:tcW w:w="2835" w:type="dxa"/>
            <w:shd w:val="clear" w:color="auto" w:fill="auto"/>
          </w:tcPr>
          <w:p w:rsidR="00295967" w:rsidRDefault="00295967" w:rsidP="00CC777A">
            <w:pPr>
              <w:pStyle w:val="Tabletext"/>
            </w:pPr>
            <w:r>
              <w:t>Subsection</w:t>
            </w:r>
          </w:p>
        </w:tc>
        <w:tc>
          <w:tcPr>
            <w:tcW w:w="2086" w:type="dxa"/>
            <w:shd w:val="clear" w:color="auto" w:fill="auto"/>
          </w:tcPr>
          <w:p w:rsidR="00295967" w:rsidRDefault="00295967" w:rsidP="00CC777A">
            <w:pPr>
              <w:pStyle w:val="Tabletext"/>
            </w:pPr>
            <w:r>
              <w:t>Subrule</w:t>
            </w:r>
          </w:p>
        </w:tc>
      </w:tr>
      <w:tr w:rsidR="00295967" w:rsidTr="00CC777A">
        <w:tc>
          <w:tcPr>
            <w:tcW w:w="4106" w:type="dxa"/>
            <w:shd w:val="clear" w:color="auto" w:fill="auto"/>
          </w:tcPr>
          <w:p w:rsidR="00295967" w:rsidRDefault="00295967" w:rsidP="00CC777A">
            <w:pPr>
              <w:pStyle w:val="Tabletext"/>
            </w:pPr>
            <w:r>
              <w:t>Paragraph (in body or Schedule)</w:t>
            </w:r>
          </w:p>
        </w:tc>
        <w:tc>
          <w:tcPr>
            <w:tcW w:w="2835" w:type="dxa"/>
            <w:shd w:val="clear" w:color="auto" w:fill="auto"/>
          </w:tcPr>
          <w:p w:rsidR="00295967" w:rsidRDefault="00295967" w:rsidP="00CC777A">
            <w:pPr>
              <w:pStyle w:val="Tabletext"/>
            </w:pPr>
            <w:r>
              <w:t>Paragraph</w:t>
            </w:r>
          </w:p>
        </w:tc>
        <w:tc>
          <w:tcPr>
            <w:tcW w:w="2086" w:type="dxa"/>
            <w:shd w:val="clear" w:color="auto" w:fill="auto"/>
          </w:tcPr>
          <w:p w:rsidR="00295967" w:rsidRDefault="00295967" w:rsidP="00CC777A">
            <w:pPr>
              <w:pStyle w:val="Tabletext"/>
            </w:pPr>
            <w:r>
              <w:t>Paragraph</w:t>
            </w:r>
          </w:p>
        </w:tc>
      </w:tr>
      <w:tr w:rsidR="00295967" w:rsidTr="00CC777A">
        <w:tc>
          <w:tcPr>
            <w:tcW w:w="4106" w:type="dxa"/>
            <w:shd w:val="clear" w:color="auto" w:fill="auto"/>
          </w:tcPr>
          <w:p w:rsidR="00295967" w:rsidRDefault="00295967" w:rsidP="00CC777A">
            <w:pPr>
              <w:pStyle w:val="Tabletext"/>
            </w:pPr>
            <w:r>
              <w:t>Subparagraph (in body or Schedule)</w:t>
            </w:r>
          </w:p>
        </w:tc>
        <w:tc>
          <w:tcPr>
            <w:tcW w:w="2835" w:type="dxa"/>
            <w:shd w:val="clear" w:color="auto" w:fill="auto"/>
          </w:tcPr>
          <w:p w:rsidR="00295967" w:rsidRDefault="00295967" w:rsidP="00CC777A">
            <w:pPr>
              <w:pStyle w:val="Tabletext"/>
            </w:pPr>
            <w:r>
              <w:t>Subparagraph</w:t>
            </w:r>
          </w:p>
        </w:tc>
        <w:tc>
          <w:tcPr>
            <w:tcW w:w="2086" w:type="dxa"/>
            <w:shd w:val="clear" w:color="auto" w:fill="auto"/>
          </w:tcPr>
          <w:p w:rsidR="00295967" w:rsidRDefault="00295967" w:rsidP="00CC777A">
            <w:pPr>
              <w:pStyle w:val="Tabletext"/>
            </w:pPr>
            <w:r>
              <w:t>Subparagraph</w:t>
            </w:r>
          </w:p>
        </w:tc>
      </w:tr>
      <w:tr w:rsidR="00295967" w:rsidTr="00CC777A">
        <w:tc>
          <w:tcPr>
            <w:tcW w:w="4106" w:type="dxa"/>
            <w:shd w:val="clear" w:color="auto" w:fill="auto"/>
          </w:tcPr>
          <w:p w:rsidR="00295967" w:rsidRDefault="00295967" w:rsidP="00CC777A">
            <w:pPr>
              <w:pStyle w:val="Tabletext"/>
            </w:pPr>
            <w:r>
              <w:t>Sub-subparagraph (in body or Schedule)</w:t>
            </w:r>
          </w:p>
        </w:tc>
        <w:tc>
          <w:tcPr>
            <w:tcW w:w="2835" w:type="dxa"/>
            <w:shd w:val="clear" w:color="auto" w:fill="auto"/>
          </w:tcPr>
          <w:p w:rsidR="00295967" w:rsidRDefault="00295967" w:rsidP="00CC777A">
            <w:pPr>
              <w:pStyle w:val="Tabletext"/>
            </w:pPr>
            <w:r>
              <w:t>Sub-subparagraph</w:t>
            </w:r>
          </w:p>
        </w:tc>
        <w:tc>
          <w:tcPr>
            <w:tcW w:w="2086" w:type="dxa"/>
            <w:shd w:val="clear" w:color="auto" w:fill="auto"/>
          </w:tcPr>
          <w:p w:rsidR="00295967" w:rsidRDefault="00295967" w:rsidP="00CC777A">
            <w:pPr>
              <w:pStyle w:val="Tabletext"/>
            </w:pPr>
            <w:r>
              <w:t>Sub-subparagraph</w:t>
            </w:r>
          </w:p>
        </w:tc>
      </w:tr>
      <w:tr w:rsidR="00295967" w:rsidTr="00CC777A">
        <w:tc>
          <w:tcPr>
            <w:tcW w:w="4106" w:type="dxa"/>
            <w:shd w:val="clear" w:color="auto" w:fill="auto"/>
          </w:tcPr>
          <w:p w:rsidR="00295967" w:rsidRDefault="00295967" w:rsidP="00CC777A">
            <w:pPr>
              <w:pStyle w:val="Tabletext"/>
            </w:pPr>
            <w:r>
              <w:t>Clause (in non-amending Schedule)</w:t>
            </w:r>
          </w:p>
        </w:tc>
        <w:tc>
          <w:tcPr>
            <w:tcW w:w="2835" w:type="dxa"/>
            <w:shd w:val="clear" w:color="auto" w:fill="auto"/>
          </w:tcPr>
          <w:p w:rsidR="00295967" w:rsidRDefault="00295967" w:rsidP="00CC777A">
            <w:pPr>
              <w:pStyle w:val="Tabletext"/>
            </w:pPr>
            <w:r>
              <w:t>Clause</w:t>
            </w:r>
          </w:p>
        </w:tc>
        <w:tc>
          <w:tcPr>
            <w:tcW w:w="2086" w:type="dxa"/>
            <w:shd w:val="clear" w:color="auto" w:fill="auto"/>
          </w:tcPr>
          <w:p w:rsidR="00295967" w:rsidRDefault="00295967" w:rsidP="00CC777A">
            <w:pPr>
              <w:pStyle w:val="Tabletext"/>
            </w:pPr>
          </w:p>
        </w:tc>
      </w:tr>
      <w:tr w:rsidR="00295967" w:rsidTr="00CC777A">
        <w:tc>
          <w:tcPr>
            <w:tcW w:w="4106" w:type="dxa"/>
            <w:shd w:val="clear" w:color="auto" w:fill="auto"/>
          </w:tcPr>
          <w:p w:rsidR="00295967" w:rsidRDefault="00295967" w:rsidP="00CC777A">
            <w:pPr>
              <w:pStyle w:val="Tabletext"/>
            </w:pPr>
            <w:r>
              <w:t>Subclause (in non-amending Schedule)</w:t>
            </w:r>
          </w:p>
        </w:tc>
        <w:tc>
          <w:tcPr>
            <w:tcW w:w="2835" w:type="dxa"/>
            <w:shd w:val="clear" w:color="auto" w:fill="auto"/>
          </w:tcPr>
          <w:p w:rsidR="00295967" w:rsidRDefault="00295967" w:rsidP="00CC777A">
            <w:pPr>
              <w:pStyle w:val="Tabletext"/>
            </w:pPr>
            <w:r>
              <w:t>Subclause</w:t>
            </w:r>
          </w:p>
        </w:tc>
        <w:tc>
          <w:tcPr>
            <w:tcW w:w="2086" w:type="dxa"/>
            <w:shd w:val="clear" w:color="auto" w:fill="auto"/>
          </w:tcPr>
          <w:p w:rsidR="00295967" w:rsidRDefault="00295967" w:rsidP="00CC777A">
            <w:pPr>
              <w:pStyle w:val="Tabletext"/>
            </w:pPr>
          </w:p>
        </w:tc>
      </w:tr>
      <w:tr w:rsidR="00295967" w:rsidTr="00CC777A">
        <w:tc>
          <w:tcPr>
            <w:tcW w:w="4106" w:type="dxa"/>
            <w:tcBorders>
              <w:bottom w:val="single" w:sz="2" w:space="0" w:color="auto"/>
            </w:tcBorders>
            <w:shd w:val="clear" w:color="auto" w:fill="auto"/>
          </w:tcPr>
          <w:p w:rsidR="00295967" w:rsidRDefault="00295967" w:rsidP="00CC777A">
            <w:pPr>
              <w:pStyle w:val="Tabletext"/>
            </w:pPr>
            <w:r>
              <w:t>Item (in amending or non-amending Schedule)</w:t>
            </w:r>
          </w:p>
        </w:tc>
        <w:tc>
          <w:tcPr>
            <w:tcW w:w="2835" w:type="dxa"/>
            <w:tcBorders>
              <w:bottom w:val="single" w:sz="2" w:space="0" w:color="auto"/>
            </w:tcBorders>
            <w:shd w:val="clear" w:color="auto" w:fill="auto"/>
          </w:tcPr>
          <w:p w:rsidR="00295967" w:rsidRDefault="00295967" w:rsidP="00CC777A">
            <w:pPr>
              <w:pStyle w:val="Tabletext"/>
            </w:pPr>
            <w:r>
              <w:t>Item</w:t>
            </w:r>
          </w:p>
        </w:tc>
        <w:tc>
          <w:tcPr>
            <w:tcW w:w="2086" w:type="dxa"/>
            <w:tcBorders>
              <w:bottom w:val="single" w:sz="2" w:space="0" w:color="auto"/>
            </w:tcBorders>
            <w:shd w:val="clear" w:color="auto" w:fill="auto"/>
          </w:tcPr>
          <w:p w:rsidR="00295967" w:rsidRDefault="00295967" w:rsidP="00CC777A">
            <w:pPr>
              <w:pStyle w:val="Tabletext"/>
            </w:pPr>
          </w:p>
        </w:tc>
      </w:tr>
      <w:tr w:rsidR="00295967" w:rsidTr="00CC777A">
        <w:tc>
          <w:tcPr>
            <w:tcW w:w="4106" w:type="dxa"/>
            <w:tcBorders>
              <w:top w:val="single" w:sz="2" w:space="0" w:color="auto"/>
              <w:bottom w:val="single" w:sz="12" w:space="0" w:color="auto"/>
            </w:tcBorders>
            <w:shd w:val="clear" w:color="auto" w:fill="auto"/>
          </w:tcPr>
          <w:p w:rsidR="00295967" w:rsidRDefault="00295967" w:rsidP="00CC777A">
            <w:pPr>
              <w:pStyle w:val="Tabletext"/>
            </w:pPr>
            <w:r>
              <w:t>Subitem (in amending Schedule)</w:t>
            </w:r>
          </w:p>
        </w:tc>
        <w:tc>
          <w:tcPr>
            <w:tcW w:w="2835" w:type="dxa"/>
            <w:tcBorders>
              <w:top w:val="single" w:sz="2" w:space="0" w:color="auto"/>
              <w:bottom w:val="single" w:sz="12" w:space="0" w:color="auto"/>
            </w:tcBorders>
            <w:shd w:val="clear" w:color="auto" w:fill="auto"/>
          </w:tcPr>
          <w:p w:rsidR="00295967" w:rsidRDefault="00295967" w:rsidP="00CC777A">
            <w:pPr>
              <w:pStyle w:val="Tabletext"/>
            </w:pPr>
            <w:r>
              <w:t>Subitem</w:t>
            </w:r>
          </w:p>
        </w:tc>
        <w:tc>
          <w:tcPr>
            <w:tcW w:w="2086" w:type="dxa"/>
            <w:tcBorders>
              <w:top w:val="single" w:sz="2" w:space="0" w:color="auto"/>
              <w:bottom w:val="single" w:sz="12" w:space="0" w:color="auto"/>
            </w:tcBorders>
            <w:shd w:val="clear" w:color="auto" w:fill="auto"/>
          </w:tcPr>
          <w:p w:rsidR="00295967" w:rsidRDefault="00295967" w:rsidP="00CC777A">
            <w:pPr>
              <w:pStyle w:val="Tabletext"/>
            </w:pPr>
          </w:p>
        </w:tc>
      </w:tr>
    </w:tbl>
    <w:p w:rsidR="00295967" w:rsidRDefault="00295967" w:rsidP="00295967">
      <w:pPr>
        <w:pStyle w:val="BodyNum"/>
      </w:pPr>
      <w:r>
        <w:t>If amending a principal instrument made before 2012, a reference to a provision unit:</w:t>
      </w:r>
    </w:p>
    <w:p w:rsidR="00295967" w:rsidRDefault="00295967" w:rsidP="00295967">
      <w:pPr>
        <w:pStyle w:val="BodyPara"/>
      </w:pPr>
      <w:r>
        <w:t>in text identifying the location of the amendment; or</w:t>
      </w:r>
    </w:p>
    <w:p w:rsidR="00295967" w:rsidRDefault="00295967" w:rsidP="00295967">
      <w:pPr>
        <w:pStyle w:val="BodyPara"/>
      </w:pPr>
      <w:r>
        <w:t>in text included by the amendment in the principal instrument;</w:t>
      </w:r>
    </w:p>
    <w:p w:rsidR="006A7A45" w:rsidRDefault="00295967" w:rsidP="00295967">
      <w:pPr>
        <w:pStyle w:val="Body"/>
      </w:pPr>
      <w:r>
        <w:t>should be consistent with provision unit names used in the principal instrument.</w:t>
      </w:r>
    </w:p>
    <w:p w:rsidR="00295967" w:rsidRDefault="006A7A45" w:rsidP="006A7A45">
      <w:pPr>
        <w:pStyle w:val="notemargin"/>
      </w:pPr>
      <w:r>
        <w:t>E</w:t>
      </w:r>
      <w:r w:rsidR="00295967">
        <w:t>xample</w:t>
      </w:r>
      <w:r>
        <w:t>:</w:t>
      </w:r>
      <w:r>
        <w:tab/>
        <w:t>R</w:t>
      </w:r>
      <w:r w:rsidR="00295967">
        <w:t>eferences in text included by amendment of principal regulations made before 2012 should be to regulations and subregulations (not sections or subsections) of the principal regulations.</w:t>
      </w:r>
    </w:p>
    <w:p w:rsidR="00295967" w:rsidRDefault="00295967" w:rsidP="00295967">
      <w:pPr>
        <w:pStyle w:val="BodyNum"/>
      </w:pPr>
      <w:r>
        <w:t>T</w:t>
      </w:r>
      <w:r w:rsidRPr="00571929">
        <w:t xml:space="preserve">he </w:t>
      </w:r>
      <w:r w:rsidRPr="00571929">
        <w:rPr>
          <w:i/>
        </w:rPr>
        <w:t>Migration Regulations 1994</w:t>
      </w:r>
      <w:r w:rsidRPr="00571929">
        <w:t xml:space="preserve"> use sub-sub-subparagraphs in a schedule.</w:t>
      </w:r>
      <w:bookmarkStart w:id="64" w:name="BK_S1P24L19C86"/>
      <w:bookmarkEnd w:id="64"/>
      <w:r w:rsidRPr="00571929">
        <w:t xml:space="preserve"> The use of sub-subparagraphs (or sub-sub-subparagraphs) in any other instrument should be exceptional. A new instrument should not include them, nor should they be inserted into an existing instrument by amendment, without the approval of the head drafter.</w:t>
      </w:r>
    </w:p>
    <w:p w:rsidR="00295967" w:rsidRPr="001C61FA" w:rsidRDefault="00295967" w:rsidP="00295967">
      <w:pPr>
        <w:pStyle w:val="BodyNum"/>
      </w:pPr>
      <w:r w:rsidRPr="001C61FA">
        <w:t xml:space="preserve">In exceptional cases, the head drafter may approve the use of sections and subsections in a schedule (see e.g. the </w:t>
      </w:r>
      <w:r w:rsidRPr="001C61FA">
        <w:rPr>
          <w:i/>
        </w:rPr>
        <w:t>Criminal Code</w:t>
      </w:r>
      <w:r w:rsidRPr="001C61FA">
        <w:t>).</w:t>
      </w:r>
    </w:p>
    <w:p w:rsidR="00235855" w:rsidRDefault="00235855" w:rsidP="00235855">
      <w:pPr>
        <w:pStyle w:val="Body"/>
      </w:pPr>
    </w:p>
    <w:p w:rsidR="00235855" w:rsidRDefault="00FE34ED" w:rsidP="00235855">
      <w:pPr>
        <w:pStyle w:val="Blocks"/>
      </w:pPr>
      <w:r>
        <w:t>Meredith Leigh</w:t>
      </w:r>
    </w:p>
    <w:p w:rsidR="00235855" w:rsidRDefault="00235855" w:rsidP="00235855">
      <w:pPr>
        <w:pStyle w:val="Blocks"/>
      </w:pPr>
      <w:r w:rsidRPr="001C61FA">
        <w:t>First Parliamentary Counsel</w:t>
      </w:r>
    </w:p>
    <w:p w:rsidR="0023675D" w:rsidRPr="007D40E4" w:rsidRDefault="00A239CE" w:rsidP="00235855">
      <w:pPr>
        <w:pStyle w:val="Blocks"/>
      </w:pPr>
      <w:r>
        <w:t>1</w:t>
      </w:r>
      <w:r w:rsidR="00667C27">
        <w:t>1</w:t>
      </w:r>
      <w:r>
        <w:t xml:space="preserve"> Ju</w:t>
      </w:r>
      <w:r w:rsidR="00667C27">
        <w:t>ly</w:t>
      </w:r>
      <w:r>
        <w:t xml:space="preserve"> 2022</w:t>
      </w:r>
    </w:p>
    <w:p w:rsidR="00235855" w:rsidRPr="004965BB" w:rsidRDefault="00235855" w:rsidP="00235855">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235855" w:rsidRPr="00B707C1" w:rsidTr="0023675D">
        <w:trPr>
          <w:tblHeader/>
        </w:trPr>
        <w:tc>
          <w:tcPr>
            <w:tcW w:w="9027" w:type="dxa"/>
            <w:gridSpan w:val="3"/>
            <w:tcBorders>
              <w:top w:val="single" w:sz="12" w:space="0" w:color="auto"/>
              <w:bottom w:val="single" w:sz="6" w:space="0" w:color="auto"/>
            </w:tcBorders>
            <w:shd w:val="clear" w:color="auto" w:fill="auto"/>
          </w:tcPr>
          <w:p w:rsidR="00235855" w:rsidRPr="00EA4DEB" w:rsidRDefault="00235855" w:rsidP="00BB577E">
            <w:pPr>
              <w:pStyle w:val="Tabletext"/>
              <w:keepNext/>
              <w:rPr>
                <w:b/>
              </w:rPr>
            </w:pPr>
            <w:r w:rsidRPr="00B707C1">
              <w:rPr>
                <w:b/>
              </w:rPr>
              <w:t>Document History</w:t>
            </w:r>
          </w:p>
        </w:tc>
      </w:tr>
      <w:tr w:rsidR="00235855" w:rsidRPr="00B707C1" w:rsidTr="0023675D">
        <w:trPr>
          <w:tblHeader/>
        </w:trPr>
        <w:tc>
          <w:tcPr>
            <w:tcW w:w="3009" w:type="dxa"/>
            <w:tcBorders>
              <w:top w:val="single" w:sz="6" w:space="0" w:color="auto"/>
              <w:bottom w:val="single" w:sz="12" w:space="0" w:color="auto"/>
            </w:tcBorders>
            <w:shd w:val="clear" w:color="auto" w:fill="auto"/>
          </w:tcPr>
          <w:p w:rsidR="00235855" w:rsidRPr="00B707C1" w:rsidRDefault="00235855" w:rsidP="00BB577E">
            <w:pPr>
              <w:pStyle w:val="Tabletext"/>
              <w:keepNext/>
              <w:rPr>
                <w:b/>
              </w:rPr>
            </w:pPr>
            <w:r w:rsidRPr="00B707C1">
              <w:rPr>
                <w:b/>
              </w:rPr>
              <w:t>Release</w:t>
            </w:r>
          </w:p>
        </w:tc>
        <w:tc>
          <w:tcPr>
            <w:tcW w:w="3009" w:type="dxa"/>
            <w:tcBorders>
              <w:top w:val="single" w:sz="6" w:space="0" w:color="auto"/>
              <w:bottom w:val="single" w:sz="12" w:space="0" w:color="auto"/>
            </w:tcBorders>
            <w:shd w:val="clear" w:color="auto" w:fill="auto"/>
          </w:tcPr>
          <w:p w:rsidR="00235855" w:rsidRPr="00B707C1" w:rsidRDefault="00235855" w:rsidP="00BB577E">
            <w:pPr>
              <w:pStyle w:val="Tabletext"/>
              <w:keepNext/>
              <w:rPr>
                <w:b/>
              </w:rPr>
            </w:pPr>
            <w:r w:rsidRPr="00B707C1">
              <w:rPr>
                <w:b/>
              </w:rPr>
              <w:t>Release date</w:t>
            </w:r>
          </w:p>
        </w:tc>
        <w:tc>
          <w:tcPr>
            <w:tcW w:w="3009" w:type="dxa"/>
            <w:tcBorders>
              <w:top w:val="single" w:sz="6" w:space="0" w:color="auto"/>
              <w:bottom w:val="single" w:sz="12" w:space="0" w:color="auto"/>
            </w:tcBorders>
            <w:shd w:val="clear" w:color="auto" w:fill="auto"/>
          </w:tcPr>
          <w:p w:rsidR="00235855" w:rsidRPr="00B707C1" w:rsidRDefault="00235855" w:rsidP="00BB577E">
            <w:pPr>
              <w:pStyle w:val="Tabletext"/>
              <w:keepNext/>
              <w:rPr>
                <w:b/>
              </w:rPr>
            </w:pPr>
            <w:r w:rsidRPr="00B707C1">
              <w:rPr>
                <w:b/>
              </w:rPr>
              <w:t>Document number</w:t>
            </w:r>
          </w:p>
        </w:tc>
      </w:tr>
      <w:tr w:rsidR="00685158" w:rsidRPr="00B707C1" w:rsidTr="0023675D">
        <w:tc>
          <w:tcPr>
            <w:tcW w:w="3009" w:type="dxa"/>
            <w:tcBorders>
              <w:top w:val="single" w:sz="12" w:space="0" w:color="auto"/>
            </w:tcBorders>
            <w:shd w:val="clear" w:color="auto" w:fill="auto"/>
          </w:tcPr>
          <w:p w:rsidR="00685158" w:rsidRPr="00B707C1" w:rsidRDefault="00685158" w:rsidP="00D41EAB">
            <w:pPr>
              <w:pStyle w:val="Tabletext"/>
            </w:pPr>
            <w:r>
              <w:t>1</w:t>
            </w:r>
            <w:r w:rsidRPr="00B707C1">
              <w:t>.0</w:t>
            </w:r>
          </w:p>
        </w:tc>
        <w:tc>
          <w:tcPr>
            <w:tcW w:w="3009" w:type="dxa"/>
            <w:tcBorders>
              <w:top w:val="single" w:sz="12" w:space="0" w:color="auto"/>
            </w:tcBorders>
            <w:shd w:val="clear" w:color="auto" w:fill="auto"/>
          </w:tcPr>
          <w:p w:rsidR="00685158" w:rsidRPr="00B707C1" w:rsidRDefault="00685158" w:rsidP="00D41EAB">
            <w:pPr>
              <w:pStyle w:val="Tabletext"/>
            </w:pPr>
            <w:r>
              <w:t>4 December 2012</w:t>
            </w:r>
          </w:p>
        </w:tc>
        <w:tc>
          <w:tcPr>
            <w:tcW w:w="3009" w:type="dxa"/>
            <w:tcBorders>
              <w:top w:val="single" w:sz="12" w:space="0" w:color="auto"/>
            </w:tcBorders>
            <w:shd w:val="clear" w:color="auto" w:fill="auto"/>
          </w:tcPr>
          <w:p w:rsidR="00685158" w:rsidRPr="00B707C1" w:rsidRDefault="00685158" w:rsidP="00D41EAB">
            <w:pPr>
              <w:pStyle w:val="Tabletext"/>
            </w:pPr>
            <w:r>
              <w:t>S12CS430.v01.docx</w:t>
            </w:r>
          </w:p>
        </w:tc>
      </w:tr>
      <w:tr w:rsidR="00A3270F" w:rsidRPr="00B707C1" w:rsidTr="0023675D">
        <w:tc>
          <w:tcPr>
            <w:tcW w:w="3009" w:type="dxa"/>
            <w:shd w:val="clear" w:color="auto" w:fill="auto"/>
          </w:tcPr>
          <w:p w:rsidR="00A3270F" w:rsidRDefault="00A3270F" w:rsidP="00C65E94">
            <w:pPr>
              <w:pStyle w:val="Tabletext"/>
            </w:pPr>
            <w:r>
              <w:t>2.0</w:t>
            </w:r>
          </w:p>
        </w:tc>
        <w:tc>
          <w:tcPr>
            <w:tcW w:w="3009" w:type="dxa"/>
            <w:shd w:val="clear" w:color="auto" w:fill="auto"/>
          </w:tcPr>
          <w:p w:rsidR="00A3270F" w:rsidRDefault="00A3270F" w:rsidP="00C65E94">
            <w:pPr>
              <w:pStyle w:val="Tabletext"/>
            </w:pPr>
            <w:r>
              <w:t>4 April 2014</w:t>
            </w:r>
          </w:p>
        </w:tc>
        <w:tc>
          <w:tcPr>
            <w:tcW w:w="3009" w:type="dxa"/>
            <w:shd w:val="clear" w:color="auto" w:fill="auto"/>
          </w:tcPr>
          <w:p w:rsidR="00A3270F" w:rsidRDefault="00A3270F" w:rsidP="00C65E94">
            <w:pPr>
              <w:pStyle w:val="Tabletext"/>
            </w:pPr>
            <w:r>
              <w:t>S12CS430.v15.docx</w:t>
            </w:r>
          </w:p>
        </w:tc>
      </w:tr>
      <w:tr w:rsidR="00A3270F" w:rsidRPr="00B707C1" w:rsidTr="0023675D">
        <w:tc>
          <w:tcPr>
            <w:tcW w:w="3009" w:type="dxa"/>
            <w:shd w:val="clear" w:color="auto" w:fill="auto"/>
          </w:tcPr>
          <w:p w:rsidR="00A3270F" w:rsidRDefault="00725935" w:rsidP="00725935">
            <w:pPr>
              <w:pStyle w:val="Tabletext"/>
            </w:pPr>
            <w:r>
              <w:t>2</w:t>
            </w:r>
            <w:r w:rsidR="00A3270F">
              <w:t>.</w:t>
            </w:r>
            <w:r>
              <w:t>1</w:t>
            </w:r>
          </w:p>
        </w:tc>
        <w:tc>
          <w:tcPr>
            <w:tcW w:w="3009" w:type="dxa"/>
            <w:shd w:val="clear" w:color="auto" w:fill="auto"/>
          </w:tcPr>
          <w:p w:rsidR="00A3270F" w:rsidRDefault="009604E3" w:rsidP="009604E3">
            <w:pPr>
              <w:pStyle w:val="Tabletext"/>
            </w:pPr>
            <w:r>
              <w:t>29</w:t>
            </w:r>
            <w:r w:rsidR="00A3270F">
              <w:t xml:space="preserve"> </w:t>
            </w:r>
            <w:r>
              <w:t xml:space="preserve">February </w:t>
            </w:r>
            <w:r w:rsidR="00A3270F">
              <w:t>2016</w:t>
            </w:r>
          </w:p>
        </w:tc>
        <w:tc>
          <w:tcPr>
            <w:tcW w:w="3009" w:type="dxa"/>
            <w:shd w:val="clear" w:color="auto" w:fill="auto"/>
          </w:tcPr>
          <w:p w:rsidR="00A3270F" w:rsidRDefault="00A3270F" w:rsidP="008C3BAC">
            <w:pPr>
              <w:pStyle w:val="Tabletext"/>
            </w:pPr>
            <w:r>
              <w:t>S12CS430.v</w:t>
            </w:r>
            <w:r w:rsidR="008C3BAC">
              <w:t>19</w:t>
            </w:r>
            <w:r>
              <w:t>.docx</w:t>
            </w:r>
          </w:p>
        </w:tc>
      </w:tr>
      <w:tr w:rsidR="00295967" w:rsidRPr="00B707C1" w:rsidTr="0023675D">
        <w:tc>
          <w:tcPr>
            <w:tcW w:w="3009" w:type="dxa"/>
            <w:tcBorders>
              <w:bottom w:val="single" w:sz="2" w:space="0" w:color="auto"/>
            </w:tcBorders>
            <w:shd w:val="clear" w:color="auto" w:fill="auto"/>
          </w:tcPr>
          <w:p w:rsidR="00295967" w:rsidRDefault="00295967" w:rsidP="00725935">
            <w:pPr>
              <w:pStyle w:val="Tabletext"/>
            </w:pPr>
            <w:r>
              <w:t>3.0</w:t>
            </w:r>
          </w:p>
        </w:tc>
        <w:tc>
          <w:tcPr>
            <w:tcW w:w="3009" w:type="dxa"/>
            <w:tcBorders>
              <w:bottom w:val="single" w:sz="2" w:space="0" w:color="auto"/>
            </w:tcBorders>
            <w:shd w:val="clear" w:color="auto" w:fill="auto"/>
          </w:tcPr>
          <w:p w:rsidR="00295967" w:rsidRDefault="00C444FD" w:rsidP="009604E3">
            <w:pPr>
              <w:pStyle w:val="Tabletext"/>
            </w:pPr>
            <w:r>
              <w:t>14 November</w:t>
            </w:r>
            <w:r w:rsidR="00CB36B3">
              <w:t xml:space="preserve"> 2016</w:t>
            </w:r>
          </w:p>
        </w:tc>
        <w:tc>
          <w:tcPr>
            <w:tcW w:w="3009" w:type="dxa"/>
            <w:tcBorders>
              <w:bottom w:val="single" w:sz="2" w:space="0" w:color="auto"/>
            </w:tcBorders>
            <w:shd w:val="clear" w:color="auto" w:fill="auto"/>
          </w:tcPr>
          <w:p w:rsidR="00295967" w:rsidRDefault="00295967" w:rsidP="00C444FD">
            <w:pPr>
              <w:pStyle w:val="Tabletext"/>
            </w:pPr>
            <w:r>
              <w:t>S12CS430.v</w:t>
            </w:r>
            <w:r w:rsidR="00C444FD">
              <w:t>28.docx</w:t>
            </w:r>
          </w:p>
        </w:tc>
      </w:tr>
      <w:tr w:rsidR="0023675D" w:rsidRPr="00B707C1" w:rsidTr="007A0906">
        <w:tc>
          <w:tcPr>
            <w:tcW w:w="3009" w:type="dxa"/>
            <w:tcBorders>
              <w:top w:val="single" w:sz="2" w:space="0" w:color="auto"/>
              <w:bottom w:val="single" w:sz="2" w:space="0" w:color="auto"/>
            </w:tcBorders>
            <w:shd w:val="clear" w:color="auto" w:fill="auto"/>
          </w:tcPr>
          <w:p w:rsidR="0023675D" w:rsidRDefault="0023675D" w:rsidP="00725935">
            <w:pPr>
              <w:pStyle w:val="Tabletext"/>
            </w:pPr>
            <w:r>
              <w:t>3.1</w:t>
            </w:r>
          </w:p>
        </w:tc>
        <w:tc>
          <w:tcPr>
            <w:tcW w:w="3009" w:type="dxa"/>
            <w:tcBorders>
              <w:top w:val="single" w:sz="2" w:space="0" w:color="auto"/>
              <w:bottom w:val="single" w:sz="2" w:space="0" w:color="auto"/>
            </w:tcBorders>
            <w:shd w:val="clear" w:color="auto" w:fill="auto"/>
          </w:tcPr>
          <w:p w:rsidR="0023675D" w:rsidRDefault="0023675D" w:rsidP="009604E3">
            <w:pPr>
              <w:pStyle w:val="Tabletext"/>
            </w:pPr>
            <w:r>
              <w:t xml:space="preserve">1 </w:t>
            </w:r>
            <w:r w:rsidR="00A239CE">
              <w:t xml:space="preserve">September </w:t>
            </w:r>
            <w:r>
              <w:t>202</w:t>
            </w:r>
            <w:r w:rsidR="00A239CE">
              <w:t>0</w:t>
            </w:r>
          </w:p>
        </w:tc>
        <w:tc>
          <w:tcPr>
            <w:tcW w:w="3009" w:type="dxa"/>
            <w:tcBorders>
              <w:top w:val="single" w:sz="2" w:space="0" w:color="auto"/>
              <w:bottom w:val="single" w:sz="2" w:space="0" w:color="auto"/>
            </w:tcBorders>
            <w:shd w:val="clear" w:color="auto" w:fill="auto"/>
          </w:tcPr>
          <w:p w:rsidR="0023675D" w:rsidRDefault="0023675D" w:rsidP="0023675D">
            <w:pPr>
              <w:pStyle w:val="Tabletext"/>
            </w:pPr>
            <w:r w:rsidRPr="0023675D">
              <w:t>S12CS430.v34.docx</w:t>
            </w:r>
          </w:p>
        </w:tc>
      </w:tr>
      <w:tr w:rsidR="007A0906" w:rsidRPr="00B707C1" w:rsidTr="0023675D">
        <w:tc>
          <w:tcPr>
            <w:tcW w:w="3009" w:type="dxa"/>
            <w:tcBorders>
              <w:top w:val="single" w:sz="2" w:space="0" w:color="auto"/>
              <w:bottom w:val="single" w:sz="12" w:space="0" w:color="auto"/>
            </w:tcBorders>
            <w:shd w:val="clear" w:color="auto" w:fill="auto"/>
          </w:tcPr>
          <w:p w:rsidR="007A0906" w:rsidRDefault="00A239CE" w:rsidP="00725935">
            <w:pPr>
              <w:pStyle w:val="Tabletext"/>
            </w:pPr>
            <w:r>
              <w:t>3.2</w:t>
            </w:r>
          </w:p>
        </w:tc>
        <w:tc>
          <w:tcPr>
            <w:tcW w:w="3009" w:type="dxa"/>
            <w:tcBorders>
              <w:top w:val="single" w:sz="2" w:space="0" w:color="auto"/>
              <w:bottom w:val="single" w:sz="12" w:space="0" w:color="auto"/>
            </w:tcBorders>
            <w:shd w:val="clear" w:color="auto" w:fill="auto"/>
          </w:tcPr>
          <w:p w:rsidR="007A0906" w:rsidRDefault="00A239CE" w:rsidP="009604E3">
            <w:pPr>
              <w:pStyle w:val="Tabletext"/>
            </w:pPr>
            <w:r>
              <w:t>1</w:t>
            </w:r>
            <w:r w:rsidR="00667C27">
              <w:t>1</w:t>
            </w:r>
            <w:r>
              <w:t xml:space="preserve"> Ju</w:t>
            </w:r>
            <w:r w:rsidR="00667C27">
              <w:t>ly</w:t>
            </w:r>
            <w:r>
              <w:t xml:space="preserve"> 2022</w:t>
            </w:r>
          </w:p>
        </w:tc>
        <w:tc>
          <w:tcPr>
            <w:tcW w:w="3009" w:type="dxa"/>
            <w:tcBorders>
              <w:top w:val="single" w:sz="2" w:space="0" w:color="auto"/>
              <w:bottom w:val="single" w:sz="12" w:space="0" w:color="auto"/>
            </w:tcBorders>
            <w:shd w:val="clear" w:color="auto" w:fill="auto"/>
          </w:tcPr>
          <w:p w:rsidR="007A0906" w:rsidRPr="0023675D" w:rsidRDefault="00A239CE" w:rsidP="0023675D">
            <w:pPr>
              <w:pStyle w:val="Tabletext"/>
            </w:pPr>
            <w:r w:rsidRPr="0023675D">
              <w:t>S12CS430.v3</w:t>
            </w:r>
            <w:r w:rsidR="00667C27">
              <w:t>9</w:t>
            </w:r>
            <w:r w:rsidRPr="0023675D">
              <w:t>.docx</w:t>
            </w:r>
          </w:p>
        </w:tc>
      </w:tr>
    </w:tbl>
    <w:p w:rsidR="00F927E0" w:rsidRPr="00235855" w:rsidRDefault="00F927E0" w:rsidP="00235855"/>
    <w:sectPr w:rsidR="00F927E0" w:rsidRPr="00235855" w:rsidSect="00A3456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77A" w:rsidRDefault="00CC777A" w:rsidP="00A34568">
      <w:pPr>
        <w:spacing w:line="240" w:lineRule="auto"/>
      </w:pPr>
      <w:r>
        <w:separator/>
      </w:r>
    </w:p>
  </w:endnote>
  <w:endnote w:type="continuationSeparator" w:id="0">
    <w:p w:rsidR="00CC777A" w:rsidRDefault="00CC777A"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A" w:rsidRDefault="00CC777A" w:rsidP="00A34568">
    <w:pPr>
      <w:pStyle w:val="Footer"/>
      <w:tabs>
        <w:tab w:val="clear" w:pos="4153"/>
        <w:tab w:val="clear" w:pos="8306"/>
        <w:tab w:val="right" w:pos="893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479A8">
      <w:rPr>
        <w:rStyle w:val="PageNumber"/>
        <w:noProof/>
        <w:sz w:val="20"/>
      </w:rPr>
      <w:t>10</w:t>
    </w:r>
    <w:r>
      <w:rPr>
        <w:rStyle w:val="PageNumber"/>
        <w:sz w:val="20"/>
      </w:rPr>
      <w:fldChar w:fldCharType="end"/>
    </w:r>
    <w:r>
      <w:rPr>
        <w:sz w:val="16"/>
      </w:rPr>
      <w:tab/>
      <w:t>[</w:t>
    </w:r>
    <w:r w:rsidR="00747BD5">
      <w:rPr>
        <w:noProof/>
        <w:sz w:val="16"/>
      </w:rPr>
      <w:t>S12CS430.v39.docx</w:t>
    </w:r>
    <w:r>
      <w:rPr>
        <w:sz w:val="16"/>
      </w:rPr>
      <w:t>] [</w:t>
    </w:r>
    <w:r w:rsidR="00747BD5">
      <w:rPr>
        <w:noProof/>
        <w:sz w:val="16"/>
      </w:rPr>
      <w:t>11 Jul 2022</w:t>
    </w:r>
    <w:r>
      <w:rPr>
        <w:sz w:val="16"/>
      </w:rPr>
      <w:t>] [</w:t>
    </w:r>
    <w:r w:rsidR="00747BD5">
      <w:rPr>
        <w:noProof/>
        <w:sz w:val="16"/>
      </w:rPr>
      <w:t>10:36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A" w:rsidRDefault="00CC777A" w:rsidP="00A34568">
    <w:pPr>
      <w:tabs>
        <w:tab w:val="right" w:pos="8931"/>
      </w:tabs>
      <w:rPr>
        <w:sz w:val="16"/>
      </w:rPr>
    </w:pPr>
    <w:r>
      <w:rPr>
        <w:sz w:val="16"/>
      </w:rPr>
      <w:t>[</w:t>
    </w:r>
    <w:r w:rsidR="00747BD5">
      <w:rPr>
        <w:noProof/>
        <w:sz w:val="16"/>
      </w:rPr>
      <w:t>S12CS430.v39.docx</w:t>
    </w:r>
    <w:r>
      <w:rPr>
        <w:sz w:val="16"/>
      </w:rPr>
      <w:t>] [</w:t>
    </w:r>
    <w:r w:rsidR="00747BD5">
      <w:rPr>
        <w:noProof/>
        <w:sz w:val="16"/>
      </w:rPr>
      <w:t>11 Jul 2022</w:t>
    </w:r>
    <w:r>
      <w:rPr>
        <w:sz w:val="16"/>
      </w:rPr>
      <w:t>] [</w:t>
    </w:r>
    <w:r w:rsidR="00747BD5">
      <w:rPr>
        <w:noProof/>
        <w:sz w:val="16"/>
      </w:rPr>
      <w:t>10:36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479A8">
      <w:rPr>
        <w:rStyle w:val="PageNumber"/>
        <w:noProof/>
        <w:sz w:val="20"/>
      </w:rPr>
      <w:t>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A" w:rsidRDefault="00CC777A" w:rsidP="00A34568">
    <w:pPr>
      <w:tabs>
        <w:tab w:val="right" w:pos="8931"/>
      </w:tabs>
    </w:pPr>
    <w:r>
      <w:rPr>
        <w:sz w:val="16"/>
      </w:rPr>
      <w:t>[</w:t>
    </w:r>
    <w:r w:rsidR="00747BD5">
      <w:rPr>
        <w:noProof/>
        <w:sz w:val="16"/>
      </w:rPr>
      <w:t>S12CS430.v39.docx</w:t>
    </w:r>
    <w:r>
      <w:rPr>
        <w:sz w:val="16"/>
      </w:rPr>
      <w:t>] [</w:t>
    </w:r>
    <w:r w:rsidR="00747BD5">
      <w:rPr>
        <w:noProof/>
        <w:sz w:val="16"/>
      </w:rPr>
      <w:t>11 Jul 2022</w:t>
    </w:r>
    <w:r>
      <w:rPr>
        <w:sz w:val="16"/>
      </w:rPr>
      <w:t>] [</w:t>
    </w:r>
    <w:r w:rsidR="00747BD5">
      <w:rPr>
        <w:noProof/>
        <w:sz w:val="16"/>
      </w:rPr>
      <w:t>10:36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82F08">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77A" w:rsidRDefault="00CC777A" w:rsidP="00A34568">
      <w:pPr>
        <w:spacing w:line="240" w:lineRule="auto"/>
      </w:pPr>
      <w:r>
        <w:separator/>
      </w:r>
    </w:p>
  </w:footnote>
  <w:footnote w:type="continuationSeparator" w:id="0">
    <w:p w:rsidR="00CC777A" w:rsidRDefault="00CC777A"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A" w:rsidRDefault="00CC777A" w:rsidP="00A34568">
    <w:pPr>
      <w:pStyle w:val="Header"/>
    </w:pPr>
    <w:r>
      <w:rPr>
        <w:rStyle w:val="PageNumber"/>
      </w:rPr>
      <w:fldChar w:fldCharType="begin"/>
    </w:r>
    <w:r>
      <w:rPr>
        <w:rStyle w:val="PageNumber"/>
      </w:rPr>
      <w:instrText xml:space="preserve"> STYLEREF "Head 1" </w:instrText>
    </w:r>
    <w:r>
      <w:rPr>
        <w:rStyle w:val="PageNumber"/>
      </w:rPr>
      <w:fldChar w:fldCharType="separate"/>
    </w:r>
    <w:r w:rsidR="007A7267">
      <w:rPr>
        <w:rStyle w:val="PageNumber"/>
        <w:noProof/>
      </w:rPr>
      <w:t>Drafting Direction No. 1.1A</w:t>
    </w:r>
    <w:r w:rsidR="007A7267">
      <w:rPr>
        <w:rStyle w:val="PageNumber"/>
        <w:noProof/>
      </w:rPr>
      <w:br/>
      <w:t>Names of instruments and provision units of instruments</w:t>
    </w:r>
    <w:r>
      <w:rPr>
        <w:rStyle w:val="PageNumber"/>
      </w:rPr>
      <w:fldChar w:fldCharType="end"/>
    </w:r>
  </w:p>
  <w:p w:rsidR="00CC777A" w:rsidRDefault="00CC777A" w:rsidP="00A34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A" w:rsidRDefault="00CC777A" w:rsidP="00A34568">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7A7267">
      <w:rPr>
        <w:rStyle w:val="PageNumber"/>
        <w:noProof/>
      </w:rPr>
      <w:t>Drafting Direction No. 1.1A</w:t>
    </w:r>
    <w:r w:rsidR="007A7267">
      <w:rPr>
        <w:rStyle w:val="PageNumber"/>
        <w:noProof/>
      </w:rPr>
      <w:br/>
      <w:t>Names of instruments and provision units of instruments</w:t>
    </w:r>
    <w:r>
      <w:rPr>
        <w:rStyle w:val="PageNumber"/>
      </w:rPr>
      <w:fldChar w:fldCharType="end"/>
    </w:r>
  </w:p>
  <w:p w:rsidR="00CC777A" w:rsidRDefault="00CC777A" w:rsidP="00A345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A" w:rsidRDefault="00CC777A" w:rsidP="00A34568">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7A7267">
      <w:rPr>
        <w:rStyle w:val="PageNumber"/>
        <w:noProof/>
      </w:rPr>
      <w:t>Drafting Direction No. 1.1A</w:t>
    </w:r>
    <w:r w:rsidR="007A7267">
      <w:rPr>
        <w:rStyle w:val="PageNumber"/>
        <w:noProof/>
      </w:rPr>
      <w:br/>
      <w:t>Names of instruments and provision units of instruments</w:t>
    </w:r>
    <w:r>
      <w:rPr>
        <w:rStyle w:val="PageNumber"/>
      </w:rPr>
      <w:fldChar w:fldCharType="end"/>
    </w:r>
  </w:p>
  <w:p w:rsidR="00CC777A" w:rsidRDefault="00CC777A" w:rsidP="00A34568">
    <w:pPr>
      <w:pStyle w:val="Header"/>
      <w:spacing w:before="240" w:after="600"/>
      <w:jc w:val="center"/>
      <w:rPr>
        <w:b/>
        <w:caps/>
        <w:sz w:val="36"/>
        <w:lang w:val="en-US"/>
      </w:rPr>
    </w:pPr>
    <w:r>
      <w:rPr>
        <w:b/>
        <w:caps/>
        <w:sz w:val="36"/>
        <w:lang w:val="en-US"/>
      </w:rPr>
      <w:t>Parliamentary Counsel</w:t>
    </w:r>
  </w:p>
  <w:p w:rsidR="00CC777A" w:rsidRDefault="00CC777A" w:rsidP="00A3456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804B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08F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60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BC36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B29F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949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8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AC0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7A4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003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51A9C"/>
    <w:multiLevelType w:val="hybridMultilevel"/>
    <w:tmpl w:val="C9DCB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0D2020"/>
    <w:multiLevelType w:val="hybridMultilevel"/>
    <w:tmpl w:val="3E8E4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201ED9"/>
    <w:multiLevelType w:val="hybridMultilevel"/>
    <w:tmpl w:val="53BE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351691"/>
    <w:multiLevelType w:val="hybridMultilevel"/>
    <w:tmpl w:val="DC9AA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8B04B1B"/>
    <w:multiLevelType w:val="hybridMultilevel"/>
    <w:tmpl w:val="31A4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B45EDE"/>
    <w:multiLevelType w:val="hybridMultilevel"/>
    <w:tmpl w:val="49FE183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97473"/>
    <w:multiLevelType w:val="hybridMultilevel"/>
    <w:tmpl w:val="5282BE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C462A43"/>
    <w:multiLevelType w:val="hybridMultilevel"/>
    <w:tmpl w:val="11F42E4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2C766811"/>
    <w:multiLevelType w:val="hybridMultilevel"/>
    <w:tmpl w:val="299A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E714E6"/>
    <w:multiLevelType w:val="hybridMultilevel"/>
    <w:tmpl w:val="E83A7B8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1567D28"/>
    <w:multiLevelType w:val="hybridMultilevel"/>
    <w:tmpl w:val="65D6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448971EE"/>
    <w:multiLevelType w:val="hybridMultilevel"/>
    <w:tmpl w:val="086C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92106"/>
    <w:multiLevelType w:val="hybridMultilevel"/>
    <w:tmpl w:val="55B68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6075D8"/>
    <w:multiLevelType w:val="hybridMultilevel"/>
    <w:tmpl w:val="471A3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7F5441"/>
    <w:multiLevelType w:val="hybridMultilevel"/>
    <w:tmpl w:val="2DF454FA"/>
    <w:lvl w:ilvl="0" w:tplc="0C090001">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28" w15:restartNumberingAfterBreak="0">
    <w:nsid w:val="65152579"/>
    <w:multiLevelType w:val="hybridMultilevel"/>
    <w:tmpl w:val="8996D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FB5E67"/>
    <w:multiLevelType w:val="hybridMultilevel"/>
    <w:tmpl w:val="D15A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3563B4"/>
    <w:multiLevelType w:val="hybridMultilevel"/>
    <w:tmpl w:val="A5D2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324A0"/>
    <w:multiLevelType w:val="hybridMultilevel"/>
    <w:tmpl w:val="82382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74788F"/>
    <w:multiLevelType w:val="hybridMultilevel"/>
    <w:tmpl w:val="A5CC2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5"/>
  </w:num>
  <w:num w:numId="14">
    <w:abstractNumId w:val="18"/>
  </w:num>
  <w:num w:numId="15">
    <w:abstractNumId w:val="28"/>
  </w:num>
  <w:num w:numId="16">
    <w:abstractNumId w:val="21"/>
  </w:num>
  <w:num w:numId="17">
    <w:abstractNumId w:val="14"/>
  </w:num>
  <w:num w:numId="18">
    <w:abstractNumId w:val="29"/>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3"/>
  </w:num>
  <w:num w:numId="22">
    <w:abstractNumId w:val="31"/>
  </w:num>
  <w:num w:numId="23">
    <w:abstractNumId w:val="32"/>
  </w:num>
  <w:num w:numId="24">
    <w:abstractNumId w:val="19"/>
  </w:num>
  <w:num w:numId="25">
    <w:abstractNumId w:val="12"/>
  </w:num>
  <w:num w:numId="26">
    <w:abstractNumId w:val="11"/>
  </w:num>
  <w:num w:numId="27">
    <w:abstractNumId w:val="25"/>
  </w:num>
  <w:num w:numId="28">
    <w:abstractNumId w:val="27"/>
  </w:num>
  <w:num w:numId="29">
    <w:abstractNumId w:val="16"/>
  </w:num>
  <w:num w:numId="30">
    <w:abstractNumId w:val="30"/>
  </w:num>
  <w:num w:numId="31">
    <w:abstractNumId w:val="13"/>
  </w:num>
  <w:num w:numId="32">
    <w:abstractNumId w:val="17"/>
  </w:num>
  <w:num w:numId="33">
    <w:abstractNumId w:val="24"/>
  </w:num>
  <w:num w:numId="34">
    <w:abstractNumId w:val="15"/>
  </w:num>
  <w:num w:numId="35">
    <w:abstractNumId w:val="15"/>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ABE"/>
    <w:rsid w:val="00005EA9"/>
    <w:rsid w:val="00011C95"/>
    <w:rsid w:val="000136AF"/>
    <w:rsid w:val="000160C8"/>
    <w:rsid w:val="000235E5"/>
    <w:rsid w:val="000357AF"/>
    <w:rsid w:val="00037906"/>
    <w:rsid w:val="00040E18"/>
    <w:rsid w:val="00042115"/>
    <w:rsid w:val="00056743"/>
    <w:rsid w:val="000614BF"/>
    <w:rsid w:val="00064D89"/>
    <w:rsid w:val="00070376"/>
    <w:rsid w:val="00073027"/>
    <w:rsid w:val="00092EEC"/>
    <w:rsid w:val="000A1823"/>
    <w:rsid w:val="000A2BEE"/>
    <w:rsid w:val="000C0E09"/>
    <w:rsid w:val="000D05EF"/>
    <w:rsid w:val="000D354C"/>
    <w:rsid w:val="000E2830"/>
    <w:rsid w:val="000F0D91"/>
    <w:rsid w:val="000F31AE"/>
    <w:rsid w:val="00103179"/>
    <w:rsid w:val="0010401B"/>
    <w:rsid w:val="00105E42"/>
    <w:rsid w:val="0010745C"/>
    <w:rsid w:val="0011000A"/>
    <w:rsid w:val="0011249A"/>
    <w:rsid w:val="00112711"/>
    <w:rsid w:val="0012715B"/>
    <w:rsid w:val="001362EB"/>
    <w:rsid w:val="0013656E"/>
    <w:rsid w:val="00137C81"/>
    <w:rsid w:val="00150BDD"/>
    <w:rsid w:val="00166C2F"/>
    <w:rsid w:val="001939E1"/>
    <w:rsid w:val="00194640"/>
    <w:rsid w:val="00195382"/>
    <w:rsid w:val="001A64A7"/>
    <w:rsid w:val="001B265B"/>
    <w:rsid w:val="001B574E"/>
    <w:rsid w:val="001C1B4B"/>
    <w:rsid w:val="001C2E59"/>
    <w:rsid w:val="001C546C"/>
    <w:rsid w:val="001C69C4"/>
    <w:rsid w:val="001D005A"/>
    <w:rsid w:val="001D2A1B"/>
    <w:rsid w:val="001E3590"/>
    <w:rsid w:val="001E7407"/>
    <w:rsid w:val="001F1DC4"/>
    <w:rsid w:val="001F2BC0"/>
    <w:rsid w:val="00202027"/>
    <w:rsid w:val="00203A87"/>
    <w:rsid w:val="002043D8"/>
    <w:rsid w:val="0021226C"/>
    <w:rsid w:val="002123A6"/>
    <w:rsid w:val="00216C18"/>
    <w:rsid w:val="00221AF4"/>
    <w:rsid w:val="0023063A"/>
    <w:rsid w:val="00235855"/>
    <w:rsid w:val="002365C5"/>
    <w:rsid w:val="0023675D"/>
    <w:rsid w:val="002423EE"/>
    <w:rsid w:val="002460D2"/>
    <w:rsid w:val="002533B9"/>
    <w:rsid w:val="00253D1B"/>
    <w:rsid w:val="0025494E"/>
    <w:rsid w:val="00255D30"/>
    <w:rsid w:val="00294DC7"/>
    <w:rsid w:val="00295967"/>
    <w:rsid w:val="00295FBA"/>
    <w:rsid w:val="002970D7"/>
    <w:rsid w:val="00297ECB"/>
    <w:rsid w:val="002A0F42"/>
    <w:rsid w:val="002A10FE"/>
    <w:rsid w:val="002A2D43"/>
    <w:rsid w:val="002C525C"/>
    <w:rsid w:val="002C6225"/>
    <w:rsid w:val="002D043A"/>
    <w:rsid w:val="002F59FA"/>
    <w:rsid w:val="00307F57"/>
    <w:rsid w:val="00331C93"/>
    <w:rsid w:val="0034231B"/>
    <w:rsid w:val="00343622"/>
    <w:rsid w:val="0035168C"/>
    <w:rsid w:val="00352B0F"/>
    <w:rsid w:val="00355C38"/>
    <w:rsid w:val="00360FB0"/>
    <w:rsid w:val="00362A18"/>
    <w:rsid w:val="00364888"/>
    <w:rsid w:val="00365A03"/>
    <w:rsid w:val="003706AB"/>
    <w:rsid w:val="00371571"/>
    <w:rsid w:val="00372EF3"/>
    <w:rsid w:val="00382DD7"/>
    <w:rsid w:val="00383D50"/>
    <w:rsid w:val="003B5735"/>
    <w:rsid w:val="003C2507"/>
    <w:rsid w:val="003D0BFE"/>
    <w:rsid w:val="003D5700"/>
    <w:rsid w:val="003E32BD"/>
    <w:rsid w:val="003E7818"/>
    <w:rsid w:val="003F61E4"/>
    <w:rsid w:val="003F7E5C"/>
    <w:rsid w:val="00410B5A"/>
    <w:rsid w:val="004116CD"/>
    <w:rsid w:val="00416DD9"/>
    <w:rsid w:val="004238D2"/>
    <w:rsid w:val="00424CA9"/>
    <w:rsid w:val="00440F8C"/>
    <w:rsid w:val="0044188B"/>
    <w:rsid w:val="0044291A"/>
    <w:rsid w:val="00447A74"/>
    <w:rsid w:val="00453F54"/>
    <w:rsid w:val="0045575D"/>
    <w:rsid w:val="00455835"/>
    <w:rsid w:val="00456F18"/>
    <w:rsid w:val="00461461"/>
    <w:rsid w:val="004653F8"/>
    <w:rsid w:val="0046661D"/>
    <w:rsid w:val="004741B5"/>
    <w:rsid w:val="0048359E"/>
    <w:rsid w:val="004965BB"/>
    <w:rsid w:val="00496814"/>
    <w:rsid w:val="00496F97"/>
    <w:rsid w:val="004A388B"/>
    <w:rsid w:val="004A6951"/>
    <w:rsid w:val="004B4790"/>
    <w:rsid w:val="004C442F"/>
    <w:rsid w:val="004D3AF5"/>
    <w:rsid w:val="004D6975"/>
    <w:rsid w:val="004D6B18"/>
    <w:rsid w:val="004E10BA"/>
    <w:rsid w:val="004E4EB3"/>
    <w:rsid w:val="004F324D"/>
    <w:rsid w:val="0050041A"/>
    <w:rsid w:val="00500E24"/>
    <w:rsid w:val="005021BE"/>
    <w:rsid w:val="005056E0"/>
    <w:rsid w:val="00507C37"/>
    <w:rsid w:val="00511471"/>
    <w:rsid w:val="00513BC6"/>
    <w:rsid w:val="00516B8D"/>
    <w:rsid w:val="00525ABF"/>
    <w:rsid w:val="00527E0D"/>
    <w:rsid w:val="005379F7"/>
    <w:rsid w:val="00537FBC"/>
    <w:rsid w:val="00546792"/>
    <w:rsid w:val="005478F5"/>
    <w:rsid w:val="00552153"/>
    <w:rsid w:val="00571929"/>
    <w:rsid w:val="0057553F"/>
    <w:rsid w:val="005803E9"/>
    <w:rsid w:val="005825DF"/>
    <w:rsid w:val="00584811"/>
    <w:rsid w:val="00591691"/>
    <w:rsid w:val="00594161"/>
    <w:rsid w:val="00594749"/>
    <w:rsid w:val="005975DC"/>
    <w:rsid w:val="005A224C"/>
    <w:rsid w:val="005B40C1"/>
    <w:rsid w:val="005B4BF3"/>
    <w:rsid w:val="005B5215"/>
    <w:rsid w:val="005C21CD"/>
    <w:rsid w:val="005C26D7"/>
    <w:rsid w:val="005C6998"/>
    <w:rsid w:val="005C7D78"/>
    <w:rsid w:val="005E3265"/>
    <w:rsid w:val="005E6C06"/>
    <w:rsid w:val="005F0231"/>
    <w:rsid w:val="00600219"/>
    <w:rsid w:val="00607E07"/>
    <w:rsid w:val="00610A7B"/>
    <w:rsid w:val="00613987"/>
    <w:rsid w:val="006207A3"/>
    <w:rsid w:val="00634C29"/>
    <w:rsid w:val="00640F0E"/>
    <w:rsid w:val="006429D9"/>
    <w:rsid w:val="00644F3D"/>
    <w:rsid w:val="006479A8"/>
    <w:rsid w:val="00667C27"/>
    <w:rsid w:val="00677CC2"/>
    <w:rsid w:val="00680F77"/>
    <w:rsid w:val="00685158"/>
    <w:rsid w:val="0069207B"/>
    <w:rsid w:val="006920AD"/>
    <w:rsid w:val="00696EF3"/>
    <w:rsid w:val="006A3C6C"/>
    <w:rsid w:val="006A69C2"/>
    <w:rsid w:val="006A7A45"/>
    <w:rsid w:val="006B14F3"/>
    <w:rsid w:val="006B6C8A"/>
    <w:rsid w:val="006C41D4"/>
    <w:rsid w:val="006C4333"/>
    <w:rsid w:val="006C7F8C"/>
    <w:rsid w:val="006D12B3"/>
    <w:rsid w:val="006D7A36"/>
    <w:rsid w:val="006E5879"/>
    <w:rsid w:val="006F7820"/>
    <w:rsid w:val="00706E82"/>
    <w:rsid w:val="00712446"/>
    <w:rsid w:val="00725935"/>
    <w:rsid w:val="007276BC"/>
    <w:rsid w:val="00727AC1"/>
    <w:rsid w:val="00731E00"/>
    <w:rsid w:val="00732C24"/>
    <w:rsid w:val="00733990"/>
    <w:rsid w:val="0074158B"/>
    <w:rsid w:val="00746C66"/>
    <w:rsid w:val="00747A1D"/>
    <w:rsid w:val="00747BD5"/>
    <w:rsid w:val="00761F69"/>
    <w:rsid w:val="00764BC5"/>
    <w:rsid w:val="00765C2D"/>
    <w:rsid w:val="007715C9"/>
    <w:rsid w:val="00774EDD"/>
    <w:rsid w:val="007757EC"/>
    <w:rsid w:val="0078323D"/>
    <w:rsid w:val="00791CDB"/>
    <w:rsid w:val="00795813"/>
    <w:rsid w:val="00795DCB"/>
    <w:rsid w:val="007A0906"/>
    <w:rsid w:val="007A0A2C"/>
    <w:rsid w:val="007A3BB7"/>
    <w:rsid w:val="007A69E8"/>
    <w:rsid w:val="007A7267"/>
    <w:rsid w:val="007C6442"/>
    <w:rsid w:val="007C699A"/>
    <w:rsid w:val="007D40E4"/>
    <w:rsid w:val="007D4270"/>
    <w:rsid w:val="007F081B"/>
    <w:rsid w:val="007F1336"/>
    <w:rsid w:val="00813B3F"/>
    <w:rsid w:val="0082050B"/>
    <w:rsid w:val="00833774"/>
    <w:rsid w:val="00846CA6"/>
    <w:rsid w:val="00856A31"/>
    <w:rsid w:val="00866E31"/>
    <w:rsid w:val="008754D0"/>
    <w:rsid w:val="0087609B"/>
    <w:rsid w:val="00882F08"/>
    <w:rsid w:val="00883ACB"/>
    <w:rsid w:val="008873C6"/>
    <w:rsid w:val="008C3BAC"/>
    <w:rsid w:val="008C6D48"/>
    <w:rsid w:val="008D6D82"/>
    <w:rsid w:val="008E3B8C"/>
    <w:rsid w:val="008F0810"/>
    <w:rsid w:val="008F2A28"/>
    <w:rsid w:val="00905157"/>
    <w:rsid w:val="00932D43"/>
    <w:rsid w:val="00932F4B"/>
    <w:rsid w:val="0094622F"/>
    <w:rsid w:val="00952693"/>
    <w:rsid w:val="009604E3"/>
    <w:rsid w:val="009673FC"/>
    <w:rsid w:val="009828D8"/>
    <w:rsid w:val="009975EE"/>
    <w:rsid w:val="009D79B5"/>
    <w:rsid w:val="009E1B00"/>
    <w:rsid w:val="009F3FDF"/>
    <w:rsid w:val="00A11FFD"/>
    <w:rsid w:val="00A14002"/>
    <w:rsid w:val="00A22FBB"/>
    <w:rsid w:val="00A231E2"/>
    <w:rsid w:val="00A239CE"/>
    <w:rsid w:val="00A3270F"/>
    <w:rsid w:val="00A329E4"/>
    <w:rsid w:val="00A3420B"/>
    <w:rsid w:val="00A34568"/>
    <w:rsid w:val="00A57541"/>
    <w:rsid w:val="00A577D4"/>
    <w:rsid w:val="00A611B8"/>
    <w:rsid w:val="00A64912"/>
    <w:rsid w:val="00A70A74"/>
    <w:rsid w:val="00A776BD"/>
    <w:rsid w:val="00A81E32"/>
    <w:rsid w:val="00A86B22"/>
    <w:rsid w:val="00AA4C17"/>
    <w:rsid w:val="00AA5F38"/>
    <w:rsid w:val="00AC0104"/>
    <w:rsid w:val="00AC3ABE"/>
    <w:rsid w:val="00AC50B9"/>
    <w:rsid w:val="00AD035C"/>
    <w:rsid w:val="00AD0663"/>
    <w:rsid w:val="00AD5641"/>
    <w:rsid w:val="00B20DB7"/>
    <w:rsid w:val="00B33B3C"/>
    <w:rsid w:val="00B36002"/>
    <w:rsid w:val="00B36B41"/>
    <w:rsid w:val="00B41341"/>
    <w:rsid w:val="00B42731"/>
    <w:rsid w:val="00B72A69"/>
    <w:rsid w:val="00B754C7"/>
    <w:rsid w:val="00B910E9"/>
    <w:rsid w:val="00B94C2C"/>
    <w:rsid w:val="00B97FB8"/>
    <w:rsid w:val="00BA6E9B"/>
    <w:rsid w:val="00BB3E51"/>
    <w:rsid w:val="00BB577E"/>
    <w:rsid w:val="00BB5F24"/>
    <w:rsid w:val="00BE4073"/>
    <w:rsid w:val="00BE719A"/>
    <w:rsid w:val="00BE720A"/>
    <w:rsid w:val="00C018A6"/>
    <w:rsid w:val="00C031E6"/>
    <w:rsid w:val="00C07161"/>
    <w:rsid w:val="00C163B2"/>
    <w:rsid w:val="00C1688D"/>
    <w:rsid w:val="00C20D68"/>
    <w:rsid w:val="00C230FD"/>
    <w:rsid w:val="00C344C8"/>
    <w:rsid w:val="00C34DE9"/>
    <w:rsid w:val="00C363B8"/>
    <w:rsid w:val="00C41BE9"/>
    <w:rsid w:val="00C42BF8"/>
    <w:rsid w:val="00C436A1"/>
    <w:rsid w:val="00C444FD"/>
    <w:rsid w:val="00C50043"/>
    <w:rsid w:val="00C504E6"/>
    <w:rsid w:val="00C60EC9"/>
    <w:rsid w:val="00C610C0"/>
    <w:rsid w:val="00C61CDD"/>
    <w:rsid w:val="00C622DE"/>
    <w:rsid w:val="00C626AE"/>
    <w:rsid w:val="00C62934"/>
    <w:rsid w:val="00C65E94"/>
    <w:rsid w:val="00C72A27"/>
    <w:rsid w:val="00C7573B"/>
    <w:rsid w:val="00C93F5F"/>
    <w:rsid w:val="00C950BE"/>
    <w:rsid w:val="00CB1EEA"/>
    <w:rsid w:val="00CB36B3"/>
    <w:rsid w:val="00CC1DED"/>
    <w:rsid w:val="00CC39C7"/>
    <w:rsid w:val="00CC3B28"/>
    <w:rsid w:val="00CC4A8F"/>
    <w:rsid w:val="00CC777A"/>
    <w:rsid w:val="00CD03CC"/>
    <w:rsid w:val="00CD2318"/>
    <w:rsid w:val="00CD7BA0"/>
    <w:rsid w:val="00CE70A7"/>
    <w:rsid w:val="00CF0BB2"/>
    <w:rsid w:val="00D076D8"/>
    <w:rsid w:val="00D100AD"/>
    <w:rsid w:val="00D13441"/>
    <w:rsid w:val="00D34B35"/>
    <w:rsid w:val="00D41EAB"/>
    <w:rsid w:val="00D557F3"/>
    <w:rsid w:val="00D61B79"/>
    <w:rsid w:val="00D62BCB"/>
    <w:rsid w:val="00D64DF8"/>
    <w:rsid w:val="00D70DFB"/>
    <w:rsid w:val="00D766DF"/>
    <w:rsid w:val="00D772BA"/>
    <w:rsid w:val="00D81D88"/>
    <w:rsid w:val="00D90F58"/>
    <w:rsid w:val="00D96E1E"/>
    <w:rsid w:val="00DA3F33"/>
    <w:rsid w:val="00DA6CEF"/>
    <w:rsid w:val="00DD3A63"/>
    <w:rsid w:val="00DE0452"/>
    <w:rsid w:val="00E14D9E"/>
    <w:rsid w:val="00E23748"/>
    <w:rsid w:val="00E30224"/>
    <w:rsid w:val="00E31E49"/>
    <w:rsid w:val="00E339F2"/>
    <w:rsid w:val="00E34F09"/>
    <w:rsid w:val="00E35EE3"/>
    <w:rsid w:val="00E370F6"/>
    <w:rsid w:val="00E445AA"/>
    <w:rsid w:val="00E45542"/>
    <w:rsid w:val="00E5420C"/>
    <w:rsid w:val="00E614D6"/>
    <w:rsid w:val="00E74DC7"/>
    <w:rsid w:val="00E77D10"/>
    <w:rsid w:val="00E81E7B"/>
    <w:rsid w:val="00EA727C"/>
    <w:rsid w:val="00EB1802"/>
    <w:rsid w:val="00EB1A99"/>
    <w:rsid w:val="00EB7166"/>
    <w:rsid w:val="00ED01CD"/>
    <w:rsid w:val="00EE72F5"/>
    <w:rsid w:val="00EF2E3A"/>
    <w:rsid w:val="00EF390E"/>
    <w:rsid w:val="00EF6BB4"/>
    <w:rsid w:val="00F04811"/>
    <w:rsid w:val="00F078DC"/>
    <w:rsid w:val="00F07C35"/>
    <w:rsid w:val="00F12681"/>
    <w:rsid w:val="00F23E5F"/>
    <w:rsid w:val="00F3066C"/>
    <w:rsid w:val="00F31606"/>
    <w:rsid w:val="00F51269"/>
    <w:rsid w:val="00F5543E"/>
    <w:rsid w:val="00F6414E"/>
    <w:rsid w:val="00F74437"/>
    <w:rsid w:val="00F81831"/>
    <w:rsid w:val="00F909EA"/>
    <w:rsid w:val="00F927E0"/>
    <w:rsid w:val="00FA24FC"/>
    <w:rsid w:val="00FB1B79"/>
    <w:rsid w:val="00FB52D8"/>
    <w:rsid w:val="00FB7DBD"/>
    <w:rsid w:val="00FC30DE"/>
    <w:rsid w:val="00FC42DE"/>
    <w:rsid w:val="00FC679E"/>
    <w:rsid w:val="00FE24E2"/>
    <w:rsid w:val="00FE34ED"/>
    <w:rsid w:val="00FF0A36"/>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7825"/>
    <o:shapelayout v:ext="edit">
      <o:idmap v:ext="edit" data="1"/>
    </o:shapelayout>
  </w:shapeDefaults>
  <w:decimalSymbol w:val="."/>
  <w:listSeparator w:val=","/>
  <w14:docId w14:val="1F834E93"/>
  <w15:docId w15:val="{718DD06A-8017-4D0D-8DBA-D3500928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2D43"/>
    <w:pPr>
      <w:spacing w:line="260" w:lineRule="atLeast"/>
    </w:pPr>
    <w:rPr>
      <w:sz w:val="22"/>
    </w:rPr>
  </w:style>
  <w:style w:type="paragraph" w:styleId="Heading1">
    <w:name w:val="heading 1"/>
    <w:basedOn w:val="Normal"/>
    <w:next w:val="Normal"/>
    <w:link w:val="Heading1Char"/>
    <w:uiPriority w:val="9"/>
    <w:qFormat/>
    <w:rsid w:val="00AC3AB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AC3ABE"/>
    <w:pPr>
      <w:keepNext/>
      <w:spacing w:before="240" w:after="60"/>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uiPriority w:val="9"/>
    <w:unhideWhenUsed/>
    <w:qFormat/>
    <w:rsid w:val="00AC3AB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A2D43"/>
  </w:style>
  <w:style w:type="paragraph" w:customStyle="1" w:styleId="OPCParaBase">
    <w:name w:val="OPCParaBase"/>
    <w:qFormat/>
    <w:rsid w:val="002A2D43"/>
    <w:pPr>
      <w:spacing w:line="260" w:lineRule="atLeast"/>
    </w:pPr>
    <w:rPr>
      <w:rFonts w:eastAsia="Times New Roman" w:cs="Times New Roman"/>
      <w:sz w:val="22"/>
      <w:lang w:eastAsia="en-AU"/>
    </w:rPr>
  </w:style>
  <w:style w:type="paragraph" w:customStyle="1" w:styleId="ShortT">
    <w:name w:val="ShortT"/>
    <w:basedOn w:val="OPCParaBase"/>
    <w:next w:val="Normal"/>
    <w:qFormat/>
    <w:rsid w:val="002A2D43"/>
    <w:pPr>
      <w:spacing w:line="240" w:lineRule="auto"/>
    </w:pPr>
    <w:rPr>
      <w:b/>
      <w:sz w:val="40"/>
    </w:rPr>
  </w:style>
  <w:style w:type="paragraph" w:customStyle="1" w:styleId="ActHead1">
    <w:name w:val="ActHead 1"/>
    <w:aliases w:val="c"/>
    <w:basedOn w:val="OPCParaBase"/>
    <w:next w:val="Normal"/>
    <w:qFormat/>
    <w:rsid w:val="002A2D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A2D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A2D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A2D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A2D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A2D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2D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A2D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2D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A2D43"/>
  </w:style>
  <w:style w:type="paragraph" w:customStyle="1" w:styleId="Blocks">
    <w:name w:val="Blocks"/>
    <w:aliases w:val="bb"/>
    <w:basedOn w:val="OPCParaBase"/>
    <w:qFormat/>
    <w:rsid w:val="002A2D43"/>
    <w:pPr>
      <w:spacing w:line="240" w:lineRule="auto"/>
    </w:pPr>
    <w:rPr>
      <w:sz w:val="24"/>
    </w:rPr>
  </w:style>
  <w:style w:type="paragraph" w:customStyle="1" w:styleId="BoxText">
    <w:name w:val="BoxText"/>
    <w:aliases w:val="bt"/>
    <w:basedOn w:val="OPCParaBase"/>
    <w:rsid w:val="002A2D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A2D43"/>
    <w:rPr>
      <w:b/>
    </w:rPr>
  </w:style>
  <w:style w:type="paragraph" w:customStyle="1" w:styleId="BoxHeadItalic">
    <w:name w:val="BoxHeadItalic"/>
    <w:aliases w:val="bhi"/>
    <w:basedOn w:val="BoxText"/>
    <w:next w:val="Normal"/>
    <w:qFormat/>
    <w:rsid w:val="002A2D43"/>
    <w:rPr>
      <w:i/>
    </w:rPr>
  </w:style>
  <w:style w:type="paragraph" w:customStyle="1" w:styleId="BoxList">
    <w:name w:val="BoxList"/>
    <w:aliases w:val="bl"/>
    <w:basedOn w:val="BoxText"/>
    <w:qFormat/>
    <w:rsid w:val="002A2D43"/>
    <w:pPr>
      <w:ind w:left="1559" w:hanging="425"/>
    </w:pPr>
  </w:style>
  <w:style w:type="paragraph" w:customStyle="1" w:styleId="BoxNote">
    <w:name w:val="BoxNote"/>
    <w:aliases w:val="bn"/>
    <w:basedOn w:val="BoxText"/>
    <w:qFormat/>
    <w:rsid w:val="002A2D43"/>
    <w:pPr>
      <w:tabs>
        <w:tab w:val="left" w:pos="1985"/>
      </w:tabs>
      <w:spacing w:before="122" w:line="198" w:lineRule="exact"/>
      <w:ind w:left="2948" w:hanging="1814"/>
    </w:pPr>
    <w:rPr>
      <w:sz w:val="18"/>
    </w:rPr>
  </w:style>
  <w:style w:type="paragraph" w:customStyle="1" w:styleId="BoxPara">
    <w:name w:val="BoxPara"/>
    <w:aliases w:val="bp"/>
    <w:basedOn w:val="BoxText"/>
    <w:qFormat/>
    <w:rsid w:val="002A2D43"/>
    <w:pPr>
      <w:tabs>
        <w:tab w:val="right" w:pos="2268"/>
      </w:tabs>
      <w:ind w:left="2552" w:hanging="1418"/>
    </w:pPr>
  </w:style>
  <w:style w:type="paragraph" w:customStyle="1" w:styleId="BoxStep">
    <w:name w:val="BoxStep"/>
    <w:aliases w:val="bs"/>
    <w:basedOn w:val="BoxText"/>
    <w:qFormat/>
    <w:rsid w:val="002A2D43"/>
    <w:pPr>
      <w:ind w:left="1985" w:hanging="851"/>
    </w:pPr>
  </w:style>
  <w:style w:type="character" w:customStyle="1" w:styleId="CharAmPartNo">
    <w:name w:val="CharAmPartNo"/>
    <w:basedOn w:val="OPCCharBase"/>
    <w:uiPriority w:val="1"/>
    <w:qFormat/>
    <w:rsid w:val="002A2D43"/>
  </w:style>
  <w:style w:type="character" w:customStyle="1" w:styleId="CharAmPartText">
    <w:name w:val="CharAmPartText"/>
    <w:basedOn w:val="OPCCharBase"/>
    <w:uiPriority w:val="1"/>
    <w:qFormat/>
    <w:rsid w:val="002A2D43"/>
  </w:style>
  <w:style w:type="character" w:customStyle="1" w:styleId="CharAmSchNo">
    <w:name w:val="CharAmSchNo"/>
    <w:basedOn w:val="OPCCharBase"/>
    <w:uiPriority w:val="1"/>
    <w:qFormat/>
    <w:rsid w:val="002A2D43"/>
  </w:style>
  <w:style w:type="character" w:customStyle="1" w:styleId="CharAmSchText">
    <w:name w:val="CharAmSchText"/>
    <w:basedOn w:val="OPCCharBase"/>
    <w:uiPriority w:val="1"/>
    <w:qFormat/>
    <w:rsid w:val="002A2D43"/>
  </w:style>
  <w:style w:type="character" w:customStyle="1" w:styleId="CharBoldItalic">
    <w:name w:val="CharBoldItalic"/>
    <w:basedOn w:val="OPCCharBase"/>
    <w:uiPriority w:val="1"/>
    <w:qFormat/>
    <w:rsid w:val="002A2D43"/>
    <w:rPr>
      <w:b/>
      <w:i/>
    </w:rPr>
  </w:style>
  <w:style w:type="character" w:customStyle="1" w:styleId="CharChapNo">
    <w:name w:val="CharChapNo"/>
    <w:basedOn w:val="OPCCharBase"/>
    <w:uiPriority w:val="1"/>
    <w:qFormat/>
    <w:rsid w:val="002A2D43"/>
  </w:style>
  <w:style w:type="character" w:customStyle="1" w:styleId="CharChapText">
    <w:name w:val="CharChapText"/>
    <w:basedOn w:val="OPCCharBase"/>
    <w:uiPriority w:val="1"/>
    <w:qFormat/>
    <w:rsid w:val="002A2D43"/>
  </w:style>
  <w:style w:type="character" w:customStyle="1" w:styleId="CharDivNo">
    <w:name w:val="CharDivNo"/>
    <w:basedOn w:val="OPCCharBase"/>
    <w:uiPriority w:val="1"/>
    <w:qFormat/>
    <w:rsid w:val="002A2D43"/>
  </w:style>
  <w:style w:type="character" w:customStyle="1" w:styleId="CharDivText">
    <w:name w:val="CharDivText"/>
    <w:basedOn w:val="OPCCharBase"/>
    <w:uiPriority w:val="1"/>
    <w:qFormat/>
    <w:rsid w:val="002A2D43"/>
  </w:style>
  <w:style w:type="character" w:customStyle="1" w:styleId="CharItalic">
    <w:name w:val="CharItalic"/>
    <w:basedOn w:val="OPCCharBase"/>
    <w:uiPriority w:val="1"/>
    <w:qFormat/>
    <w:rsid w:val="002A2D43"/>
    <w:rPr>
      <w:i/>
    </w:rPr>
  </w:style>
  <w:style w:type="character" w:customStyle="1" w:styleId="CharPartNo">
    <w:name w:val="CharPartNo"/>
    <w:basedOn w:val="OPCCharBase"/>
    <w:uiPriority w:val="1"/>
    <w:qFormat/>
    <w:rsid w:val="002A2D43"/>
  </w:style>
  <w:style w:type="character" w:customStyle="1" w:styleId="CharPartText">
    <w:name w:val="CharPartText"/>
    <w:basedOn w:val="OPCCharBase"/>
    <w:uiPriority w:val="1"/>
    <w:qFormat/>
    <w:rsid w:val="002A2D43"/>
  </w:style>
  <w:style w:type="character" w:customStyle="1" w:styleId="CharSectno">
    <w:name w:val="CharSectno"/>
    <w:basedOn w:val="OPCCharBase"/>
    <w:uiPriority w:val="1"/>
    <w:qFormat/>
    <w:rsid w:val="002A2D43"/>
  </w:style>
  <w:style w:type="character" w:customStyle="1" w:styleId="CharSubdNo">
    <w:name w:val="CharSubdNo"/>
    <w:basedOn w:val="OPCCharBase"/>
    <w:uiPriority w:val="1"/>
    <w:qFormat/>
    <w:rsid w:val="002A2D43"/>
  </w:style>
  <w:style w:type="character" w:customStyle="1" w:styleId="CharSubdText">
    <w:name w:val="CharSubdText"/>
    <w:basedOn w:val="OPCCharBase"/>
    <w:uiPriority w:val="1"/>
    <w:qFormat/>
    <w:rsid w:val="002A2D43"/>
  </w:style>
  <w:style w:type="paragraph" w:customStyle="1" w:styleId="CTA--">
    <w:name w:val="CTA --"/>
    <w:basedOn w:val="OPCParaBase"/>
    <w:next w:val="Normal"/>
    <w:rsid w:val="002A2D43"/>
    <w:pPr>
      <w:spacing w:before="60" w:line="240" w:lineRule="atLeast"/>
      <w:ind w:left="142" w:hanging="142"/>
    </w:pPr>
    <w:rPr>
      <w:sz w:val="20"/>
    </w:rPr>
  </w:style>
  <w:style w:type="paragraph" w:customStyle="1" w:styleId="CTA-">
    <w:name w:val="CTA -"/>
    <w:basedOn w:val="OPCParaBase"/>
    <w:rsid w:val="002A2D43"/>
    <w:pPr>
      <w:spacing w:before="60" w:line="240" w:lineRule="atLeast"/>
      <w:ind w:left="85" w:hanging="85"/>
    </w:pPr>
    <w:rPr>
      <w:sz w:val="20"/>
    </w:rPr>
  </w:style>
  <w:style w:type="paragraph" w:customStyle="1" w:styleId="CTA---">
    <w:name w:val="CTA ---"/>
    <w:basedOn w:val="OPCParaBase"/>
    <w:next w:val="Normal"/>
    <w:rsid w:val="002A2D43"/>
    <w:pPr>
      <w:spacing w:before="60" w:line="240" w:lineRule="atLeast"/>
      <w:ind w:left="198" w:hanging="198"/>
    </w:pPr>
    <w:rPr>
      <w:sz w:val="20"/>
    </w:rPr>
  </w:style>
  <w:style w:type="paragraph" w:customStyle="1" w:styleId="CTA----">
    <w:name w:val="CTA ----"/>
    <w:basedOn w:val="OPCParaBase"/>
    <w:next w:val="Normal"/>
    <w:rsid w:val="002A2D43"/>
    <w:pPr>
      <w:spacing w:before="60" w:line="240" w:lineRule="atLeast"/>
      <w:ind w:left="255" w:hanging="255"/>
    </w:pPr>
    <w:rPr>
      <w:sz w:val="20"/>
    </w:rPr>
  </w:style>
  <w:style w:type="paragraph" w:customStyle="1" w:styleId="CTA1a">
    <w:name w:val="CTA 1(a)"/>
    <w:basedOn w:val="OPCParaBase"/>
    <w:rsid w:val="002A2D43"/>
    <w:pPr>
      <w:tabs>
        <w:tab w:val="right" w:pos="414"/>
      </w:tabs>
      <w:spacing w:before="40" w:line="240" w:lineRule="atLeast"/>
      <w:ind w:left="675" w:hanging="675"/>
    </w:pPr>
    <w:rPr>
      <w:sz w:val="20"/>
    </w:rPr>
  </w:style>
  <w:style w:type="paragraph" w:customStyle="1" w:styleId="CTA1ai">
    <w:name w:val="CTA 1(a)(i)"/>
    <w:basedOn w:val="OPCParaBase"/>
    <w:rsid w:val="002A2D43"/>
    <w:pPr>
      <w:tabs>
        <w:tab w:val="right" w:pos="1004"/>
      </w:tabs>
      <w:spacing w:before="40" w:line="240" w:lineRule="atLeast"/>
      <w:ind w:left="1253" w:hanging="1253"/>
    </w:pPr>
    <w:rPr>
      <w:sz w:val="20"/>
    </w:rPr>
  </w:style>
  <w:style w:type="paragraph" w:customStyle="1" w:styleId="CTA2a">
    <w:name w:val="CTA 2(a)"/>
    <w:basedOn w:val="OPCParaBase"/>
    <w:rsid w:val="002A2D43"/>
    <w:pPr>
      <w:tabs>
        <w:tab w:val="right" w:pos="482"/>
      </w:tabs>
      <w:spacing w:before="40" w:line="240" w:lineRule="atLeast"/>
      <w:ind w:left="748" w:hanging="748"/>
    </w:pPr>
    <w:rPr>
      <w:sz w:val="20"/>
    </w:rPr>
  </w:style>
  <w:style w:type="paragraph" w:customStyle="1" w:styleId="CTA2ai">
    <w:name w:val="CTA 2(a)(i)"/>
    <w:basedOn w:val="OPCParaBase"/>
    <w:rsid w:val="002A2D43"/>
    <w:pPr>
      <w:tabs>
        <w:tab w:val="right" w:pos="1089"/>
      </w:tabs>
      <w:spacing w:before="40" w:line="240" w:lineRule="atLeast"/>
      <w:ind w:left="1327" w:hanging="1327"/>
    </w:pPr>
    <w:rPr>
      <w:sz w:val="20"/>
    </w:rPr>
  </w:style>
  <w:style w:type="paragraph" w:customStyle="1" w:styleId="CTA3a">
    <w:name w:val="CTA 3(a)"/>
    <w:basedOn w:val="OPCParaBase"/>
    <w:rsid w:val="002A2D43"/>
    <w:pPr>
      <w:tabs>
        <w:tab w:val="right" w:pos="556"/>
      </w:tabs>
      <w:spacing w:before="40" w:line="240" w:lineRule="atLeast"/>
      <w:ind w:left="805" w:hanging="805"/>
    </w:pPr>
    <w:rPr>
      <w:sz w:val="20"/>
    </w:rPr>
  </w:style>
  <w:style w:type="paragraph" w:customStyle="1" w:styleId="CTA3ai">
    <w:name w:val="CTA 3(a)(i)"/>
    <w:basedOn w:val="OPCParaBase"/>
    <w:rsid w:val="002A2D43"/>
    <w:pPr>
      <w:tabs>
        <w:tab w:val="right" w:pos="1140"/>
      </w:tabs>
      <w:spacing w:before="40" w:line="240" w:lineRule="atLeast"/>
      <w:ind w:left="1361" w:hanging="1361"/>
    </w:pPr>
    <w:rPr>
      <w:sz w:val="20"/>
    </w:rPr>
  </w:style>
  <w:style w:type="paragraph" w:customStyle="1" w:styleId="CTA4a">
    <w:name w:val="CTA 4(a)"/>
    <w:basedOn w:val="OPCParaBase"/>
    <w:rsid w:val="002A2D43"/>
    <w:pPr>
      <w:tabs>
        <w:tab w:val="right" w:pos="624"/>
      </w:tabs>
      <w:spacing w:before="40" w:line="240" w:lineRule="atLeast"/>
      <w:ind w:left="873" w:hanging="873"/>
    </w:pPr>
    <w:rPr>
      <w:sz w:val="20"/>
    </w:rPr>
  </w:style>
  <w:style w:type="paragraph" w:customStyle="1" w:styleId="CTA4ai">
    <w:name w:val="CTA 4(a)(i)"/>
    <w:basedOn w:val="OPCParaBase"/>
    <w:rsid w:val="002A2D43"/>
    <w:pPr>
      <w:tabs>
        <w:tab w:val="right" w:pos="1213"/>
      </w:tabs>
      <w:spacing w:before="40" w:line="240" w:lineRule="atLeast"/>
      <w:ind w:left="1452" w:hanging="1452"/>
    </w:pPr>
    <w:rPr>
      <w:sz w:val="20"/>
    </w:rPr>
  </w:style>
  <w:style w:type="paragraph" w:customStyle="1" w:styleId="CTACAPS">
    <w:name w:val="CTA CAPS"/>
    <w:basedOn w:val="OPCParaBase"/>
    <w:rsid w:val="002A2D43"/>
    <w:pPr>
      <w:spacing w:before="60" w:line="240" w:lineRule="atLeast"/>
    </w:pPr>
    <w:rPr>
      <w:sz w:val="20"/>
    </w:rPr>
  </w:style>
  <w:style w:type="paragraph" w:customStyle="1" w:styleId="CTAright">
    <w:name w:val="CTA right"/>
    <w:basedOn w:val="OPCParaBase"/>
    <w:rsid w:val="002A2D43"/>
    <w:pPr>
      <w:spacing w:before="60" w:line="240" w:lineRule="auto"/>
      <w:jc w:val="right"/>
    </w:pPr>
    <w:rPr>
      <w:sz w:val="20"/>
    </w:rPr>
  </w:style>
  <w:style w:type="paragraph" w:customStyle="1" w:styleId="subsection">
    <w:name w:val="subsection"/>
    <w:aliases w:val="ss"/>
    <w:basedOn w:val="OPCParaBase"/>
    <w:rsid w:val="002A2D43"/>
    <w:pPr>
      <w:tabs>
        <w:tab w:val="right" w:pos="1021"/>
      </w:tabs>
      <w:spacing w:before="180" w:line="240" w:lineRule="auto"/>
      <w:ind w:left="1134" w:hanging="1134"/>
    </w:pPr>
  </w:style>
  <w:style w:type="paragraph" w:customStyle="1" w:styleId="Definition">
    <w:name w:val="Definition"/>
    <w:aliases w:val="dd"/>
    <w:basedOn w:val="OPCParaBase"/>
    <w:rsid w:val="002A2D43"/>
    <w:pPr>
      <w:spacing w:before="180" w:line="240" w:lineRule="auto"/>
      <w:ind w:left="1134"/>
    </w:pPr>
  </w:style>
  <w:style w:type="paragraph" w:customStyle="1" w:styleId="ETAsubitem">
    <w:name w:val="ETA(subitem)"/>
    <w:basedOn w:val="OPCParaBase"/>
    <w:rsid w:val="002A2D43"/>
    <w:pPr>
      <w:tabs>
        <w:tab w:val="right" w:pos="340"/>
      </w:tabs>
      <w:spacing w:before="60" w:line="240" w:lineRule="auto"/>
      <w:ind w:left="454" w:hanging="454"/>
    </w:pPr>
    <w:rPr>
      <w:sz w:val="20"/>
    </w:rPr>
  </w:style>
  <w:style w:type="paragraph" w:customStyle="1" w:styleId="ETApara">
    <w:name w:val="ETA(para)"/>
    <w:basedOn w:val="OPCParaBase"/>
    <w:rsid w:val="002A2D43"/>
    <w:pPr>
      <w:tabs>
        <w:tab w:val="right" w:pos="754"/>
      </w:tabs>
      <w:spacing w:before="60" w:line="240" w:lineRule="auto"/>
      <w:ind w:left="828" w:hanging="828"/>
    </w:pPr>
    <w:rPr>
      <w:sz w:val="20"/>
    </w:rPr>
  </w:style>
  <w:style w:type="paragraph" w:customStyle="1" w:styleId="ETAsubpara">
    <w:name w:val="ETA(subpara)"/>
    <w:basedOn w:val="OPCParaBase"/>
    <w:rsid w:val="002A2D43"/>
    <w:pPr>
      <w:tabs>
        <w:tab w:val="right" w:pos="1083"/>
      </w:tabs>
      <w:spacing w:before="60" w:line="240" w:lineRule="auto"/>
      <w:ind w:left="1191" w:hanging="1191"/>
    </w:pPr>
    <w:rPr>
      <w:sz w:val="20"/>
    </w:rPr>
  </w:style>
  <w:style w:type="paragraph" w:customStyle="1" w:styleId="ETAsub-subpara">
    <w:name w:val="ETA(sub-subpara)"/>
    <w:basedOn w:val="OPCParaBase"/>
    <w:rsid w:val="002A2D43"/>
    <w:pPr>
      <w:tabs>
        <w:tab w:val="right" w:pos="1412"/>
      </w:tabs>
      <w:spacing w:before="60" w:line="240" w:lineRule="auto"/>
      <w:ind w:left="1525" w:hanging="1525"/>
    </w:pPr>
    <w:rPr>
      <w:sz w:val="20"/>
    </w:rPr>
  </w:style>
  <w:style w:type="paragraph" w:customStyle="1" w:styleId="Formula">
    <w:name w:val="Formula"/>
    <w:basedOn w:val="OPCParaBase"/>
    <w:rsid w:val="002A2D43"/>
    <w:pPr>
      <w:spacing w:line="240" w:lineRule="auto"/>
      <w:ind w:left="1134"/>
    </w:pPr>
    <w:rPr>
      <w:sz w:val="20"/>
    </w:rPr>
  </w:style>
  <w:style w:type="paragraph" w:styleId="Header">
    <w:name w:val="header"/>
    <w:basedOn w:val="OPCParaBase"/>
    <w:link w:val="HeaderChar"/>
    <w:unhideWhenUsed/>
    <w:rsid w:val="002A2D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A2D43"/>
    <w:rPr>
      <w:rFonts w:eastAsia="Times New Roman" w:cs="Times New Roman"/>
      <w:sz w:val="16"/>
      <w:lang w:eastAsia="en-AU"/>
    </w:rPr>
  </w:style>
  <w:style w:type="paragraph" w:customStyle="1" w:styleId="House">
    <w:name w:val="House"/>
    <w:basedOn w:val="OPCParaBase"/>
    <w:rsid w:val="002A2D43"/>
    <w:pPr>
      <w:spacing w:line="240" w:lineRule="auto"/>
    </w:pPr>
    <w:rPr>
      <w:sz w:val="28"/>
    </w:rPr>
  </w:style>
  <w:style w:type="paragraph" w:customStyle="1" w:styleId="Item">
    <w:name w:val="Item"/>
    <w:aliases w:val="i"/>
    <w:basedOn w:val="OPCParaBase"/>
    <w:next w:val="ItemHead"/>
    <w:rsid w:val="002A2D43"/>
    <w:pPr>
      <w:keepLines/>
      <w:spacing w:before="80" w:line="240" w:lineRule="auto"/>
      <w:ind w:left="709"/>
    </w:pPr>
  </w:style>
  <w:style w:type="paragraph" w:customStyle="1" w:styleId="ItemHead">
    <w:name w:val="ItemHead"/>
    <w:aliases w:val="ih"/>
    <w:basedOn w:val="OPCParaBase"/>
    <w:next w:val="Item"/>
    <w:rsid w:val="002A2D43"/>
    <w:pPr>
      <w:keepLines/>
      <w:spacing w:before="220" w:line="240" w:lineRule="auto"/>
      <w:ind w:left="709" w:hanging="709"/>
    </w:pPr>
    <w:rPr>
      <w:rFonts w:ascii="Arial" w:hAnsi="Arial"/>
      <w:b/>
      <w:kern w:val="28"/>
      <w:sz w:val="24"/>
    </w:rPr>
  </w:style>
  <w:style w:type="paragraph" w:customStyle="1" w:styleId="LongT">
    <w:name w:val="LongT"/>
    <w:basedOn w:val="OPCParaBase"/>
    <w:rsid w:val="002A2D43"/>
    <w:pPr>
      <w:spacing w:line="240" w:lineRule="auto"/>
    </w:pPr>
    <w:rPr>
      <w:b/>
      <w:sz w:val="32"/>
    </w:rPr>
  </w:style>
  <w:style w:type="paragraph" w:customStyle="1" w:styleId="notedraft">
    <w:name w:val="note(draft)"/>
    <w:aliases w:val="nd"/>
    <w:basedOn w:val="OPCParaBase"/>
    <w:rsid w:val="002A2D43"/>
    <w:pPr>
      <w:spacing w:before="240" w:line="240" w:lineRule="auto"/>
      <w:ind w:left="284" w:hanging="284"/>
    </w:pPr>
    <w:rPr>
      <w:i/>
      <w:sz w:val="24"/>
    </w:rPr>
  </w:style>
  <w:style w:type="paragraph" w:customStyle="1" w:styleId="notemargin">
    <w:name w:val="note(margin)"/>
    <w:aliases w:val="nm"/>
    <w:basedOn w:val="OPCParaBase"/>
    <w:rsid w:val="002A2D43"/>
    <w:pPr>
      <w:tabs>
        <w:tab w:val="left" w:pos="709"/>
      </w:tabs>
      <w:spacing w:before="122" w:line="198" w:lineRule="exact"/>
      <w:ind w:left="709" w:hanging="709"/>
    </w:pPr>
    <w:rPr>
      <w:sz w:val="18"/>
    </w:rPr>
  </w:style>
  <w:style w:type="paragraph" w:customStyle="1" w:styleId="notepara">
    <w:name w:val="note(para)"/>
    <w:aliases w:val="na"/>
    <w:basedOn w:val="OPCParaBase"/>
    <w:rsid w:val="002A2D43"/>
    <w:pPr>
      <w:spacing w:before="40" w:line="198" w:lineRule="exact"/>
      <w:ind w:left="2354" w:hanging="369"/>
    </w:pPr>
    <w:rPr>
      <w:sz w:val="18"/>
    </w:rPr>
  </w:style>
  <w:style w:type="paragraph" w:customStyle="1" w:styleId="noteParlAmend">
    <w:name w:val="note(ParlAmend)"/>
    <w:aliases w:val="npp"/>
    <w:basedOn w:val="OPCParaBase"/>
    <w:next w:val="ParlAmend"/>
    <w:rsid w:val="002A2D43"/>
    <w:pPr>
      <w:spacing w:line="240" w:lineRule="auto"/>
      <w:jc w:val="right"/>
    </w:pPr>
    <w:rPr>
      <w:rFonts w:ascii="Arial" w:hAnsi="Arial"/>
      <w:b/>
      <w:i/>
    </w:rPr>
  </w:style>
  <w:style w:type="paragraph" w:customStyle="1" w:styleId="notetext">
    <w:name w:val="note(text)"/>
    <w:aliases w:val="n"/>
    <w:basedOn w:val="OPCParaBase"/>
    <w:rsid w:val="002A2D43"/>
    <w:pPr>
      <w:spacing w:before="122" w:line="198" w:lineRule="exact"/>
      <w:ind w:left="1985" w:hanging="851"/>
    </w:pPr>
    <w:rPr>
      <w:sz w:val="18"/>
    </w:rPr>
  </w:style>
  <w:style w:type="paragraph" w:customStyle="1" w:styleId="Page1">
    <w:name w:val="Page1"/>
    <w:basedOn w:val="OPCParaBase"/>
    <w:rsid w:val="002A2D43"/>
    <w:pPr>
      <w:spacing w:before="5600" w:line="240" w:lineRule="auto"/>
    </w:pPr>
    <w:rPr>
      <w:b/>
      <w:sz w:val="32"/>
    </w:rPr>
  </w:style>
  <w:style w:type="paragraph" w:customStyle="1" w:styleId="PageBreak">
    <w:name w:val="PageBreak"/>
    <w:aliases w:val="pb"/>
    <w:basedOn w:val="OPCParaBase"/>
    <w:rsid w:val="002A2D43"/>
    <w:pPr>
      <w:spacing w:line="240" w:lineRule="auto"/>
    </w:pPr>
    <w:rPr>
      <w:sz w:val="10"/>
    </w:rPr>
  </w:style>
  <w:style w:type="paragraph" w:customStyle="1" w:styleId="paragraphsub">
    <w:name w:val="paragraph(sub)"/>
    <w:aliases w:val="aa"/>
    <w:basedOn w:val="OPCParaBase"/>
    <w:rsid w:val="002A2D43"/>
    <w:pPr>
      <w:tabs>
        <w:tab w:val="right" w:pos="1985"/>
      </w:tabs>
      <w:spacing w:before="40" w:line="240" w:lineRule="auto"/>
      <w:ind w:left="2098" w:hanging="2098"/>
    </w:pPr>
  </w:style>
  <w:style w:type="paragraph" w:customStyle="1" w:styleId="paragraphsub-sub">
    <w:name w:val="paragraph(sub-sub)"/>
    <w:aliases w:val="aaa"/>
    <w:basedOn w:val="OPCParaBase"/>
    <w:rsid w:val="002A2D43"/>
    <w:pPr>
      <w:tabs>
        <w:tab w:val="right" w:pos="2722"/>
      </w:tabs>
      <w:spacing w:before="40" w:line="240" w:lineRule="auto"/>
      <w:ind w:left="2835" w:hanging="2835"/>
    </w:pPr>
  </w:style>
  <w:style w:type="paragraph" w:customStyle="1" w:styleId="paragraph">
    <w:name w:val="paragraph"/>
    <w:aliases w:val="a"/>
    <w:basedOn w:val="OPCParaBase"/>
    <w:rsid w:val="002A2D43"/>
    <w:pPr>
      <w:tabs>
        <w:tab w:val="right" w:pos="1531"/>
      </w:tabs>
      <w:spacing w:before="40" w:line="240" w:lineRule="auto"/>
      <w:ind w:left="1644" w:hanging="1644"/>
    </w:pPr>
  </w:style>
  <w:style w:type="paragraph" w:customStyle="1" w:styleId="ParlAmend">
    <w:name w:val="ParlAmend"/>
    <w:aliases w:val="pp"/>
    <w:basedOn w:val="OPCParaBase"/>
    <w:rsid w:val="002A2D43"/>
    <w:pPr>
      <w:spacing w:before="240" w:line="240" w:lineRule="atLeast"/>
      <w:ind w:hanging="567"/>
    </w:pPr>
    <w:rPr>
      <w:sz w:val="24"/>
    </w:rPr>
  </w:style>
  <w:style w:type="paragraph" w:customStyle="1" w:styleId="Penalty">
    <w:name w:val="Penalty"/>
    <w:basedOn w:val="OPCParaBase"/>
    <w:rsid w:val="002A2D43"/>
    <w:pPr>
      <w:tabs>
        <w:tab w:val="left" w:pos="2977"/>
      </w:tabs>
      <w:spacing w:before="180" w:line="240" w:lineRule="auto"/>
      <w:ind w:left="1985" w:hanging="851"/>
    </w:pPr>
  </w:style>
  <w:style w:type="paragraph" w:customStyle="1" w:styleId="Portfolio">
    <w:name w:val="Portfolio"/>
    <w:basedOn w:val="OPCParaBase"/>
    <w:rsid w:val="002A2D43"/>
    <w:pPr>
      <w:spacing w:line="240" w:lineRule="auto"/>
    </w:pPr>
    <w:rPr>
      <w:i/>
      <w:sz w:val="20"/>
    </w:rPr>
  </w:style>
  <w:style w:type="paragraph" w:customStyle="1" w:styleId="Preamble">
    <w:name w:val="Preamble"/>
    <w:basedOn w:val="OPCParaBase"/>
    <w:next w:val="Normal"/>
    <w:rsid w:val="002A2D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A2D43"/>
    <w:pPr>
      <w:spacing w:line="240" w:lineRule="auto"/>
    </w:pPr>
    <w:rPr>
      <w:i/>
      <w:sz w:val="20"/>
    </w:rPr>
  </w:style>
  <w:style w:type="paragraph" w:customStyle="1" w:styleId="Session">
    <w:name w:val="Session"/>
    <w:basedOn w:val="OPCParaBase"/>
    <w:rsid w:val="002A2D43"/>
    <w:pPr>
      <w:spacing w:line="240" w:lineRule="auto"/>
    </w:pPr>
    <w:rPr>
      <w:sz w:val="28"/>
    </w:rPr>
  </w:style>
  <w:style w:type="paragraph" w:customStyle="1" w:styleId="Sponsor">
    <w:name w:val="Sponsor"/>
    <w:basedOn w:val="OPCParaBase"/>
    <w:rsid w:val="002A2D43"/>
    <w:pPr>
      <w:spacing w:line="240" w:lineRule="auto"/>
    </w:pPr>
    <w:rPr>
      <w:i/>
    </w:rPr>
  </w:style>
  <w:style w:type="paragraph" w:customStyle="1" w:styleId="Subitem">
    <w:name w:val="Subitem"/>
    <w:aliases w:val="iss"/>
    <w:basedOn w:val="OPCParaBase"/>
    <w:rsid w:val="002A2D43"/>
    <w:pPr>
      <w:spacing w:before="180" w:line="240" w:lineRule="auto"/>
      <w:ind w:left="709" w:hanging="709"/>
    </w:pPr>
  </w:style>
  <w:style w:type="paragraph" w:customStyle="1" w:styleId="SubitemHead">
    <w:name w:val="SubitemHead"/>
    <w:aliases w:val="issh"/>
    <w:basedOn w:val="OPCParaBase"/>
    <w:rsid w:val="002A2D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A2D43"/>
    <w:pPr>
      <w:spacing w:before="40" w:line="240" w:lineRule="auto"/>
      <w:ind w:left="1134"/>
    </w:pPr>
  </w:style>
  <w:style w:type="paragraph" w:customStyle="1" w:styleId="SubsectionHead">
    <w:name w:val="SubsectionHead"/>
    <w:aliases w:val="ssh"/>
    <w:basedOn w:val="OPCParaBase"/>
    <w:next w:val="subsection"/>
    <w:rsid w:val="002A2D43"/>
    <w:pPr>
      <w:keepNext/>
      <w:keepLines/>
      <w:spacing w:before="240" w:line="240" w:lineRule="auto"/>
      <w:ind w:left="1134"/>
    </w:pPr>
    <w:rPr>
      <w:i/>
    </w:rPr>
  </w:style>
  <w:style w:type="paragraph" w:customStyle="1" w:styleId="Tablea">
    <w:name w:val="Table(a)"/>
    <w:aliases w:val="ta"/>
    <w:basedOn w:val="OPCParaBase"/>
    <w:rsid w:val="002A2D43"/>
    <w:pPr>
      <w:spacing w:before="60" w:line="240" w:lineRule="auto"/>
      <w:ind w:left="284" w:hanging="284"/>
    </w:pPr>
    <w:rPr>
      <w:sz w:val="20"/>
    </w:rPr>
  </w:style>
  <w:style w:type="paragraph" w:customStyle="1" w:styleId="TableAA">
    <w:name w:val="Table(AA)"/>
    <w:aliases w:val="taaa"/>
    <w:basedOn w:val="OPCParaBase"/>
    <w:rsid w:val="002A2D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A2D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A2D43"/>
    <w:pPr>
      <w:spacing w:before="60" w:line="240" w:lineRule="atLeast"/>
    </w:pPr>
    <w:rPr>
      <w:sz w:val="20"/>
    </w:rPr>
  </w:style>
  <w:style w:type="paragraph" w:customStyle="1" w:styleId="TLPBoxTextnote">
    <w:name w:val="TLPBoxText(note"/>
    <w:aliases w:val="right)"/>
    <w:basedOn w:val="OPCParaBase"/>
    <w:rsid w:val="002A2D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A2D4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A2D43"/>
    <w:pPr>
      <w:spacing w:before="122" w:line="198" w:lineRule="exact"/>
      <w:ind w:left="1985" w:hanging="851"/>
      <w:jc w:val="right"/>
    </w:pPr>
    <w:rPr>
      <w:sz w:val="18"/>
    </w:rPr>
  </w:style>
  <w:style w:type="paragraph" w:customStyle="1" w:styleId="TLPTableBullet">
    <w:name w:val="TLPTableBullet"/>
    <w:aliases w:val="ttb"/>
    <w:basedOn w:val="OPCParaBase"/>
    <w:rsid w:val="002A2D43"/>
    <w:pPr>
      <w:spacing w:line="240" w:lineRule="exact"/>
      <w:ind w:left="284" w:hanging="284"/>
    </w:pPr>
    <w:rPr>
      <w:sz w:val="20"/>
    </w:rPr>
  </w:style>
  <w:style w:type="paragraph" w:styleId="TOC1">
    <w:name w:val="toc 1"/>
    <w:basedOn w:val="OPCParaBase"/>
    <w:next w:val="Normal"/>
    <w:uiPriority w:val="39"/>
    <w:unhideWhenUsed/>
    <w:rsid w:val="002A2D43"/>
    <w:pPr>
      <w:spacing w:line="240" w:lineRule="auto"/>
    </w:pPr>
    <w:rPr>
      <w:sz w:val="24"/>
    </w:rPr>
  </w:style>
  <w:style w:type="paragraph" w:styleId="TOC2">
    <w:name w:val="toc 2"/>
    <w:basedOn w:val="OPCParaBase"/>
    <w:next w:val="Normal"/>
    <w:uiPriority w:val="39"/>
    <w:unhideWhenUsed/>
    <w:rsid w:val="002A2D4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A2D4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A2D4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A2D43"/>
    <w:pPr>
      <w:spacing w:line="240" w:lineRule="auto"/>
      <w:ind w:left="958"/>
    </w:pPr>
    <w:rPr>
      <w:sz w:val="24"/>
    </w:rPr>
  </w:style>
  <w:style w:type="paragraph" w:styleId="TOC6">
    <w:name w:val="toc 6"/>
    <w:basedOn w:val="OPCParaBase"/>
    <w:next w:val="Normal"/>
    <w:uiPriority w:val="39"/>
    <w:unhideWhenUsed/>
    <w:rsid w:val="002A2D43"/>
    <w:pPr>
      <w:spacing w:line="240" w:lineRule="auto"/>
      <w:ind w:left="1202"/>
    </w:pPr>
    <w:rPr>
      <w:sz w:val="24"/>
    </w:rPr>
  </w:style>
  <w:style w:type="paragraph" w:styleId="TOC7">
    <w:name w:val="toc 7"/>
    <w:basedOn w:val="OPCParaBase"/>
    <w:next w:val="Normal"/>
    <w:uiPriority w:val="39"/>
    <w:semiHidden/>
    <w:unhideWhenUsed/>
    <w:rsid w:val="002A2D43"/>
    <w:pPr>
      <w:spacing w:line="240" w:lineRule="auto"/>
      <w:ind w:left="1440"/>
    </w:pPr>
    <w:rPr>
      <w:sz w:val="24"/>
    </w:rPr>
  </w:style>
  <w:style w:type="paragraph" w:styleId="TOC8">
    <w:name w:val="toc 8"/>
    <w:basedOn w:val="OPCParaBase"/>
    <w:next w:val="Normal"/>
    <w:uiPriority w:val="39"/>
    <w:semiHidden/>
    <w:unhideWhenUsed/>
    <w:rsid w:val="002A2D43"/>
    <w:pPr>
      <w:spacing w:line="240" w:lineRule="auto"/>
      <w:ind w:left="1678"/>
    </w:pPr>
    <w:rPr>
      <w:sz w:val="24"/>
    </w:rPr>
  </w:style>
  <w:style w:type="paragraph" w:styleId="TOC9">
    <w:name w:val="toc 9"/>
    <w:basedOn w:val="OPCParaBase"/>
    <w:next w:val="Normal"/>
    <w:uiPriority w:val="39"/>
    <w:unhideWhenUsed/>
    <w:rsid w:val="002A2D43"/>
    <w:pPr>
      <w:spacing w:line="240" w:lineRule="auto"/>
      <w:ind w:left="1922"/>
    </w:pPr>
    <w:rPr>
      <w:sz w:val="24"/>
    </w:rPr>
  </w:style>
  <w:style w:type="paragraph" w:customStyle="1" w:styleId="TofSectsGroupHeading">
    <w:name w:val="TofSects(GroupHeading)"/>
    <w:basedOn w:val="OPCParaBase"/>
    <w:next w:val="TofSectsSection"/>
    <w:rsid w:val="002A2D43"/>
    <w:pPr>
      <w:keepLines/>
      <w:spacing w:before="240" w:after="120" w:line="240" w:lineRule="auto"/>
      <w:ind w:left="794"/>
    </w:pPr>
    <w:rPr>
      <w:b/>
      <w:kern w:val="28"/>
      <w:sz w:val="20"/>
    </w:rPr>
  </w:style>
  <w:style w:type="paragraph" w:customStyle="1" w:styleId="TofSectsHeading">
    <w:name w:val="TofSects(Heading)"/>
    <w:basedOn w:val="OPCParaBase"/>
    <w:rsid w:val="002A2D43"/>
    <w:pPr>
      <w:spacing w:before="240" w:after="120" w:line="240" w:lineRule="auto"/>
    </w:pPr>
    <w:rPr>
      <w:b/>
      <w:sz w:val="24"/>
    </w:rPr>
  </w:style>
  <w:style w:type="paragraph" w:customStyle="1" w:styleId="TofSectsSection">
    <w:name w:val="TofSects(Section)"/>
    <w:basedOn w:val="OPCParaBase"/>
    <w:rsid w:val="002A2D43"/>
    <w:pPr>
      <w:keepLines/>
      <w:spacing w:before="40" w:line="240" w:lineRule="auto"/>
      <w:ind w:left="1588" w:hanging="794"/>
    </w:pPr>
    <w:rPr>
      <w:kern w:val="28"/>
      <w:sz w:val="18"/>
    </w:rPr>
  </w:style>
  <w:style w:type="paragraph" w:customStyle="1" w:styleId="TofSectsSubdiv">
    <w:name w:val="TofSects(Subdiv)"/>
    <w:basedOn w:val="OPCParaBase"/>
    <w:rsid w:val="002A2D43"/>
    <w:pPr>
      <w:keepLines/>
      <w:spacing w:before="80" w:line="240" w:lineRule="auto"/>
      <w:ind w:left="1588" w:hanging="794"/>
    </w:pPr>
    <w:rPr>
      <w:kern w:val="28"/>
    </w:rPr>
  </w:style>
  <w:style w:type="paragraph" w:customStyle="1" w:styleId="WRStyle">
    <w:name w:val="WR Style"/>
    <w:aliases w:val="WR"/>
    <w:basedOn w:val="OPCParaBase"/>
    <w:rsid w:val="002A2D43"/>
    <w:pPr>
      <w:spacing w:before="240" w:line="240" w:lineRule="auto"/>
      <w:ind w:left="284" w:hanging="284"/>
    </w:pPr>
    <w:rPr>
      <w:b/>
      <w:i/>
      <w:kern w:val="28"/>
      <w:sz w:val="24"/>
    </w:rPr>
  </w:style>
  <w:style w:type="paragraph" w:customStyle="1" w:styleId="Body">
    <w:name w:val="Body"/>
    <w:aliases w:val="b"/>
    <w:basedOn w:val="OPCParaBase"/>
    <w:rsid w:val="002A2D43"/>
    <w:pPr>
      <w:spacing w:before="240" w:line="240" w:lineRule="auto"/>
    </w:pPr>
    <w:rPr>
      <w:sz w:val="24"/>
    </w:rPr>
  </w:style>
  <w:style w:type="paragraph" w:customStyle="1" w:styleId="BodyNum">
    <w:name w:val="BodyNum"/>
    <w:aliases w:val="b1"/>
    <w:basedOn w:val="OPCParaBase"/>
    <w:rsid w:val="002A2D43"/>
    <w:pPr>
      <w:numPr>
        <w:numId w:val="13"/>
      </w:numPr>
      <w:spacing w:before="240" w:line="240" w:lineRule="auto"/>
    </w:pPr>
    <w:rPr>
      <w:sz w:val="24"/>
    </w:rPr>
  </w:style>
  <w:style w:type="paragraph" w:customStyle="1" w:styleId="BodyPara">
    <w:name w:val="BodyPara"/>
    <w:aliases w:val="ba"/>
    <w:basedOn w:val="OPCParaBase"/>
    <w:rsid w:val="002A2D43"/>
    <w:pPr>
      <w:numPr>
        <w:ilvl w:val="1"/>
        <w:numId w:val="13"/>
      </w:numPr>
      <w:spacing w:before="240" w:line="240" w:lineRule="auto"/>
    </w:pPr>
    <w:rPr>
      <w:sz w:val="24"/>
    </w:rPr>
  </w:style>
  <w:style w:type="paragraph" w:customStyle="1" w:styleId="BodyParaBullet">
    <w:name w:val="BodyParaBullet"/>
    <w:aliases w:val="bpb"/>
    <w:basedOn w:val="OPCParaBase"/>
    <w:rsid w:val="002A2D4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A2D43"/>
    <w:pPr>
      <w:numPr>
        <w:ilvl w:val="3"/>
        <w:numId w:val="13"/>
      </w:numPr>
      <w:spacing w:before="240" w:line="240" w:lineRule="auto"/>
    </w:pPr>
    <w:rPr>
      <w:sz w:val="24"/>
    </w:rPr>
  </w:style>
  <w:style w:type="numbering" w:customStyle="1" w:styleId="OPCBodyList">
    <w:name w:val="OPCBodyList"/>
    <w:uiPriority w:val="99"/>
    <w:rsid w:val="002A2D43"/>
    <w:pPr>
      <w:numPr>
        <w:numId w:val="13"/>
      </w:numPr>
    </w:pPr>
  </w:style>
  <w:style w:type="paragraph" w:customStyle="1" w:styleId="Head1">
    <w:name w:val="Head 1"/>
    <w:aliases w:val="1"/>
    <w:basedOn w:val="OPCParaBase"/>
    <w:next w:val="BodyNum"/>
    <w:rsid w:val="002A2D4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A2D4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A2D4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A2D4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A2D4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A2D43"/>
    <w:pPr>
      <w:spacing w:before="122" w:line="198" w:lineRule="exact"/>
      <w:ind w:left="2353" w:hanging="709"/>
    </w:pPr>
    <w:rPr>
      <w:sz w:val="18"/>
    </w:rPr>
  </w:style>
  <w:style w:type="paragraph" w:styleId="Footer">
    <w:name w:val="footer"/>
    <w:link w:val="FooterChar"/>
    <w:rsid w:val="002A2D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A2D43"/>
    <w:rPr>
      <w:rFonts w:eastAsia="Times New Roman" w:cs="Times New Roman"/>
      <w:sz w:val="22"/>
      <w:szCs w:val="24"/>
      <w:lang w:eastAsia="en-AU"/>
    </w:rPr>
  </w:style>
  <w:style w:type="character" w:styleId="PageNumber">
    <w:name w:val="page number"/>
    <w:basedOn w:val="DefaultParagraphFont"/>
    <w:rsid w:val="002A2D43"/>
  </w:style>
  <w:style w:type="paragraph" w:styleId="BalloonText">
    <w:name w:val="Balloon Text"/>
    <w:basedOn w:val="Normal"/>
    <w:link w:val="BalloonTextChar"/>
    <w:uiPriority w:val="99"/>
    <w:semiHidden/>
    <w:unhideWhenUsed/>
    <w:rsid w:val="002A2D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D43"/>
    <w:rPr>
      <w:rFonts w:ascii="Tahoma" w:hAnsi="Tahoma" w:cs="Tahoma"/>
      <w:sz w:val="16"/>
      <w:szCs w:val="16"/>
    </w:rPr>
  </w:style>
  <w:style w:type="paragraph" w:customStyle="1" w:styleId="Issued">
    <w:name w:val="Issued"/>
    <w:basedOn w:val="Body"/>
    <w:rsid w:val="002A2D43"/>
    <w:pPr>
      <w:spacing w:before="120"/>
    </w:pPr>
    <w:rPr>
      <w:b/>
      <w:sz w:val="28"/>
    </w:rPr>
  </w:style>
  <w:style w:type="paragraph" w:customStyle="1" w:styleId="Release">
    <w:name w:val="Release"/>
    <w:basedOn w:val="Body"/>
    <w:rsid w:val="002A2D43"/>
    <w:rPr>
      <w:b/>
    </w:rPr>
  </w:style>
  <w:style w:type="paragraph" w:customStyle="1" w:styleId="FileName">
    <w:name w:val="FileName"/>
    <w:basedOn w:val="Normal"/>
    <w:link w:val="FileNameChar"/>
    <w:rsid w:val="002A2D43"/>
    <w:rPr>
      <w:rFonts w:eastAsia="Calibri" w:cs="Times New Roman"/>
    </w:rPr>
  </w:style>
  <w:style w:type="character" w:customStyle="1" w:styleId="FileNameChar">
    <w:name w:val="FileName Char"/>
    <w:basedOn w:val="DefaultParagraphFont"/>
    <w:link w:val="FileName"/>
    <w:rsid w:val="002A2D43"/>
    <w:rPr>
      <w:rFonts w:eastAsia="Calibri" w:cs="Times New Roman"/>
      <w:sz w:val="22"/>
    </w:rPr>
  </w:style>
  <w:style w:type="paragraph" w:customStyle="1" w:styleId="NoteDraftingDirection">
    <w:name w:val="Note Drafting Direction"/>
    <w:basedOn w:val="OPCParaBase"/>
    <w:rsid w:val="002A2D43"/>
    <w:pPr>
      <w:spacing w:before="120"/>
      <w:ind w:left="1134" w:hanging="1134"/>
    </w:pPr>
    <w:rPr>
      <w:sz w:val="18"/>
    </w:rPr>
  </w:style>
  <w:style w:type="character" w:customStyle="1" w:styleId="Heading1Char">
    <w:name w:val="Heading 1 Char"/>
    <w:basedOn w:val="DefaultParagraphFont"/>
    <w:link w:val="Heading1"/>
    <w:uiPriority w:val="9"/>
    <w:rsid w:val="00AC3AB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C3ABE"/>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rsid w:val="00AC3ABE"/>
    <w:rPr>
      <w:rFonts w:ascii="Calibri" w:eastAsia="Times New Roman" w:hAnsi="Calibri" w:cs="Times New Roman"/>
      <w:b/>
      <w:bCs/>
      <w:i/>
      <w:iCs/>
      <w:sz w:val="26"/>
      <w:szCs w:val="26"/>
    </w:rPr>
  </w:style>
  <w:style w:type="paragraph" w:customStyle="1" w:styleId="FooterInfo">
    <w:name w:val="FooterInfo"/>
    <w:basedOn w:val="Normal"/>
    <w:rsid w:val="00AC3ABE"/>
    <w:pPr>
      <w:spacing w:line="240" w:lineRule="auto"/>
    </w:pPr>
    <w:rPr>
      <w:rFonts w:ascii="Arial" w:eastAsia="Times New Roman" w:hAnsi="Arial" w:cs="Times New Roman"/>
      <w:sz w:val="12"/>
      <w:szCs w:val="24"/>
      <w:lang w:eastAsia="en-AU"/>
    </w:rPr>
  </w:style>
  <w:style w:type="table" w:styleId="TableGrid">
    <w:name w:val="Table Grid"/>
    <w:basedOn w:val="TableNormal"/>
    <w:uiPriority w:val="59"/>
    <w:rsid w:val="00AC3ABE"/>
    <w:rPr>
      <w:rFonts w:eastAsia="Times New Roman"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link w:val="BodyTextChar"/>
    <w:rsid w:val="00AC3ABE"/>
    <w:pPr>
      <w:spacing w:after="180"/>
      <w:ind w:left="284"/>
    </w:pPr>
    <w:rPr>
      <w:rFonts w:eastAsia="Times New Roman" w:cs="Times New Roman"/>
      <w:sz w:val="22"/>
    </w:rPr>
  </w:style>
  <w:style w:type="character" w:customStyle="1" w:styleId="BodyTextChar">
    <w:name w:val="Body Text Char"/>
    <w:basedOn w:val="DefaultParagraphFont"/>
    <w:link w:val="BodyText"/>
    <w:rsid w:val="00AC3ABE"/>
    <w:rPr>
      <w:rFonts w:eastAsia="Times New Roman" w:cs="Times New Roman"/>
      <w:sz w:val="22"/>
    </w:rPr>
  </w:style>
  <w:style w:type="paragraph" w:customStyle="1" w:styleId="Amainreturn">
    <w:name w:val="A main return"/>
    <w:basedOn w:val="Normal"/>
    <w:next w:val="Normal"/>
    <w:link w:val="AmainreturnCharChar"/>
    <w:uiPriority w:val="99"/>
    <w:rsid w:val="00AC3ABE"/>
    <w:pPr>
      <w:keepNext/>
      <w:spacing w:before="80" w:after="60" w:line="240" w:lineRule="auto"/>
      <w:ind w:left="1400"/>
      <w:jc w:val="both"/>
    </w:pPr>
    <w:rPr>
      <w:rFonts w:eastAsia="Times New Roman" w:cs="Times New Roman"/>
    </w:rPr>
  </w:style>
  <w:style w:type="paragraph" w:customStyle="1" w:styleId="AH5Sec">
    <w:name w:val="A H5 Sec"/>
    <w:basedOn w:val="Normal"/>
    <w:next w:val="Normal"/>
    <w:uiPriority w:val="99"/>
    <w:rsid w:val="00AC3ABE"/>
    <w:pPr>
      <w:keepNext/>
      <w:tabs>
        <w:tab w:val="left" w:pos="1383"/>
      </w:tabs>
      <w:spacing w:before="120" w:after="60" w:line="240" w:lineRule="auto"/>
    </w:pPr>
    <w:rPr>
      <w:rFonts w:ascii="Arial" w:eastAsia="Times New Roman" w:hAnsi="Arial" w:cs="Arial"/>
      <w:b/>
      <w:bCs/>
      <w:noProof/>
      <w:color w:val="000000"/>
    </w:rPr>
  </w:style>
  <w:style w:type="character" w:customStyle="1" w:styleId="charItals">
    <w:name w:val="charItals"/>
    <w:basedOn w:val="DefaultParagraphFont"/>
    <w:uiPriority w:val="99"/>
    <w:rsid w:val="00AC3ABE"/>
    <w:rPr>
      <w:rFonts w:ascii="Times New Roman" w:hAnsi="Times New Roman" w:cs="Times New Roman"/>
      <w:i/>
      <w:sz w:val="22"/>
    </w:rPr>
  </w:style>
  <w:style w:type="paragraph" w:customStyle="1" w:styleId="Heading5A">
    <w:name w:val="Heading 5A"/>
    <w:basedOn w:val="Heading5"/>
    <w:uiPriority w:val="99"/>
    <w:rsid w:val="00AC3ABE"/>
    <w:pPr>
      <w:keepNext/>
      <w:spacing w:before="120" w:line="240" w:lineRule="auto"/>
      <w:ind w:left="3480" w:hanging="3480"/>
    </w:pPr>
    <w:rPr>
      <w:rFonts w:ascii="Arial" w:hAnsi="Arial"/>
      <w:i w:val="0"/>
      <w:sz w:val="22"/>
    </w:rPr>
  </w:style>
  <w:style w:type="character" w:customStyle="1" w:styleId="AmainreturnCharChar">
    <w:name w:val="A main return Char Char"/>
    <w:basedOn w:val="DefaultParagraphFont"/>
    <w:link w:val="Amainreturn"/>
    <w:uiPriority w:val="99"/>
    <w:locked/>
    <w:rsid w:val="00AC3ABE"/>
    <w:rPr>
      <w:rFonts w:eastAsia="Times New Roman" w:cs="Times New Roman"/>
      <w:sz w:val="22"/>
    </w:rPr>
  </w:style>
  <w:style w:type="paragraph" w:customStyle="1" w:styleId="HR">
    <w:name w:val="HR"/>
    <w:aliases w:val="Regulation Heading"/>
    <w:basedOn w:val="Normal"/>
    <w:next w:val="R1"/>
    <w:rsid w:val="00AC3ABE"/>
    <w:pPr>
      <w:keepNext/>
      <w:autoSpaceDE w:val="0"/>
      <w:autoSpaceDN w:val="0"/>
      <w:spacing w:before="360" w:line="240" w:lineRule="auto"/>
      <w:ind w:left="964" w:hanging="964"/>
    </w:pPr>
    <w:rPr>
      <w:rFonts w:ascii="Arial" w:eastAsia="Times New Roman" w:hAnsi="Arial" w:cs="Arial"/>
      <w:b/>
      <w:bCs/>
      <w:sz w:val="24"/>
      <w:szCs w:val="24"/>
      <w:lang w:eastAsia="en-AU"/>
    </w:rPr>
  </w:style>
  <w:style w:type="paragraph" w:customStyle="1" w:styleId="R1">
    <w:name w:val="R1"/>
    <w:aliases w:val="1. or 1.(1)"/>
    <w:basedOn w:val="Normal"/>
    <w:next w:val="Normal"/>
    <w:rsid w:val="00AC3ABE"/>
    <w:pPr>
      <w:tabs>
        <w:tab w:val="right" w:pos="794"/>
        <w:tab w:val="left" w:pos="964"/>
      </w:tabs>
      <w:autoSpaceDE w:val="0"/>
      <w:autoSpaceDN w:val="0"/>
      <w:spacing w:before="120" w:line="260" w:lineRule="exact"/>
      <w:ind w:left="964" w:hanging="964"/>
      <w:jc w:val="both"/>
    </w:pPr>
    <w:rPr>
      <w:rFonts w:eastAsia="Times New Roman" w:cs="Times New Roman"/>
      <w:sz w:val="24"/>
      <w:szCs w:val="24"/>
      <w:lang w:eastAsia="en-AU"/>
    </w:rPr>
  </w:style>
  <w:style w:type="paragraph" w:styleId="ListParagraph">
    <w:name w:val="List Paragraph"/>
    <w:basedOn w:val="Normal"/>
    <w:uiPriority w:val="34"/>
    <w:qFormat/>
    <w:rsid w:val="00AC3ABE"/>
    <w:pPr>
      <w:spacing w:line="240" w:lineRule="auto"/>
      <w:ind w:left="720"/>
    </w:pPr>
    <w:rPr>
      <w:rFonts w:ascii="Calibri" w:eastAsia="Calibri" w:hAnsi="Calibri" w:cs="Times New Roman"/>
      <w:szCs w:val="22"/>
      <w:lang w:eastAsia="en-AU"/>
    </w:rPr>
  </w:style>
  <w:style w:type="paragraph" w:customStyle="1" w:styleId="P1">
    <w:name w:val="P1"/>
    <w:aliases w:val="(a)"/>
    <w:basedOn w:val="Normal"/>
    <w:rsid w:val="00AC3ABE"/>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AC3ABE"/>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ZP1">
    <w:name w:val="ZP1"/>
    <w:basedOn w:val="P1"/>
    <w:rsid w:val="00AC3ABE"/>
    <w:pPr>
      <w:keepNext/>
    </w:pPr>
  </w:style>
  <w:style w:type="paragraph" w:customStyle="1" w:styleId="ZR1">
    <w:name w:val="ZR1"/>
    <w:basedOn w:val="R1"/>
    <w:rsid w:val="00AC3ABE"/>
    <w:pPr>
      <w:keepNext/>
      <w:keepLines/>
      <w:tabs>
        <w:tab w:val="clear" w:pos="964"/>
      </w:tabs>
      <w:autoSpaceDE/>
      <w:autoSpaceDN/>
    </w:pPr>
    <w:rPr>
      <w:lang w:eastAsia="en-US"/>
    </w:rPr>
  </w:style>
  <w:style w:type="paragraph" w:customStyle="1" w:styleId="A1S">
    <w:name w:val="A1S"/>
    <w:aliases w:val="1.Schedule Amendment"/>
    <w:basedOn w:val="Normal"/>
    <w:next w:val="A2S"/>
    <w:rsid w:val="00AC3ABE"/>
    <w:pPr>
      <w:keepNext/>
      <w:spacing w:before="480" w:line="260" w:lineRule="exact"/>
      <w:ind w:left="964" w:hanging="964"/>
    </w:pPr>
    <w:rPr>
      <w:rFonts w:ascii="Arial" w:eastAsia="Times New Roman" w:hAnsi="Arial" w:cs="Times New Roman"/>
      <w:b/>
      <w:sz w:val="24"/>
      <w:szCs w:val="24"/>
    </w:rPr>
  </w:style>
  <w:style w:type="paragraph" w:customStyle="1" w:styleId="A2S">
    <w:name w:val="A2S"/>
    <w:aliases w:val="Schedule Inst Amendment"/>
    <w:basedOn w:val="Normal"/>
    <w:next w:val="Normal"/>
    <w:rsid w:val="00AC3ABE"/>
    <w:pPr>
      <w:keepNext/>
      <w:spacing w:before="120" w:line="260" w:lineRule="exact"/>
      <w:ind w:left="964"/>
    </w:pPr>
    <w:rPr>
      <w:rFonts w:eastAsia="Times New Roman" w:cs="Times New Roman"/>
      <w:i/>
      <w:sz w:val="24"/>
      <w:szCs w:val="24"/>
    </w:rPr>
  </w:style>
  <w:style w:type="paragraph" w:customStyle="1" w:styleId="ASref">
    <w:name w:val="AS ref"/>
    <w:basedOn w:val="Normal"/>
    <w:next w:val="A1S"/>
    <w:rsid w:val="00AC3ABE"/>
    <w:pPr>
      <w:keepNext/>
      <w:spacing w:before="60" w:line="200" w:lineRule="exact"/>
      <w:ind w:left="2410"/>
    </w:pPr>
    <w:rPr>
      <w:rFonts w:ascii="Arial" w:eastAsia="Times New Roman" w:hAnsi="Arial" w:cs="Times New Roman"/>
      <w:sz w:val="18"/>
      <w:szCs w:val="18"/>
    </w:rPr>
  </w:style>
  <w:style w:type="paragraph" w:customStyle="1" w:styleId="AS">
    <w:name w:val="AS"/>
    <w:aliases w:val="Schedule title Amendment"/>
    <w:basedOn w:val="Normal"/>
    <w:next w:val="ASref"/>
    <w:rsid w:val="00AC3ABE"/>
    <w:pPr>
      <w:keepNext/>
      <w:keepLines/>
      <w:spacing w:before="480" w:line="240" w:lineRule="auto"/>
      <w:ind w:left="2410" w:hanging="2410"/>
    </w:pPr>
    <w:rPr>
      <w:rFonts w:ascii="Arial" w:eastAsia="Times New Roman" w:hAnsi="Arial" w:cs="Times New Roman"/>
      <w:b/>
      <w:sz w:val="32"/>
      <w:szCs w:val="24"/>
    </w:rPr>
  </w:style>
  <w:style w:type="paragraph" w:customStyle="1" w:styleId="MessShortTitle">
    <w:name w:val="MessShortTitle"/>
    <w:basedOn w:val="Head2"/>
    <w:rsid w:val="00235855"/>
  </w:style>
  <w:style w:type="paragraph" w:customStyle="1" w:styleId="TableHeading">
    <w:name w:val="TableHeading"/>
    <w:aliases w:val="th"/>
    <w:basedOn w:val="OPCParaBase"/>
    <w:next w:val="Tabletext"/>
    <w:rsid w:val="00235855"/>
    <w:pPr>
      <w:spacing w:before="60" w:line="240" w:lineRule="atLeast"/>
    </w:pPr>
    <w:rPr>
      <w:b/>
      <w:sz w:val="20"/>
    </w:rPr>
  </w:style>
  <w:style w:type="paragraph" w:customStyle="1" w:styleId="Specials">
    <w:name w:val="Special s"/>
    <w:basedOn w:val="ActHead5"/>
    <w:link w:val="SpecialsChar"/>
    <w:rsid w:val="00295967"/>
    <w:pPr>
      <w:outlineLvl w:val="9"/>
    </w:pPr>
  </w:style>
  <w:style w:type="character" w:customStyle="1" w:styleId="SpecialsChar">
    <w:name w:val="Special s Char"/>
    <w:basedOn w:val="DefaultParagraphFont"/>
    <w:link w:val="Specials"/>
    <w:rsid w:val="0029596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5EFF-7ADB-4581-8471-BC6E711B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10</Pages>
  <Words>3997</Words>
  <Characters>20748</Characters>
  <Application>Microsoft Office Word</Application>
  <DocSecurity>0</DocSecurity>
  <Lines>461</Lines>
  <Paragraphs>321</Paragraphs>
  <ScaleCrop>false</ScaleCrop>
  <HeadingPairs>
    <vt:vector size="2" baseType="variant">
      <vt:variant>
        <vt:lpstr>Title</vt:lpstr>
      </vt:variant>
      <vt:variant>
        <vt:i4>1</vt:i4>
      </vt:variant>
    </vt:vector>
  </HeadingPairs>
  <TitlesOfParts>
    <vt:vector size="1" baseType="lpstr">
      <vt:lpstr>Drafting Direction No. 1.1A Names of instruments and provision units of instruments</vt:lpstr>
    </vt:vector>
  </TitlesOfParts>
  <Company>Office of Parliamentary Counsel</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1.1A Names of instruments and provision units of instruments</dc:title>
  <dc:subject/>
  <dc:creator>ghassemi</dc:creator>
  <cp:keywords/>
  <dc:description/>
  <cp:lastModifiedBy>Sait, Matthew</cp:lastModifiedBy>
  <cp:revision>3</cp:revision>
  <cp:lastPrinted>2014-10-14T22:08:00Z</cp:lastPrinted>
  <dcterms:created xsi:type="dcterms:W3CDTF">2022-07-11T00:36:00Z</dcterms:created>
  <dcterms:modified xsi:type="dcterms:W3CDTF">2022-07-11T00:36:00Z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1</vt:lpwstr>
  </property>
  <property fmtid="{D5CDD505-2E9C-101B-9397-08002B2CF9AE}" pid="4" name="ChangedTitle">
    <vt:lpwstr>DRAFT Drafting Direction No. 1.1A Names of instruments and provision units of instruments</vt:lpwstr>
  </property>
  <property fmtid="{D5CDD505-2E9C-101B-9397-08002B2CF9AE}" pid="5" name="DLM">
    <vt:lpwstr> </vt:lpwstr>
  </property>
</Properties>
</file>