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0DF8" w14:textId="52086C2A" w:rsidR="00CC3522" w:rsidRPr="00690468" w:rsidRDefault="00CC3522" w:rsidP="00B06BEA">
      <w:pPr>
        <w:pStyle w:val="Heading1"/>
        <w:jc w:val="center"/>
      </w:pPr>
      <w:r w:rsidRPr="00690468">
        <w:t>Gender Pay Gap Employer Statement</w:t>
      </w:r>
    </w:p>
    <w:p w14:paraId="124CD6A8" w14:textId="06C1526E" w:rsidR="002114E9" w:rsidRPr="00690468" w:rsidRDefault="002114E9" w:rsidP="00690468">
      <w:pPr>
        <w:pStyle w:val="Heading2"/>
      </w:pPr>
      <w:r w:rsidRPr="00690468">
        <w:t>Introduction</w:t>
      </w:r>
    </w:p>
    <w:p w14:paraId="6BDFADCD" w14:textId="0CFB4057" w:rsidR="006814A8" w:rsidRPr="00690468" w:rsidRDefault="006814A8" w:rsidP="0029654E">
      <w:pPr>
        <w:rPr>
          <w:rFonts w:ascii="Open Sans" w:hAnsi="Open Sans" w:cs="Open Sans"/>
          <w:sz w:val="22"/>
          <w:szCs w:val="22"/>
        </w:rPr>
      </w:pPr>
      <w:r w:rsidRPr="00690468">
        <w:rPr>
          <w:rFonts w:ascii="Open Sans" w:hAnsi="Open Sans" w:cs="Open Sans"/>
          <w:sz w:val="22"/>
          <w:szCs w:val="22"/>
        </w:rPr>
        <w:t>Office of Parliamentary Counsel</w:t>
      </w:r>
      <w:r w:rsidR="004C49E4" w:rsidRPr="00690468">
        <w:rPr>
          <w:rFonts w:ascii="Open Sans" w:hAnsi="Open Sans" w:cs="Open Sans"/>
          <w:sz w:val="22"/>
          <w:szCs w:val="22"/>
        </w:rPr>
        <w:t xml:space="preserve"> (OPC)</w:t>
      </w:r>
      <w:r w:rsidR="00CC3522" w:rsidRPr="00690468">
        <w:rPr>
          <w:rFonts w:ascii="Open Sans" w:hAnsi="Open Sans" w:cs="Open Sans"/>
          <w:sz w:val="22"/>
          <w:szCs w:val="22"/>
        </w:rPr>
        <w:t xml:space="preserve"> participates in the Workplace Gender Equality Agency (WGEA) public sector reporting program. This program helps identify gender equality issues and put action plans in place. </w:t>
      </w:r>
    </w:p>
    <w:p w14:paraId="17322295" w14:textId="42541656" w:rsidR="004C49E4" w:rsidRPr="00690468" w:rsidRDefault="00A43E9C" w:rsidP="0029654E">
      <w:pPr>
        <w:rPr>
          <w:rFonts w:ascii="Open Sans" w:hAnsi="Open Sans" w:cs="Open Sans"/>
          <w:sz w:val="22"/>
          <w:szCs w:val="22"/>
        </w:rPr>
      </w:pPr>
      <w:r>
        <w:rPr>
          <w:rFonts w:ascii="Open Sans" w:hAnsi="Open Sans" w:cs="Open Sans"/>
          <w:sz w:val="22"/>
          <w:szCs w:val="22"/>
        </w:rPr>
        <w:t>This</w:t>
      </w:r>
      <w:r w:rsidR="00CC3522" w:rsidRPr="00690468">
        <w:rPr>
          <w:rFonts w:ascii="Open Sans" w:hAnsi="Open Sans" w:cs="Open Sans"/>
          <w:sz w:val="22"/>
          <w:szCs w:val="22"/>
        </w:rPr>
        <w:t xml:space="preserve"> Gender Pay Gap Employer Statement was endorsed by </w:t>
      </w:r>
      <w:r w:rsidR="004C49E4" w:rsidRPr="00690468">
        <w:rPr>
          <w:rFonts w:ascii="Open Sans" w:hAnsi="Open Sans" w:cs="Open Sans"/>
          <w:sz w:val="22"/>
          <w:szCs w:val="22"/>
        </w:rPr>
        <w:t>the First Parliamentary Counsel, Meredith Leigh (she/her)</w:t>
      </w:r>
      <w:r w:rsidR="00CC3522" w:rsidRPr="00690468">
        <w:rPr>
          <w:rFonts w:ascii="Open Sans" w:hAnsi="Open Sans" w:cs="Open Sans"/>
          <w:sz w:val="22"/>
          <w:szCs w:val="22"/>
        </w:rPr>
        <w:t xml:space="preserve"> on </w:t>
      </w:r>
      <w:r w:rsidR="00D6037C">
        <w:rPr>
          <w:rFonts w:ascii="Open Sans" w:hAnsi="Open Sans" w:cs="Open Sans"/>
          <w:sz w:val="22"/>
          <w:szCs w:val="22"/>
        </w:rPr>
        <w:t>24</w:t>
      </w:r>
      <w:r w:rsidR="004C49E4" w:rsidRPr="00690468">
        <w:rPr>
          <w:rFonts w:ascii="Open Sans" w:hAnsi="Open Sans" w:cs="Open Sans"/>
          <w:sz w:val="22"/>
          <w:szCs w:val="22"/>
        </w:rPr>
        <w:t xml:space="preserve"> </w:t>
      </w:r>
      <w:r w:rsidR="00D6037C">
        <w:rPr>
          <w:rFonts w:ascii="Open Sans" w:hAnsi="Open Sans" w:cs="Open Sans"/>
          <w:sz w:val="22"/>
          <w:szCs w:val="22"/>
        </w:rPr>
        <w:t>March</w:t>
      </w:r>
      <w:r w:rsidR="004C49E4" w:rsidRPr="00690468">
        <w:rPr>
          <w:rFonts w:ascii="Open Sans" w:hAnsi="Open Sans" w:cs="Open Sans"/>
          <w:sz w:val="22"/>
          <w:szCs w:val="22"/>
        </w:rPr>
        <w:t xml:space="preserve"> </w:t>
      </w:r>
      <w:r w:rsidR="00CC3522" w:rsidRPr="00690468">
        <w:rPr>
          <w:rFonts w:ascii="Open Sans" w:hAnsi="Open Sans" w:cs="Open Sans"/>
          <w:sz w:val="22"/>
          <w:szCs w:val="22"/>
        </w:rPr>
        <w:t>202</w:t>
      </w:r>
      <w:r w:rsidR="006814A8" w:rsidRPr="00690468">
        <w:rPr>
          <w:rFonts w:ascii="Open Sans" w:hAnsi="Open Sans" w:cs="Open Sans"/>
          <w:sz w:val="22"/>
          <w:szCs w:val="22"/>
        </w:rPr>
        <w:t>5</w:t>
      </w:r>
      <w:r w:rsidR="00CC3522" w:rsidRPr="00690468">
        <w:rPr>
          <w:rFonts w:ascii="Open Sans" w:hAnsi="Open Sans" w:cs="Open Sans"/>
          <w:sz w:val="22"/>
          <w:szCs w:val="22"/>
        </w:rPr>
        <w:t xml:space="preserve">. </w:t>
      </w:r>
    </w:p>
    <w:p w14:paraId="2FBABB04" w14:textId="1FA7D8A2" w:rsidR="00CC3522" w:rsidRPr="00690468" w:rsidRDefault="00CC3522" w:rsidP="0029654E">
      <w:pPr>
        <w:rPr>
          <w:rFonts w:ascii="Open Sans" w:hAnsi="Open Sans" w:cs="Open Sans"/>
          <w:sz w:val="22"/>
          <w:szCs w:val="22"/>
        </w:rPr>
      </w:pPr>
      <w:r w:rsidRPr="00690468">
        <w:rPr>
          <w:rFonts w:ascii="Open Sans" w:hAnsi="Open Sans" w:cs="Open Sans"/>
          <w:sz w:val="22"/>
          <w:szCs w:val="22"/>
        </w:rPr>
        <w:t xml:space="preserve">The Statement provides </w:t>
      </w:r>
      <w:r w:rsidR="004C49E4" w:rsidRPr="00690468">
        <w:rPr>
          <w:rFonts w:ascii="Open Sans" w:hAnsi="Open Sans" w:cs="Open Sans"/>
          <w:sz w:val="22"/>
          <w:szCs w:val="22"/>
        </w:rPr>
        <w:t>OPC</w:t>
      </w:r>
      <w:r w:rsidR="004214FD" w:rsidRPr="00690468">
        <w:rPr>
          <w:rFonts w:ascii="Open Sans" w:hAnsi="Open Sans" w:cs="Open Sans"/>
          <w:sz w:val="22"/>
          <w:szCs w:val="22"/>
        </w:rPr>
        <w:t>’s</w:t>
      </w:r>
      <w:r w:rsidRPr="00690468">
        <w:rPr>
          <w:rFonts w:ascii="Open Sans" w:hAnsi="Open Sans" w:cs="Open Sans"/>
          <w:sz w:val="22"/>
          <w:szCs w:val="22"/>
        </w:rPr>
        <w:t xml:space="preserve"> commitment to </w:t>
      </w:r>
      <w:r w:rsidR="00987527" w:rsidRPr="00690468">
        <w:rPr>
          <w:rFonts w:ascii="Open Sans" w:hAnsi="Open Sans" w:cs="Open Sans"/>
          <w:sz w:val="22"/>
          <w:szCs w:val="22"/>
        </w:rPr>
        <w:t xml:space="preserve">providing a gender equal experience at work, and to </w:t>
      </w:r>
      <w:r w:rsidRPr="00690468">
        <w:rPr>
          <w:rFonts w:ascii="Open Sans" w:hAnsi="Open Sans" w:cs="Open Sans"/>
          <w:sz w:val="22"/>
          <w:szCs w:val="22"/>
        </w:rPr>
        <w:t>address gender pay gap disparities</w:t>
      </w:r>
      <w:r w:rsidR="00987527" w:rsidRPr="00690468">
        <w:rPr>
          <w:rFonts w:ascii="Open Sans" w:hAnsi="Open Sans" w:cs="Open Sans"/>
          <w:sz w:val="22"/>
          <w:szCs w:val="22"/>
        </w:rPr>
        <w:t>.</w:t>
      </w:r>
    </w:p>
    <w:p w14:paraId="2896636A" w14:textId="791391B0" w:rsidR="002114E9" w:rsidRPr="00690468" w:rsidRDefault="002114E9" w:rsidP="00690468">
      <w:pPr>
        <w:pStyle w:val="Heading2"/>
      </w:pPr>
      <w:r w:rsidRPr="00690468">
        <w:t>Our current workforce gender profile</w:t>
      </w:r>
    </w:p>
    <w:p w14:paraId="25558CED" w14:textId="6070FF63" w:rsidR="00182AA6" w:rsidRDefault="00182AA6" w:rsidP="0029654E">
      <w:pPr>
        <w:rPr>
          <w:rFonts w:ascii="Open Sans" w:hAnsi="Open Sans" w:cs="Open Sans"/>
          <w:sz w:val="22"/>
          <w:szCs w:val="22"/>
        </w:rPr>
      </w:pPr>
      <w:r>
        <w:rPr>
          <w:rFonts w:ascii="Open Sans" w:hAnsi="Open Sans" w:cs="Open Sans"/>
          <w:sz w:val="22"/>
          <w:szCs w:val="22"/>
        </w:rPr>
        <w:t>In December 2023</w:t>
      </w:r>
      <w:r w:rsidR="00D6037C">
        <w:rPr>
          <w:rFonts w:ascii="Open Sans" w:hAnsi="Open Sans" w:cs="Open Sans"/>
          <w:sz w:val="22"/>
          <w:szCs w:val="22"/>
        </w:rPr>
        <w:t>,</w:t>
      </w:r>
      <w:r>
        <w:rPr>
          <w:rFonts w:ascii="Open Sans" w:hAnsi="Open Sans" w:cs="Open Sans"/>
          <w:sz w:val="22"/>
          <w:szCs w:val="22"/>
        </w:rPr>
        <w:t xml:space="preserve"> </w:t>
      </w:r>
      <w:r w:rsidR="00EF0DFE">
        <w:rPr>
          <w:rFonts w:ascii="Open Sans" w:hAnsi="Open Sans" w:cs="Open Sans"/>
          <w:sz w:val="22"/>
          <w:szCs w:val="22"/>
        </w:rPr>
        <w:t>OPC’s</w:t>
      </w:r>
      <w:r w:rsidR="0086178E">
        <w:rPr>
          <w:rFonts w:ascii="Open Sans" w:hAnsi="Open Sans" w:cs="Open Sans"/>
          <w:sz w:val="22"/>
          <w:szCs w:val="22"/>
        </w:rPr>
        <w:t xml:space="preserve"> workforce was disproportionally female</w:t>
      </w:r>
      <w:r w:rsidR="00C87588">
        <w:rPr>
          <w:rFonts w:ascii="Open Sans" w:hAnsi="Open Sans" w:cs="Open Sans"/>
          <w:sz w:val="22"/>
          <w:szCs w:val="22"/>
        </w:rPr>
        <w:t xml:space="preserve">, with 64% of employees overall being female. While all of our most senior positions are occupied by women, </w:t>
      </w:r>
      <w:r w:rsidR="005306EE">
        <w:rPr>
          <w:rFonts w:ascii="Open Sans" w:hAnsi="Open Sans" w:cs="Open Sans"/>
          <w:sz w:val="22"/>
          <w:szCs w:val="22"/>
        </w:rPr>
        <w:t xml:space="preserve">Figure 1 below demonstrates that there is close to gender </w:t>
      </w:r>
      <w:r w:rsidR="00A43E9C">
        <w:rPr>
          <w:rFonts w:ascii="Open Sans" w:hAnsi="Open Sans" w:cs="Open Sans"/>
          <w:sz w:val="22"/>
          <w:szCs w:val="22"/>
        </w:rPr>
        <w:t>parity</w:t>
      </w:r>
      <w:r w:rsidR="005306EE">
        <w:rPr>
          <w:rFonts w:ascii="Open Sans" w:hAnsi="Open Sans" w:cs="Open Sans"/>
          <w:sz w:val="22"/>
          <w:szCs w:val="22"/>
        </w:rPr>
        <w:t xml:space="preserve"> in the upper pay quartiles. However, </w:t>
      </w:r>
      <w:r w:rsidR="002F7A5C">
        <w:rPr>
          <w:rFonts w:ascii="Open Sans" w:hAnsi="Open Sans" w:cs="Open Sans"/>
          <w:sz w:val="22"/>
          <w:szCs w:val="22"/>
        </w:rPr>
        <w:t>a</w:t>
      </w:r>
      <w:r w:rsidR="005306EE">
        <w:rPr>
          <w:rFonts w:ascii="Open Sans" w:hAnsi="Open Sans" w:cs="Open Sans"/>
          <w:sz w:val="22"/>
          <w:szCs w:val="22"/>
        </w:rPr>
        <w:t xml:space="preserve"> gender </w:t>
      </w:r>
      <w:r w:rsidR="002F7A5C">
        <w:rPr>
          <w:rFonts w:ascii="Open Sans" w:hAnsi="Open Sans" w:cs="Open Sans"/>
          <w:sz w:val="22"/>
          <w:szCs w:val="22"/>
        </w:rPr>
        <w:t>imbalance</w:t>
      </w:r>
      <w:r w:rsidR="005306EE">
        <w:rPr>
          <w:rFonts w:ascii="Open Sans" w:hAnsi="Open Sans" w:cs="Open Sans"/>
          <w:sz w:val="22"/>
          <w:szCs w:val="22"/>
        </w:rPr>
        <w:t xml:space="preserve"> is clear in the lower pay quartiles, which are predominantly female. </w:t>
      </w:r>
    </w:p>
    <w:p w14:paraId="2B76C078" w14:textId="7AB778EB" w:rsidR="00657009" w:rsidRDefault="00657009" w:rsidP="00657009">
      <w:pPr>
        <w:rPr>
          <w:rFonts w:ascii="Open Sans" w:hAnsi="Open Sans" w:cs="Open Sans"/>
          <w:sz w:val="22"/>
          <w:szCs w:val="22"/>
        </w:rPr>
      </w:pPr>
      <w:r>
        <w:rPr>
          <w:rFonts w:ascii="Open Sans" w:hAnsi="Open Sans" w:cs="Open Sans"/>
          <w:sz w:val="22"/>
          <w:szCs w:val="22"/>
        </w:rPr>
        <w:t xml:space="preserve">Our pattern of employing predominantly women in lower paid, administrative positions reflects current community norms. Our </w:t>
      </w:r>
      <w:r w:rsidR="0012770B">
        <w:rPr>
          <w:rFonts w:ascii="Open Sans" w:hAnsi="Open Sans" w:cs="Open Sans"/>
          <w:sz w:val="22"/>
          <w:szCs w:val="22"/>
        </w:rPr>
        <w:t xml:space="preserve">long-standing </w:t>
      </w:r>
      <w:r>
        <w:rPr>
          <w:rFonts w:ascii="Open Sans" w:hAnsi="Open Sans" w:cs="Open Sans"/>
          <w:sz w:val="22"/>
          <w:szCs w:val="22"/>
        </w:rPr>
        <w:t xml:space="preserve">pattern of employing an equal number </w:t>
      </w:r>
      <w:r w:rsidR="005A24D0">
        <w:rPr>
          <w:rFonts w:ascii="Open Sans" w:hAnsi="Open Sans" w:cs="Open Sans"/>
          <w:sz w:val="22"/>
          <w:szCs w:val="22"/>
        </w:rPr>
        <w:t xml:space="preserve">of </w:t>
      </w:r>
      <w:r>
        <w:rPr>
          <w:rFonts w:ascii="Open Sans" w:hAnsi="Open Sans" w:cs="Open Sans"/>
          <w:sz w:val="22"/>
          <w:szCs w:val="22"/>
        </w:rPr>
        <w:t>wom</w:t>
      </w:r>
      <w:r w:rsidR="005A24D0">
        <w:rPr>
          <w:rFonts w:ascii="Open Sans" w:hAnsi="Open Sans" w:cs="Open Sans"/>
          <w:sz w:val="22"/>
          <w:szCs w:val="22"/>
        </w:rPr>
        <w:t>e</w:t>
      </w:r>
      <w:r>
        <w:rPr>
          <w:rFonts w:ascii="Open Sans" w:hAnsi="Open Sans" w:cs="Open Sans"/>
          <w:sz w:val="22"/>
          <w:szCs w:val="22"/>
        </w:rPr>
        <w:t xml:space="preserve">n in higher paid, senior professional positions is </w:t>
      </w:r>
      <w:r w:rsidR="00EB0CAD">
        <w:rPr>
          <w:rFonts w:ascii="Open Sans" w:hAnsi="Open Sans" w:cs="Open Sans"/>
          <w:sz w:val="22"/>
          <w:szCs w:val="22"/>
        </w:rPr>
        <w:t>one</w:t>
      </w:r>
      <w:r>
        <w:rPr>
          <w:rFonts w:ascii="Open Sans" w:hAnsi="Open Sans" w:cs="Open Sans"/>
          <w:sz w:val="22"/>
          <w:szCs w:val="22"/>
        </w:rPr>
        <w:t xml:space="preserve"> of which we are proud. </w:t>
      </w:r>
    </w:p>
    <w:p w14:paraId="05C290A4" w14:textId="54D9BEFE" w:rsidR="00657009" w:rsidRDefault="002F7A5C" w:rsidP="00657009">
      <w:pPr>
        <w:rPr>
          <w:rFonts w:ascii="Open Sans" w:hAnsi="Open Sans" w:cs="Open Sans"/>
          <w:sz w:val="22"/>
          <w:szCs w:val="22"/>
        </w:rPr>
      </w:pPr>
      <w:r>
        <w:rPr>
          <w:rFonts w:ascii="Open Sans" w:hAnsi="Open Sans" w:cs="Open Sans"/>
          <w:sz w:val="22"/>
          <w:szCs w:val="22"/>
        </w:rPr>
        <w:t>Figure 2 below shows that t</w:t>
      </w:r>
      <w:r w:rsidR="00657009" w:rsidRPr="00690468">
        <w:rPr>
          <w:rFonts w:ascii="Open Sans" w:hAnsi="Open Sans" w:cs="Open Sans"/>
          <w:sz w:val="22"/>
          <w:szCs w:val="22"/>
        </w:rPr>
        <w:t xml:space="preserve">he number of women employed </w:t>
      </w:r>
      <w:r w:rsidR="00657009">
        <w:rPr>
          <w:rFonts w:ascii="Open Sans" w:hAnsi="Open Sans" w:cs="Open Sans"/>
          <w:sz w:val="22"/>
          <w:szCs w:val="22"/>
        </w:rPr>
        <w:t xml:space="preserve">at OPC </w:t>
      </w:r>
      <w:r w:rsidR="00657009" w:rsidRPr="00690468">
        <w:rPr>
          <w:rFonts w:ascii="Open Sans" w:hAnsi="Open Sans" w:cs="Open Sans"/>
          <w:sz w:val="22"/>
          <w:szCs w:val="22"/>
        </w:rPr>
        <w:t xml:space="preserve">has been greater than the number of men employed </w:t>
      </w:r>
      <w:r w:rsidR="00657009">
        <w:rPr>
          <w:rFonts w:ascii="Open Sans" w:hAnsi="Open Sans" w:cs="Open Sans"/>
          <w:sz w:val="22"/>
          <w:szCs w:val="22"/>
        </w:rPr>
        <w:t xml:space="preserve">for over 10 years, including the </w:t>
      </w:r>
      <w:r w:rsidR="00657009" w:rsidRPr="00690468">
        <w:rPr>
          <w:rFonts w:ascii="Open Sans" w:hAnsi="Open Sans" w:cs="Open Sans"/>
          <w:sz w:val="22"/>
          <w:szCs w:val="22"/>
        </w:rPr>
        <w:t>number of women in Senior Executive Service positions</w:t>
      </w:r>
      <w:r w:rsidR="00657009">
        <w:rPr>
          <w:rFonts w:ascii="Open Sans" w:hAnsi="Open Sans" w:cs="Open Sans"/>
          <w:sz w:val="22"/>
          <w:szCs w:val="22"/>
        </w:rPr>
        <w:t>. While the data is not directly comparable (Figure 1 reports pay quartiles and Figure 2 reports classifications), the patterns are similar.</w:t>
      </w:r>
    </w:p>
    <w:p w14:paraId="04F14C91" w14:textId="1AD9F837" w:rsidR="00EB0CAD" w:rsidRDefault="00EB0CAD" w:rsidP="00657009">
      <w:pPr>
        <w:rPr>
          <w:rFonts w:ascii="Open Sans" w:hAnsi="Open Sans" w:cs="Open Sans"/>
          <w:sz w:val="22"/>
          <w:szCs w:val="22"/>
        </w:rPr>
      </w:pPr>
      <w:r>
        <w:rPr>
          <w:rFonts w:ascii="Open Sans" w:hAnsi="Open Sans" w:cs="Open Sans"/>
          <w:sz w:val="22"/>
          <w:szCs w:val="22"/>
        </w:rPr>
        <w:t xml:space="preserve">Our employment patterns </w:t>
      </w:r>
      <w:r w:rsidR="00A569C0">
        <w:rPr>
          <w:rFonts w:ascii="Open Sans" w:hAnsi="Open Sans" w:cs="Open Sans"/>
          <w:sz w:val="22"/>
          <w:szCs w:val="22"/>
        </w:rPr>
        <w:t xml:space="preserve">at lower classifications </w:t>
      </w:r>
      <w:r>
        <w:rPr>
          <w:rFonts w:ascii="Open Sans" w:hAnsi="Open Sans" w:cs="Open Sans"/>
          <w:sz w:val="22"/>
          <w:szCs w:val="22"/>
        </w:rPr>
        <w:t>are similar to the APS as a whole. APS-wide</w:t>
      </w:r>
      <w:r w:rsidRPr="00EB0CAD">
        <w:rPr>
          <w:rFonts w:ascii="Open Sans" w:hAnsi="Open Sans" w:cs="Open Sans"/>
          <w:sz w:val="22"/>
          <w:szCs w:val="22"/>
        </w:rPr>
        <w:t xml:space="preserve"> data show that women have historically been underrepresented at higher classification levels (EL 2 and above) and overrepresented at lower classification levels (APS 2–6)</w:t>
      </w:r>
      <w:r w:rsidR="00C14B60">
        <w:rPr>
          <w:rStyle w:val="FootnoteReference"/>
          <w:rFonts w:ascii="Open Sans" w:hAnsi="Open Sans" w:cs="Open Sans"/>
          <w:sz w:val="22"/>
          <w:szCs w:val="22"/>
        </w:rPr>
        <w:footnoteReference w:id="1"/>
      </w:r>
      <w:r w:rsidRPr="00EB0CAD">
        <w:rPr>
          <w:rFonts w:ascii="Open Sans" w:hAnsi="Open Sans" w:cs="Open Sans"/>
          <w:sz w:val="22"/>
          <w:szCs w:val="22"/>
        </w:rPr>
        <w:t>.</w:t>
      </w:r>
    </w:p>
    <w:p w14:paraId="1B255B07" w14:textId="77777777" w:rsidR="00657009" w:rsidRDefault="00657009">
      <w:pPr>
        <w:rPr>
          <w:rFonts w:ascii="Open Sans" w:hAnsi="Open Sans" w:cs="Open Sans"/>
          <w:b/>
          <w:bCs/>
          <w:sz w:val="22"/>
          <w:szCs w:val="22"/>
        </w:rPr>
      </w:pPr>
      <w:r>
        <w:rPr>
          <w:rFonts w:ascii="Open Sans" w:hAnsi="Open Sans" w:cs="Open Sans"/>
          <w:b/>
          <w:bCs/>
          <w:sz w:val="22"/>
          <w:szCs w:val="22"/>
        </w:rPr>
        <w:br w:type="page"/>
      </w:r>
    </w:p>
    <w:p w14:paraId="406CC345" w14:textId="6BF6E244" w:rsidR="0086178E" w:rsidRPr="00F24500" w:rsidRDefault="005306EE" w:rsidP="0029654E">
      <w:pPr>
        <w:rPr>
          <w:rFonts w:ascii="Open Sans" w:hAnsi="Open Sans" w:cs="Open Sans"/>
          <w:b/>
          <w:bCs/>
          <w:sz w:val="22"/>
          <w:szCs w:val="22"/>
        </w:rPr>
      </w:pPr>
      <w:r>
        <w:rPr>
          <w:rFonts w:ascii="Open Sans" w:hAnsi="Open Sans" w:cs="Open Sans"/>
          <w:b/>
          <w:bCs/>
          <w:sz w:val="22"/>
          <w:szCs w:val="22"/>
        </w:rPr>
        <w:lastRenderedPageBreak/>
        <w:t xml:space="preserve">Figure 1: </w:t>
      </w:r>
      <w:r w:rsidR="0086178E" w:rsidRPr="00F24500">
        <w:rPr>
          <w:rFonts w:ascii="Open Sans" w:hAnsi="Open Sans" w:cs="Open Sans"/>
          <w:b/>
          <w:bCs/>
          <w:sz w:val="22"/>
          <w:szCs w:val="22"/>
        </w:rPr>
        <w:t>Gender composition by pay quartile December 2023</w:t>
      </w:r>
    </w:p>
    <w:p w14:paraId="1470F0E0" w14:textId="154EDEAB" w:rsidR="00182AA6" w:rsidRDefault="0086178E" w:rsidP="0029654E">
      <w:pPr>
        <w:rPr>
          <w:rFonts w:ascii="Open Sans" w:hAnsi="Open Sans" w:cs="Open Sans"/>
          <w:sz w:val="22"/>
          <w:szCs w:val="22"/>
        </w:rPr>
      </w:pPr>
      <w:r w:rsidRPr="0086178E">
        <w:rPr>
          <w:rFonts w:ascii="Open Sans" w:hAnsi="Open Sans" w:cs="Open Sans"/>
          <w:noProof/>
          <w:sz w:val="22"/>
          <w:szCs w:val="22"/>
        </w:rPr>
        <w:drawing>
          <wp:inline distT="0" distB="0" distL="0" distR="0" wp14:anchorId="0DC10451" wp14:editId="6B9D31E5">
            <wp:extent cx="5210175" cy="3162300"/>
            <wp:effectExtent l="0" t="0" r="9525" b="0"/>
            <wp:docPr id="1861017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17661" name=""/>
                    <pic:cNvPicPr/>
                  </pic:nvPicPr>
                  <pic:blipFill>
                    <a:blip r:embed="rId8"/>
                    <a:stretch>
                      <a:fillRect/>
                    </a:stretch>
                  </pic:blipFill>
                  <pic:spPr>
                    <a:xfrm>
                      <a:off x="0" y="0"/>
                      <a:ext cx="5210907" cy="3162744"/>
                    </a:xfrm>
                    <a:prstGeom prst="rect">
                      <a:avLst/>
                    </a:prstGeom>
                  </pic:spPr>
                </pic:pic>
              </a:graphicData>
            </a:graphic>
          </wp:inline>
        </w:drawing>
      </w:r>
    </w:p>
    <w:p w14:paraId="55ABCF7B" w14:textId="77777777" w:rsidR="00182AA6" w:rsidRDefault="00182AA6" w:rsidP="0029654E">
      <w:pPr>
        <w:rPr>
          <w:rFonts w:ascii="Open Sans" w:hAnsi="Open Sans" w:cs="Open Sans"/>
          <w:sz w:val="22"/>
          <w:szCs w:val="22"/>
        </w:rPr>
      </w:pPr>
    </w:p>
    <w:p w14:paraId="27A16CF2" w14:textId="77777777" w:rsidR="00182AA6" w:rsidRDefault="00182AA6" w:rsidP="0029654E">
      <w:pPr>
        <w:rPr>
          <w:rFonts w:ascii="Open Sans" w:hAnsi="Open Sans" w:cs="Open Sans"/>
          <w:sz w:val="22"/>
          <w:szCs w:val="22"/>
        </w:rPr>
      </w:pPr>
    </w:p>
    <w:p w14:paraId="1F0418FF" w14:textId="77777777" w:rsidR="00B476D6" w:rsidRPr="00B476D6" w:rsidRDefault="00041C99" w:rsidP="00B476D6">
      <w:pPr>
        <w:rPr>
          <w:rFonts w:ascii="Open Sans" w:hAnsi="Open Sans" w:cs="Open Sans"/>
          <w:b/>
          <w:bCs/>
          <w:sz w:val="22"/>
          <w:szCs w:val="22"/>
        </w:rPr>
      </w:pPr>
      <w:r w:rsidRPr="00B476D6">
        <w:rPr>
          <w:rFonts w:ascii="Open Sans" w:hAnsi="Open Sans" w:cs="Open Sans"/>
          <w:b/>
          <w:bCs/>
          <w:sz w:val="22"/>
          <w:szCs w:val="22"/>
        </w:rPr>
        <w:t xml:space="preserve">Figure 2: </w:t>
      </w:r>
      <w:r w:rsidR="00B476D6" w:rsidRPr="00B476D6">
        <w:rPr>
          <w:rFonts w:ascii="Open Sans" w:hAnsi="Open Sans" w:cs="Open Sans"/>
          <w:b/>
          <w:bCs/>
          <w:sz w:val="22"/>
          <w:szCs w:val="22"/>
        </w:rPr>
        <w:t>Gender Composition by classification June 2012</w:t>
      </w:r>
    </w:p>
    <w:p w14:paraId="04C1BFA4" w14:textId="33C26A49" w:rsidR="00041C99" w:rsidRPr="00690468" w:rsidRDefault="00041C99" w:rsidP="0029654E">
      <w:pPr>
        <w:rPr>
          <w:rFonts w:ascii="Open Sans" w:hAnsi="Open Sans" w:cs="Open Sans"/>
          <w:sz w:val="22"/>
          <w:szCs w:val="22"/>
        </w:rPr>
      </w:pPr>
      <w:r>
        <w:rPr>
          <w:noProof/>
        </w:rPr>
        <w:drawing>
          <wp:inline distT="0" distB="0" distL="0" distR="0" wp14:anchorId="44744E75" wp14:editId="77C61FD9">
            <wp:extent cx="5707380" cy="2743200"/>
            <wp:effectExtent l="0" t="0" r="7620" b="0"/>
            <wp:docPr id="1858041310" name="Chart 1">
              <a:extLst xmlns:a="http://schemas.openxmlformats.org/drawingml/2006/main">
                <a:ext uri="{FF2B5EF4-FFF2-40B4-BE49-F238E27FC236}">
                  <a16:creationId xmlns:a16="http://schemas.microsoft.com/office/drawing/2014/main" id="{A737CB84-2A8F-2CB2-D887-32F084AF0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7A1FB4" w14:textId="77777777" w:rsidR="00657009" w:rsidRDefault="00657009">
      <w:pPr>
        <w:rPr>
          <w:rFonts w:asciiTheme="majorHAnsi" w:eastAsiaTheme="majorEastAsia" w:hAnsiTheme="majorHAnsi" w:cstheme="majorBidi"/>
          <w:color w:val="0F4761" w:themeColor="accent1" w:themeShade="BF"/>
          <w:sz w:val="32"/>
          <w:szCs w:val="40"/>
        </w:rPr>
      </w:pPr>
      <w:r>
        <w:br w:type="page"/>
      </w:r>
    </w:p>
    <w:p w14:paraId="1039F714" w14:textId="0321D1CC" w:rsidR="007D48C9" w:rsidRDefault="00B443F3" w:rsidP="00690468">
      <w:pPr>
        <w:pStyle w:val="Heading2"/>
      </w:pPr>
      <w:r w:rsidRPr="00690468">
        <w:lastRenderedPageBreak/>
        <w:t>Our current gender pay gap</w:t>
      </w:r>
    </w:p>
    <w:p w14:paraId="6085087D" w14:textId="62EF4973" w:rsidR="00170ED2" w:rsidRDefault="00BC36E1" w:rsidP="00170ED2">
      <w:r>
        <w:t xml:space="preserve">Our gender pay gap is reported as the median </w:t>
      </w:r>
      <w:r w:rsidR="00C92B0F">
        <w:t>of total remuneration and base salary</w:t>
      </w:r>
      <w:r w:rsidR="00545768">
        <w:t>,</w:t>
      </w:r>
      <w:r w:rsidR="00C92B0F">
        <w:t xml:space="preserve"> shown in Figure 3 below. At 29.3% and 28.8% respectively, both of these median figures </w:t>
      </w:r>
      <w:r w:rsidR="0007651C">
        <w:t>show</w:t>
      </w:r>
      <w:r w:rsidR="00C92B0F">
        <w:t xml:space="preserve"> </w:t>
      </w:r>
      <w:r w:rsidR="0007651C">
        <w:t xml:space="preserve">that the gender pay gap is little changed from 2022. Analysis of the data </w:t>
      </w:r>
      <w:r w:rsidR="00371106">
        <w:t xml:space="preserve">reveals that </w:t>
      </w:r>
      <w:r w:rsidR="0007651C">
        <w:t xml:space="preserve">the primary driver of our gender pay gap is the </w:t>
      </w:r>
      <w:r w:rsidR="00046D6C">
        <w:t>low number of men employed in the lower pay quartiles, a</w:t>
      </w:r>
      <w:r w:rsidR="00371106">
        <w:t>s noted above</w:t>
      </w:r>
      <w:r w:rsidR="00046D6C">
        <w:t>.</w:t>
      </w:r>
    </w:p>
    <w:p w14:paraId="26B8DD34" w14:textId="636229D2" w:rsidR="00657009" w:rsidRDefault="00D6037C" w:rsidP="00170ED2">
      <w:r>
        <w:t xml:space="preserve">This does not </w:t>
      </w:r>
      <w:r w:rsidR="00657009">
        <w:t>mean that women are paid less than men for the same role</w:t>
      </w:r>
      <w:r>
        <w:t xml:space="preserve">. </w:t>
      </w:r>
      <w:r w:rsidR="00511061" w:rsidRPr="00511061">
        <w:t>Equal pay</w:t>
      </w:r>
      <w:r w:rsidR="00511061">
        <w:t xml:space="preserve">, </w:t>
      </w:r>
      <w:r w:rsidR="00511061" w:rsidRPr="00511061">
        <w:t>the legal requirement to pay people the same amount for doing the same job, or a job of similar value</w:t>
      </w:r>
      <w:r w:rsidR="00511061">
        <w:t xml:space="preserve">, has </w:t>
      </w:r>
      <w:r w:rsidR="00511061" w:rsidRPr="00511061">
        <w:t>been the law for over 50 years.</w:t>
      </w:r>
    </w:p>
    <w:p w14:paraId="0925F236" w14:textId="68658599" w:rsidR="008A2288" w:rsidRPr="008A2288" w:rsidRDefault="008A2288" w:rsidP="00170ED2">
      <w:pPr>
        <w:rPr>
          <w:b/>
          <w:bCs/>
        </w:rPr>
      </w:pPr>
      <w:r w:rsidRPr="008A2288">
        <w:rPr>
          <w:b/>
          <w:bCs/>
        </w:rPr>
        <w:t>Figure 3: OPC gender pay gap as reported by the Workplace Gender Equality Agency</w:t>
      </w:r>
    </w:p>
    <w:tbl>
      <w:tblPr>
        <w:tblStyle w:val="TableGrid"/>
        <w:tblW w:w="0" w:type="auto"/>
        <w:tblInd w:w="-5" w:type="dxa"/>
        <w:tblLook w:val="04A0" w:firstRow="1" w:lastRow="0" w:firstColumn="1" w:lastColumn="0" w:noHBand="0" w:noVBand="1"/>
      </w:tblPr>
      <w:tblGrid>
        <w:gridCol w:w="3119"/>
        <w:gridCol w:w="2906"/>
        <w:gridCol w:w="2906"/>
      </w:tblGrid>
      <w:tr w:rsidR="00E54E60" w:rsidRPr="00690468" w14:paraId="6E12F6F0" w14:textId="77777777" w:rsidTr="00087FA0">
        <w:trPr>
          <w:trHeight w:val="567"/>
        </w:trPr>
        <w:tc>
          <w:tcPr>
            <w:tcW w:w="3119" w:type="dxa"/>
            <w:vAlign w:val="center"/>
          </w:tcPr>
          <w:p w14:paraId="403A8D0B" w14:textId="77777777" w:rsidR="00E54E60" w:rsidRPr="00690468" w:rsidRDefault="00E54E60" w:rsidP="00087FA0">
            <w:pPr>
              <w:jc w:val="center"/>
              <w:rPr>
                <w:rFonts w:ascii="Open Sans" w:hAnsi="Open Sans" w:cs="Open Sans"/>
                <w:sz w:val="22"/>
                <w:szCs w:val="22"/>
              </w:rPr>
            </w:pPr>
          </w:p>
        </w:tc>
        <w:tc>
          <w:tcPr>
            <w:tcW w:w="2906" w:type="dxa"/>
            <w:shd w:val="clear" w:color="auto" w:fill="77206D" w:themeFill="accent5" w:themeFillShade="BF"/>
            <w:vAlign w:val="center"/>
          </w:tcPr>
          <w:p w14:paraId="2141C354" w14:textId="29AAC845" w:rsidR="00E54E60" w:rsidRPr="00690468" w:rsidRDefault="00E54E60" w:rsidP="00087FA0">
            <w:pPr>
              <w:jc w:val="center"/>
              <w:rPr>
                <w:rFonts w:ascii="Open Sans" w:hAnsi="Open Sans" w:cs="Open Sans"/>
                <w:color w:val="FFFFFF" w:themeColor="background1"/>
                <w:sz w:val="22"/>
                <w:szCs w:val="22"/>
              </w:rPr>
            </w:pPr>
            <w:r w:rsidRPr="00690468">
              <w:rPr>
                <w:rFonts w:ascii="Open Sans" w:hAnsi="Open Sans" w:cs="Open Sans"/>
                <w:color w:val="FFFFFF" w:themeColor="background1"/>
                <w:sz w:val="22"/>
                <w:szCs w:val="22"/>
              </w:rPr>
              <w:t>2023</w:t>
            </w:r>
          </w:p>
        </w:tc>
        <w:tc>
          <w:tcPr>
            <w:tcW w:w="2906" w:type="dxa"/>
            <w:shd w:val="clear" w:color="auto" w:fill="3A7C22" w:themeFill="accent6" w:themeFillShade="BF"/>
            <w:vAlign w:val="center"/>
          </w:tcPr>
          <w:p w14:paraId="5C109397" w14:textId="1228C52E" w:rsidR="00E54E60" w:rsidRPr="00690468" w:rsidRDefault="00E54E60" w:rsidP="00087FA0">
            <w:pPr>
              <w:jc w:val="center"/>
              <w:rPr>
                <w:rFonts w:ascii="Open Sans" w:hAnsi="Open Sans" w:cs="Open Sans"/>
                <w:color w:val="FFFFFF" w:themeColor="background1"/>
                <w:sz w:val="22"/>
                <w:szCs w:val="22"/>
              </w:rPr>
            </w:pPr>
            <w:r w:rsidRPr="00690468">
              <w:rPr>
                <w:rFonts w:ascii="Open Sans" w:hAnsi="Open Sans" w:cs="Open Sans"/>
                <w:color w:val="FFFFFF" w:themeColor="background1"/>
                <w:sz w:val="22"/>
                <w:szCs w:val="22"/>
              </w:rPr>
              <w:t>2022</w:t>
            </w:r>
          </w:p>
        </w:tc>
      </w:tr>
      <w:tr w:rsidR="00E54E60" w:rsidRPr="00690468" w14:paraId="4A21DCAD" w14:textId="77777777" w:rsidTr="0029654E">
        <w:trPr>
          <w:trHeight w:val="567"/>
        </w:trPr>
        <w:tc>
          <w:tcPr>
            <w:tcW w:w="3119" w:type="dxa"/>
            <w:vAlign w:val="center"/>
          </w:tcPr>
          <w:p w14:paraId="68983BEA" w14:textId="77777777" w:rsidR="00E54E60" w:rsidRPr="00690468" w:rsidRDefault="00E54E60" w:rsidP="0029654E">
            <w:pPr>
              <w:rPr>
                <w:rFonts w:ascii="Open Sans" w:hAnsi="Open Sans" w:cs="Open Sans"/>
                <w:sz w:val="22"/>
                <w:szCs w:val="22"/>
              </w:rPr>
            </w:pPr>
            <w:r w:rsidRPr="00690468">
              <w:rPr>
                <w:rFonts w:ascii="Open Sans" w:hAnsi="Open Sans" w:cs="Open Sans"/>
                <w:sz w:val="22"/>
                <w:szCs w:val="22"/>
              </w:rPr>
              <w:t>Average total remuneration</w:t>
            </w:r>
          </w:p>
        </w:tc>
        <w:tc>
          <w:tcPr>
            <w:tcW w:w="2906" w:type="dxa"/>
            <w:shd w:val="clear" w:color="auto" w:fill="D86DCB" w:themeFill="accent5" w:themeFillTint="99"/>
            <w:vAlign w:val="center"/>
          </w:tcPr>
          <w:p w14:paraId="333F71FA"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15.4%</w:t>
            </w:r>
          </w:p>
        </w:tc>
        <w:tc>
          <w:tcPr>
            <w:tcW w:w="2906" w:type="dxa"/>
            <w:shd w:val="clear" w:color="auto" w:fill="8DD873" w:themeFill="accent6" w:themeFillTint="99"/>
            <w:vAlign w:val="center"/>
          </w:tcPr>
          <w:p w14:paraId="525F7E0C"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12.8%</w:t>
            </w:r>
          </w:p>
        </w:tc>
      </w:tr>
      <w:tr w:rsidR="00E54E60" w:rsidRPr="00690468" w14:paraId="4A5613D1" w14:textId="77777777" w:rsidTr="0029654E">
        <w:trPr>
          <w:trHeight w:val="567"/>
        </w:trPr>
        <w:tc>
          <w:tcPr>
            <w:tcW w:w="3119" w:type="dxa"/>
            <w:vAlign w:val="center"/>
          </w:tcPr>
          <w:p w14:paraId="101BA6C7" w14:textId="77777777" w:rsidR="00E54E60" w:rsidRPr="00690468" w:rsidRDefault="00E54E60" w:rsidP="0029654E">
            <w:pPr>
              <w:rPr>
                <w:rFonts w:ascii="Open Sans" w:hAnsi="Open Sans" w:cs="Open Sans"/>
                <w:sz w:val="22"/>
                <w:szCs w:val="22"/>
              </w:rPr>
            </w:pPr>
            <w:r w:rsidRPr="00690468">
              <w:rPr>
                <w:rFonts w:ascii="Open Sans" w:hAnsi="Open Sans" w:cs="Open Sans"/>
                <w:sz w:val="22"/>
                <w:szCs w:val="22"/>
              </w:rPr>
              <w:t>Median total remuneration</w:t>
            </w:r>
          </w:p>
        </w:tc>
        <w:tc>
          <w:tcPr>
            <w:tcW w:w="2906" w:type="dxa"/>
            <w:shd w:val="clear" w:color="auto" w:fill="D86DCB" w:themeFill="accent5" w:themeFillTint="99"/>
            <w:vAlign w:val="center"/>
          </w:tcPr>
          <w:p w14:paraId="0FD9D02D"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29.3%</w:t>
            </w:r>
          </w:p>
        </w:tc>
        <w:tc>
          <w:tcPr>
            <w:tcW w:w="2906" w:type="dxa"/>
            <w:shd w:val="clear" w:color="auto" w:fill="8DD873" w:themeFill="accent6" w:themeFillTint="99"/>
            <w:vAlign w:val="center"/>
          </w:tcPr>
          <w:p w14:paraId="44FB68CC"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28.5%</w:t>
            </w:r>
          </w:p>
        </w:tc>
      </w:tr>
      <w:tr w:rsidR="00E54E60" w:rsidRPr="00690468" w14:paraId="1FBCB840" w14:textId="77777777" w:rsidTr="0029654E">
        <w:trPr>
          <w:trHeight w:val="567"/>
        </w:trPr>
        <w:tc>
          <w:tcPr>
            <w:tcW w:w="3119" w:type="dxa"/>
            <w:vAlign w:val="center"/>
          </w:tcPr>
          <w:p w14:paraId="634322F3" w14:textId="77777777" w:rsidR="00E54E60" w:rsidRPr="00690468" w:rsidRDefault="00E54E60" w:rsidP="0029654E">
            <w:pPr>
              <w:rPr>
                <w:rFonts w:ascii="Open Sans" w:hAnsi="Open Sans" w:cs="Open Sans"/>
                <w:sz w:val="22"/>
                <w:szCs w:val="22"/>
              </w:rPr>
            </w:pPr>
            <w:r w:rsidRPr="00690468">
              <w:rPr>
                <w:rFonts w:ascii="Open Sans" w:hAnsi="Open Sans" w:cs="Open Sans"/>
                <w:sz w:val="22"/>
                <w:szCs w:val="22"/>
              </w:rPr>
              <w:t>Average base salary</w:t>
            </w:r>
          </w:p>
        </w:tc>
        <w:tc>
          <w:tcPr>
            <w:tcW w:w="2906" w:type="dxa"/>
            <w:shd w:val="clear" w:color="auto" w:fill="D86DCB" w:themeFill="accent5" w:themeFillTint="99"/>
            <w:vAlign w:val="center"/>
          </w:tcPr>
          <w:p w14:paraId="21A09EF1"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13.7%</w:t>
            </w:r>
          </w:p>
        </w:tc>
        <w:tc>
          <w:tcPr>
            <w:tcW w:w="2906" w:type="dxa"/>
            <w:shd w:val="clear" w:color="auto" w:fill="8DD873" w:themeFill="accent6" w:themeFillTint="99"/>
            <w:vAlign w:val="center"/>
          </w:tcPr>
          <w:p w14:paraId="1D15653A"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12.1%</w:t>
            </w:r>
          </w:p>
        </w:tc>
      </w:tr>
      <w:tr w:rsidR="00E54E60" w:rsidRPr="00690468" w14:paraId="209F7236" w14:textId="77777777" w:rsidTr="0029654E">
        <w:trPr>
          <w:trHeight w:val="567"/>
        </w:trPr>
        <w:tc>
          <w:tcPr>
            <w:tcW w:w="3119" w:type="dxa"/>
            <w:vAlign w:val="center"/>
          </w:tcPr>
          <w:p w14:paraId="25F53EC0" w14:textId="77777777" w:rsidR="00E54E60" w:rsidRPr="00690468" w:rsidRDefault="00E54E60" w:rsidP="0029654E">
            <w:pPr>
              <w:rPr>
                <w:rFonts w:ascii="Open Sans" w:hAnsi="Open Sans" w:cs="Open Sans"/>
                <w:sz w:val="22"/>
                <w:szCs w:val="22"/>
              </w:rPr>
            </w:pPr>
            <w:r w:rsidRPr="00690468">
              <w:rPr>
                <w:rFonts w:ascii="Open Sans" w:hAnsi="Open Sans" w:cs="Open Sans"/>
                <w:sz w:val="22"/>
                <w:szCs w:val="22"/>
              </w:rPr>
              <w:t>Median base salary</w:t>
            </w:r>
          </w:p>
        </w:tc>
        <w:tc>
          <w:tcPr>
            <w:tcW w:w="2906" w:type="dxa"/>
            <w:shd w:val="clear" w:color="auto" w:fill="D86DCB" w:themeFill="accent5" w:themeFillTint="99"/>
            <w:vAlign w:val="center"/>
          </w:tcPr>
          <w:p w14:paraId="4C751AE0"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28.8%</w:t>
            </w:r>
          </w:p>
        </w:tc>
        <w:tc>
          <w:tcPr>
            <w:tcW w:w="2906" w:type="dxa"/>
            <w:shd w:val="clear" w:color="auto" w:fill="8DD873" w:themeFill="accent6" w:themeFillTint="99"/>
            <w:vAlign w:val="center"/>
          </w:tcPr>
          <w:p w14:paraId="3FE36511" w14:textId="77777777" w:rsidR="00E54E60" w:rsidRPr="00690468" w:rsidRDefault="00E54E60" w:rsidP="00087FA0">
            <w:pPr>
              <w:jc w:val="center"/>
              <w:rPr>
                <w:rFonts w:ascii="Open Sans" w:hAnsi="Open Sans" w:cs="Open Sans"/>
                <w:sz w:val="22"/>
                <w:szCs w:val="22"/>
              </w:rPr>
            </w:pPr>
            <w:r w:rsidRPr="00690468">
              <w:rPr>
                <w:rFonts w:ascii="Open Sans" w:hAnsi="Open Sans" w:cs="Open Sans"/>
                <w:sz w:val="22"/>
                <w:szCs w:val="22"/>
              </w:rPr>
              <w:t>30.4%</w:t>
            </w:r>
          </w:p>
        </w:tc>
      </w:tr>
    </w:tbl>
    <w:p w14:paraId="14DC5292" w14:textId="77777777" w:rsidR="007D48C9" w:rsidRDefault="007D48C9" w:rsidP="0029654E">
      <w:pPr>
        <w:rPr>
          <w:rFonts w:ascii="Open Sans" w:hAnsi="Open Sans" w:cs="Open Sans"/>
          <w:sz w:val="22"/>
          <w:szCs w:val="22"/>
        </w:rPr>
      </w:pPr>
    </w:p>
    <w:p w14:paraId="5EE18DF1" w14:textId="30E6A5E1" w:rsidR="00087FA0" w:rsidRPr="00511061" w:rsidRDefault="00AB7E18" w:rsidP="00511061">
      <w:pPr>
        <w:pStyle w:val="Heading2"/>
      </w:pPr>
      <w:r w:rsidRPr="00511061">
        <w:t xml:space="preserve">Why </w:t>
      </w:r>
      <w:r w:rsidR="001F3A67" w:rsidRPr="00511061">
        <w:t>does it matter?</w:t>
      </w:r>
    </w:p>
    <w:p w14:paraId="5CFBFEDA" w14:textId="77777777" w:rsidR="00DC25E3" w:rsidRPr="005970E7" w:rsidRDefault="00DC25E3" w:rsidP="00DC25E3">
      <w:r w:rsidRPr="005970E7">
        <w:t xml:space="preserve">Research has shown that a diverse, inclusive workforce is more productive and innovative. Such an organisation is better at attracting and retaining the best workers, no matter what their backgrounds are. Having a diverse workforce builds trust with our stakeholders, as we will reflect the community we serve. </w:t>
      </w:r>
    </w:p>
    <w:p w14:paraId="2AEF8B49" w14:textId="321EF368" w:rsidR="001F3A67" w:rsidRDefault="00966C5A" w:rsidP="00966C5A">
      <w:pPr>
        <w:pStyle w:val="Heading2"/>
      </w:pPr>
      <w:r w:rsidRPr="00966C5A">
        <w:t>Our diversity and inclusion strategy</w:t>
      </w:r>
    </w:p>
    <w:p w14:paraId="1615715D" w14:textId="77777777" w:rsidR="00966C5A" w:rsidRDefault="00966C5A" w:rsidP="00924C03">
      <w:r w:rsidRPr="00D21951">
        <w:t xml:space="preserve">The </w:t>
      </w:r>
      <w:r w:rsidRPr="005970E7">
        <w:t xml:space="preserve">aim of our Diversity and Inclusion Strategy is simple: to make OPC a place where our people feel respected and valued, our workplaces are safe, our workforce is diverse and our culture is inclusive. </w:t>
      </w:r>
    </w:p>
    <w:p w14:paraId="35457682" w14:textId="6920E002" w:rsidR="00966C5A" w:rsidRDefault="00966C5A" w:rsidP="00924C03">
      <w:r w:rsidRPr="005970E7">
        <w:t xml:space="preserve">We </w:t>
      </w:r>
      <w:r w:rsidR="00E95172">
        <w:t>are</w:t>
      </w:r>
      <w:r w:rsidRPr="005970E7">
        <w:t xml:space="preserve"> work</w:t>
      </w:r>
      <w:r w:rsidR="00E95172">
        <w:t>ing</w:t>
      </w:r>
      <w:r w:rsidRPr="005970E7">
        <w:t xml:space="preserve"> to achieve equity, which is about creating a fair environment that addresses power imbalances. It means enabling everyone to access what they need to be successful. This can vary depending on the disadvantage and systemic barriers which some people experience compared to others.</w:t>
      </w:r>
    </w:p>
    <w:p w14:paraId="5653B5F8" w14:textId="25FAA062" w:rsidR="00E95172" w:rsidRPr="005970E7" w:rsidRDefault="00E95172" w:rsidP="00924C03">
      <w:r w:rsidRPr="005970E7">
        <w:t xml:space="preserve">We </w:t>
      </w:r>
      <w:r>
        <w:t>are</w:t>
      </w:r>
      <w:r w:rsidRPr="005970E7">
        <w:t xml:space="preserve"> work</w:t>
      </w:r>
      <w:r>
        <w:t>ing</w:t>
      </w:r>
      <w:r w:rsidRPr="005970E7">
        <w:t xml:space="preserve"> to achieve </w:t>
      </w:r>
      <w:r>
        <w:t>i</w:t>
      </w:r>
      <w:r w:rsidRPr="005970E7">
        <w:t>nclusion</w:t>
      </w:r>
      <w:r>
        <w:t>, which</w:t>
      </w:r>
      <w:r w:rsidRPr="005970E7">
        <w:t xml:space="preserve"> is enabling genuine participation and contribution, where everyone, regardless of their background, identity or circumstances feels valued, accepted and supported to thrive at work.</w:t>
      </w:r>
    </w:p>
    <w:p w14:paraId="0A246689" w14:textId="77777777" w:rsidR="00E95172" w:rsidRPr="005970E7" w:rsidRDefault="00E95172" w:rsidP="0000073C">
      <w:pPr>
        <w:pStyle w:val="BodyNum"/>
        <w:numPr>
          <w:ilvl w:val="0"/>
          <w:numId w:val="0"/>
        </w:numPr>
      </w:pPr>
    </w:p>
    <w:p w14:paraId="7B9B7647" w14:textId="74D48492" w:rsidR="00966C5A" w:rsidRDefault="0000073C" w:rsidP="00924C03">
      <w:pPr>
        <w:pStyle w:val="Heading2"/>
      </w:pPr>
      <w:r>
        <w:t xml:space="preserve">Our current </w:t>
      </w:r>
      <w:r w:rsidR="00924C03">
        <w:t>practices</w:t>
      </w:r>
      <w:r w:rsidR="006545CE">
        <w:t xml:space="preserve"> and goals</w:t>
      </w:r>
    </w:p>
    <w:p w14:paraId="71DFC588" w14:textId="619D5288" w:rsidR="00924C03" w:rsidRDefault="00924C03" w:rsidP="00E23818">
      <w:r w:rsidRPr="00E23818">
        <w:t>The </w:t>
      </w:r>
      <w:r w:rsidRPr="00E23818">
        <w:rPr>
          <w:i/>
          <w:iCs/>
        </w:rPr>
        <w:t>Workplace Gender Equality Act 2012</w:t>
      </w:r>
      <w:r w:rsidRPr="00E23818">
        <w:t> requires employers with 100 or more employees to report annually against six Gender Equality Indicators</w:t>
      </w:r>
      <w:r w:rsidR="00972888">
        <w:t xml:space="preserve"> (GEI)</w:t>
      </w:r>
      <w:r w:rsidRPr="00E23818">
        <w:t>, of which OPC has achieved strong results already against 5 of the 6 indicators.</w:t>
      </w:r>
    </w:p>
    <w:p w14:paraId="0204BD3D" w14:textId="0CD67555" w:rsidR="00972888" w:rsidRDefault="00972888" w:rsidP="00972888">
      <w:r>
        <w:t xml:space="preserve">We have yet to achieve </w:t>
      </w:r>
      <w:r w:rsidRPr="00972888">
        <w:t>GEI 3 – equal remuneration between women and men</w:t>
      </w:r>
      <w:r>
        <w:t xml:space="preserve">, which refers to the gender pay gap. </w:t>
      </w:r>
      <w:r w:rsidR="009F4559">
        <w:t xml:space="preserve">Actions we are taking to reduce our gender pay gap are: </w:t>
      </w:r>
    </w:p>
    <w:p w14:paraId="044F4B87" w14:textId="24D5FB32" w:rsidR="00F33182" w:rsidRPr="00F33182" w:rsidRDefault="00F33182" w:rsidP="00F33182">
      <w:pPr>
        <w:numPr>
          <w:ilvl w:val="0"/>
          <w:numId w:val="3"/>
        </w:numPr>
      </w:pPr>
      <w:r w:rsidRPr="00F33182">
        <w:t>Review</w:t>
      </w:r>
      <w:r w:rsidR="009F4559">
        <w:t>ing</w:t>
      </w:r>
      <w:r w:rsidRPr="00F33182">
        <w:t xml:space="preserve"> the language and location of advertising for APS 4-6 positions to better attract male candidates. </w:t>
      </w:r>
    </w:p>
    <w:p w14:paraId="7CDA5ED7" w14:textId="428B29D5" w:rsidR="009F4559" w:rsidRPr="009F4559" w:rsidRDefault="009F4559" w:rsidP="009F4559">
      <w:pPr>
        <w:numPr>
          <w:ilvl w:val="0"/>
          <w:numId w:val="3"/>
        </w:numPr>
      </w:pPr>
      <w:r>
        <w:t>I</w:t>
      </w:r>
      <w:r w:rsidRPr="009F4559">
        <w:t>nclud</w:t>
      </w:r>
      <w:r>
        <w:t>ing</w:t>
      </w:r>
      <w:r w:rsidRPr="009F4559">
        <w:t xml:space="preserve"> </w:t>
      </w:r>
      <w:r>
        <w:t xml:space="preserve">our </w:t>
      </w:r>
      <w:r w:rsidRPr="009F4559">
        <w:t>commitment to gender equality and inclusion in induction and recruitment materials, including roles and expectations of all employees.</w:t>
      </w:r>
    </w:p>
    <w:p w14:paraId="79D5CBA1" w14:textId="36D18AA2" w:rsidR="009F4559" w:rsidRPr="00385901" w:rsidRDefault="00D0200E" w:rsidP="00385901">
      <w:pPr>
        <w:numPr>
          <w:ilvl w:val="0"/>
          <w:numId w:val="3"/>
        </w:numPr>
      </w:pPr>
      <w:r>
        <w:t>R</w:t>
      </w:r>
      <w:r w:rsidR="009F4559" w:rsidRPr="00D0200E">
        <w:t>eview</w:t>
      </w:r>
      <w:r w:rsidR="006B61EE">
        <w:t>ing</w:t>
      </w:r>
      <w:r w:rsidR="009F4559" w:rsidRPr="00D0200E">
        <w:t xml:space="preserve"> </w:t>
      </w:r>
      <w:r>
        <w:t xml:space="preserve">our processes </w:t>
      </w:r>
      <w:r w:rsidR="009F4559" w:rsidRPr="00D0200E">
        <w:t xml:space="preserve">for entering into </w:t>
      </w:r>
      <w:r>
        <w:t xml:space="preserve">individual enhanced remuneration </w:t>
      </w:r>
      <w:r w:rsidR="009F4559" w:rsidRPr="00D0200E">
        <w:t xml:space="preserve">ensure there is equality of opportunity (a level playing field) for all genders. </w:t>
      </w:r>
    </w:p>
    <w:p w14:paraId="7041ADE8" w14:textId="7F6652C2" w:rsidR="009F4559" w:rsidRPr="00385901" w:rsidRDefault="009F4559" w:rsidP="00385901">
      <w:r w:rsidRPr="00385901">
        <w:t>In addition, we will:</w:t>
      </w:r>
    </w:p>
    <w:p w14:paraId="3C006DFF" w14:textId="77777777" w:rsidR="00F33182" w:rsidRPr="00F33182" w:rsidRDefault="00F33182" w:rsidP="00F33182">
      <w:pPr>
        <w:numPr>
          <w:ilvl w:val="0"/>
          <w:numId w:val="3"/>
        </w:numPr>
      </w:pPr>
      <w:r w:rsidRPr="00F33182">
        <w:t>Increase our promotion of parental leave for men, and publish data internally on parental leave usage.</w:t>
      </w:r>
    </w:p>
    <w:p w14:paraId="1A7FF277" w14:textId="4005A6B5" w:rsidR="00E60096" w:rsidRPr="00575118" w:rsidRDefault="00FC1CBC" w:rsidP="00575118">
      <w:pPr>
        <w:numPr>
          <w:ilvl w:val="0"/>
          <w:numId w:val="3"/>
        </w:numPr>
      </w:pPr>
      <w:r>
        <w:t xml:space="preserve">Enhance our training for supervisors to support </w:t>
      </w:r>
      <w:r w:rsidRPr="00575118">
        <w:t>employees experiencing family and domestic violence.</w:t>
      </w:r>
    </w:p>
    <w:p w14:paraId="108F2FD0" w14:textId="46299C4D" w:rsidR="00385901" w:rsidRPr="00575118" w:rsidRDefault="00575118" w:rsidP="00575118">
      <w:pPr>
        <w:numPr>
          <w:ilvl w:val="0"/>
          <w:numId w:val="3"/>
        </w:numPr>
      </w:pPr>
      <w:r>
        <w:t>D</w:t>
      </w:r>
      <w:r w:rsidR="00385901" w:rsidRPr="00575118">
        <w:t xml:space="preserve">rive change beyond </w:t>
      </w:r>
      <w:r>
        <w:t>our</w:t>
      </w:r>
      <w:r w:rsidR="00385901" w:rsidRPr="00575118">
        <w:t xml:space="preserve"> workplace</w:t>
      </w:r>
      <w:r>
        <w:t xml:space="preserve"> by </w:t>
      </w:r>
      <w:r w:rsidR="00385901" w:rsidRPr="00575118">
        <w:t>promot</w:t>
      </w:r>
      <w:r w:rsidR="000E4FA8">
        <w:t>ing</w:t>
      </w:r>
      <w:r w:rsidR="00385901" w:rsidRPr="00575118">
        <w:t xml:space="preserve"> gender </w:t>
      </w:r>
      <w:r w:rsidR="000E4FA8" w:rsidRPr="00575118">
        <w:t>equality</w:t>
      </w:r>
      <w:r w:rsidR="000E4FA8">
        <w:t xml:space="preserve"> in our </w:t>
      </w:r>
      <w:r w:rsidR="00385901" w:rsidRPr="00575118">
        <w:t>suppliers.</w:t>
      </w:r>
    </w:p>
    <w:p w14:paraId="63D9668F" w14:textId="6D157DEC" w:rsidR="006545CE" w:rsidRDefault="006545CE" w:rsidP="00226B0A">
      <w:pPr>
        <w:pStyle w:val="Heading2"/>
      </w:pPr>
      <w:r>
        <w:t xml:space="preserve">Conclusion </w:t>
      </w:r>
    </w:p>
    <w:p w14:paraId="6AB9908F" w14:textId="5D02C281" w:rsidR="006545CE" w:rsidRPr="00E23818" w:rsidRDefault="006545CE" w:rsidP="00E23818">
      <w:r>
        <w:t xml:space="preserve">We will continue to strive to achieve a more equal balance between women and men, as well as ensuring an inclusive work place for our non-binary colleagues. </w:t>
      </w:r>
      <w:r w:rsidR="00226B0A">
        <w:t>We do this because we believe that it results in a more productive and sustainable workplace.</w:t>
      </w:r>
    </w:p>
    <w:sectPr w:rsidR="006545CE" w:rsidRPr="00E23818" w:rsidSect="00C061E0">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A691" w14:textId="77777777" w:rsidR="00A05CF2" w:rsidRDefault="00A05CF2" w:rsidP="00A05CF2">
      <w:pPr>
        <w:spacing w:after="0" w:line="240" w:lineRule="auto"/>
      </w:pPr>
      <w:r>
        <w:separator/>
      </w:r>
    </w:p>
  </w:endnote>
  <w:endnote w:type="continuationSeparator" w:id="0">
    <w:p w14:paraId="6990880C" w14:textId="77777777" w:rsidR="00A05CF2" w:rsidRDefault="00A05CF2" w:rsidP="00A0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EB Garamond">
    <w:altName w:val="Calibri"/>
    <w:charset w:val="00"/>
    <w:family w:val="auto"/>
    <w:pitch w:val="variable"/>
    <w:sig w:usb0="E00002FF" w:usb1="02000413" w:usb2="00000000" w:usb3="00000000" w:csb0="0000019F" w:csb1="00000000"/>
  </w:font>
  <w:font w:name="Segoe UI Semilight">
    <w:altName w:val="Segoe UI Semilight"/>
    <w:panose1 w:val="020B04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68766"/>
      <w:docPartObj>
        <w:docPartGallery w:val="Page Numbers (Bottom of Page)"/>
        <w:docPartUnique/>
      </w:docPartObj>
    </w:sdtPr>
    <w:sdtEndPr>
      <w:rPr>
        <w:noProof/>
      </w:rPr>
    </w:sdtEndPr>
    <w:sdtContent>
      <w:p w14:paraId="1EE41A34" w14:textId="15B3A089" w:rsidR="002D0E44" w:rsidRDefault="002D0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BEFBC" w14:textId="77777777" w:rsidR="002D0E44" w:rsidRDefault="002D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25AC" w14:textId="77777777" w:rsidR="00A05CF2" w:rsidRDefault="00A05CF2" w:rsidP="00A05CF2">
      <w:pPr>
        <w:spacing w:after="0" w:line="240" w:lineRule="auto"/>
      </w:pPr>
      <w:r>
        <w:separator/>
      </w:r>
    </w:p>
  </w:footnote>
  <w:footnote w:type="continuationSeparator" w:id="0">
    <w:p w14:paraId="35586B5E" w14:textId="77777777" w:rsidR="00A05CF2" w:rsidRDefault="00A05CF2" w:rsidP="00A05CF2">
      <w:pPr>
        <w:spacing w:after="0" w:line="240" w:lineRule="auto"/>
      </w:pPr>
      <w:r>
        <w:continuationSeparator/>
      </w:r>
    </w:p>
  </w:footnote>
  <w:footnote w:id="1">
    <w:p w14:paraId="395DFFDE" w14:textId="30E5C988" w:rsidR="00C14B60" w:rsidRPr="00C14B60" w:rsidRDefault="00C14B60">
      <w:pPr>
        <w:pStyle w:val="FootnoteText"/>
        <w:rPr>
          <w:lang w:val="en-US"/>
        </w:rPr>
      </w:pPr>
      <w:r>
        <w:rPr>
          <w:rStyle w:val="FootnoteReference"/>
        </w:rPr>
        <w:footnoteRef/>
      </w:r>
      <w:r>
        <w:t xml:space="preserve"> </w:t>
      </w:r>
      <w:r w:rsidR="0012770B" w:rsidRPr="0012770B">
        <w:t>https://www.apsc.gov.au/remuneration-reports/australian-public-service-remuneration-report-2021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F93D" w14:textId="6F4032D7" w:rsidR="00C061E0" w:rsidRDefault="00C061E0">
    <w:pPr>
      <w:pStyle w:val="Header"/>
    </w:pPr>
    <w:r>
      <w:rPr>
        <w:noProof/>
      </w:rPr>
      <w:drawing>
        <wp:anchor distT="0" distB="0" distL="114300" distR="114300" simplePos="0" relativeHeight="251659264" behindDoc="0" locked="0" layoutInCell="1" allowOverlap="1" wp14:anchorId="0CEB4FE1" wp14:editId="284B29F9">
          <wp:simplePos x="0" y="0"/>
          <wp:positionH relativeFrom="column">
            <wp:posOffset>1249680</wp:posOffset>
          </wp:positionH>
          <wp:positionV relativeFrom="paragraph">
            <wp:posOffset>-168275</wp:posOffset>
          </wp:positionV>
          <wp:extent cx="2740196" cy="635431"/>
          <wp:effectExtent l="0" t="0" r="0" b="0"/>
          <wp:wrapNone/>
          <wp:docPr id="117522403" name="Picture 4"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403" name="Picture 4" descr="A black and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0196" cy="6354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54C2C28"/>
    <w:multiLevelType w:val="hybridMultilevel"/>
    <w:tmpl w:val="863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B51968"/>
    <w:multiLevelType w:val="hybridMultilevel"/>
    <w:tmpl w:val="A636CE1E"/>
    <w:lvl w:ilvl="0" w:tplc="60B0D6CE">
      <w:numFmt w:val="bullet"/>
      <w:lvlText w:val=""/>
      <w:lvlJc w:val="left"/>
      <w:pPr>
        <w:ind w:left="467" w:hanging="360"/>
      </w:pPr>
      <w:rPr>
        <w:rFonts w:ascii="Symbol" w:eastAsia="Symbol" w:hAnsi="Symbol" w:cs="Symbol" w:hint="default"/>
        <w:b w:val="0"/>
        <w:bCs w:val="0"/>
        <w:i w:val="0"/>
        <w:iCs w:val="0"/>
        <w:spacing w:val="0"/>
        <w:w w:val="100"/>
        <w:sz w:val="20"/>
        <w:szCs w:val="20"/>
        <w:lang w:val="en-US" w:eastAsia="en-US" w:bidi="ar-SA"/>
      </w:rPr>
    </w:lvl>
    <w:lvl w:ilvl="1" w:tplc="1FFA25C2">
      <w:numFmt w:val="bullet"/>
      <w:lvlText w:val="•"/>
      <w:lvlJc w:val="left"/>
      <w:pPr>
        <w:ind w:left="755" w:hanging="360"/>
      </w:pPr>
      <w:rPr>
        <w:rFonts w:hint="default"/>
        <w:lang w:val="en-US" w:eastAsia="en-US" w:bidi="ar-SA"/>
      </w:rPr>
    </w:lvl>
    <w:lvl w:ilvl="2" w:tplc="05561672">
      <w:numFmt w:val="bullet"/>
      <w:lvlText w:val="•"/>
      <w:lvlJc w:val="left"/>
      <w:pPr>
        <w:ind w:left="1051" w:hanging="360"/>
      </w:pPr>
      <w:rPr>
        <w:rFonts w:hint="default"/>
        <w:lang w:val="en-US" w:eastAsia="en-US" w:bidi="ar-SA"/>
      </w:rPr>
    </w:lvl>
    <w:lvl w:ilvl="3" w:tplc="8484552C">
      <w:numFmt w:val="bullet"/>
      <w:lvlText w:val="•"/>
      <w:lvlJc w:val="left"/>
      <w:pPr>
        <w:ind w:left="1347" w:hanging="360"/>
      </w:pPr>
      <w:rPr>
        <w:rFonts w:hint="default"/>
        <w:lang w:val="en-US" w:eastAsia="en-US" w:bidi="ar-SA"/>
      </w:rPr>
    </w:lvl>
    <w:lvl w:ilvl="4" w:tplc="DF845464">
      <w:numFmt w:val="bullet"/>
      <w:lvlText w:val="•"/>
      <w:lvlJc w:val="left"/>
      <w:pPr>
        <w:ind w:left="1643" w:hanging="360"/>
      </w:pPr>
      <w:rPr>
        <w:rFonts w:hint="default"/>
        <w:lang w:val="en-US" w:eastAsia="en-US" w:bidi="ar-SA"/>
      </w:rPr>
    </w:lvl>
    <w:lvl w:ilvl="5" w:tplc="E0189708">
      <w:numFmt w:val="bullet"/>
      <w:lvlText w:val="•"/>
      <w:lvlJc w:val="left"/>
      <w:pPr>
        <w:ind w:left="1939" w:hanging="360"/>
      </w:pPr>
      <w:rPr>
        <w:rFonts w:hint="default"/>
        <w:lang w:val="en-US" w:eastAsia="en-US" w:bidi="ar-SA"/>
      </w:rPr>
    </w:lvl>
    <w:lvl w:ilvl="6" w:tplc="B9CC7322">
      <w:numFmt w:val="bullet"/>
      <w:lvlText w:val="•"/>
      <w:lvlJc w:val="left"/>
      <w:pPr>
        <w:ind w:left="2234" w:hanging="360"/>
      </w:pPr>
      <w:rPr>
        <w:rFonts w:hint="default"/>
        <w:lang w:val="en-US" w:eastAsia="en-US" w:bidi="ar-SA"/>
      </w:rPr>
    </w:lvl>
    <w:lvl w:ilvl="7" w:tplc="45B0CBD0">
      <w:numFmt w:val="bullet"/>
      <w:lvlText w:val="•"/>
      <w:lvlJc w:val="left"/>
      <w:pPr>
        <w:ind w:left="2530" w:hanging="360"/>
      </w:pPr>
      <w:rPr>
        <w:rFonts w:hint="default"/>
        <w:lang w:val="en-US" w:eastAsia="en-US" w:bidi="ar-SA"/>
      </w:rPr>
    </w:lvl>
    <w:lvl w:ilvl="8" w:tplc="A62EC6BC">
      <w:numFmt w:val="bullet"/>
      <w:lvlText w:val="•"/>
      <w:lvlJc w:val="left"/>
      <w:pPr>
        <w:ind w:left="2826" w:hanging="360"/>
      </w:pPr>
      <w:rPr>
        <w:rFonts w:hint="default"/>
        <w:lang w:val="en-US" w:eastAsia="en-US" w:bidi="ar-SA"/>
      </w:rPr>
    </w:lvl>
  </w:abstractNum>
  <w:abstractNum w:abstractNumId="3" w15:restartNumberingAfterBreak="0">
    <w:nsid w:val="58F85A0E"/>
    <w:multiLevelType w:val="hybridMultilevel"/>
    <w:tmpl w:val="3A4CD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8084181">
    <w:abstractNumId w:val="0"/>
  </w:num>
  <w:num w:numId="2" w16cid:durableId="1323774103">
    <w:abstractNumId w:val="1"/>
  </w:num>
  <w:num w:numId="3" w16cid:durableId="2826946">
    <w:abstractNumId w:val="3"/>
  </w:num>
  <w:num w:numId="4" w16cid:durableId="212114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22"/>
    <w:rsid w:val="0000073C"/>
    <w:rsid w:val="00041C99"/>
    <w:rsid w:val="00046D6C"/>
    <w:rsid w:val="0007651C"/>
    <w:rsid w:val="000771EB"/>
    <w:rsid w:val="00087FA0"/>
    <w:rsid w:val="000E4FA8"/>
    <w:rsid w:val="0012770B"/>
    <w:rsid w:val="00170ED2"/>
    <w:rsid w:val="00182AA6"/>
    <w:rsid w:val="001F3A67"/>
    <w:rsid w:val="002114E9"/>
    <w:rsid w:val="00226B0A"/>
    <w:rsid w:val="00286117"/>
    <w:rsid w:val="0029654E"/>
    <w:rsid w:val="002B0789"/>
    <w:rsid w:val="002D0E44"/>
    <w:rsid w:val="002F7A5C"/>
    <w:rsid w:val="00371106"/>
    <w:rsid w:val="00385901"/>
    <w:rsid w:val="0040004F"/>
    <w:rsid w:val="00412D5E"/>
    <w:rsid w:val="00413197"/>
    <w:rsid w:val="004214FD"/>
    <w:rsid w:val="004967C3"/>
    <w:rsid w:val="004C49E4"/>
    <w:rsid w:val="004D5493"/>
    <w:rsid w:val="00511061"/>
    <w:rsid w:val="005306EE"/>
    <w:rsid w:val="00543EF8"/>
    <w:rsid w:val="00545768"/>
    <w:rsid w:val="00575118"/>
    <w:rsid w:val="005A24D0"/>
    <w:rsid w:val="006545CE"/>
    <w:rsid w:val="00657009"/>
    <w:rsid w:val="00662575"/>
    <w:rsid w:val="006814A8"/>
    <w:rsid w:val="00681E3C"/>
    <w:rsid w:val="00690468"/>
    <w:rsid w:val="006B61EE"/>
    <w:rsid w:val="006C7358"/>
    <w:rsid w:val="007D48C9"/>
    <w:rsid w:val="0086178E"/>
    <w:rsid w:val="008A2288"/>
    <w:rsid w:val="008C63A8"/>
    <w:rsid w:val="00924C03"/>
    <w:rsid w:val="00966C5A"/>
    <w:rsid w:val="00972888"/>
    <w:rsid w:val="00987527"/>
    <w:rsid w:val="009F4559"/>
    <w:rsid w:val="00A05CF2"/>
    <w:rsid w:val="00A43E9C"/>
    <w:rsid w:val="00A569C0"/>
    <w:rsid w:val="00AB7E18"/>
    <w:rsid w:val="00AD776E"/>
    <w:rsid w:val="00B06BEA"/>
    <w:rsid w:val="00B07752"/>
    <w:rsid w:val="00B443F3"/>
    <w:rsid w:val="00B476D6"/>
    <w:rsid w:val="00BC36E1"/>
    <w:rsid w:val="00C04C6A"/>
    <w:rsid w:val="00C061E0"/>
    <w:rsid w:val="00C14B60"/>
    <w:rsid w:val="00C87588"/>
    <w:rsid w:val="00C92B0F"/>
    <w:rsid w:val="00CC3522"/>
    <w:rsid w:val="00D0200E"/>
    <w:rsid w:val="00D6037C"/>
    <w:rsid w:val="00D96E02"/>
    <w:rsid w:val="00DC25E3"/>
    <w:rsid w:val="00E23818"/>
    <w:rsid w:val="00E2711D"/>
    <w:rsid w:val="00E54E60"/>
    <w:rsid w:val="00E60096"/>
    <w:rsid w:val="00E95172"/>
    <w:rsid w:val="00EB0CAD"/>
    <w:rsid w:val="00EF0DFE"/>
    <w:rsid w:val="00EF77E0"/>
    <w:rsid w:val="00F24500"/>
    <w:rsid w:val="00F33182"/>
    <w:rsid w:val="00FC1CB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8ADB2"/>
  <w15:chartTrackingRefBased/>
  <w15:docId w15:val="{20A3F563-A8D0-4D35-A611-46357055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52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CC352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C352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C3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2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CC352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C352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C3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522"/>
    <w:rPr>
      <w:rFonts w:eastAsiaTheme="majorEastAsia" w:cstheme="majorBidi"/>
      <w:color w:val="272727" w:themeColor="text1" w:themeTint="D8"/>
    </w:rPr>
  </w:style>
  <w:style w:type="paragraph" w:styleId="Title">
    <w:name w:val="Title"/>
    <w:basedOn w:val="Normal"/>
    <w:next w:val="Normal"/>
    <w:link w:val="TitleChar"/>
    <w:uiPriority w:val="10"/>
    <w:qFormat/>
    <w:rsid w:val="00CC352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C352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C352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C352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C3522"/>
    <w:pPr>
      <w:spacing w:before="160"/>
      <w:jc w:val="center"/>
    </w:pPr>
    <w:rPr>
      <w:i/>
      <w:iCs/>
      <w:color w:val="404040" w:themeColor="text1" w:themeTint="BF"/>
    </w:rPr>
  </w:style>
  <w:style w:type="character" w:customStyle="1" w:styleId="QuoteChar">
    <w:name w:val="Quote Char"/>
    <w:basedOn w:val="DefaultParagraphFont"/>
    <w:link w:val="Quote"/>
    <w:uiPriority w:val="29"/>
    <w:rsid w:val="00CC3522"/>
    <w:rPr>
      <w:i/>
      <w:iCs/>
      <w:color w:val="404040" w:themeColor="text1" w:themeTint="BF"/>
    </w:rPr>
  </w:style>
  <w:style w:type="paragraph" w:styleId="ListParagraph">
    <w:name w:val="List Paragraph"/>
    <w:basedOn w:val="Normal"/>
    <w:uiPriority w:val="34"/>
    <w:qFormat/>
    <w:rsid w:val="00CC3522"/>
    <w:pPr>
      <w:ind w:left="720"/>
      <w:contextualSpacing/>
    </w:pPr>
  </w:style>
  <w:style w:type="character" w:styleId="IntenseEmphasis">
    <w:name w:val="Intense Emphasis"/>
    <w:basedOn w:val="DefaultParagraphFont"/>
    <w:uiPriority w:val="21"/>
    <w:qFormat/>
    <w:rsid w:val="00CC3522"/>
    <w:rPr>
      <w:i/>
      <w:iCs/>
      <w:color w:val="0F4761" w:themeColor="accent1" w:themeShade="BF"/>
    </w:rPr>
  </w:style>
  <w:style w:type="paragraph" w:styleId="IntenseQuote">
    <w:name w:val="Intense Quote"/>
    <w:basedOn w:val="Normal"/>
    <w:next w:val="Normal"/>
    <w:link w:val="IntenseQuoteChar"/>
    <w:uiPriority w:val="30"/>
    <w:qFormat/>
    <w:rsid w:val="00CC3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522"/>
    <w:rPr>
      <w:i/>
      <w:iCs/>
      <w:color w:val="0F4761" w:themeColor="accent1" w:themeShade="BF"/>
    </w:rPr>
  </w:style>
  <w:style w:type="character" w:styleId="IntenseReference">
    <w:name w:val="Intense Reference"/>
    <w:basedOn w:val="DefaultParagraphFont"/>
    <w:uiPriority w:val="32"/>
    <w:qFormat/>
    <w:rsid w:val="00CC3522"/>
    <w:rPr>
      <w:b/>
      <w:bCs/>
      <w:smallCaps/>
      <w:color w:val="0F4761" w:themeColor="accent1" w:themeShade="BF"/>
      <w:spacing w:val="5"/>
    </w:rPr>
  </w:style>
  <w:style w:type="table" w:styleId="TableGrid">
    <w:name w:val="Table Grid"/>
    <w:basedOn w:val="TableNormal"/>
    <w:uiPriority w:val="59"/>
    <w:rsid w:val="00E54E60"/>
    <w:pPr>
      <w:spacing w:after="0" w:line="240" w:lineRule="auto"/>
    </w:pPr>
    <w:rPr>
      <w:rFonts w:ascii="EB Garamond" w:eastAsiaTheme="minorHAnsi" w:hAnsi="EB Garamond" w:cs="EB Garamond"/>
      <w:color w:val="000000" w:themeColor="text1"/>
      <w:kern w:val="0"/>
      <w:szCs w:val="24"/>
      <w:lang w:val="en-GB"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CF2"/>
  </w:style>
  <w:style w:type="paragraph" w:styleId="Footer">
    <w:name w:val="footer"/>
    <w:basedOn w:val="Normal"/>
    <w:link w:val="FooterChar"/>
    <w:uiPriority w:val="99"/>
    <w:unhideWhenUsed/>
    <w:rsid w:val="00A0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CF2"/>
  </w:style>
  <w:style w:type="paragraph" w:styleId="NormalWeb">
    <w:name w:val="Normal (Web)"/>
    <w:basedOn w:val="Normal"/>
    <w:uiPriority w:val="99"/>
    <w:semiHidden/>
    <w:unhideWhenUsed/>
    <w:rsid w:val="00B476D6"/>
    <w:rPr>
      <w:rFonts w:ascii="Times New Roman" w:hAnsi="Times New Roman" w:cs="Angsana New"/>
    </w:rPr>
  </w:style>
  <w:style w:type="paragraph" w:customStyle="1" w:styleId="BodyNum">
    <w:name w:val="BodyNum"/>
    <w:aliases w:val="b1"/>
    <w:basedOn w:val="Normal"/>
    <w:rsid w:val="00DC25E3"/>
    <w:pPr>
      <w:numPr>
        <w:numId w:val="1"/>
      </w:numPr>
      <w:spacing w:before="240" w:after="0" w:line="240" w:lineRule="auto"/>
    </w:pPr>
    <w:rPr>
      <w:rFonts w:ascii="Times New Roman" w:eastAsia="Times New Roman" w:hAnsi="Times New Roman" w:cs="Times New Roman"/>
      <w:kern w:val="0"/>
      <w:szCs w:val="20"/>
      <w:lang w:eastAsia="en-AU" w:bidi="ar-SA"/>
      <w14:ligatures w14:val="none"/>
    </w:rPr>
  </w:style>
  <w:style w:type="paragraph" w:customStyle="1" w:styleId="BodyPara">
    <w:name w:val="BodyPara"/>
    <w:aliases w:val="ba"/>
    <w:basedOn w:val="Normal"/>
    <w:rsid w:val="00DC25E3"/>
    <w:pPr>
      <w:numPr>
        <w:ilvl w:val="1"/>
        <w:numId w:val="1"/>
      </w:numPr>
      <w:spacing w:before="240" w:after="0" w:line="240" w:lineRule="auto"/>
    </w:pPr>
    <w:rPr>
      <w:rFonts w:ascii="Times New Roman" w:eastAsia="Times New Roman" w:hAnsi="Times New Roman" w:cs="Times New Roman"/>
      <w:kern w:val="0"/>
      <w:szCs w:val="20"/>
      <w:lang w:eastAsia="en-AU" w:bidi="ar-SA"/>
      <w14:ligatures w14:val="none"/>
    </w:rPr>
  </w:style>
  <w:style w:type="paragraph" w:customStyle="1" w:styleId="BodyParaBullet">
    <w:name w:val="BodyParaBullet"/>
    <w:aliases w:val="bpb"/>
    <w:basedOn w:val="Normal"/>
    <w:rsid w:val="00DC25E3"/>
    <w:pPr>
      <w:numPr>
        <w:ilvl w:val="2"/>
        <w:numId w:val="1"/>
      </w:numPr>
      <w:tabs>
        <w:tab w:val="left" w:pos="2160"/>
      </w:tabs>
      <w:spacing w:before="240" w:after="0" w:line="240" w:lineRule="auto"/>
    </w:pPr>
    <w:rPr>
      <w:rFonts w:ascii="Times New Roman" w:eastAsia="Times New Roman" w:hAnsi="Times New Roman" w:cs="Times New Roman"/>
      <w:kern w:val="0"/>
      <w:szCs w:val="20"/>
      <w:lang w:eastAsia="en-AU" w:bidi="ar-SA"/>
      <w14:ligatures w14:val="none"/>
    </w:rPr>
  </w:style>
  <w:style w:type="paragraph" w:customStyle="1" w:styleId="BodySubPara">
    <w:name w:val="BodySubPara"/>
    <w:aliases w:val="bi"/>
    <w:basedOn w:val="Normal"/>
    <w:rsid w:val="00DC25E3"/>
    <w:pPr>
      <w:numPr>
        <w:ilvl w:val="3"/>
        <w:numId w:val="1"/>
      </w:numPr>
      <w:spacing w:before="240" w:after="0" w:line="240" w:lineRule="auto"/>
    </w:pPr>
    <w:rPr>
      <w:rFonts w:ascii="Times New Roman" w:eastAsia="Times New Roman" w:hAnsi="Times New Roman" w:cs="Times New Roman"/>
      <w:kern w:val="0"/>
      <w:szCs w:val="20"/>
      <w:lang w:eastAsia="en-AU" w:bidi="ar-SA"/>
      <w14:ligatures w14:val="none"/>
    </w:rPr>
  </w:style>
  <w:style w:type="numbering" w:customStyle="1" w:styleId="OPCBodyList">
    <w:name w:val="OPCBodyList"/>
    <w:uiPriority w:val="99"/>
    <w:rsid w:val="00DC25E3"/>
    <w:pPr>
      <w:numPr>
        <w:numId w:val="1"/>
      </w:numPr>
    </w:pPr>
  </w:style>
  <w:style w:type="paragraph" w:styleId="FootnoteText">
    <w:name w:val="footnote text"/>
    <w:basedOn w:val="Normal"/>
    <w:link w:val="FootnoteTextChar"/>
    <w:uiPriority w:val="99"/>
    <w:semiHidden/>
    <w:unhideWhenUsed/>
    <w:rsid w:val="00E95172"/>
    <w:pPr>
      <w:spacing w:after="0" w:line="240" w:lineRule="auto"/>
    </w:pPr>
    <w:rPr>
      <w:rFonts w:ascii="Times New Roman" w:eastAsiaTheme="minorHAnsi" w:hAnsi="Times New Roman"/>
      <w:kern w:val="0"/>
      <w:sz w:val="20"/>
      <w:szCs w:val="20"/>
      <w:lang w:eastAsia="en-US" w:bidi="ar-SA"/>
      <w14:ligatures w14:val="none"/>
    </w:rPr>
  </w:style>
  <w:style w:type="character" w:customStyle="1" w:styleId="FootnoteTextChar">
    <w:name w:val="Footnote Text Char"/>
    <w:basedOn w:val="DefaultParagraphFont"/>
    <w:link w:val="FootnoteText"/>
    <w:uiPriority w:val="99"/>
    <w:semiHidden/>
    <w:rsid w:val="00E95172"/>
    <w:rPr>
      <w:rFonts w:ascii="Times New Roman" w:eastAsiaTheme="minorHAnsi" w:hAnsi="Times New Roman"/>
      <w:kern w:val="0"/>
      <w:sz w:val="20"/>
      <w:szCs w:val="20"/>
      <w:lang w:eastAsia="en-US" w:bidi="ar-SA"/>
      <w14:ligatures w14:val="none"/>
    </w:rPr>
  </w:style>
  <w:style w:type="character" w:styleId="FootnoteReference">
    <w:name w:val="footnote reference"/>
    <w:basedOn w:val="DefaultParagraphFont"/>
    <w:uiPriority w:val="99"/>
    <w:semiHidden/>
    <w:unhideWhenUsed/>
    <w:rsid w:val="00E95172"/>
    <w:rPr>
      <w:vertAlign w:val="superscript"/>
    </w:rPr>
  </w:style>
  <w:style w:type="paragraph" w:customStyle="1" w:styleId="Default">
    <w:name w:val="Default"/>
    <w:rsid w:val="00924C03"/>
    <w:pPr>
      <w:autoSpaceDE w:val="0"/>
      <w:autoSpaceDN w:val="0"/>
      <w:adjustRightInd w:val="0"/>
      <w:spacing w:after="0" w:line="240" w:lineRule="auto"/>
    </w:pPr>
    <w:rPr>
      <w:rFonts w:ascii="Segoe UI Semilight" w:eastAsiaTheme="minorHAnsi" w:hAnsi="Segoe UI Semilight" w:cs="Segoe UI Semilight"/>
      <w:color w:val="000000"/>
      <w:kern w:val="0"/>
      <w:szCs w:val="24"/>
      <w:lang w:eastAsia="en-US" w:bidi="ar-SA"/>
      <w14:ligatures w14:val="none"/>
    </w:rPr>
  </w:style>
  <w:style w:type="character" w:styleId="Emphasis">
    <w:name w:val="Emphasis"/>
    <w:basedOn w:val="DefaultParagraphFont"/>
    <w:uiPriority w:val="20"/>
    <w:qFormat/>
    <w:rsid w:val="00924C03"/>
    <w:rPr>
      <w:i/>
      <w:iCs/>
    </w:rPr>
  </w:style>
  <w:style w:type="paragraph" w:customStyle="1" w:styleId="TableParagraph">
    <w:name w:val="Table Paragraph"/>
    <w:basedOn w:val="Normal"/>
    <w:uiPriority w:val="1"/>
    <w:qFormat/>
    <w:rsid w:val="002B0789"/>
    <w:pPr>
      <w:widowControl w:val="0"/>
      <w:autoSpaceDE w:val="0"/>
      <w:autoSpaceDN w:val="0"/>
      <w:spacing w:after="0" w:line="240" w:lineRule="auto"/>
    </w:pPr>
    <w:rPr>
      <w:rFonts w:ascii="Gill Sans MT" w:eastAsia="Gill Sans MT" w:hAnsi="Gill Sans MT" w:cs="Gill Sans MT"/>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4853">
      <w:bodyDiv w:val="1"/>
      <w:marLeft w:val="0"/>
      <w:marRight w:val="0"/>
      <w:marTop w:val="0"/>
      <w:marBottom w:val="0"/>
      <w:divBdr>
        <w:top w:val="none" w:sz="0" w:space="0" w:color="auto"/>
        <w:left w:val="none" w:sz="0" w:space="0" w:color="auto"/>
        <w:bottom w:val="none" w:sz="0" w:space="0" w:color="auto"/>
        <w:right w:val="none" w:sz="0" w:space="0" w:color="auto"/>
      </w:divBdr>
    </w:div>
    <w:div w:id="738989369">
      <w:bodyDiv w:val="1"/>
      <w:marLeft w:val="0"/>
      <w:marRight w:val="0"/>
      <w:marTop w:val="0"/>
      <w:marBottom w:val="0"/>
      <w:divBdr>
        <w:top w:val="none" w:sz="0" w:space="0" w:color="auto"/>
        <w:left w:val="none" w:sz="0" w:space="0" w:color="auto"/>
        <w:bottom w:val="none" w:sz="0" w:space="0" w:color="auto"/>
        <w:right w:val="none" w:sz="0" w:space="0" w:color="auto"/>
      </w:divBdr>
    </w:div>
    <w:div w:id="1089424530">
      <w:bodyDiv w:val="1"/>
      <w:marLeft w:val="0"/>
      <w:marRight w:val="0"/>
      <w:marTop w:val="0"/>
      <w:marBottom w:val="0"/>
      <w:divBdr>
        <w:top w:val="none" w:sz="0" w:space="0" w:color="auto"/>
        <w:left w:val="none" w:sz="0" w:space="0" w:color="auto"/>
        <w:bottom w:val="none" w:sz="0" w:space="0" w:color="auto"/>
        <w:right w:val="none" w:sz="0" w:space="0" w:color="auto"/>
      </w:divBdr>
    </w:div>
    <w:div w:id="1490832318">
      <w:bodyDiv w:val="1"/>
      <w:marLeft w:val="0"/>
      <w:marRight w:val="0"/>
      <w:marTop w:val="0"/>
      <w:marBottom w:val="0"/>
      <w:divBdr>
        <w:top w:val="none" w:sz="0" w:space="0" w:color="auto"/>
        <w:left w:val="none" w:sz="0" w:space="0" w:color="auto"/>
        <w:bottom w:val="none" w:sz="0" w:space="0" w:color="auto"/>
        <w:right w:val="none" w:sz="0" w:space="0" w:color="auto"/>
      </w:divBdr>
    </w:div>
    <w:div w:id="1604727796">
      <w:bodyDiv w:val="1"/>
      <w:marLeft w:val="0"/>
      <w:marRight w:val="0"/>
      <w:marTop w:val="0"/>
      <w:marBottom w:val="0"/>
      <w:divBdr>
        <w:top w:val="none" w:sz="0" w:space="0" w:color="auto"/>
        <w:left w:val="none" w:sz="0" w:space="0" w:color="auto"/>
        <w:bottom w:val="none" w:sz="0" w:space="0" w:color="auto"/>
        <w:right w:val="none" w:sz="0" w:space="0" w:color="auto"/>
      </w:divBdr>
    </w:div>
    <w:div w:id="20375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fsaueaprdstg001.file.core.windows.net\personnel-documents\1.%20HR%20RESTRICTED%20ACCESS\DIVERSITY%20AND%20INCLUSION\Gender%20equality\2012%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Sheet1!$B$17</c:f>
              <c:strCache>
                <c:ptCount val="1"/>
                <c:pt idx="0">
                  <c:v>Female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Sheet1!$A$18:$A$21</c:f>
              <c:strCache>
                <c:ptCount val="4"/>
                <c:pt idx="0">
                  <c:v>APS level employees</c:v>
                </c:pt>
                <c:pt idx="1">
                  <c:v>Executive Level employees</c:v>
                </c:pt>
                <c:pt idx="2">
                  <c:v>SES officers</c:v>
                </c:pt>
                <c:pt idx="3">
                  <c:v>Total workforce</c:v>
                </c:pt>
              </c:strCache>
            </c:strRef>
          </c:cat>
          <c:val>
            <c:numRef>
              <c:f>Sheet1!$B$18:$B$21</c:f>
              <c:numCache>
                <c:formatCode>0%</c:formatCode>
                <c:ptCount val="4"/>
                <c:pt idx="0">
                  <c:v>0.84615384615384615</c:v>
                </c:pt>
                <c:pt idx="1">
                  <c:v>0.36363636363636365</c:v>
                </c:pt>
                <c:pt idx="2">
                  <c:v>0.63157894736842102</c:v>
                </c:pt>
                <c:pt idx="3">
                  <c:v>0.57407407407407407</c:v>
                </c:pt>
              </c:numCache>
            </c:numRef>
          </c:val>
          <c:extLst>
            <c:ext xmlns:c16="http://schemas.microsoft.com/office/drawing/2014/chart" uri="{C3380CC4-5D6E-409C-BE32-E72D297353CC}">
              <c16:uniqueId val="{00000000-C7A1-4435-B746-DF73E6044915}"/>
            </c:ext>
          </c:extLst>
        </c:ser>
        <c:ser>
          <c:idx val="1"/>
          <c:order val="1"/>
          <c:tx>
            <c:strRef>
              <c:f>Sheet1!$C$17</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Sheet1!$A$18:$A$21</c:f>
              <c:strCache>
                <c:ptCount val="4"/>
                <c:pt idx="0">
                  <c:v>APS level employees</c:v>
                </c:pt>
                <c:pt idx="1">
                  <c:v>Executive Level employees</c:v>
                </c:pt>
                <c:pt idx="2">
                  <c:v>SES officers</c:v>
                </c:pt>
                <c:pt idx="3">
                  <c:v>Total workforce</c:v>
                </c:pt>
              </c:strCache>
            </c:strRef>
          </c:cat>
          <c:val>
            <c:numRef>
              <c:f>Sheet1!$C$18:$C$21</c:f>
              <c:numCache>
                <c:formatCode>0%</c:formatCode>
                <c:ptCount val="4"/>
                <c:pt idx="0">
                  <c:v>0.15384615384615385</c:v>
                </c:pt>
                <c:pt idx="1">
                  <c:v>0.63636363636363635</c:v>
                </c:pt>
                <c:pt idx="2">
                  <c:v>0.36842105263157893</c:v>
                </c:pt>
                <c:pt idx="3">
                  <c:v>0.42592592592592593</c:v>
                </c:pt>
              </c:numCache>
            </c:numRef>
          </c:val>
          <c:extLst>
            <c:ext xmlns:c16="http://schemas.microsoft.com/office/drawing/2014/chart" uri="{C3380CC4-5D6E-409C-BE32-E72D297353CC}">
              <c16:uniqueId val="{00000001-C7A1-4435-B746-DF73E6044915}"/>
            </c:ext>
          </c:extLst>
        </c:ser>
        <c:dLbls>
          <c:dLblPos val="ctr"/>
          <c:showLegendKey val="0"/>
          <c:showVal val="1"/>
          <c:showCatName val="0"/>
          <c:showSerName val="0"/>
          <c:showPercent val="0"/>
          <c:showBubbleSize val="0"/>
        </c:dLbls>
        <c:gapWidth val="150"/>
        <c:overlap val="100"/>
        <c:axId val="501502591"/>
        <c:axId val="501503071"/>
      </c:barChart>
      <c:catAx>
        <c:axId val="501502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03071"/>
        <c:crosses val="autoZero"/>
        <c:auto val="1"/>
        <c:lblAlgn val="ctr"/>
        <c:lblOffset val="100"/>
        <c:noMultiLvlLbl val="0"/>
      </c:catAx>
      <c:valAx>
        <c:axId val="5015030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0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3C95-70C5-4414-9321-789C5830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Pedder, Sue</dc:creator>
  <cp:keywords/>
  <dc:description/>
  <cp:lastModifiedBy>Pedder, Sue</cp:lastModifiedBy>
  <cp:revision>16</cp:revision>
  <cp:lastPrinted>2025-03-21T02:24:00Z</cp:lastPrinted>
  <dcterms:created xsi:type="dcterms:W3CDTF">2025-02-21T00:29:00Z</dcterms:created>
  <dcterms:modified xsi:type="dcterms:W3CDTF">2025-03-31T23:04:00Z</dcterms:modified>
</cp:coreProperties>
</file>