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64C4" w14:textId="12FD5BBD" w:rsidR="00407A9C" w:rsidRPr="0095055E" w:rsidRDefault="0095055E" w:rsidP="0095055E">
      <w:pPr>
        <w:pStyle w:val="Heading1"/>
        <w:jc w:val="left"/>
        <w:rPr>
          <w:rFonts w:ascii="Open Sans ExtraBold" w:hAnsi="Open Sans ExtraBold" w:cs="Open Sans ExtraBold"/>
          <w:color w:val="084D5E"/>
          <w:lang w:val="en-AU"/>
        </w:rPr>
      </w:pPr>
      <w:r w:rsidRPr="00F951F6">
        <w:rPr>
          <w:rFonts w:ascii="Open Sans ExtraBold" w:hAnsi="Open Sans ExtraBold" w:cs="Open Sans ExtraBold"/>
          <w:color w:val="084D5E"/>
          <w:lang w:val="en-AU"/>
        </w:rPr>
        <w:t>Instructor Guidance Note</w:t>
      </w:r>
      <w:r>
        <w:rPr>
          <w:rFonts w:ascii="Open Sans ExtraBold" w:hAnsi="Open Sans ExtraBold" w:cs="Open Sans ExtraBold"/>
          <w:color w:val="084D5E"/>
          <w:lang w:val="en-AU"/>
        </w:rPr>
        <w:t>—</w:t>
      </w:r>
      <w:r w:rsidR="00407A9C" w:rsidRPr="0095055E">
        <w:rPr>
          <w:rFonts w:ascii="Open Sans ExtraBold" w:hAnsi="Open Sans ExtraBold" w:cs="Open Sans ExtraBold"/>
          <w:color w:val="084D5E"/>
          <w:lang w:val="en-AU"/>
        </w:rPr>
        <w:t>Administrative decisions</w:t>
      </w:r>
    </w:p>
    <w:p w14:paraId="046688DA" w14:textId="77777777" w:rsidR="00407A9C" w:rsidRPr="0095055E" w:rsidRDefault="00407A9C" w:rsidP="0095055E">
      <w:pPr>
        <w:pStyle w:val="Heading2"/>
        <w:keepNext w:val="0"/>
        <w:keepLines w:val="0"/>
        <w:spacing w:before="120" w:after="120" w:line="240" w:lineRule="auto"/>
        <w:rPr>
          <w:rFonts w:ascii="Open Sans ExtraBold" w:eastAsiaTheme="minorHAnsi" w:hAnsi="Open Sans ExtraBold" w:cs="Open Sans ExtraBold"/>
          <w:b/>
          <w:bCs/>
          <w:color w:val="084D5E"/>
          <w:kern w:val="2"/>
          <w:sz w:val="24"/>
          <w:szCs w:val="24"/>
        </w:rPr>
      </w:pPr>
      <w:r w:rsidRPr="0095055E">
        <w:rPr>
          <w:rFonts w:ascii="Open Sans ExtraBold" w:eastAsiaTheme="minorHAnsi" w:hAnsi="Open Sans ExtraBold" w:cs="Open Sans ExtraBold"/>
          <w:b/>
          <w:bCs/>
          <w:color w:val="084D5E"/>
          <w:kern w:val="2"/>
          <w:sz w:val="24"/>
          <w:szCs w:val="24"/>
        </w:rPr>
        <w:t>Administrative decisions</w:t>
      </w:r>
    </w:p>
    <w:p w14:paraId="6C9CB7E8" w14:textId="77777777" w:rsidR="00407A9C" w:rsidRPr="0095055E" w:rsidRDefault="00407A9C" w:rsidP="00407A9C">
      <w:pPr>
        <w:pStyle w:val="BodyNum"/>
        <w:rPr>
          <w:rFonts w:ascii="Open Sans" w:hAnsi="Open Sans" w:cs="Open Sans"/>
        </w:rPr>
      </w:pPr>
      <w:r w:rsidRPr="0095055E">
        <w:rPr>
          <w:rFonts w:ascii="Open Sans" w:hAnsi="Open Sans" w:cs="Open Sans"/>
        </w:rPr>
        <w:t>This guidance deals with matters to be considered when instructing on legislation that provides for making decisions of an administrative character.</w:t>
      </w:r>
    </w:p>
    <w:p w14:paraId="53483FA2" w14:textId="77777777" w:rsidR="00407A9C" w:rsidRPr="0095055E" w:rsidRDefault="00407A9C" w:rsidP="0095055E">
      <w:pPr>
        <w:pStyle w:val="Heading2"/>
        <w:keepNext w:val="0"/>
        <w:keepLines w:val="0"/>
        <w:spacing w:before="120" w:after="120" w:line="240" w:lineRule="auto"/>
        <w:rPr>
          <w:rFonts w:ascii="Open Sans ExtraBold" w:eastAsiaTheme="minorHAnsi" w:hAnsi="Open Sans ExtraBold" w:cs="Open Sans ExtraBold"/>
          <w:b/>
          <w:bCs/>
          <w:color w:val="084D5E"/>
          <w:kern w:val="2"/>
          <w:sz w:val="24"/>
          <w:szCs w:val="24"/>
        </w:rPr>
      </w:pPr>
      <w:r w:rsidRPr="0095055E">
        <w:rPr>
          <w:rFonts w:ascii="Open Sans ExtraBold" w:eastAsiaTheme="minorHAnsi" w:hAnsi="Open Sans ExtraBold" w:cs="Open Sans ExtraBold"/>
          <w:b/>
          <w:bCs/>
          <w:color w:val="084D5E"/>
          <w:kern w:val="2"/>
          <w:sz w:val="24"/>
          <w:szCs w:val="24"/>
        </w:rPr>
        <w:t>Criteria for making decision</w:t>
      </w:r>
    </w:p>
    <w:p w14:paraId="15BE098A" w14:textId="77777777" w:rsidR="00407A9C" w:rsidRPr="0095055E" w:rsidRDefault="00407A9C" w:rsidP="00407A9C">
      <w:pPr>
        <w:pStyle w:val="BodyNum"/>
        <w:rPr>
          <w:rFonts w:ascii="Open Sans" w:hAnsi="Open Sans" w:cs="Open Sans"/>
        </w:rPr>
      </w:pPr>
      <w:r w:rsidRPr="0095055E">
        <w:rPr>
          <w:rFonts w:ascii="Open Sans" w:hAnsi="Open Sans" w:cs="Open Sans"/>
        </w:rPr>
        <w:t>If legislation will confer power to make a decision of an administrative character, the instructing agency should consider including criteria governing the exercise of the power to make the decision. Alternatively, if such criteria will not appear in the primary legislation, the agency should consider making provision for someone (e.g. the Minister, by legislative instrument) to determine criteria for the exercise of the power.</w:t>
      </w:r>
    </w:p>
    <w:p w14:paraId="3680A4E3" w14:textId="2DF8F1D7" w:rsidR="00407A9C" w:rsidRPr="0095055E" w:rsidRDefault="00407A9C" w:rsidP="00407A9C">
      <w:pPr>
        <w:pStyle w:val="BodyNum"/>
        <w:rPr>
          <w:rFonts w:ascii="Open Sans" w:hAnsi="Open Sans" w:cs="Open Sans"/>
        </w:rPr>
      </w:pPr>
      <w:r w:rsidRPr="0095055E">
        <w:rPr>
          <w:rFonts w:ascii="Open Sans" w:hAnsi="Open Sans" w:cs="Open Sans"/>
        </w:rPr>
        <w:t>It is generally expected that an administrative power that affects the rights and entitlements of a person should be sufficiently defined to ensure the scope of the power is clear. Legislative provisions that give administrators ill</w:t>
      </w:r>
      <w:r w:rsidR="00DF570B" w:rsidRPr="0095055E">
        <w:rPr>
          <w:rFonts w:ascii="Open Sans" w:hAnsi="Open Sans" w:cs="Open Sans"/>
        </w:rPr>
        <w:noBreakHyphen/>
      </w:r>
      <w:r w:rsidRPr="0095055E">
        <w:rPr>
          <w:rFonts w:ascii="Open Sans" w:hAnsi="Open Sans" w:cs="Open Sans"/>
        </w:rPr>
        <w:t>defined and wide powers are open to criticism on policy grounds. Examples include:</w:t>
      </w:r>
    </w:p>
    <w:p w14:paraId="00426353" w14:textId="77777777" w:rsidR="00407A9C" w:rsidRPr="0095055E" w:rsidRDefault="00407A9C" w:rsidP="00407A9C">
      <w:pPr>
        <w:pStyle w:val="BodyParaBullet"/>
        <w:rPr>
          <w:rFonts w:ascii="Open Sans" w:hAnsi="Open Sans" w:cs="Open Sans"/>
        </w:rPr>
      </w:pPr>
      <w:r w:rsidRPr="0095055E">
        <w:rPr>
          <w:rFonts w:ascii="Open Sans" w:hAnsi="Open Sans" w:cs="Open Sans"/>
        </w:rPr>
        <w:t>a power to terminate an appointment without any criteria or guidelines for when or how the power should be exercised;</w:t>
      </w:r>
    </w:p>
    <w:p w14:paraId="0DE905E0" w14:textId="77777777" w:rsidR="00407A9C" w:rsidRPr="0095055E" w:rsidRDefault="00407A9C" w:rsidP="00407A9C">
      <w:pPr>
        <w:pStyle w:val="BodyParaBullet"/>
        <w:rPr>
          <w:rFonts w:ascii="Open Sans" w:hAnsi="Open Sans" w:cs="Open Sans"/>
        </w:rPr>
      </w:pPr>
      <w:r w:rsidRPr="0095055E">
        <w:rPr>
          <w:rFonts w:ascii="Open Sans" w:hAnsi="Open Sans" w:cs="Open Sans"/>
        </w:rPr>
        <w:t>a power to investigate a complaint without anything further about the manner of conducting investigations;</w:t>
      </w:r>
    </w:p>
    <w:p w14:paraId="3F9327FC" w14:textId="77777777" w:rsidR="00407A9C" w:rsidRPr="0095055E" w:rsidRDefault="00407A9C" w:rsidP="00407A9C">
      <w:pPr>
        <w:pStyle w:val="BodyParaBullet"/>
        <w:rPr>
          <w:rFonts w:ascii="Open Sans" w:hAnsi="Open Sans" w:cs="Open Sans"/>
        </w:rPr>
      </w:pPr>
      <w:r w:rsidRPr="0095055E">
        <w:rPr>
          <w:rFonts w:ascii="Open Sans" w:hAnsi="Open Sans" w:cs="Open Sans"/>
        </w:rPr>
        <w:t>a discretion that relies on the decision maker being satisfied as to the existence of a vague concept, such as “appropriate training”.</w:t>
      </w:r>
    </w:p>
    <w:p w14:paraId="0B71CCF1" w14:textId="77777777" w:rsidR="00407A9C" w:rsidRPr="0095055E" w:rsidRDefault="00407A9C" w:rsidP="0095055E">
      <w:pPr>
        <w:pStyle w:val="Heading2"/>
        <w:keepNext w:val="0"/>
        <w:keepLines w:val="0"/>
        <w:spacing w:before="120" w:after="120" w:line="240" w:lineRule="auto"/>
        <w:rPr>
          <w:rFonts w:ascii="Open Sans ExtraBold" w:eastAsiaTheme="minorHAnsi" w:hAnsi="Open Sans ExtraBold" w:cs="Open Sans ExtraBold"/>
          <w:b/>
          <w:bCs/>
          <w:color w:val="084D5E"/>
          <w:kern w:val="2"/>
          <w:sz w:val="24"/>
          <w:szCs w:val="24"/>
        </w:rPr>
      </w:pPr>
      <w:r w:rsidRPr="0095055E">
        <w:rPr>
          <w:rFonts w:ascii="Open Sans ExtraBold" w:eastAsiaTheme="minorHAnsi" w:hAnsi="Open Sans ExtraBold" w:cs="Open Sans ExtraBold"/>
          <w:b/>
          <w:bCs/>
          <w:color w:val="084D5E"/>
          <w:kern w:val="2"/>
          <w:sz w:val="24"/>
          <w:szCs w:val="24"/>
        </w:rPr>
        <w:t>Merits review</w:t>
      </w:r>
    </w:p>
    <w:p w14:paraId="27CFEFCD" w14:textId="2B636AD9" w:rsidR="00407A9C" w:rsidRPr="0095055E" w:rsidRDefault="00407A9C" w:rsidP="00407A9C">
      <w:pPr>
        <w:pStyle w:val="BodyNum"/>
        <w:rPr>
          <w:rFonts w:ascii="Open Sans" w:hAnsi="Open Sans" w:cs="Open Sans"/>
        </w:rPr>
      </w:pPr>
      <w:r w:rsidRPr="0095055E">
        <w:rPr>
          <w:rFonts w:ascii="Open Sans" w:hAnsi="Open Sans" w:cs="Open Sans"/>
        </w:rPr>
        <w:t>As a matter of policy, an administrative decision that will, or is likely to, adversely affect the rights or interests of a person should generally be subject to merits review (internal and external), unless it would be inappropriate or there are factors justifying the exclusion of merits review.</w:t>
      </w:r>
    </w:p>
    <w:p w14:paraId="6F2F526D" w14:textId="77777777" w:rsidR="00407A9C" w:rsidRPr="0095055E" w:rsidRDefault="00407A9C" w:rsidP="00407A9C">
      <w:pPr>
        <w:pStyle w:val="BodyNum"/>
        <w:rPr>
          <w:rFonts w:ascii="Open Sans" w:hAnsi="Open Sans" w:cs="Open Sans"/>
        </w:rPr>
      </w:pPr>
      <w:r w:rsidRPr="0095055E">
        <w:rPr>
          <w:rFonts w:ascii="Open Sans" w:hAnsi="Open Sans" w:cs="Open Sans"/>
        </w:rPr>
        <w:t xml:space="preserve">The Administrative Review Council’s publication </w:t>
      </w:r>
      <w:r w:rsidRPr="0095055E">
        <w:rPr>
          <w:rFonts w:ascii="Open Sans" w:hAnsi="Open Sans" w:cs="Open Sans"/>
          <w:i/>
          <w:iCs/>
        </w:rPr>
        <w:t xml:space="preserve">What decisions should be subject to merits review? </w:t>
      </w:r>
      <w:r w:rsidRPr="0095055E">
        <w:rPr>
          <w:rFonts w:ascii="Open Sans" w:hAnsi="Open Sans" w:cs="Open Sans"/>
        </w:rPr>
        <w:t>may be a helpful resource in deciding whether merits review should be available for an administrative decision.</w:t>
      </w:r>
    </w:p>
    <w:p w14:paraId="057A2054" w14:textId="77777777" w:rsidR="00407A9C" w:rsidRPr="0095055E" w:rsidRDefault="00407A9C" w:rsidP="00407A9C">
      <w:pPr>
        <w:pStyle w:val="BodyNum"/>
        <w:rPr>
          <w:rFonts w:ascii="Open Sans" w:hAnsi="Open Sans" w:cs="Open Sans"/>
        </w:rPr>
      </w:pPr>
      <w:r w:rsidRPr="0095055E">
        <w:rPr>
          <w:rFonts w:ascii="Open Sans" w:hAnsi="Open Sans" w:cs="Open Sans"/>
        </w:rPr>
        <w:lastRenderedPageBreak/>
        <w:t xml:space="preserve">A decision is a </w:t>
      </w:r>
      <w:r w:rsidRPr="0095055E">
        <w:rPr>
          <w:rFonts w:ascii="Open Sans" w:hAnsi="Open Sans" w:cs="Open Sans"/>
          <w:b/>
          <w:bCs/>
          <w:i/>
          <w:iCs/>
        </w:rPr>
        <w:t>reviewable decision</w:t>
      </w:r>
      <w:r w:rsidRPr="0095055E">
        <w:rPr>
          <w:rFonts w:ascii="Open Sans" w:hAnsi="Open Sans" w:cs="Open Sans"/>
        </w:rPr>
        <w:t xml:space="preserve"> under the </w:t>
      </w:r>
      <w:r w:rsidRPr="0095055E">
        <w:rPr>
          <w:rFonts w:ascii="Open Sans" w:hAnsi="Open Sans" w:cs="Open Sans"/>
          <w:i/>
          <w:iCs/>
        </w:rPr>
        <w:t>Administrative Review Tribunal Act 2024</w:t>
      </w:r>
      <w:r w:rsidRPr="0095055E">
        <w:rPr>
          <w:rFonts w:ascii="Open Sans" w:hAnsi="Open Sans" w:cs="Open Sans"/>
        </w:rPr>
        <w:t xml:space="preserve"> (the </w:t>
      </w:r>
      <w:r w:rsidRPr="0095055E">
        <w:rPr>
          <w:rFonts w:ascii="Open Sans" w:hAnsi="Open Sans" w:cs="Open Sans"/>
          <w:b/>
          <w:bCs/>
          <w:i/>
          <w:iCs/>
        </w:rPr>
        <w:t>ART Act</w:t>
      </w:r>
      <w:r w:rsidRPr="0095055E">
        <w:rPr>
          <w:rFonts w:ascii="Open Sans" w:hAnsi="Open Sans" w:cs="Open Sans"/>
        </w:rPr>
        <w:t xml:space="preserve">) if an Act or legislative instrument provides for an application to be made to the Administrative Review Tribunal (the </w:t>
      </w:r>
      <w:r w:rsidRPr="0095055E">
        <w:rPr>
          <w:rFonts w:ascii="Open Sans" w:hAnsi="Open Sans" w:cs="Open Sans"/>
          <w:b/>
          <w:bCs/>
          <w:i/>
          <w:iCs/>
        </w:rPr>
        <w:t>ART</w:t>
      </w:r>
      <w:r w:rsidRPr="0095055E">
        <w:rPr>
          <w:rFonts w:ascii="Open Sans" w:hAnsi="Open Sans" w:cs="Open Sans"/>
        </w:rPr>
        <w:t xml:space="preserve">) for review of the decision. </w:t>
      </w:r>
    </w:p>
    <w:p w14:paraId="3936EC64" w14:textId="77777777" w:rsidR="00407A9C" w:rsidRPr="0095055E" w:rsidRDefault="00407A9C" w:rsidP="00407A9C">
      <w:pPr>
        <w:pStyle w:val="BodyNum"/>
        <w:rPr>
          <w:rFonts w:ascii="Open Sans" w:hAnsi="Open Sans" w:cs="Open Sans"/>
        </w:rPr>
      </w:pPr>
      <w:r w:rsidRPr="0095055E">
        <w:rPr>
          <w:rFonts w:ascii="Open Sans" w:hAnsi="Open Sans" w:cs="Open Sans"/>
        </w:rPr>
        <w:t>Drafting instructions should identify the decisions that are intended to be reviewable by the ART. The standard arrangements in the ART Act will apply unless displaced by other legislation.</w:t>
      </w:r>
    </w:p>
    <w:p w14:paraId="0B1782CF" w14:textId="77777777" w:rsidR="00407A9C" w:rsidRPr="0095055E" w:rsidRDefault="00407A9C" w:rsidP="00407A9C">
      <w:pPr>
        <w:pStyle w:val="BodyNum"/>
        <w:rPr>
          <w:rFonts w:ascii="Open Sans" w:hAnsi="Open Sans" w:cs="Open Sans"/>
        </w:rPr>
      </w:pPr>
      <w:r w:rsidRPr="0095055E">
        <w:rPr>
          <w:rFonts w:ascii="Open Sans" w:hAnsi="Open Sans" w:cs="Open Sans"/>
        </w:rPr>
        <w:t>The standard position in the ART Act is that a person whose interests are affected by a reviewable decision may apply to the ART for review of the decision (subsection 17(1) of the ART Act). Any intended policy limitation on this should be included in the instructions.</w:t>
      </w:r>
    </w:p>
    <w:p w14:paraId="200207CF" w14:textId="77777777" w:rsidR="00407A9C" w:rsidRPr="0095055E" w:rsidRDefault="00407A9C" w:rsidP="00407A9C">
      <w:pPr>
        <w:pStyle w:val="BodyNum"/>
        <w:rPr>
          <w:rFonts w:ascii="Open Sans" w:hAnsi="Open Sans" w:cs="Open Sans"/>
        </w:rPr>
      </w:pPr>
      <w:r w:rsidRPr="0095055E">
        <w:rPr>
          <w:rFonts w:ascii="Open Sans" w:hAnsi="Open Sans" w:cs="Open Sans"/>
        </w:rPr>
        <w:t>Any divergence from the standard time frames prescribed by the rules made under the ART Act for the purposes of section 18 of that Act (when to apply for review of a decision) should also be the subject of specific instructions.</w:t>
      </w:r>
    </w:p>
    <w:p w14:paraId="08F2440E" w14:textId="5CA399A5" w:rsidR="00407A9C" w:rsidRPr="0095055E" w:rsidRDefault="00407A9C" w:rsidP="00407A9C">
      <w:pPr>
        <w:pStyle w:val="BodyNum"/>
        <w:rPr>
          <w:rFonts w:ascii="Open Sans" w:hAnsi="Open Sans" w:cs="Open Sans"/>
        </w:rPr>
      </w:pPr>
      <w:r w:rsidRPr="0095055E">
        <w:rPr>
          <w:rFonts w:ascii="Open Sans" w:hAnsi="Open Sans" w:cs="Open Sans"/>
        </w:rPr>
        <w:t>The standard position under section 266 of the ART Act is that the decision</w:t>
      </w:r>
      <w:r w:rsidR="00DF570B" w:rsidRPr="0095055E">
        <w:rPr>
          <w:rFonts w:ascii="Open Sans" w:hAnsi="Open Sans" w:cs="Open Sans"/>
        </w:rPr>
        <w:noBreakHyphen/>
      </w:r>
      <w:r w:rsidRPr="0095055E">
        <w:rPr>
          <w:rFonts w:ascii="Open Sans" w:hAnsi="Open Sans" w:cs="Open Sans"/>
        </w:rPr>
        <w:t>maker must give notice of a reviewable decision, and the review rights for the decision, to any person whose interests are affected by the decision. These requirements apply to all decisions in the review pathway. Section 268 of the ART Act allows a person whose interests are affected by a reviewable decision to request reasons for the decision. These standard arrangements do not need to be duplicated in other legislation. However, drafting instructions should indicate any intention to alter the standard arrangements.</w:t>
      </w:r>
    </w:p>
    <w:p w14:paraId="512974DF" w14:textId="77777777" w:rsidR="00407A9C" w:rsidRPr="0095055E" w:rsidRDefault="00407A9C" w:rsidP="0095055E">
      <w:pPr>
        <w:pStyle w:val="Heading2"/>
        <w:keepNext w:val="0"/>
        <w:keepLines w:val="0"/>
        <w:spacing w:before="120" w:after="120" w:line="240" w:lineRule="auto"/>
        <w:rPr>
          <w:rFonts w:ascii="Open Sans ExtraBold" w:eastAsiaTheme="minorHAnsi" w:hAnsi="Open Sans ExtraBold" w:cs="Open Sans ExtraBold"/>
          <w:b/>
          <w:bCs/>
          <w:color w:val="084D5E"/>
          <w:kern w:val="2"/>
          <w:sz w:val="24"/>
          <w:szCs w:val="24"/>
        </w:rPr>
      </w:pPr>
      <w:r w:rsidRPr="0095055E">
        <w:rPr>
          <w:rFonts w:ascii="Open Sans ExtraBold" w:eastAsiaTheme="minorHAnsi" w:hAnsi="Open Sans ExtraBold" w:cs="Open Sans ExtraBold"/>
          <w:b/>
          <w:bCs/>
          <w:color w:val="084D5E"/>
          <w:kern w:val="2"/>
          <w:sz w:val="24"/>
          <w:szCs w:val="24"/>
        </w:rPr>
        <w:t>Instruments</w:t>
      </w:r>
    </w:p>
    <w:p w14:paraId="3E757A29" w14:textId="77777777" w:rsidR="00407A9C" w:rsidRPr="0095055E" w:rsidRDefault="00407A9C" w:rsidP="00407A9C">
      <w:pPr>
        <w:pStyle w:val="BodyNum"/>
        <w:rPr>
          <w:rFonts w:ascii="Open Sans" w:hAnsi="Open Sans" w:cs="Open Sans"/>
        </w:rPr>
      </w:pPr>
      <w:r w:rsidRPr="0095055E">
        <w:rPr>
          <w:rFonts w:ascii="Open Sans" w:hAnsi="Open Sans" w:cs="Open Sans"/>
        </w:rPr>
        <w:t>Instruments may displace the standard arrangements under the ART Act only if expressly permitted by the enabling legislation. Accordingly:</w:t>
      </w:r>
    </w:p>
    <w:p w14:paraId="3BDC46FE" w14:textId="77777777" w:rsidR="00407A9C" w:rsidRPr="0095055E" w:rsidRDefault="00407A9C" w:rsidP="00407A9C">
      <w:pPr>
        <w:pStyle w:val="BodyParaBullet"/>
        <w:rPr>
          <w:rFonts w:ascii="Open Sans" w:hAnsi="Open Sans" w:cs="Open Sans"/>
        </w:rPr>
      </w:pPr>
      <w:r w:rsidRPr="0095055E">
        <w:rPr>
          <w:rFonts w:ascii="Open Sans" w:hAnsi="Open Sans" w:cs="Open Sans"/>
        </w:rPr>
        <w:t>drafting instructions for Bills should indicate if instruments may need to do so; and</w:t>
      </w:r>
    </w:p>
    <w:p w14:paraId="0C9C5EC9" w14:textId="77777777" w:rsidR="00407A9C" w:rsidRPr="0095055E" w:rsidRDefault="00407A9C" w:rsidP="00407A9C">
      <w:pPr>
        <w:pStyle w:val="BodyParaBullet"/>
        <w:rPr>
          <w:rFonts w:ascii="Open Sans" w:hAnsi="Open Sans" w:cs="Open Sans"/>
        </w:rPr>
      </w:pPr>
      <w:r w:rsidRPr="0095055E">
        <w:rPr>
          <w:rFonts w:ascii="Open Sans" w:hAnsi="Open Sans" w:cs="Open Sans"/>
        </w:rPr>
        <w:t>drafting instructions for instruments should not seek to displace the standard arrangements unless it is permitted by the enabling legislation.</w:t>
      </w:r>
    </w:p>
    <w:p w14:paraId="65ECF6B2" w14:textId="77777777" w:rsidR="00407A9C" w:rsidRPr="0095055E" w:rsidRDefault="00407A9C" w:rsidP="0095055E">
      <w:pPr>
        <w:pStyle w:val="Heading2"/>
        <w:keepNext w:val="0"/>
        <w:keepLines w:val="0"/>
        <w:spacing w:before="120" w:after="120" w:line="240" w:lineRule="auto"/>
        <w:rPr>
          <w:rFonts w:ascii="Open Sans" w:eastAsiaTheme="minorHAnsi" w:hAnsi="Open Sans" w:cs="Open Sans"/>
          <w:b/>
          <w:bCs/>
          <w:color w:val="084D5E"/>
          <w:kern w:val="2"/>
          <w:sz w:val="24"/>
          <w:szCs w:val="24"/>
        </w:rPr>
      </w:pPr>
      <w:r w:rsidRPr="0095055E">
        <w:rPr>
          <w:rFonts w:ascii="Open Sans ExtraBold" w:eastAsiaTheme="minorHAnsi" w:hAnsi="Open Sans ExtraBold" w:cs="Open Sans ExtraBold"/>
          <w:b/>
          <w:bCs/>
          <w:color w:val="084D5E"/>
          <w:kern w:val="2"/>
          <w:sz w:val="24"/>
          <w:szCs w:val="24"/>
        </w:rPr>
        <w:t>Judicial review</w:t>
      </w:r>
    </w:p>
    <w:p w14:paraId="4EC0F4E9" w14:textId="77777777" w:rsidR="00407A9C" w:rsidRPr="0095055E" w:rsidRDefault="00407A9C" w:rsidP="00407A9C">
      <w:pPr>
        <w:pStyle w:val="BodyNum"/>
        <w:rPr>
          <w:rFonts w:ascii="Open Sans" w:hAnsi="Open Sans" w:cs="Open Sans"/>
        </w:rPr>
      </w:pPr>
      <w:r w:rsidRPr="0095055E">
        <w:rPr>
          <w:rFonts w:ascii="Open Sans" w:hAnsi="Open Sans" w:cs="Open Sans"/>
        </w:rPr>
        <w:t xml:space="preserve">Administrative decisions can also be reviewed by a court. The </w:t>
      </w:r>
      <w:r w:rsidRPr="0095055E">
        <w:rPr>
          <w:rFonts w:ascii="Open Sans" w:hAnsi="Open Sans" w:cs="Open Sans"/>
          <w:i/>
          <w:iCs/>
        </w:rPr>
        <w:t>Administrative Decisions (Judicial Review) Act 1977</w:t>
      </w:r>
      <w:r w:rsidRPr="0095055E">
        <w:rPr>
          <w:rFonts w:ascii="Open Sans" w:hAnsi="Open Sans" w:cs="Open Sans"/>
        </w:rPr>
        <w:t xml:space="preserve"> (the </w:t>
      </w:r>
      <w:proofErr w:type="spellStart"/>
      <w:r w:rsidRPr="0095055E">
        <w:rPr>
          <w:rFonts w:ascii="Open Sans" w:hAnsi="Open Sans" w:cs="Open Sans"/>
          <w:b/>
          <w:bCs/>
          <w:i/>
          <w:iCs/>
        </w:rPr>
        <w:t>ADJR</w:t>
      </w:r>
      <w:proofErr w:type="spellEnd"/>
      <w:r w:rsidRPr="0095055E">
        <w:rPr>
          <w:rFonts w:ascii="Open Sans" w:hAnsi="Open Sans" w:cs="Open Sans"/>
          <w:b/>
          <w:bCs/>
          <w:i/>
          <w:iCs/>
        </w:rPr>
        <w:t xml:space="preserve"> Act</w:t>
      </w:r>
      <w:r w:rsidRPr="0095055E">
        <w:rPr>
          <w:rFonts w:ascii="Open Sans" w:hAnsi="Open Sans" w:cs="Open Sans"/>
        </w:rPr>
        <w:t>) gives a person who is aggrieved by a decision a right to review of the decision on the basis of the following:</w:t>
      </w:r>
    </w:p>
    <w:p w14:paraId="5B807E36" w14:textId="77777777" w:rsidR="00407A9C" w:rsidRPr="0095055E" w:rsidRDefault="00407A9C" w:rsidP="00407A9C">
      <w:pPr>
        <w:pStyle w:val="BodyParaBullet"/>
        <w:rPr>
          <w:rFonts w:ascii="Open Sans" w:hAnsi="Open Sans" w:cs="Open Sans"/>
        </w:rPr>
      </w:pPr>
      <w:r w:rsidRPr="0095055E">
        <w:rPr>
          <w:rFonts w:ascii="Open Sans" w:hAnsi="Open Sans" w:cs="Open Sans"/>
        </w:rPr>
        <w:lastRenderedPageBreak/>
        <w:t>a breach of natural justice;</w:t>
      </w:r>
    </w:p>
    <w:p w14:paraId="6B76C936" w14:textId="77777777" w:rsidR="00407A9C" w:rsidRPr="0095055E" w:rsidRDefault="00407A9C" w:rsidP="00407A9C">
      <w:pPr>
        <w:pStyle w:val="BodyParaBullet"/>
        <w:rPr>
          <w:rFonts w:ascii="Open Sans" w:hAnsi="Open Sans" w:cs="Open Sans"/>
        </w:rPr>
      </w:pPr>
      <w:r w:rsidRPr="0095055E">
        <w:rPr>
          <w:rFonts w:ascii="Open Sans" w:hAnsi="Open Sans" w:cs="Open Sans"/>
        </w:rPr>
        <w:t>a procedural issue;</w:t>
      </w:r>
    </w:p>
    <w:p w14:paraId="47121687" w14:textId="77777777" w:rsidR="00407A9C" w:rsidRPr="0095055E" w:rsidRDefault="00407A9C" w:rsidP="00407A9C">
      <w:pPr>
        <w:pStyle w:val="BodyParaBullet"/>
        <w:rPr>
          <w:rFonts w:ascii="Open Sans" w:hAnsi="Open Sans" w:cs="Open Sans"/>
        </w:rPr>
      </w:pPr>
      <w:r w:rsidRPr="0095055E">
        <w:rPr>
          <w:rFonts w:ascii="Open Sans" w:hAnsi="Open Sans" w:cs="Open Sans"/>
        </w:rPr>
        <w:t>an error of law;</w:t>
      </w:r>
    </w:p>
    <w:p w14:paraId="1BF700E7" w14:textId="77777777" w:rsidR="00407A9C" w:rsidRPr="0095055E" w:rsidRDefault="00407A9C" w:rsidP="00407A9C">
      <w:pPr>
        <w:pStyle w:val="BodyParaBullet"/>
        <w:rPr>
          <w:rFonts w:ascii="Open Sans" w:hAnsi="Open Sans" w:cs="Open Sans"/>
        </w:rPr>
      </w:pPr>
      <w:r w:rsidRPr="0095055E">
        <w:rPr>
          <w:rFonts w:ascii="Open Sans" w:hAnsi="Open Sans" w:cs="Open Sans"/>
        </w:rPr>
        <w:t>legal unreasonableness;</w:t>
      </w:r>
    </w:p>
    <w:p w14:paraId="6DEA58CF" w14:textId="77777777" w:rsidR="00407A9C" w:rsidRPr="0095055E" w:rsidRDefault="00407A9C" w:rsidP="00407A9C">
      <w:pPr>
        <w:pStyle w:val="BodyParaBullet"/>
        <w:rPr>
          <w:rFonts w:ascii="Open Sans" w:hAnsi="Open Sans" w:cs="Open Sans"/>
        </w:rPr>
      </w:pPr>
      <w:r w:rsidRPr="0095055E">
        <w:rPr>
          <w:rFonts w:ascii="Open Sans" w:hAnsi="Open Sans" w:cs="Open Sans"/>
        </w:rPr>
        <w:t>other legal grounds.</w:t>
      </w:r>
    </w:p>
    <w:p w14:paraId="525DF48F" w14:textId="3936195E" w:rsidR="00407A9C" w:rsidRPr="0095055E" w:rsidRDefault="00407A9C" w:rsidP="00407A9C">
      <w:pPr>
        <w:pStyle w:val="BodyNum"/>
        <w:rPr>
          <w:rFonts w:ascii="Open Sans" w:hAnsi="Open Sans" w:cs="Open Sans"/>
        </w:rPr>
      </w:pPr>
      <w:r w:rsidRPr="0095055E">
        <w:rPr>
          <w:rFonts w:ascii="Open Sans" w:hAnsi="Open Sans" w:cs="Open Sans"/>
        </w:rPr>
        <w:t xml:space="preserve">Judicial review is not a review of the merits of the decision, but rather a review of the legal process by which it is made (i.e. its legality). The right of review is automatic, unless legislation specifically excludes that right. Exclusions from the application of the </w:t>
      </w:r>
      <w:proofErr w:type="spellStart"/>
      <w:r w:rsidRPr="0095055E">
        <w:rPr>
          <w:rFonts w:ascii="Open Sans" w:hAnsi="Open Sans" w:cs="Open Sans"/>
        </w:rPr>
        <w:t>ADJR</w:t>
      </w:r>
      <w:proofErr w:type="spellEnd"/>
      <w:r w:rsidRPr="0095055E">
        <w:rPr>
          <w:rFonts w:ascii="Open Sans" w:hAnsi="Open Sans" w:cs="Open Sans"/>
        </w:rPr>
        <w:t xml:space="preserve"> Act are rare and will only be considered for compelling policy reasons. The Attorney</w:t>
      </w:r>
      <w:r w:rsidR="00DF570B" w:rsidRPr="0095055E">
        <w:rPr>
          <w:rFonts w:ascii="Open Sans" w:hAnsi="Open Sans" w:cs="Open Sans"/>
        </w:rPr>
        <w:noBreakHyphen/>
      </w:r>
      <w:r w:rsidRPr="0095055E">
        <w:rPr>
          <w:rFonts w:ascii="Open Sans" w:hAnsi="Open Sans" w:cs="Open Sans"/>
        </w:rPr>
        <w:t>General’s Department must be consulted on all proposals to exclude judicial review. As a matter of policy, the availability of judicial review is not usually seen as an adequate substitute for merits review by, for example, the ART.</w:t>
      </w:r>
    </w:p>
    <w:p w14:paraId="797BF96C" w14:textId="77777777" w:rsidR="00407A9C" w:rsidRPr="0095055E" w:rsidRDefault="00407A9C" w:rsidP="0095055E">
      <w:pPr>
        <w:pStyle w:val="Heading2"/>
        <w:keepNext w:val="0"/>
        <w:keepLines w:val="0"/>
        <w:spacing w:before="120" w:after="120" w:line="240" w:lineRule="auto"/>
        <w:rPr>
          <w:rFonts w:ascii="Open Sans ExtraBold" w:eastAsiaTheme="minorHAnsi" w:hAnsi="Open Sans ExtraBold" w:cs="Open Sans ExtraBold"/>
          <w:b/>
          <w:bCs/>
          <w:color w:val="084D5E"/>
          <w:kern w:val="2"/>
          <w:sz w:val="24"/>
          <w:szCs w:val="24"/>
        </w:rPr>
      </w:pPr>
      <w:r w:rsidRPr="0095055E">
        <w:rPr>
          <w:rFonts w:ascii="Open Sans ExtraBold" w:eastAsiaTheme="minorHAnsi" w:hAnsi="Open Sans ExtraBold" w:cs="Open Sans ExtraBold"/>
          <w:b/>
          <w:bCs/>
          <w:color w:val="084D5E"/>
          <w:kern w:val="2"/>
          <w:sz w:val="24"/>
          <w:szCs w:val="24"/>
        </w:rPr>
        <w:t>Constitutionally protected judicial review</w:t>
      </w:r>
    </w:p>
    <w:p w14:paraId="241C9E85" w14:textId="77777777" w:rsidR="00407A9C" w:rsidRPr="0095055E" w:rsidRDefault="00407A9C" w:rsidP="00407A9C">
      <w:pPr>
        <w:pStyle w:val="BodyNum"/>
        <w:rPr>
          <w:rFonts w:ascii="Open Sans" w:hAnsi="Open Sans" w:cs="Open Sans"/>
        </w:rPr>
      </w:pPr>
      <w:r w:rsidRPr="0095055E">
        <w:rPr>
          <w:rFonts w:ascii="Open Sans" w:hAnsi="Open Sans" w:cs="Open Sans"/>
        </w:rPr>
        <w:t>Judicial review of administrative action, as guaranteed by the Constitution, cannot be excluded by legislation. Paragraph 75(v) of the Constitution confers original jurisdiction on the High Court in relation to a “matter in which a writ of mandamus or prohibition or an injunction is sought against an officer of the Commonwealth”. Paragraph 75(v) protects access to the courts by providing what the High Court has described as an “entrenched minimum provision of judicial review” of administrative action by government officials.</w:t>
      </w:r>
    </w:p>
    <w:p w14:paraId="78FA1893" w14:textId="77777777" w:rsidR="00407A9C" w:rsidRPr="0095055E" w:rsidRDefault="00407A9C" w:rsidP="0095055E">
      <w:pPr>
        <w:pStyle w:val="Heading2"/>
        <w:keepNext w:val="0"/>
        <w:keepLines w:val="0"/>
        <w:spacing w:before="120" w:after="120" w:line="240" w:lineRule="auto"/>
        <w:rPr>
          <w:rFonts w:ascii="Open Sans ExtraBold" w:eastAsiaTheme="minorHAnsi" w:hAnsi="Open Sans ExtraBold" w:cs="Open Sans ExtraBold"/>
          <w:b/>
          <w:bCs/>
          <w:color w:val="084D5E"/>
          <w:kern w:val="2"/>
          <w:sz w:val="24"/>
          <w:szCs w:val="24"/>
        </w:rPr>
      </w:pPr>
      <w:r w:rsidRPr="0095055E">
        <w:rPr>
          <w:rFonts w:ascii="Open Sans ExtraBold" w:eastAsiaTheme="minorHAnsi" w:hAnsi="Open Sans ExtraBold" w:cs="Open Sans ExtraBold"/>
          <w:b/>
          <w:bCs/>
          <w:color w:val="084D5E"/>
          <w:kern w:val="2"/>
          <w:sz w:val="24"/>
          <w:szCs w:val="24"/>
        </w:rPr>
        <w:t>Parliamentary scrutiny</w:t>
      </w:r>
    </w:p>
    <w:p w14:paraId="2D8DAB73" w14:textId="77777777" w:rsidR="00407A9C" w:rsidRPr="0095055E" w:rsidRDefault="00407A9C" w:rsidP="00407A9C">
      <w:pPr>
        <w:pStyle w:val="BodyNum"/>
        <w:rPr>
          <w:rFonts w:ascii="Open Sans" w:hAnsi="Open Sans" w:cs="Open Sans"/>
        </w:rPr>
      </w:pPr>
      <w:r w:rsidRPr="0095055E">
        <w:rPr>
          <w:rFonts w:ascii="Open Sans" w:hAnsi="Open Sans" w:cs="Open Sans"/>
        </w:rPr>
        <w:t>Legislative provisions that provide for making administrative decisions are often the subject of comment by the Senate Standing Committees that scrutinise legislation. Those Committees have commented on legislation that:</w:t>
      </w:r>
    </w:p>
    <w:p w14:paraId="2EF731EC" w14:textId="7EE9E4FE" w:rsidR="00407A9C" w:rsidRPr="0095055E" w:rsidRDefault="00407A9C" w:rsidP="00407A9C">
      <w:pPr>
        <w:pStyle w:val="BodyParaBullet"/>
        <w:rPr>
          <w:rFonts w:ascii="Open Sans" w:hAnsi="Open Sans" w:cs="Open Sans"/>
        </w:rPr>
      </w:pPr>
      <w:r w:rsidRPr="0095055E">
        <w:rPr>
          <w:rFonts w:ascii="Open Sans" w:hAnsi="Open Sans" w:cs="Open Sans"/>
        </w:rPr>
        <w:t>excludes, or fail to provide for, merits review by an appropriate tribunal;</w:t>
      </w:r>
    </w:p>
    <w:p w14:paraId="5C42E7B9" w14:textId="77777777" w:rsidR="00407A9C" w:rsidRPr="0095055E" w:rsidRDefault="00407A9C" w:rsidP="00407A9C">
      <w:pPr>
        <w:pStyle w:val="BodyParaBullet"/>
        <w:rPr>
          <w:rFonts w:ascii="Open Sans" w:hAnsi="Open Sans" w:cs="Open Sans"/>
        </w:rPr>
      </w:pPr>
      <w:r w:rsidRPr="0095055E">
        <w:rPr>
          <w:rFonts w:ascii="Open Sans" w:hAnsi="Open Sans" w:cs="Open Sans"/>
        </w:rPr>
        <w:t>purports to exclude judicial review of the legality of a decision;</w:t>
      </w:r>
    </w:p>
    <w:p w14:paraId="0DC09EDE" w14:textId="77777777" w:rsidR="00407A9C" w:rsidRPr="0095055E" w:rsidRDefault="00407A9C" w:rsidP="00407A9C">
      <w:pPr>
        <w:pStyle w:val="BodyParaBullet"/>
        <w:rPr>
          <w:rFonts w:ascii="Open Sans" w:hAnsi="Open Sans" w:cs="Open Sans"/>
        </w:rPr>
      </w:pPr>
      <w:r w:rsidRPr="0095055E">
        <w:rPr>
          <w:rFonts w:ascii="Open Sans" w:hAnsi="Open Sans" w:cs="Open Sans"/>
        </w:rPr>
        <w:t>provides that reasons need not be given for a decision.</w:t>
      </w:r>
    </w:p>
    <w:p w14:paraId="319B6B63" w14:textId="1DBD898D" w:rsidR="00407A9C" w:rsidRPr="0095055E" w:rsidRDefault="00D825ED" w:rsidP="0095055E">
      <w:pPr>
        <w:pStyle w:val="Heading2"/>
        <w:keepNext w:val="0"/>
        <w:keepLines w:val="0"/>
        <w:spacing w:before="120" w:after="120" w:line="240" w:lineRule="auto"/>
        <w:rPr>
          <w:rFonts w:ascii="Open Sans ExtraBold" w:eastAsiaTheme="minorHAnsi" w:hAnsi="Open Sans ExtraBold" w:cs="Open Sans ExtraBold"/>
          <w:b/>
          <w:bCs/>
          <w:color w:val="084D5E"/>
          <w:kern w:val="2"/>
          <w:sz w:val="24"/>
          <w:szCs w:val="24"/>
        </w:rPr>
      </w:pPr>
      <w:r w:rsidRPr="0095055E">
        <w:rPr>
          <w:rFonts w:ascii="Open Sans ExtraBold" w:eastAsiaTheme="minorHAnsi" w:hAnsi="Open Sans ExtraBold" w:cs="Open Sans ExtraBold"/>
          <w:b/>
          <w:bCs/>
          <w:color w:val="084D5E"/>
          <w:kern w:val="2"/>
          <w:sz w:val="24"/>
          <w:szCs w:val="24"/>
        </w:rPr>
        <w:t>More information</w:t>
      </w:r>
    </w:p>
    <w:p w14:paraId="15DE4AA6" w14:textId="77DCBEA3" w:rsidR="00407A9C" w:rsidRPr="0095055E" w:rsidRDefault="00407A9C" w:rsidP="00407A9C">
      <w:pPr>
        <w:pStyle w:val="BodyParaBullet"/>
        <w:rPr>
          <w:rFonts w:ascii="Open Sans" w:hAnsi="Open Sans" w:cs="Open Sans"/>
        </w:rPr>
      </w:pPr>
      <w:r w:rsidRPr="0095055E">
        <w:rPr>
          <w:rFonts w:ascii="Open Sans" w:hAnsi="Open Sans" w:cs="Open Sans"/>
          <w:i/>
          <w:iCs/>
        </w:rPr>
        <w:t>Australian Administrative Law Policy Guide</w:t>
      </w:r>
      <w:r w:rsidRPr="0095055E">
        <w:rPr>
          <w:rFonts w:ascii="Open Sans" w:hAnsi="Open Sans" w:cs="Open Sans"/>
        </w:rPr>
        <w:t xml:space="preserve"> (2011), published by the Attorney</w:t>
      </w:r>
      <w:r w:rsidR="00DF570B" w:rsidRPr="0095055E">
        <w:rPr>
          <w:rFonts w:ascii="Open Sans" w:hAnsi="Open Sans" w:cs="Open Sans"/>
        </w:rPr>
        <w:noBreakHyphen/>
      </w:r>
      <w:r w:rsidRPr="0095055E">
        <w:rPr>
          <w:rFonts w:ascii="Open Sans" w:hAnsi="Open Sans" w:cs="Open Sans"/>
        </w:rPr>
        <w:t xml:space="preserve">General’s Department and available on </w:t>
      </w:r>
      <w:r w:rsidR="00A53F63" w:rsidRPr="0095055E">
        <w:rPr>
          <w:rFonts w:ascii="Open Sans" w:hAnsi="Open Sans" w:cs="Open Sans"/>
        </w:rPr>
        <w:t>the Department’s</w:t>
      </w:r>
      <w:r w:rsidRPr="0095055E">
        <w:rPr>
          <w:rFonts w:ascii="Open Sans" w:hAnsi="Open Sans" w:cs="Open Sans"/>
        </w:rPr>
        <w:t xml:space="preserve"> website</w:t>
      </w:r>
    </w:p>
    <w:p w14:paraId="49916EEF" w14:textId="77777777" w:rsidR="00CB6EA7" w:rsidRDefault="00407A9C" w:rsidP="00CB6EA7">
      <w:pPr>
        <w:pStyle w:val="BodyParaBullet"/>
        <w:rPr>
          <w:rFonts w:ascii="Open Sans" w:hAnsi="Open Sans" w:cs="Open Sans"/>
        </w:rPr>
      </w:pPr>
      <w:r w:rsidRPr="0095055E">
        <w:rPr>
          <w:rFonts w:ascii="Open Sans" w:hAnsi="Open Sans" w:cs="Open Sans"/>
          <w:i/>
          <w:iCs/>
        </w:rPr>
        <w:t>What decisions should be subject to merits review?</w:t>
      </w:r>
      <w:r w:rsidRPr="0095055E">
        <w:rPr>
          <w:rFonts w:ascii="Open Sans" w:hAnsi="Open Sans" w:cs="Open Sans"/>
        </w:rPr>
        <w:t xml:space="preserve"> (1999) published by the Administrative Review Council</w:t>
      </w:r>
      <w:r w:rsidR="00A53F63" w:rsidRPr="0095055E">
        <w:rPr>
          <w:rFonts w:ascii="Open Sans" w:hAnsi="Open Sans" w:cs="Open Sans"/>
        </w:rPr>
        <w:t xml:space="preserve"> and available on the Attorney</w:t>
      </w:r>
      <w:r w:rsidR="00DF570B" w:rsidRPr="0095055E">
        <w:rPr>
          <w:rFonts w:ascii="Open Sans" w:hAnsi="Open Sans" w:cs="Open Sans"/>
        </w:rPr>
        <w:noBreakHyphen/>
      </w:r>
      <w:r w:rsidR="00A53F63" w:rsidRPr="0095055E">
        <w:rPr>
          <w:rFonts w:ascii="Open Sans" w:hAnsi="Open Sans" w:cs="Open Sans"/>
        </w:rPr>
        <w:t>General’s Department’s website</w:t>
      </w:r>
    </w:p>
    <w:p w14:paraId="456A31E6" w14:textId="4B990CEB" w:rsidR="0095055E" w:rsidRPr="00CB6EA7" w:rsidRDefault="00CB6EA7" w:rsidP="00CB6EA7">
      <w:pPr>
        <w:pStyle w:val="BodyParaBullet"/>
        <w:rPr>
          <w:rFonts w:ascii="Open Sans" w:hAnsi="Open Sans" w:cs="Open Sans"/>
          <w:i/>
          <w:iCs/>
        </w:rPr>
      </w:pPr>
      <w:r w:rsidRPr="00CB6EA7">
        <w:rPr>
          <w:rFonts w:ascii="Open Sans" w:hAnsi="Open Sans" w:cs="Open Sans"/>
          <w:i/>
          <w:iCs/>
        </w:rPr>
        <w:t>Drafting Direction 3.7—Tribunals and other administrative bodies—various matters</w:t>
      </w:r>
    </w:p>
    <w:tbl>
      <w:tblPr>
        <w:tblStyle w:val="TableGrid"/>
        <w:tblW w:w="0" w:type="auto"/>
        <w:tblLook w:val="04A0" w:firstRow="1" w:lastRow="0" w:firstColumn="1" w:lastColumn="0" w:noHBand="0" w:noVBand="1"/>
      </w:tblPr>
      <w:tblGrid>
        <w:gridCol w:w="9016"/>
      </w:tblGrid>
      <w:tr w:rsidR="0095055E" w:rsidRPr="00F951F6" w14:paraId="42EB76AE" w14:textId="77777777" w:rsidTr="00F01C1E">
        <w:tc>
          <w:tcPr>
            <w:tcW w:w="9016" w:type="dxa"/>
            <w:tcBorders>
              <w:top w:val="nil"/>
              <w:left w:val="nil"/>
              <w:bottom w:val="nil"/>
              <w:right w:val="nil"/>
            </w:tcBorders>
            <w:shd w:val="clear" w:color="auto" w:fill="A9D9DB"/>
          </w:tcPr>
          <w:p w14:paraId="598E4B4C" w14:textId="77777777" w:rsidR="0095055E" w:rsidRPr="0095055E" w:rsidRDefault="0095055E" w:rsidP="00F01C1E">
            <w:pPr>
              <w:spacing w:before="120" w:after="120"/>
              <w:rPr>
                <w:rFonts w:ascii="Open Sans" w:hAnsi="Open Sans" w:cs="Open Sans"/>
                <w:szCs w:val="22"/>
              </w:rPr>
            </w:pPr>
            <w:bookmarkStart w:id="0" w:name="_Hlk202188723"/>
            <w:r w:rsidRPr="0095055E">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0"/>
    </w:tbl>
    <w:p w14:paraId="5228DB88" w14:textId="77777777" w:rsidR="0095055E" w:rsidRPr="00DF570B" w:rsidRDefault="0095055E" w:rsidP="0095055E">
      <w:pPr>
        <w:pStyle w:val="BodyNum"/>
        <w:numPr>
          <w:ilvl w:val="0"/>
          <w:numId w:val="0"/>
        </w:numPr>
      </w:pPr>
    </w:p>
    <w:sectPr w:rsidR="0095055E" w:rsidRPr="00DF570B" w:rsidSect="00BF427A">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4F6D" w14:textId="77777777" w:rsidR="009E2894" w:rsidRDefault="009E2894" w:rsidP="008E17F3">
      <w:pPr>
        <w:spacing w:line="240" w:lineRule="auto"/>
      </w:pPr>
      <w:r>
        <w:separator/>
      </w:r>
    </w:p>
  </w:endnote>
  <w:endnote w:type="continuationSeparator" w:id="0">
    <w:p w14:paraId="50B84FC7" w14:textId="77777777" w:rsidR="009E2894" w:rsidRDefault="009E2894"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697AD054-C8A1-40CD-817A-24ACDE21A091}"/>
    <w:embedBold r:id="rId2" w:fontKey="{42925F55-5882-401E-8CCE-4E940ABBF8A0}"/>
    <w:embedItalic r:id="rId3" w:fontKey="{1D2E4595-EFF3-4654-9718-EB930F608134}"/>
    <w:embedBoldItalic r:id="rId4" w:fontKey="{A417467C-0297-44F4-955C-CA73ACFB2C69}"/>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Open Sans ExtraBold">
    <w:charset w:val="00"/>
    <w:family w:val="swiss"/>
    <w:pitch w:val="variable"/>
    <w:sig w:usb0="E00002EF" w:usb1="4000205B" w:usb2="00000028" w:usb3="00000000" w:csb0="0000019F" w:csb1="00000000"/>
    <w:embedRegular r:id="rId5" w:subsetted="1" w:fontKey="{6C28EAB6-957E-4919-8581-0D4961671E53}"/>
    <w:embedBold r:id="rId6" w:subsetted="1" w:fontKey="{A224205C-C4EC-4C0B-8AE4-61BDDC3FB7C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BCCD"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14:paraId="638BE1E8"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71217"/>
      <w:docPartObj>
        <w:docPartGallery w:val="Page Numbers (Bottom of Page)"/>
        <w:docPartUnique/>
      </w:docPartObj>
    </w:sdtPr>
    <w:sdtEndPr>
      <w:rPr>
        <w:rFonts w:ascii="Open Sans" w:hAnsi="Open Sans" w:cs="Open Sans"/>
      </w:rPr>
    </w:sdtEndPr>
    <w:sdtContent>
      <w:p w14:paraId="798C5642" w14:textId="20CB5595" w:rsidR="00440912" w:rsidRPr="00440912" w:rsidRDefault="00440912" w:rsidP="00440912">
        <w:pPr>
          <w:pStyle w:val="Footer"/>
          <w:ind w:hanging="709"/>
          <w:jc w:val="right"/>
          <w:rPr>
            <w:rFonts w:ascii="Open Sans" w:hAnsi="Open Sans" w:cs="Open Sans"/>
            <w:sz w:val="20"/>
            <w:szCs w:val="20"/>
          </w:rPr>
        </w:pPr>
        <w:r w:rsidRPr="00440912">
          <w:rPr>
            <w:rFonts w:ascii="Open Sans" w:hAnsi="Open Sans" w:cs="Open Sans"/>
            <w:sz w:val="20"/>
            <w:szCs w:val="20"/>
          </w:rPr>
          <w:t>[S25EP111.docx]</w:t>
        </w:r>
        <w:r w:rsidRPr="00440912">
          <w:rPr>
            <w:rFonts w:ascii="Open Sans" w:hAnsi="Open Sans" w:cs="Open Sans"/>
            <w:sz w:val="20"/>
            <w:szCs w:val="20"/>
          </w:rPr>
          <w:tab/>
        </w:r>
        <w:r w:rsidRPr="00440912">
          <w:rPr>
            <w:rFonts w:ascii="Open Sans" w:hAnsi="Open Sans" w:cs="Open Sans"/>
            <w:sz w:val="20"/>
            <w:szCs w:val="20"/>
          </w:rPr>
          <w:tab/>
          <w:t xml:space="preserve">Last updated: </w:t>
        </w:r>
        <w:r w:rsidR="00CB6EA7">
          <w:rPr>
            <w:rFonts w:ascii="Open Sans" w:hAnsi="Open Sans" w:cs="Open Sans"/>
            <w:sz w:val="20"/>
            <w:szCs w:val="20"/>
          </w:rPr>
          <w:t>10</w:t>
        </w:r>
        <w:r w:rsidRPr="00440912">
          <w:rPr>
            <w:rFonts w:ascii="Open Sans" w:hAnsi="Open Sans" w:cs="Open Sans"/>
            <w:sz w:val="20"/>
            <w:szCs w:val="20"/>
          </w:rPr>
          <w:t xml:space="preserve"> October 2025                                                                                                                                      </w:t>
        </w:r>
      </w:p>
    </w:sdtContent>
  </w:sdt>
  <w:p w14:paraId="17D62DCC" w14:textId="77777777" w:rsidR="00440912" w:rsidRPr="00440912" w:rsidRDefault="00440912" w:rsidP="00440912">
    <w:pPr>
      <w:pStyle w:val="Footer"/>
      <w:jc w:val="right"/>
      <w:rPr>
        <w:rFonts w:ascii="Open Sans" w:hAnsi="Open Sans" w:cs="Open Sans"/>
        <w:sz w:val="20"/>
        <w:szCs w:val="20"/>
      </w:rPr>
    </w:pPr>
    <w:r w:rsidRPr="00440912">
      <w:rPr>
        <w:rFonts w:ascii="Open Sans" w:hAnsi="Open Sans" w:cs="Open Sans"/>
        <w:sz w:val="20"/>
        <w:szCs w:val="20"/>
      </w:rPr>
      <w:t xml:space="preserve">Page | </w:t>
    </w:r>
    <w:r w:rsidRPr="00440912">
      <w:rPr>
        <w:rFonts w:ascii="Open Sans" w:hAnsi="Open Sans" w:cs="Open Sans"/>
        <w:sz w:val="20"/>
        <w:szCs w:val="20"/>
      </w:rPr>
      <w:fldChar w:fldCharType="begin"/>
    </w:r>
    <w:r w:rsidRPr="00440912">
      <w:rPr>
        <w:rFonts w:ascii="Open Sans" w:hAnsi="Open Sans" w:cs="Open Sans"/>
        <w:sz w:val="20"/>
        <w:szCs w:val="20"/>
      </w:rPr>
      <w:instrText xml:space="preserve"> PAGE   \* MERGEFORMAT </w:instrText>
    </w:r>
    <w:r w:rsidRPr="00440912">
      <w:rPr>
        <w:rFonts w:ascii="Open Sans" w:hAnsi="Open Sans" w:cs="Open Sans"/>
        <w:sz w:val="20"/>
        <w:szCs w:val="20"/>
      </w:rPr>
      <w:fldChar w:fldCharType="separate"/>
    </w:r>
    <w:r w:rsidRPr="00440912">
      <w:rPr>
        <w:rFonts w:ascii="Open Sans" w:hAnsi="Open Sans" w:cs="Open Sans"/>
        <w:sz w:val="20"/>
        <w:szCs w:val="20"/>
      </w:rPr>
      <w:t>1</w:t>
    </w:r>
    <w:r w:rsidRPr="00440912">
      <w:rPr>
        <w:rFonts w:ascii="Open Sans" w:hAnsi="Open Sans" w:cs="Open Sans"/>
        <w:noProof/>
        <w:sz w:val="20"/>
        <w:szCs w:val="20"/>
      </w:rPr>
      <w:fldChar w:fldCharType="end"/>
    </w:r>
    <w:r w:rsidRPr="00440912">
      <w:rPr>
        <w:rFonts w:ascii="Open Sans" w:hAnsi="Open Sans" w:cs="Open Sans"/>
        <w:sz w:val="20"/>
        <w:szCs w:val="20"/>
      </w:rPr>
      <w:t xml:space="preserve"> </w:t>
    </w:r>
  </w:p>
  <w:p w14:paraId="5CAB0470" w14:textId="4ED6407B" w:rsidR="008E17F3" w:rsidRDefault="008E17F3" w:rsidP="008E17F3">
    <w:pPr>
      <w:pStyle w:val="Footer"/>
      <w:tabs>
        <w:tab w:val="clear" w:pos="4153"/>
        <w:tab w:val="clear" w:pos="8306"/>
        <w:tab w:val="left" w:pos="7680"/>
      </w:tabs>
      <w:ind w:right="27"/>
      <w:rPr>
        <w:sz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832792"/>
      <w:docPartObj>
        <w:docPartGallery w:val="Page Numbers (Bottom of Page)"/>
        <w:docPartUnique/>
      </w:docPartObj>
    </w:sdtPr>
    <w:sdtEndPr>
      <w:rPr>
        <w:rFonts w:ascii="Open Sans" w:hAnsi="Open Sans" w:cs="Open Sans"/>
        <w:sz w:val="20"/>
        <w:szCs w:val="20"/>
      </w:rPr>
    </w:sdtEndPr>
    <w:sdtContent>
      <w:p w14:paraId="20A9BCF8" w14:textId="77777777" w:rsidR="00440912" w:rsidRDefault="00440912">
        <w:pPr>
          <w:pStyle w:val="Footer"/>
          <w:jc w:val="right"/>
        </w:pPr>
      </w:p>
      <w:p w14:paraId="489D1A8A" w14:textId="77777777" w:rsidR="00440912" w:rsidRDefault="00440912">
        <w:pPr>
          <w:pStyle w:val="Footer"/>
          <w:jc w:val="right"/>
        </w:pPr>
      </w:p>
      <w:sdt>
        <w:sdtPr>
          <w:rPr>
            <w:sz w:val="20"/>
            <w:szCs w:val="20"/>
          </w:rPr>
          <w:id w:val="1497145618"/>
          <w:docPartObj>
            <w:docPartGallery w:val="Page Numbers (Bottom of Page)"/>
            <w:docPartUnique/>
          </w:docPartObj>
        </w:sdtPr>
        <w:sdtEndPr>
          <w:rPr>
            <w:rFonts w:ascii="Open Sans" w:hAnsi="Open Sans" w:cs="Open Sans"/>
          </w:rPr>
        </w:sdtEndPr>
        <w:sdtContent>
          <w:p w14:paraId="31D79B50" w14:textId="264C002C" w:rsidR="00440912" w:rsidRPr="00440912" w:rsidRDefault="00440912" w:rsidP="00440912">
            <w:pPr>
              <w:pStyle w:val="Footer"/>
              <w:ind w:hanging="709"/>
              <w:jc w:val="right"/>
              <w:rPr>
                <w:rFonts w:ascii="Open Sans" w:hAnsi="Open Sans" w:cs="Open Sans"/>
                <w:sz w:val="20"/>
                <w:szCs w:val="20"/>
              </w:rPr>
            </w:pPr>
            <w:r w:rsidRPr="00440912">
              <w:rPr>
                <w:rFonts w:ascii="Open Sans" w:hAnsi="Open Sans" w:cs="Open Sans"/>
                <w:sz w:val="20"/>
                <w:szCs w:val="20"/>
              </w:rPr>
              <w:t>[S25EP111.docx]</w:t>
            </w:r>
            <w:r w:rsidRPr="00440912">
              <w:rPr>
                <w:rFonts w:ascii="Open Sans" w:hAnsi="Open Sans" w:cs="Open Sans"/>
                <w:sz w:val="20"/>
                <w:szCs w:val="20"/>
              </w:rPr>
              <w:tab/>
            </w:r>
            <w:r w:rsidRPr="00440912">
              <w:rPr>
                <w:rFonts w:ascii="Open Sans" w:hAnsi="Open Sans" w:cs="Open Sans"/>
                <w:sz w:val="20"/>
                <w:szCs w:val="20"/>
              </w:rPr>
              <w:tab/>
              <w:t xml:space="preserve">Last updated: </w:t>
            </w:r>
            <w:r w:rsidR="00CB6EA7">
              <w:rPr>
                <w:rFonts w:ascii="Open Sans" w:hAnsi="Open Sans" w:cs="Open Sans"/>
                <w:sz w:val="20"/>
                <w:szCs w:val="20"/>
              </w:rPr>
              <w:t>10</w:t>
            </w:r>
            <w:r w:rsidRPr="00440912">
              <w:rPr>
                <w:rFonts w:ascii="Open Sans" w:hAnsi="Open Sans" w:cs="Open Sans"/>
                <w:sz w:val="20"/>
                <w:szCs w:val="20"/>
              </w:rPr>
              <w:t xml:space="preserve"> October 2025                                                                                                                                      </w:t>
            </w:r>
          </w:p>
        </w:sdtContent>
      </w:sdt>
      <w:p w14:paraId="384CBE7B" w14:textId="6CFF03AA" w:rsidR="00440912" w:rsidRPr="00440912" w:rsidRDefault="00440912">
        <w:pPr>
          <w:pStyle w:val="Footer"/>
          <w:jc w:val="right"/>
          <w:rPr>
            <w:rFonts w:ascii="Open Sans" w:hAnsi="Open Sans" w:cs="Open Sans"/>
            <w:sz w:val="20"/>
            <w:szCs w:val="20"/>
          </w:rPr>
        </w:pPr>
        <w:r w:rsidRPr="00440912">
          <w:rPr>
            <w:rFonts w:ascii="Open Sans" w:hAnsi="Open Sans" w:cs="Open Sans"/>
            <w:sz w:val="20"/>
            <w:szCs w:val="20"/>
          </w:rPr>
          <w:t xml:space="preserve">Page | </w:t>
        </w:r>
        <w:r w:rsidRPr="00440912">
          <w:rPr>
            <w:rFonts w:ascii="Open Sans" w:hAnsi="Open Sans" w:cs="Open Sans"/>
            <w:sz w:val="20"/>
            <w:szCs w:val="20"/>
          </w:rPr>
          <w:fldChar w:fldCharType="begin"/>
        </w:r>
        <w:r w:rsidRPr="00440912">
          <w:rPr>
            <w:rFonts w:ascii="Open Sans" w:hAnsi="Open Sans" w:cs="Open Sans"/>
            <w:sz w:val="20"/>
            <w:szCs w:val="20"/>
          </w:rPr>
          <w:instrText xml:space="preserve"> PAGE   \* MERGEFORMAT </w:instrText>
        </w:r>
        <w:r w:rsidRPr="00440912">
          <w:rPr>
            <w:rFonts w:ascii="Open Sans" w:hAnsi="Open Sans" w:cs="Open Sans"/>
            <w:sz w:val="20"/>
            <w:szCs w:val="20"/>
          </w:rPr>
          <w:fldChar w:fldCharType="separate"/>
        </w:r>
        <w:r w:rsidRPr="00440912">
          <w:rPr>
            <w:rFonts w:ascii="Open Sans" w:hAnsi="Open Sans" w:cs="Open Sans"/>
            <w:noProof/>
            <w:sz w:val="20"/>
            <w:szCs w:val="20"/>
          </w:rPr>
          <w:t>2</w:t>
        </w:r>
        <w:r w:rsidRPr="00440912">
          <w:rPr>
            <w:rFonts w:ascii="Open Sans" w:hAnsi="Open Sans" w:cs="Open Sans"/>
            <w:noProof/>
            <w:sz w:val="20"/>
            <w:szCs w:val="20"/>
          </w:rPr>
          <w:fldChar w:fldCharType="end"/>
        </w:r>
        <w:r w:rsidRPr="00440912">
          <w:rPr>
            <w:rFonts w:ascii="Open Sans" w:hAnsi="Open Sans" w:cs="Open Sans"/>
            <w:sz w:val="20"/>
            <w:szCs w:val="20"/>
          </w:rPr>
          <w:t xml:space="preserve"> </w:t>
        </w:r>
      </w:p>
    </w:sdtContent>
  </w:sdt>
  <w:p w14:paraId="2C00DDE1" w14:textId="77777777" w:rsidR="00440912" w:rsidRDefault="0044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50D2" w14:textId="77777777" w:rsidR="009E2894" w:rsidRDefault="009E2894" w:rsidP="008E17F3">
      <w:pPr>
        <w:spacing w:line="240" w:lineRule="auto"/>
      </w:pPr>
      <w:r>
        <w:separator/>
      </w:r>
    </w:p>
  </w:footnote>
  <w:footnote w:type="continuationSeparator" w:id="0">
    <w:p w14:paraId="32577152" w14:textId="77777777" w:rsidR="009E2894" w:rsidRDefault="009E2894"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7783" w14:textId="6556EEB5" w:rsidR="00BF427A" w:rsidRPr="00BF427A" w:rsidRDefault="00BF427A" w:rsidP="00BF427A">
    <w:pPr>
      <w:pStyle w:val="Heading1"/>
      <w:spacing w:after="0"/>
      <w:jc w:val="left"/>
      <w:rPr>
        <w:b/>
        <w:bCs/>
        <w:color w:val="BFBFBF" w:themeColor="background1" w:themeShade="BF"/>
        <w:sz w:val="20"/>
        <w:szCs w:val="20"/>
      </w:rPr>
    </w:pPr>
    <w:r w:rsidRPr="00BF427A">
      <w:rPr>
        <w:b/>
        <w:bCs/>
        <w:color w:val="BFBFBF" w:themeColor="background1" w:themeShade="BF"/>
        <w:sz w:val="20"/>
        <w:szCs w:val="20"/>
      </w:rPr>
      <w:t>Instructor Guidance Note—</w:t>
    </w:r>
    <w:r w:rsidR="0023118D">
      <w:rPr>
        <w:b/>
        <w:bCs/>
        <w:color w:val="BFBFBF" w:themeColor="background1" w:themeShade="BF"/>
        <w:sz w:val="20"/>
        <w:szCs w:val="20"/>
      </w:rPr>
      <w:t>Administrative decisions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A179" w14:textId="64BCB959" w:rsidR="00BF427A" w:rsidRDefault="00BF427A">
    <w:pPr>
      <w:pStyle w:val="Header"/>
    </w:pPr>
    <w:r w:rsidRPr="00F951F6">
      <w:rPr>
        <w:rFonts w:cs="Open Sans"/>
        <w:noProof/>
      </w:rPr>
      <w:drawing>
        <wp:anchor distT="0" distB="0" distL="114300" distR="114300" simplePos="0" relativeHeight="251659264" behindDoc="0" locked="0" layoutInCell="1" allowOverlap="1" wp14:anchorId="371F7AAD" wp14:editId="6300E66A">
          <wp:simplePos x="0" y="0"/>
          <wp:positionH relativeFrom="margin">
            <wp:posOffset>-86710</wp:posOffset>
          </wp:positionH>
          <wp:positionV relativeFrom="paragraph">
            <wp:posOffset>-323193</wp:posOffset>
          </wp:positionV>
          <wp:extent cx="3229347" cy="748862"/>
          <wp:effectExtent l="0" t="0" r="0" b="0"/>
          <wp:wrapNone/>
          <wp:docPr id="635747286"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403" name="Picture 4" descr="A black and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E7D6F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D5DA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025ED2"/>
    <w:multiLevelType w:val="hybridMultilevel"/>
    <w:tmpl w:val="B2F04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3B199D"/>
    <w:multiLevelType w:val="hybridMultilevel"/>
    <w:tmpl w:val="FFFFFFFF"/>
    <w:lvl w:ilvl="0" w:tplc="FFFFFFFF">
      <w:start w:val="1"/>
      <w:numFmt w:val="ideographDigital"/>
      <w:lvlText w:val=""/>
      <w:lvlJc w:val="left"/>
    </w:lvl>
    <w:lvl w:ilvl="1" w:tplc="3193441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B99391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539034">
    <w:abstractNumId w:val="10"/>
  </w:num>
  <w:num w:numId="2" w16cid:durableId="1421290357">
    <w:abstractNumId w:val="8"/>
  </w:num>
  <w:num w:numId="3" w16cid:durableId="607928964">
    <w:abstractNumId w:val="7"/>
  </w:num>
  <w:num w:numId="4" w16cid:durableId="127289009">
    <w:abstractNumId w:val="6"/>
  </w:num>
  <w:num w:numId="5" w16cid:durableId="1470510438">
    <w:abstractNumId w:val="5"/>
  </w:num>
  <w:num w:numId="6" w16cid:durableId="813107268">
    <w:abstractNumId w:val="9"/>
  </w:num>
  <w:num w:numId="7" w16cid:durableId="1226835174">
    <w:abstractNumId w:val="4"/>
  </w:num>
  <w:num w:numId="8" w16cid:durableId="50273757">
    <w:abstractNumId w:val="3"/>
  </w:num>
  <w:num w:numId="9" w16cid:durableId="1166938463">
    <w:abstractNumId w:val="2"/>
  </w:num>
  <w:num w:numId="10" w16cid:durableId="193691630">
    <w:abstractNumId w:val="1"/>
  </w:num>
  <w:num w:numId="11" w16cid:durableId="1127167641">
    <w:abstractNumId w:val="15"/>
  </w:num>
  <w:num w:numId="12" w16cid:durableId="1123772737">
    <w:abstractNumId w:val="17"/>
  </w:num>
  <w:num w:numId="13" w16cid:durableId="1543862481">
    <w:abstractNumId w:val="12"/>
  </w:num>
  <w:num w:numId="14" w16cid:durableId="1010987935">
    <w:abstractNumId w:val="11"/>
  </w:num>
  <w:num w:numId="15" w16cid:durableId="843398335">
    <w:abstractNumId w:val="0"/>
  </w:num>
  <w:num w:numId="16" w16cid:durableId="363871018">
    <w:abstractNumId w:val="16"/>
  </w:num>
  <w:num w:numId="17" w16cid:durableId="1570657113">
    <w:abstractNumId w:val="13"/>
  </w:num>
  <w:num w:numId="18" w16cid:durableId="15245870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94"/>
    <w:rsid w:val="000136AF"/>
    <w:rsid w:val="00022B7E"/>
    <w:rsid w:val="00036B0B"/>
    <w:rsid w:val="00047429"/>
    <w:rsid w:val="00056743"/>
    <w:rsid w:val="00056991"/>
    <w:rsid w:val="000614BF"/>
    <w:rsid w:val="000C604C"/>
    <w:rsid w:val="000D05EF"/>
    <w:rsid w:val="000E7AEB"/>
    <w:rsid w:val="0010745C"/>
    <w:rsid w:val="001231D0"/>
    <w:rsid w:val="001350E1"/>
    <w:rsid w:val="001369ED"/>
    <w:rsid w:val="00137E85"/>
    <w:rsid w:val="00150614"/>
    <w:rsid w:val="001636E5"/>
    <w:rsid w:val="00166C2F"/>
    <w:rsid w:val="00174846"/>
    <w:rsid w:val="00175031"/>
    <w:rsid w:val="001939E1"/>
    <w:rsid w:val="00195382"/>
    <w:rsid w:val="001B4455"/>
    <w:rsid w:val="001C69C4"/>
    <w:rsid w:val="001E3590"/>
    <w:rsid w:val="001E7407"/>
    <w:rsid w:val="002309A6"/>
    <w:rsid w:val="0023118D"/>
    <w:rsid w:val="0025212A"/>
    <w:rsid w:val="00253D1B"/>
    <w:rsid w:val="002839EB"/>
    <w:rsid w:val="00295FBA"/>
    <w:rsid w:val="002970D7"/>
    <w:rsid w:val="00297ECB"/>
    <w:rsid w:val="002A6E09"/>
    <w:rsid w:val="002B7F52"/>
    <w:rsid w:val="002D043A"/>
    <w:rsid w:val="002D6A8E"/>
    <w:rsid w:val="00311448"/>
    <w:rsid w:val="00335116"/>
    <w:rsid w:val="00352B0F"/>
    <w:rsid w:val="00352EC6"/>
    <w:rsid w:val="00360FB0"/>
    <w:rsid w:val="003739D8"/>
    <w:rsid w:val="0038558B"/>
    <w:rsid w:val="00394703"/>
    <w:rsid w:val="003A45BD"/>
    <w:rsid w:val="003A7DB4"/>
    <w:rsid w:val="003B5735"/>
    <w:rsid w:val="003D0BFE"/>
    <w:rsid w:val="003D5700"/>
    <w:rsid w:val="003D6F8A"/>
    <w:rsid w:val="003E4160"/>
    <w:rsid w:val="003F1ED6"/>
    <w:rsid w:val="00407A9C"/>
    <w:rsid w:val="004116CD"/>
    <w:rsid w:val="00424CA9"/>
    <w:rsid w:val="00440912"/>
    <w:rsid w:val="0044291A"/>
    <w:rsid w:val="00450A86"/>
    <w:rsid w:val="004560FB"/>
    <w:rsid w:val="004653F8"/>
    <w:rsid w:val="004668D2"/>
    <w:rsid w:val="00474B2A"/>
    <w:rsid w:val="004766E7"/>
    <w:rsid w:val="004907F9"/>
    <w:rsid w:val="00496F97"/>
    <w:rsid w:val="004A503A"/>
    <w:rsid w:val="004B0C7F"/>
    <w:rsid w:val="004D2491"/>
    <w:rsid w:val="004D51DA"/>
    <w:rsid w:val="004E4F92"/>
    <w:rsid w:val="004F20ED"/>
    <w:rsid w:val="004F7708"/>
    <w:rsid w:val="005066A5"/>
    <w:rsid w:val="00516B8D"/>
    <w:rsid w:val="00531147"/>
    <w:rsid w:val="005327A0"/>
    <w:rsid w:val="00537FBC"/>
    <w:rsid w:val="005436C3"/>
    <w:rsid w:val="0054447B"/>
    <w:rsid w:val="00553601"/>
    <w:rsid w:val="00571498"/>
    <w:rsid w:val="00584811"/>
    <w:rsid w:val="00594161"/>
    <w:rsid w:val="00594749"/>
    <w:rsid w:val="005B705F"/>
    <w:rsid w:val="005C2C89"/>
    <w:rsid w:val="005E081B"/>
    <w:rsid w:val="005F0155"/>
    <w:rsid w:val="00600219"/>
    <w:rsid w:val="006207A3"/>
    <w:rsid w:val="006279B8"/>
    <w:rsid w:val="0063630A"/>
    <w:rsid w:val="00640041"/>
    <w:rsid w:val="00662641"/>
    <w:rsid w:val="00677CC2"/>
    <w:rsid w:val="00680F77"/>
    <w:rsid w:val="006917BD"/>
    <w:rsid w:val="0069207B"/>
    <w:rsid w:val="006B17C4"/>
    <w:rsid w:val="006C106E"/>
    <w:rsid w:val="006C4742"/>
    <w:rsid w:val="006C635F"/>
    <w:rsid w:val="006C7F8C"/>
    <w:rsid w:val="006D77BA"/>
    <w:rsid w:val="006E2E9F"/>
    <w:rsid w:val="00704A73"/>
    <w:rsid w:val="007276BC"/>
    <w:rsid w:val="00731E00"/>
    <w:rsid w:val="007320B4"/>
    <w:rsid w:val="00733990"/>
    <w:rsid w:val="00751745"/>
    <w:rsid w:val="00766393"/>
    <w:rsid w:val="007715C9"/>
    <w:rsid w:val="00774EDD"/>
    <w:rsid w:val="00775577"/>
    <w:rsid w:val="007757EC"/>
    <w:rsid w:val="007B093A"/>
    <w:rsid w:val="007C4B9F"/>
    <w:rsid w:val="008006B2"/>
    <w:rsid w:val="0082337A"/>
    <w:rsid w:val="00856A31"/>
    <w:rsid w:val="00857897"/>
    <w:rsid w:val="00873A74"/>
    <w:rsid w:val="008754D0"/>
    <w:rsid w:val="00896352"/>
    <w:rsid w:val="008C3340"/>
    <w:rsid w:val="008C59D8"/>
    <w:rsid w:val="008D530F"/>
    <w:rsid w:val="008E17F3"/>
    <w:rsid w:val="008E3B8C"/>
    <w:rsid w:val="008E72F1"/>
    <w:rsid w:val="00914577"/>
    <w:rsid w:val="00917910"/>
    <w:rsid w:val="00932EC7"/>
    <w:rsid w:val="0094622F"/>
    <w:rsid w:val="009472CC"/>
    <w:rsid w:val="0095055E"/>
    <w:rsid w:val="00956269"/>
    <w:rsid w:val="0098638B"/>
    <w:rsid w:val="009925D4"/>
    <w:rsid w:val="009B3E1D"/>
    <w:rsid w:val="009B464F"/>
    <w:rsid w:val="009B7351"/>
    <w:rsid w:val="009E2894"/>
    <w:rsid w:val="009F14E6"/>
    <w:rsid w:val="009F217F"/>
    <w:rsid w:val="009F2EC5"/>
    <w:rsid w:val="00A00177"/>
    <w:rsid w:val="00A04DA7"/>
    <w:rsid w:val="00A231E2"/>
    <w:rsid w:val="00A53D61"/>
    <w:rsid w:val="00A53F63"/>
    <w:rsid w:val="00A64912"/>
    <w:rsid w:val="00A70A74"/>
    <w:rsid w:val="00A91B5C"/>
    <w:rsid w:val="00A91DB8"/>
    <w:rsid w:val="00AC42AA"/>
    <w:rsid w:val="00AD5641"/>
    <w:rsid w:val="00B33B3C"/>
    <w:rsid w:val="00B56B63"/>
    <w:rsid w:val="00B76F1A"/>
    <w:rsid w:val="00B84E1F"/>
    <w:rsid w:val="00B957BF"/>
    <w:rsid w:val="00BB7EC4"/>
    <w:rsid w:val="00BE719A"/>
    <w:rsid w:val="00BE720A"/>
    <w:rsid w:val="00BF427A"/>
    <w:rsid w:val="00C31F42"/>
    <w:rsid w:val="00C42BF8"/>
    <w:rsid w:val="00C50043"/>
    <w:rsid w:val="00C57B82"/>
    <w:rsid w:val="00C61CDD"/>
    <w:rsid w:val="00C73EBE"/>
    <w:rsid w:val="00C7573B"/>
    <w:rsid w:val="00C8024E"/>
    <w:rsid w:val="00C83868"/>
    <w:rsid w:val="00CB3D6B"/>
    <w:rsid w:val="00CB48D8"/>
    <w:rsid w:val="00CB6EA7"/>
    <w:rsid w:val="00CF0BB2"/>
    <w:rsid w:val="00CF114C"/>
    <w:rsid w:val="00CF3666"/>
    <w:rsid w:val="00D004F6"/>
    <w:rsid w:val="00D13441"/>
    <w:rsid w:val="00D14B3A"/>
    <w:rsid w:val="00D32CA1"/>
    <w:rsid w:val="00D42BD5"/>
    <w:rsid w:val="00D60D58"/>
    <w:rsid w:val="00D70DFB"/>
    <w:rsid w:val="00D766DF"/>
    <w:rsid w:val="00D825ED"/>
    <w:rsid w:val="00D93490"/>
    <w:rsid w:val="00DB3CFE"/>
    <w:rsid w:val="00DE7073"/>
    <w:rsid w:val="00DF570B"/>
    <w:rsid w:val="00E227E9"/>
    <w:rsid w:val="00E52C8C"/>
    <w:rsid w:val="00E74DC7"/>
    <w:rsid w:val="00E8776D"/>
    <w:rsid w:val="00E91472"/>
    <w:rsid w:val="00E97413"/>
    <w:rsid w:val="00EC62BA"/>
    <w:rsid w:val="00ED0C49"/>
    <w:rsid w:val="00EF2E3A"/>
    <w:rsid w:val="00F04811"/>
    <w:rsid w:val="00F078DC"/>
    <w:rsid w:val="00F23E5F"/>
    <w:rsid w:val="00F51269"/>
    <w:rsid w:val="00F538E4"/>
    <w:rsid w:val="00FD456C"/>
    <w:rsid w:val="00FE090C"/>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F48647"/>
  <w15:docId w15:val="{B8FCE867-DB34-47E4-818E-2F6DCCDA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95055E"/>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Normal"/>
    <w:next w:val="Normal"/>
    <w:link w:val="Heading2Char"/>
    <w:uiPriority w:val="9"/>
    <w:unhideWhenUsed/>
    <w:qFormat/>
    <w:rsid w:val="0095055E"/>
    <w:pPr>
      <w:keepNext/>
      <w:keepLines/>
      <w:spacing w:before="40"/>
      <w:outlineLvl w:val="1"/>
    </w:pPr>
    <w:rPr>
      <w:rFonts w:asciiTheme="majorHAnsi" w:eastAsiaTheme="majorEastAsia" w:hAnsiTheme="majorHAnsi" w:cstheme="majorBidi"/>
      <w:color w:val="365F91" w:themeColor="accent1" w:themeShade="BF"/>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95055E"/>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95055E"/>
    <w:rPr>
      <w:rFonts w:asciiTheme="majorHAnsi" w:eastAsiaTheme="majorEastAsia" w:hAnsiTheme="majorHAnsi" w:cstheme="majorBidi"/>
      <w:color w:val="365F91" w:themeColor="accent1" w:themeShade="BF"/>
      <w:sz w:val="26"/>
      <w:szCs w:val="26"/>
      <w:lang w:eastAsia="en-AU"/>
    </w:rPr>
  </w:style>
  <w:style w:type="table" w:styleId="TableGrid">
    <w:name w:val="Table Grid"/>
    <w:basedOn w:val="TableNormal"/>
    <w:uiPriority w:val="39"/>
    <w:rsid w:val="0095055E"/>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5650</Characters>
  <Application>Microsoft Office Word</Application>
  <DocSecurity>8</DocSecurity>
  <Lines>108</Lines>
  <Paragraphs>48</Paragraphs>
  <ScaleCrop>false</ScaleCrop>
  <HeadingPairs>
    <vt:vector size="2" baseType="variant">
      <vt:variant>
        <vt:lpstr>Title</vt:lpstr>
      </vt:variant>
      <vt:variant>
        <vt:i4>1</vt:i4>
      </vt:variant>
    </vt:vector>
  </HeadingPairs>
  <TitlesOfParts>
    <vt:vector size="1" baseType="lpstr">
      <vt:lpstr>Administrative decisions</vt:lpstr>
    </vt:vector>
  </TitlesOfParts>
  <Company>Office of Parliamentary Counsel</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decisions</dc:title>
  <dc:subject/>
  <dc:creator>MilesA</dc:creator>
  <cp:keywords/>
  <dc:description/>
  <cp:lastModifiedBy>Berryman, Elentari</cp:lastModifiedBy>
  <cp:revision>2</cp:revision>
  <dcterms:created xsi:type="dcterms:W3CDTF">2025-10-16T00:19:00Z</dcterms:created>
  <dcterms:modified xsi:type="dcterms:W3CDTF">2025-10-16T00:19:00Z</dcterms:modified>
  <cp:category>Other - Website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ies>
</file>