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8395" w14:textId="6CA7F627" w:rsidR="006253C9" w:rsidRPr="006253C9" w:rsidRDefault="006253C9" w:rsidP="006253C9">
      <w:pPr>
        <w:pStyle w:val="Heading1"/>
        <w:jc w:val="left"/>
        <w:rPr>
          <w:rFonts w:ascii="Open Sans ExtraBold" w:hAnsi="Open Sans ExtraBold" w:cs="Open Sans ExtraBold"/>
          <w:color w:val="084D5E"/>
          <w:lang w:val="en-AU"/>
        </w:rPr>
      </w:pPr>
      <w:r w:rsidRPr="006253C9">
        <w:rPr>
          <w:rFonts w:ascii="Open Sans ExtraBold" w:hAnsi="Open Sans ExtraBold" w:cs="Open Sans ExtraBold"/>
          <w:color w:val="084D5E"/>
          <w:lang w:val="en-AU"/>
        </w:rPr>
        <w:t>Instructor Guidance Note—Application, saving and transitional provisions</w:t>
      </w:r>
    </w:p>
    <w:p w14:paraId="2F62E484" w14:textId="77777777" w:rsidR="006253C9" w:rsidRPr="006253C9" w:rsidRDefault="006253C9" w:rsidP="006253C9">
      <w:pPr>
        <w:pStyle w:val="Heading2"/>
        <w:rPr>
          <w:lang w:val="en-AU"/>
        </w:rPr>
      </w:pPr>
      <w:r w:rsidRPr="006253C9">
        <w:rPr>
          <w:lang w:val="en-AU"/>
        </w:rPr>
        <w:t>Amending or repealing legislation</w:t>
      </w:r>
    </w:p>
    <w:p w14:paraId="7FE567B4" w14:textId="77777777" w:rsidR="006253C9" w:rsidRPr="006253C9" w:rsidRDefault="006253C9" w:rsidP="006253C9">
      <w:pPr>
        <w:pStyle w:val="BodyNum"/>
        <w:rPr>
          <w:rFonts w:ascii="Open Sans" w:hAnsi="Open Sans" w:cs="Open Sans"/>
          <w:sz w:val="22"/>
          <w:szCs w:val="18"/>
        </w:rPr>
      </w:pPr>
      <w:r w:rsidRPr="006253C9">
        <w:rPr>
          <w:rFonts w:ascii="Open Sans" w:hAnsi="Open Sans" w:cs="Open Sans"/>
          <w:sz w:val="22"/>
          <w:szCs w:val="18"/>
        </w:rPr>
        <w:t xml:space="preserve">An amendment or repeal of legislation, or a provision of legislation, may create a need to deal with the changeover from the “old law” to the “new law”. This sort of issue is dealt with by </w:t>
      </w:r>
      <w:r w:rsidRPr="006253C9">
        <w:rPr>
          <w:rFonts w:ascii="Open Sans" w:hAnsi="Open Sans" w:cs="Open Sans"/>
          <w:i/>
          <w:iCs/>
          <w:sz w:val="22"/>
          <w:szCs w:val="18"/>
        </w:rPr>
        <w:t>transitional provisions</w:t>
      </w:r>
      <w:r w:rsidRPr="006253C9">
        <w:rPr>
          <w:rFonts w:ascii="Open Sans" w:hAnsi="Open Sans" w:cs="Open Sans"/>
          <w:sz w:val="22"/>
          <w:szCs w:val="18"/>
        </w:rPr>
        <w:t xml:space="preserve"> (sometimes also called </w:t>
      </w:r>
      <w:r w:rsidRPr="006253C9">
        <w:rPr>
          <w:rFonts w:ascii="Open Sans" w:hAnsi="Open Sans" w:cs="Open Sans"/>
          <w:i/>
          <w:iCs/>
          <w:sz w:val="22"/>
          <w:szCs w:val="18"/>
        </w:rPr>
        <w:t xml:space="preserve">application provisions </w:t>
      </w:r>
      <w:r w:rsidRPr="006253C9">
        <w:rPr>
          <w:rFonts w:ascii="Open Sans" w:hAnsi="Open Sans" w:cs="Open Sans"/>
          <w:sz w:val="22"/>
          <w:szCs w:val="18"/>
        </w:rPr>
        <w:t xml:space="preserve">or </w:t>
      </w:r>
      <w:r w:rsidRPr="006253C9">
        <w:rPr>
          <w:rFonts w:ascii="Open Sans" w:hAnsi="Open Sans" w:cs="Open Sans"/>
          <w:i/>
          <w:iCs/>
          <w:sz w:val="22"/>
          <w:szCs w:val="18"/>
        </w:rPr>
        <w:t>saving provisions</w:t>
      </w:r>
      <w:r w:rsidRPr="006253C9">
        <w:rPr>
          <w:rFonts w:ascii="Open Sans" w:hAnsi="Open Sans" w:cs="Open Sans"/>
          <w:sz w:val="22"/>
          <w:szCs w:val="18"/>
        </w:rPr>
        <w:t>). A reference to transitional provisions is usually taken to include application provisions and saving provisions.</w:t>
      </w:r>
    </w:p>
    <w:p w14:paraId="1EC856BC" w14:textId="77777777" w:rsidR="006253C9" w:rsidRPr="006253C9" w:rsidRDefault="006253C9" w:rsidP="006253C9">
      <w:pPr>
        <w:pStyle w:val="BodyNum"/>
        <w:rPr>
          <w:rFonts w:ascii="Open Sans" w:hAnsi="Open Sans" w:cs="Open Sans"/>
          <w:sz w:val="22"/>
          <w:szCs w:val="18"/>
        </w:rPr>
      </w:pPr>
      <w:r w:rsidRPr="006253C9">
        <w:rPr>
          <w:rFonts w:ascii="Open Sans" w:hAnsi="Open Sans" w:cs="Open Sans"/>
          <w:sz w:val="22"/>
          <w:szCs w:val="18"/>
        </w:rPr>
        <w:t>Transitional provisions are a way of achieving a smooth transition from the “old law” to the “new law”. Resolving transitional issues requires policy decisions to be made and this is part of the instructor’s role. There can be a range of legal, practical, political and administrative issues that need to be considered when determining how the transition should be managed.</w:t>
      </w:r>
    </w:p>
    <w:p w14:paraId="06B424F8" w14:textId="77777777" w:rsidR="006253C9" w:rsidRPr="006253C9" w:rsidRDefault="006253C9" w:rsidP="006253C9">
      <w:pPr>
        <w:pStyle w:val="Heading2"/>
        <w:rPr>
          <w:lang w:val="en-AU"/>
        </w:rPr>
      </w:pPr>
      <w:r w:rsidRPr="006253C9">
        <w:rPr>
          <w:lang w:val="en-AU"/>
        </w:rPr>
        <w:t>Are transitional provisions necessary?</w:t>
      </w:r>
    </w:p>
    <w:p w14:paraId="47FAFA30" w14:textId="77777777" w:rsidR="006253C9" w:rsidRPr="006253C9" w:rsidRDefault="006253C9" w:rsidP="006253C9">
      <w:pPr>
        <w:pStyle w:val="BodyNum"/>
        <w:rPr>
          <w:rFonts w:ascii="Open Sans" w:hAnsi="Open Sans" w:cs="Open Sans"/>
          <w:sz w:val="22"/>
          <w:szCs w:val="18"/>
        </w:rPr>
      </w:pPr>
      <w:r w:rsidRPr="006253C9">
        <w:rPr>
          <w:rFonts w:ascii="Open Sans" w:hAnsi="Open Sans" w:cs="Open Sans"/>
          <w:sz w:val="22"/>
          <w:szCs w:val="18"/>
        </w:rPr>
        <w:t>The first step is to consider whether transitional provisions are necessary. In principle, laws generally operate prospectively. Transitional provisions might not be necessary in either of the following cases:</w:t>
      </w:r>
    </w:p>
    <w:p w14:paraId="025CD0D8" w14:textId="77777777" w:rsidR="006253C9" w:rsidRPr="006253C9" w:rsidRDefault="006253C9" w:rsidP="006253C9">
      <w:pPr>
        <w:pStyle w:val="BodyParaBullet"/>
        <w:rPr>
          <w:rFonts w:ascii="Open Sans" w:hAnsi="Open Sans" w:cs="Open Sans"/>
          <w:sz w:val="22"/>
          <w:szCs w:val="18"/>
        </w:rPr>
      </w:pPr>
      <w:r w:rsidRPr="006253C9">
        <w:rPr>
          <w:rFonts w:ascii="Open Sans" w:hAnsi="Open Sans" w:cs="Open Sans"/>
          <w:sz w:val="22"/>
          <w:szCs w:val="18"/>
        </w:rPr>
        <w:t xml:space="preserve">the amendments have a natural application only to future conduct—for example, the amendments create a new power for a Commission to make an order, and an offence of contravening the order. Conduct constituting the offence can </w:t>
      </w:r>
      <w:r w:rsidRPr="006253C9">
        <w:rPr>
          <w:rFonts w:ascii="Open Sans" w:hAnsi="Open Sans" w:cs="Open Sans"/>
          <w:i/>
          <w:iCs/>
          <w:sz w:val="22"/>
          <w:szCs w:val="18"/>
        </w:rPr>
        <w:t>only</w:t>
      </w:r>
      <w:r w:rsidRPr="006253C9">
        <w:rPr>
          <w:rFonts w:ascii="Open Sans" w:hAnsi="Open Sans" w:cs="Open Sans"/>
          <w:sz w:val="22"/>
          <w:szCs w:val="18"/>
        </w:rPr>
        <w:t xml:space="preserve"> occur after commencement of the amendments;</w:t>
      </w:r>
    </w:p>
    <w:p w14:paraId="3DC493EF" w14:textId="77777777" w:rsidR="006253C9" w:rsidRPr="006253C9" w:rsidRDefault="006253C9" w:rsidP="006253C9">
      <w:pPr>
        <w:pStyle w:val="BodyParaBullet"/>
        <w:rPr>
          <w:rFonts w:ascii="Open Sans" w:hAnsi="Open Sans" w:cs="Open Sans"/>
          <w:sz w:val="22"/>
          <w:szCs w:val="18"/>
        </w:rPr>
      </w:pPr>
      <w:r w:rsidRPr="006253C9">
        <w:rPr>
          <w:rFonts w:ascii="Open Sans" w:hAnsi="Open Sans" w:cs="Open Sans"/>
          <w:sz w:val="22"/>
          <w:szCs w:val="18"/>
        </w:rPr>
        <w:t xml:space="preserve">section 7 of the </w:t>
      </w:r>
      <w:r w:rsidRPr="006253C9">
        <w:rPr>
          <w:rFonts w:ascii="Open Sans" w:hAnsi="Open Sans" w:cs="Open Sans"/>
          <w:i/>
          <w:iCs/>
          <w:sz w:val="22"/>
          <w:szCs w:val="18"/>
        </w:rPr>
        <w:t>Acts Interpretation Act 1901</w:t>
      </w:r>
      <w:r w:rsidRPr="006253C9">
        <w:rPr>
          <w:rFonts w:ascii="Open Sans" w:hAnsi="Open Sans" w:cs="Open Sans"/>
          <w:sz w:val="22"/>
          <w:szCs w:val="18"/>
        </w:rPr>
        <w:t xml:space="preserve"> might already deal with the matter and give the desired policy outcome—for example, legal proceedings have been started, but not concluded, against a person for committing an offence which is then repealed. The effect of section 7 is that the legal proceedings may continue, despite the repeal of the offence.</w:t>
      </w:r>
    </w:p>
    <w:p w14:paraId="396C0AC6" w14:textId="77777777" w:rsidR="006253C9" w:rsidRPr="006253C9" w:rsidRDefault="006253C9" w:rsidP="006253C9">
      <w:pPr>
        <w:pStyle w:val="Heading2"/>
        <w:rPr>
          <w:rFonts w:ascii="Open Sans" w:eastAsia="Times New Roman" w:hAnsi="Open Sans"/>
          <w:color w:val="auto"/>
          <w:kern w:val="0"/>
          <w:sz w:val="22"/>
          <w:szCs w:val="18"/>
          <w:lang w:val="en-AU"/>
        </w:rPr>
      </w:pPr>
      <w:r w:rsidRPr="006253C9">
        <w:rPr>
          <w:lang w:val="en-AU"/>
        </w:rPr>
        <w:t xml:space="preserve">Application provisions </w:t>
      </w:r>
    </w:p>
    <w:p w14:paraId="00E61B56"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Application provisions clarify the persons, things or circumstances in relation to which new legislation will apply. For example, a taxation amendment is stated to apply in relation to the 2025</w:t>
      </w:r>
      <w:r w:rsidRPr="006253C9">
        <w:rPr>
          <w:rFonts w:ascii="Open Sans" w:hAnsi="Open Sans" w:cs="Open Sans"/>
          <w:sz w:val="22"/>
          <w:szCs w:val="22"/>
        </w:rPr>
        <w:noBreakHyphen/>
        <w:t>2026 income year and later income years. Or a migration amendment imposing a condition on a visa is stated to apply whether the visa is granted before or after the amendment commences.</w:t>
      </w:r>
    </w:p>
    <w:p w14:paraId="16B357B6"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lastRenderedPageBreak/>
        <w:t xml:space="preserve">Application provisions are different to commencement provisions. Commencement provisions are about when the text of the law physically changes on the statute book. Commencement occurs at a particular </w:t>
      </w:r>
      <w:r w:rsidRPr="006253C9">
        <w:rPr>
          <w:rFonts w:ascii="Open Sans" w:hAnsi="Open Sans" w:cs="Open Sans"/>
          <w:i/>
          <w:iCs/>
          <w:sz w:val="22"/>
          <w:szCs w:val="22"/>
        </w:rPr>
        <w:t>point in time</w:t>
      </w:r>
      <w:r w:rsidRPr="006253C9">
        <w:rPr>
          <w:rFonts w:ascii="Open Sans" w:hAnsi="Open Sans" w:cs="Open Sans"/>
          <w:sz w:val="22"/>
          <w:szCs w:val="22"/>
        </w:rPr>
        <w:t xml:space="preserve">. Application provisions are about how, when and to whom the law applies. Application provisions are required because processes or events contemplated by legislation extend over a </w:t>
      </w:r>
      <w:r w:rsidRPr="006253C9">
        <w:rPr>
          <w:rFonts w:ascii="Open Sans" w:hAnsi="Open Sans" w:cs="Open Sans"/>
          <w:i/>
          <w:iCs/>
          <w:sz w:val="22"/>
          <w:szCs w:val="22"/>
        </w:rPr>
        <w:t>period of time</w:t>
      </w:r>
      <w:r w:rsidRPr="006253C9">
        <w:rPr>
          <w:rFonts w:ascii="Open Sans" w:hAnsi="Open Sans" w:cs="Open Sans"/>
          <w:sz w:val="22"/>
          <w:szCs w:val="22"/>
        </w:rPr>
        <w:t xml:space="preserve"> (for example, the process of making an application for a licence, then making a decision to grant or refuse the licence, possibly followed by an application seeking review of that decision is a process that occurs over a period of time).</w:t>
      </w:r>
    </w:p>
    <w:p w14:paraId="79388DB3" w14:textId="77777777" w:rsidR="006253C9" w:rsidRPr="006253C9" w:rsidRDefault="006253C9" w:rsidP="006253C9">
      <w:pPr>
        <w:pStyle w:val="Heading2"/>
        <w:rPr>
          <w:lang w:val="en-AU"/>
        </w:rPr>
      </w:pPr>
      <w:r w:rsidRPr="006253C9">
        <w:rPr>
          <w:lang w:val="en-AU"/>
        </w:rPr>
        <w:t>Saving provisions</w:t>
      </w:r>
    </w:p>
    <w:p w14:paraId="09A0F44B"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Saving provisions save or preserve something that would otherwise lapse or cease to have effect when amending or repealing legislation commences. For example, if a power in an Act to make an instrument is repealed, it usually follows that an instrument made under that power is also repealed. This is the case even if the amending legislation re</w:t>
      </w:r>
      <w:r w:rsidRPr="006253C9">
        <w:rPr>
          <w:rFonts w:ascii="Open Sans" w:hAnsi="Open Sans" w:cs="Open Sans"/>
          <w:sz w:val="22"/>
          <w:szCs w:val="22"/>
        </w:rPr>
        <w:noBreakHyphen/>
        <w:t>enacts the power in substantially the same form.</w:t>
      </w:r>
    </w:p>
    <w:p w14:paraId="7EC89E76"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Sometimes this represents the desired policy outcome, because the existing instruments are no longer required and will be re</w:t>
      </w:r>
      <w:r w:rsidRPr="006253C9">
        <w:rPr>
          <w:rFonts w:ascii="Open Sans" w:hAnsi="Open Sans" w:cs="Open Sans"/>
          <w:sz w:val="22"/>
          <w:szCs w:val="22"/>
        </w:rPr>
        <w:noBreakHyphen/>
        <w:t>made under the new power. However, if it is intended to continue the existing instruments in force, then a saving provision will be needed.</w:t>
      </w:r>
    </w:p>
    <w:p w14:paraId="7173FE10"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Three common examples of instruments that may need saving if the enabling provision in an Act is repealed and re</w:t>
      </w:r>
      <w:r w:rsidRPr="006253C9">
        <w:rPr>
          <w:rFonts w:ascii="Open Sans" w:hAnsi="Open Sans" w:cs="Open Sans"/>
          <w:sz w:val="22"/>
          <w:szCs w:val="22"/>
        </w:rPr>
        <w:noBreakHyphen/>
        <w:t>enacted are:</w:t>
      </w:r>
    </w:p>
    <w:p w14:paraId="09E6ACEB"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legislative instruments (including regulations);</w:t>
      </w:r>
    </w:p>
    <w:p w14:paraId="718465A5"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instruments of appointment;</w:t>
      </w:r>
    </w:p>
    <w:p w14:paraId="7F3C6692"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delegations.</w:t>
      </w:r>
    </w:p>
    <w:p w14:paraId="4B37E427" w14:textId="77777777" w:rsidR="006253C9" w:rsidRPr="006253C9" w:rsidRDefault="006253C9" w:rsidP="006253C9">
      <w:pPr>
        <w:pStyle w:val="Heading2"/>
        <w:rPr>
          <w:lang w:val="en-AU"/>
        </w:rPr>
      </w:pPr>
      <w:r w:rsidRPr="006253C9">
        <w:rPr>
          <w:lang w:val="en-AU"/>
        </w:rPr>
        <w:t>Other transitional provisions</w:t>
      </w:r>
    </w:p>
    <w:p w14:paraId="3A388269"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As part of the smooth transition from the old law to the new law, it is necessary to consider how existing legal concepts under the old law will continue (if at all) and be treated under the new law. Transitional provisions can be used to adjust the old or new law to allow the desired operation. For example, the main options when moving from an existing permit regime to a new licence regime are the following:</w:t>
      </w:r>
    </w:p>
    <w:p w14:paraId="24EFD29C"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an existing permit ceases to be of any legal effect, so that a person must make a fresh application for a licence to conduct the regulated activity;</w:t>
      </w:r>
    </w:p>
    <w:p w14:paraId="1F6F63B2"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an existing permit continues in force under the old law and may be dealt with as if the old law continued in force (with the result that, for a period after commencement, there will be 2 different regimes in force at the same time—the permit regime under the old law, and the licence regime under the new law);</w:t>
      </w:r>
    </w:p>
    <w:p w14:paraId="0F505FE9"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lastRenderedPageBreak/>
        <w:t>an existing permit is treated as if it were a licence granted under the new law, and may be dealt with as if it had been granted under the new law (for example, suspended, made subject to conditions, revoked etc).</w:t>
      </w:r>
    </w:p>
    <w:p w14:paraId="197C229F"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Transitional provisions could be used in the second option to address any issues arising. A transitional provision would be used to give effect to the third option.</w:t>
      </w:r>
    </w:p>
    <w:p w14:paraId="4A48F159" w14:textId="77777777" w:rsidR="006253C9" w:rsidRPr="006253C9" w:rsidRDefault="006253C9" w:rsidP="006253C9">
      <w:pPr>
        <w:pStyle w:val="Heading2"/>
        <w:rPr>
          <w:lang w:val="en-AU"/>
        </w:rPr>
      </w:pPr>
      <w:r w:rsidRPr="006253C9">
        <w:rPr>
          <w:lang w:val="en-AU"/>
        </w:rPr>
        <w:t>Expectations for drafting instructions</w:t>
      </w:r>
    </w:p>
    <w:p w14:paraId="6B5FB706"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 xml:space="preserve">Resolving the approach to transitional issues can be complex. OPC does not expect drafting instructions to identify the </w:t>
      </w:r>
      <w:r w:rsidRPr="006253C9">
        <w:rPr>
          <w:rFonts w:ascii="Open Sans" w:hAnsi="Open Sans" w:cs="Open Sans"/>
          <w:i/>
          <w:iCs/>
          <w:sz w:val="22"/>
          <w:szCs w:val="22"/>
        </w:rPr>
        <w:t>type</w:t>
      </w:r>
      <w:r w:rsidRPr="006253C9">
        <w:rPr>
          <w:rFonts w:ascii="Open Sans" w:hAnsi="Open Sans" w:cs="Open Sans"/>
          <w:sz w:val="22"/>
          <w:szCs w:val="22"/>
        </w:rPr>
        <w:t xml:space="preserve"> of transitional provisions that will be required. However, it is expected that the drafting instructions identify the transitional </w:t>
      </w:r>
      <w:r w:rsidRPr="006253C9">
        <w:rPr>
          <w:rFonts w:ascii="Open Sans" w:hAnsi="Open Sans" w:cs="Open Sans"/>
          <w:i/>
          <w:iCs/>
          <w:sz w:val="22"/>
          <w:szCs w:val="22"/>
        </w:rPr>
        <w:t>issues</w:t>
      </w:r>
      <w:r w:rsidRPr="006253C9">
        <w:rPr>
          <w:rFonts w:ascii="Open Sans" w:hAnsi="Open Sans" w:cs="Open Sans"/>
          <w:sz w:val="22"/>
          <w:szCs w:val="22"/>
        </w:rPr>
        <w:t xml:space="preserve"> raised by the instructions, and the desired policy outcomes for each of these issues.</w:t>
      </w:r>
    </w:p>
    <w:p w14:paraId="51FD5D43" w14:textId="77777777" w:rsidR="006253C9" w:rsidRPr="006253C9" w:rsidRDefault="006253C9" w:rsidP="006253C9">
      <w:pPr>
        <w:pStyle w:val="Heading2"/>
        <w:rPr>
          <w:lang w:val="en-AU"/>
        </w:rPr>
      </w:pPr>
      <w:r w:rsidRPr="006253C9">
        <w:rPr>
          <w:lang w:val="en-AU"/>
        </w:rPr>
        <w:t>Tips for developing drafting instructions</w:t>
      </w:r>
    </w:p>
    <w:p w14:paraId="7FEFA562"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First, consider the transitional approach at a high level. What is the broad policy about moving to the new law? Considerations may include the following:</w:t>
      </w:r>
    </w:p>
    <w:p w14:paraId="27A89CD6"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Should the new law apply only to certain people or situations?</w:t>
      </w:r>
    </w:p>
    <w:p w14:paraId="0A957784"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Should the old law continue to apply to certain people or situations? Note that this could mean having 2 different legal schemes operating at the same time.</w:t>
      </w:r>
    </w:p>
    <w:p w14:paraId="2316B828"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Are special rules needed to transition certain people or situations from the old law to the new law? For example, do things done under the old law need to be “plugged in” to the new law? Is a licence or permit issued under the old law to be treated as if it were a licence or permit issued under the new law?</w:t>
      </w:r>
    </w:p>
    <w:p w14:paraId="39A388A9"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What are the administrative consequences of the transition?</w:t>
      </w:r>
    </w:p>
    <w:p w14:paraId="51BE82BA"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Should there be a staged application of the new law?</w:t>
      </w:r>
    </w:p>
    <w:p w14:paraId="14A9F06A"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Is there a goal of not disadvantaging people under the new law who were covered under the old law?</w:t>
      </w:r>
    </w:p>
    <w:p w14:paraId="5678D9FD"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Based on the policy considerations, formulate a broad description of the transitional policy. For example, “new events should be dealt with under the new law, old events should continue to be dealt with under the old law”. Include a summary of the broad policy for transition in the drafting instructions.</w:t>
      </w:r>
    </w:p>
    <w:p w14:paraId="754FA3B0"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Once the high</w:t>
      </w:r>
      <w:r w:rsidRPr="006253C9">
        <w:rPr>
          <w:rFonts w:ascii="Open Sans" w:hAnsi="Open Sans" w:cs="Open Sans"/>
          <w:sz w:val="22"/>
          <w:szCs w:val="22"/>
        </w:rPr>
        <w:noBreakHyphen/>
        <w:t>level transitional approach has been determined, consider how that approach applies in the particular circumstances so as to develop specific drafting instructions. Look at each change being made to the legislation to assess whether potential transitional issues arise and, if so, consider how they should be addressed. Things to look for include:</w:t>
      </w:r>
    </w:p>
    <w:p w14:paraId="0B477C8B"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processes that have started but not finished (for example, applications made but not yet decided, meetings convened but not yet held, court proceedings instituted but not yet determined, claims made but not yet determined, steps in a procedure that have been taken etc.);</w:t>
      </w:r>
    </w:p>
    <w:p w14:paraId="50819FA9"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conduct that occurs partly before and partly after the new law commences;</w:t>
      </w:r>
    </w:p>
    <w:p w14:paraId="17D6F4F5"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time periods that have started before the commencement of the new law but will finish after that time;</w:t>
      </w:r>
    </w:p>
    <w:p w14:paraId="2C801753"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rights or entitlements that accrue before the commencement of the new law and that should be preserved;</w:t>
      </w:r>
    </w:p>
    <w:p w14:paraId="490B8718"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obligations or requirements that arose under the old law but which must be met or fulfilled after the commencement of the new law;</w:t>
      </w:r>
    </w:p>
    <w:p w14:paraId="5A4A898C"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whether there are gaps or unintended consequences (for example, an annual report has to be given twice in one year or a year will be missed altogether).</w:t>
      </w:r>
    </w:p>
    <w:p w14:paraId="788B93ED" w14:textId="77777777" w:rsidR="006253C9" w:rsidRPr="006253C9" w:rsidRDefault="006253C9" w:rsidP="006253C9">
      <w:pPr>
        <w:pStyle w:val="Heading2"/>
        <w:rPr>
          <w:lang w:val="en-AU"/>
        </w:rPr>
      </w:pPr>
      <w:r w:rsidRPr="006253C9">
        <w:rPr>
          <w:lang w:val="en-AU"/>
        </w:rPr>
        <w:t>Transitional provisions in amending Bills</w:t>
      </w:r>
    </w:p>
    <w:p w14:paraId="1DB6E3A9"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Much of the legislation drafted by OPC is amending legislation. The usual approach is to include any transitional provisions for amending Bills as freestanding provisions in the amending legislation (rather than as amendments of the principal legislation).</w:t>
      </w:r>
    </w:p>
    <w:p w14:paraId="0C4887EA"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The freestanding transitional provisions might appear in the same Schedule as the amendments to which they relate, or they might appear in a separate transitional Schedule or even in a separate transitional Bill. The exact location of the transitional provisions will vary according to the length and complexity of the measures in question.</w:t>
      </w:r>
    </w:p>
    <w:p w14:paraId="5592D45A" w14:textId="77777777" w:rsidR="006253C9" w:rsidRPr="006253C9" w:rsidRDefault="006253C9" w:rsidP="006253C9">
      <w:pPr>
        <w:pStyle w:val="Heading2"/>
        <w:rPr>
          <w:lang w:val="en-AU"/>
        </w:rPr>
      </w:pPr>
      <w:r w:rsidRPr="006253C9">
        <w:rPr>
          <w:lang w:val="en-AU"/>
        </w:rPr>
        <w:t>Transitional provisions in instruments</w:t>
      </w:r>
    </w:p>
    <w:p w14:paraId="7CE9714F" w14:textId="77777777" w:rsidR="006253C9" w:rsidRPr="006253C9" w:rsidRDefault="006253C9" w:rsidP="006253C9">
      <w:pPr>
        <w:pStyle w:val="BodyNum"/>
        <w:rPr>
          <w:rFonts w:ascii="Open Sans" w:hAnsi="Open Sans" w:cs="Open Sans"/>
          <w:sz w:val="22"/>
          <w:szCs w:val="22"/>
        </w:rPr>
      </w:pPr>
      <w:r w:rsidRPr="006253C9">
        <w:rPr>
          <w:rFonts w:ascii="Open Sans" w:hAnsi="Open Sans" w:cs="Open Sans"/>
          <w:sz w:val="22"/>
          <w:szCs w:val="22"/>
        </w:rPr>
        <w:t xml:space="preserve">Transitional provisions for amending instruments are included in the body of the principal instrument being amended, usually in a separate Chapter or Part. This differs from the approach for Bills (where the transitional provisions are included in the amending Bill itself). The reason for the different approach with instruments is to allow section 48A of the </w:t>
      </w:r>
      <w:r w:rsidRPr="006253C9">
        <w:rPr>
          <w:rFonts w:ascii="Open Sans" w:hAnsi="Open Sans" w:cs="Open Sans"/>
          <w:i/>
          <w:iCs/>
          <w:sz w:val="22"/>
          <w:szCs w:val="22"/>
        </w:rPr>
        <w:t>Legislation Act 2003</w:t>
      </w:r>
      <w:r w:rsidRPr="006253C9">
        <w:rPr>
          <w:rFonts w:ascii="Open Sans" w:hAnsi="Open Sans" w:cs="Open Sans"/>
          <w:sz w:val="22"/>
          <w:szCs w:val="22"/>
        </w:rPr>
        <w:t xml:space="preserve"> to automatically repeal amending instruments.</w:t>
      </w:r>
    </w:p>
    <w:p w14:paraId="22ACE421" w14:textId="77777777" w:rsidR="006253C9" w:rsidRPr="006253C9" w:rsidRDefault="006253C9" w:rsidP="006253C9">
      <w:pPr>
        <w:pStyle w:val="Heading2"/>
        <w:rPr>
          <w:lang w:val="en-AU"/>
        </w:rPr>
      </w:pPr>
      <w:r w:rsidRPr="006253C9">
        <w:rPr>
          <w:lang w:val="en-AU"/>
        </w:rPr>
        <w:t>More information</w:t>
      </w:r>
    </w:p>
    <w:p w14:paraId="5DB8865A"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 xml:space="preserve">OPC drafters will often help to identify transitional issues during the drafting process and to suggest possible solutions. </w:t>
      </w:r>
    </w:p>
    <w:p w14:paraId="0B0705A9" w14:textId="77777777" w:rsidR="006253C9" w:rsidRPr="006253C9" w:rsidRDefault="006253C9" w:rsidP="006253C9">
      <w:pPr>
        <w:pStyle w:val="BodyParaBullet"/>
        <w:rPr>
          <w:rFonts w:ascii="Open Sans" w:hAnsi="Open Sans" w:cs="Open Sans"/>
          <w:sz w:val="22"/>
          <w:szCs w:val="22"/>
        </w:rPr>
      </w:pPr>
      <w:r w:rsidRPr="006253C9">
        <w:rPr>
          <w:rFonts w:ascii="Open Sans" w:hAnsi="Open Sans" w:cs="Open Sans"/>
          <w:sz w:val="22"/>
          <w:szCs w:val="22"/>
        </w:rPr>
        <w:t>Previous Bills or instruments amending the principal legislation in question are also a good source for identifying necessary transitional provisions.</w:t>
      </w:r>
      <w:r w:rsidRPr="006253C9">
        <w:rPr>
          <w:rFonts w:ascii="Open Sans" w:hAnsi="Open Sans" w:cs="Open Sans"/>
          <w:sz w:val="22"/>
          <w:szCs w:val="22"/>
        </w:rPr>
        <w:br/>
      </w:r>
    </w:p>
    <w:tbl>
      <w:tblPr>
        <w:tblStyle w:val="TableGrid"/>
        <w:tblW w:w="0" w:type="auto"/>
        <w:tblLook w:val="04A0" w:firstRow="1" w:lastRow="0" w:firstColumn="1" w:lastColumn="0" w:noHBand="0" w:noVBand="1"/>
      </w:tblPr>
      <w:tblGrid>
        <w:gridCol w:w="9016"/>
      </w:tblGrid>
      <w:tr w:rsidR="006253C9" w:rsidRPr="006253C9" w14:paraId="320775CD" w14:textId="77777777" w:rsidTr="00F01C1E">
        <w:tc>
          <w:tcPr>
            <w:tcW w:w="9016" w:type="dxa"/>
            <w:tcBorders>
              <w:top w:val="nil"/>
              <w:left w:val="nil"/>
              <w:bottom w:val="nil"/>
              <w:right w:val="nil"/>
            </w:tcBorders>
            <w:shd w:val="clear" w:color="auto" w:fill="A9D9DB"/>
          </w:tcPr>
          <w:p w14:paraId="2770EB81" w14:textId="77777777" w:rsidR="006253C9" w:rsidRPr="006253C9" w:rsidRDefault="006253C9" w:rsidP="00F01C1E">
            <w:pPr>
              <w:spacing w:before="120" w:after="120"/>
              <w:rPr>
                <w:rFonts w:ascii="Open Sans" w:hAnsi="Open Sans" w:cs="Open Sans"/>
                <w:szCs w:val="22"/>
                <w:lang w:val="en-AU"/>
              </w:rPr>
            </w:pPr>
            <w:bookmarkStart w:id="0" w:name="_Hlk202188723"/>
            <w:r w:rsidRPr="006253C9">
              <w:rPr>
                <w:rFonts w:ascii="Open Sans" w:hAnsi="Open Sans" w:cs="Open Sans"/>
                <w:color w:val="084D5E"/>
                <w:szCs w:val="22"/>
                <w:lang w:val="en-AU"/>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0"/>
    </w:tbl>
    <w:p w14:paraId="633F0D51" w14:textId="77777777" w:rsidR="006253C9" w:rsidRPr="006253C9" w:rsidRDefault="006253C9" w:rsidP="006253C9">
      <w:pPr>
        <w:spacing w:before="120" w:after="120"/>
        <w:rPr>
          <w:sz w:val="21"/>
          <w:szCs w:val="22"/>
        </w:rPr>
      </w:pPr>
    </w:p>
    <w:p w14:paraId="77110F98" w14:textId="6C29B1A0" w:rsidR="00E85E04" w:rsidRPr="006253C9" w:rsidRDefault="00E85E04" w:rsidP="006253C9"/>
    <w:sectPr w:rsidR="00E85E04" w:rsidRPr="006253C9" w:rsidSect="006253C9">
      <w:headerReference w:type="default" r:id="rId7"/>
      <w:footerReference w:type="even" r:id="rId8"/>
      <w:footerReference w:type="default" r:id="rId9"/>
      <w:headerReference w:type="first" r:id="rId10"/>
      <w:footerReference w:type="first" r:id="rId11"/>
      <w:pgSz w:w="11907" w:h="16839"/>
      <w:pgMar w:top="1440" w:right="1440" w:bottom="144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7454" w14:textId="77777777" w:rsidR="0091308A" w:rsidRPr="006253C9" w:rsidRDefault="0091308A" w:rsidP="008E17F3">
      <w:pPr>
        <w:spacing w:line="240" w:lineRule="auto"/>
      </w:pPr>
      <w:r w:rsidRPr="006253C9">
        <w:separator/>
      </w:r>
    </w:p>
  </w:endnote>
  <w:endnote w:type="continuationSeparator" w:id="0">
    <w:p w14:paraId="14096FBF" w14:textId="77777777" w:rsidR="0091308A" w:rsidRPr="006253C9" w:rsidRDefault="0091308A" w:rsidP="008E17F3">
      <w:pPr>
        <w:spacing w:line="240" w:lineRule="auto"/>
      </w:pPr>
      <w:r w:rsidRPr="006253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embedRegular r:id="rId1" w:fontKey="{5667423F-D63E-4FE3-8247-D091D158570E}"/>
    <w:embedBold r:id="rId2" w:fontKey="{859FA567-A0CA-4CAD-B5F6-8D55AE984D35}"/>
    <w:embedItalic r:id="rId3" w:fontKey="{265FCAF2-FA81-4C9E-AA3A-4FCEBC5E61E9}"/>
  </w:font>
  <w:font w:name="Open Sans ExtraBold">
    <w:charset w:val="00"/>
    <w:family w:val="swiss"/>
    <w:pitch w:val="variable"/>
    <w:sig w:usb0="E00002EF" w:usb1="4000205B" w:usb2="00000028" w:usb3="00000000" w:csb0="0000019F" w:csb1="00000000"/>
    <w:embedRegular r:id="rId4" w:subsetted="1" w:fontKey="{884D0C33-6824-4DD0-A972-6A9AB625BADA}"/>
    <w:embedBold r:id="rId5" w:subsetted="1" w:fontKey="{02648420-F427-4118-9D8E-CC979AE3DD71}"/>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0D8F" w14:textId="086B794F" w:rsidR="008E17F3" w:rsidRPr="006253C9" w:rsidRDefault="006E2E9F" w:rsidP="008E17F3">
    <w:pPr>
      <w:pStyle w:val="Footer"/>
      <w:framePr w:wrap="around" w:vAnchor="text" w:hAnchor="margin" w:xAlign="right" w:y="1"/>
      <w:rPr>
        <w:rStyle w:val="PageNumber"/>
      </w:rPr>
    </w:pPr>
    <w:r w:rsidRPr="006253C9">
      <w:rPr>
        <w:rStyle w:val="PageNumber"/>
      </w:rPr>
      <w:fldChar w:fldCharType="begin"/>
    </w:r>
    <w:r w:rsidR="008E17F3" w:rsidRPr="006253C9">
      <w:rPr>
        <w:rStyle w:val="PageNumber"/>
      </w:rPr>
      <w:instrText xml:space="preserve">PAGE  </w:instrText>
    </w:r>
    <w:r w:rsidRPr="006253C9">
      <w:rPr>
        <w:rStyle w:val="PageNumber"/>
      </w:rPr>
      <w:fldChar w:fldCharType="separate"/>
    </w:r>
    <w:r w:rsidR="00DB3B9E" w:rsidRPr="006253C9">
      <w:rPr>
        <w:rStyle w:val="PageNumber"/>
      </w:rPr>
      <w:t>4</w:t>
    </w:r>
    <w:r w:rsidRPr="006253C9">
      <w:rPr>
        <w:rStyle w:val="PageNumber"/>
      </w:rPr>
      <w:fldChar w:fldCharType="end"/>
    </w:r>
  </w:p>
  <w:p w14:paraId="2C7FFBFF" w14:textId="77777777" w:rsidR="008E17F3" w:rsidRPr="006253C9"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1380467852"/>
      <w:docPartObj>
        <w:docPartGallery w:val="Page Numbers (Bottom of Page)"/>
        <w:docPartUnique/>
      </w:docPartObj>
    </w:sdtPr>
    <w:sdtEndPr/>
    <w:sdtContent>
      <w:p w14:paraId="056E7E60" w14:textId="77777777" w:rsidR="000503C0" w:rsidRPr="008B2CCD" w:rsidRDefault="000503C0">
        <w:pPr>
          <w:pStyle w:val="Footer"/>
          <w:jc w:val="right"/>
          <w:rPr>
            <w:rFonts w:ascii="Open Sans" w:hAnsi="Open Sans" w:cs="Open Sans"/>
            <w:sz w:val="20"/>
            <w:szCs w:val="20"/>
          </w:rPr>
        </w:pPr>
      </w:p>
      <w:p w14:paraId="15EA6F0F" w14:textId="339847F7" w:rsidR="000503C0" w:rsidRPr="008B2CCD" w:rsidRDefault="000503C0" w:rsidP="008B2CCD">
        <w:pPr>
          <w:pStyle w:val="Footer"/>
          <w:ind w:left="-709"/>
          <w:jc w:val="right"/>
          <w:rPr>
            <w:rFonts w:ascii="Open Sans" w:hAnsi="Open Sans" w:cs="Open Sans"/>
            <w:sz w:val="20"/>
            <w:szCs w:val="20"/>
          </w:rPr>
        </w:pPr>
        <w:r w:rsidRPr="008B2CCD">
          <w:rPr>
            <w:rFonts w:ascii="Open Sans" w:hAnsi="Open Sans" w:cs="Open Sans"/>
            <w:sz w:val="20"/>
            <w:szCs w:val="20"/>
          </w:rPr>
          <w:t>[S25EP110.docx]</w:t>
        </w:r>
        <w:r w:rsidRPr="008B2CCD">
          <w:rPr>
            <w:rFonts w:ascii="Open Sans" w:hAnsi="Open Sans" w:cs="Open Sans"/>
            <w:sz w:val="20"/>
            <w:szCs w:val="20"/>
          </w:rPr>
          <w:tab/>
        </w:r>
        <w:r w:rsidRPr="008B2CCD">
          <w:rPr>
            <w:rFonts w:ascii="Open Sans" w:hAnsi="Open Sans" w:cs="Open Sans"/>
            <w:sz w:val="20"/>
            <w:szCs w:val="20"/>
          </w:rPr>
          <w:tab/>
          <w:t>Last updated: 10 October 2025</w:t>
        </w:r>
      </w:p>
      <w:p w14:paraId="2EB2733E" w14:textId="11FC44DC" w:rsidR="000503C0" w:rsidRPr="008B2CCD" w:rsidRDefault="000503C0">
        <w:pPr>
          <w:pStyle w:val="Footer"/>
          <w:jc w:val="right"/>
          <w:rPr>
            <w:rFonts w:ascii="Open Sans" w:hAnsi="Open Sans" w:cs="Open Sans"/>
            <w:sz w:val="20"/>
            <w:szCs w:val="20"/>
          </w:rPr>
        </w:pPr>
        <w:r w:rsidRPr="008B2CCD">
          <w:rPr>
            <w:rFonts w:ascii="Open Sans" w:hAnsi="Open Sans" w:cs="Open Sans"/>
            <w:sz w:val="20"/>
            <w:szCs w:val="20"/>
          </w:rPr>
          <w:t xml:space="preserve">Page | </w:t>
        </w:r>
        <w:r w:rsidRPr="008B2CCD">
          <w:rPr>
            <w:rFonts w:ascii="Open Sans" w:hAnsi="Open Sans" w:cs="Open Sans"/>
            <w:sz w:val="20"/>
            <w:szCs w:val="20"/>
          </w:rPr>
          <w:fldChar w:fldCharType="begin"/>
        </w:r>
        <w:r w:rsidRPr="008B2CCD">
          <w:rPr>
            <w:rFonts w:ascii="Open Sans" w:hAnsi="Open Sans" w:cs="Open Sans"/>
            <w:sz w:val="20"/>
            <w:szCs w:val="20"/>
          </w:rPr>
          <w:instrText xml:space="preserve"> PAGE   \* MERGEFORMAT </w:instrText>
        </w:r>
        <w:r w:rsidRPr="008B2CCD">
          <w:rPr>
            <w:rFonts w:ascii="Open Sans" w:hAnsi="Open Sans" w:cs="Open Sans"/>
            <w:sz w:val="20"/>
            <w:szCs w:val="20"/>
          </w:rPr>
          <w:fldChar w:fldCharType="separate"/>
        </w:r>
        <w:r w:rsidRPr="008B2CCD">
          <w:rPr>
            <w:rFonts w:ascii="Open Sans" w:hAnsi="Open Sans" w:cs="Open Sans"/>
            <w:noProof/>
            <w:sz w:val="20"/>
            <w:szCs w:val="20"/>
          </w:rPr>
          <w:t>2</w:t>
        </w:r>
        <w:r w:rsidRPr="008B2CCD">
          <w:rPr>
            <w:rFonts w:ascii="Open Sans" w:hAnsi="Open Sans" w:cs="Open Sans"/>
            <w:noProof/>
            <w:sz w:val="20"/>
            <w:szCs w:val="20"/>
          </w:rPr>
          <w:fldChar w:fldCharType="end"/>
        </w:r>
        <w:r w:rsidRPr="008B2CCD">
          <w:rPr>
            <w:rFonts w:ascii="Open Sans" w:hAnsi="Open Sans" w:cs="Open Sans"/>
            <w:sz w:val="20"/>
            <w:szCs w:val="20"/>
          </w:rPr>
          <w:t xml:space="preserve"> </w:t>
        </w:r>
      </w:p>
    </w:sdtContent>
  </w:sdt>
  <w:p w14:paraId="3E05D479" w14:textId="285DB9ED" w:rsidR="008E17F3" w:rsidRPr="008B2CCD" w:rsidRDefault="008E17F3" w:rsidP="008E17F3">
    <w:pPr>
      <w:pStyle w:val="Footer"/>
      <w:tabs>
        <w:tab w:val="clear" w:pos="4153"/>
        <w:tab w:val="clear" w:pos="8306"/>
        <w:tab w:val="left" w:pos="7680"/>
      </w:tabs>
      <w:ind w:right="27"/>
      <w:rPr>
        <w:rFonts w:ascii="Open Sans" w:hAnsi="Open Sans" w:cs="Open San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1801103389"/>
      <w:docPartObj>
        <w:docPartGallery w:val="Page Numbers (Bottom of Page)"/>
        <w:docPartUnique/>
      </w:docPartObj>
    </w:sdtPr>
    <w:sdtEndPr/>
    <w:sdtContent>
      <w:p w14:paraId="634F9A53" w14:textId="77777777" w:rsidR="008B2CCD" w:rsidRPr="008B2CCD" w:rsidRDefault="008B2CCD" w:rsidP="008B2CCD">
        <w:pPr>
          <w:pStyle w:val="Footer"/>
          <w:jc w:val="right"/>
          <w:rPr>
            <w:rFonts w:ascii="Open Sans" w:hAnsi="Open Sans" w:cs="Open Sans"/>
            <w:sz w:val="20"/>
            <w:szCs w:val="20"/>
          </w:rPr>
        </w:pPr>
      </w:p>
      <w:p w14:paraId="7FE05F47" w14:textId="77777777" w:rsidR="008B2CCD" w:rsidRPr="008B2CCD" w:rsidRDefault="008B2CCD" w:rsidP="008B2CCD">
        <w:pPr>
          <w:pStyle w:val="Footer"/>
          <w:ind w:left="-709"/>
          <w:jc w:val="right"/>
          <w:rPr>
            <w:rFonts w:ascii="Open Sans" w:hAnsi="Open Sans" w:cs="Open Sans"/>
            <w:sz w:val="20"/>
            <w:szCs w:val="20"/>
          </w:rPr>
        </w:pPr>
        <w:r w:rsidRPr="008B2CCD">
          <w:rPr>
            <w:rFonts w:ascii="Open Sans" w:hAnsi="Open Sans" w:cs="Open Sans"/>
            <w:sz w:val="20"/>
            <w:szCs w:val="20"/>
          </w:rPr>
          <w:t>[S25EP110.docx]</w:t>
        </w:r>
        <w:r w:rsidRPr="008B2CCD">
          <w:rPr>
            <w:rFonts w:ascii="Open Sans" w:hAnsi="Open Sans" w:cs="Open Sans"/>
            <w:sz w:val="20"/>
            <w:szCs w:val="20"/>
          </w:rPr>
          <w:tab/>
        </w:r>
        <w:r w:rsidRPr="008B2CCD">
          <w:rPr>
            <w:rFonts w:ascii="Open Sans" w:hAnsi="Open Sans" w:cs="Open Sans"/>
            <w:sz w:val="20"/>
            <w:szCs w:val="20"/>
          </w:rPr>
          <w:tab/>
          <w:t>Last updated: 10 October 2025</w:t>
        </w:r>
      </w:p>
      <w:p w14:paraId="0A0324F4" w14:textId="653CFFE1" w:rsidR="008B2CCD" w:rsidRPr="008B2CCD" w:rsidRDefault="008B2CCD" w:rsidP="008B2CCD">
        <w:pPr>
          <w:pStyle w:val="Footer"/>
          <w:jc w:val="right"/>
          <w:rPr>
            <w:rFonts w:ascii="Open Sans" w:hAnsi="Open Sans" w:cs="Open Sans"/>
            <w:sz w:val="20"/>
            <w:szCs w:val="20"/>
          </w:rPr>
        </w:pPr>
        <w:r w:rsidRPr="008B2CCD">
          <w:rPr>
            <w:rFonts w:ascii="Open Sans" w:hAnsi="Open Sans" w:cs="Open Sans"/>
            <w:sz w:val="20"/>
            <w:szCs w:val="20"/>
          </w:rPr>
          <w:t xml:space="preserve">Page | </w:t>
        </w:r>
        <w:r w:rsidRPr="008B2CCD">
          <w:rPr>
            <w:rFonts w:ascii="Open Sans" w:hAnsi="Open Sans" w:cs="Open Sans"/>
            <w:sz w:val="20"/>
            <w:szCs w:val="20"/>
          </w:rPr>
          <w:fldChar w:fldCharType="begin"/>
        </w:r>
        <w:r w:rsidRPr="008B2CCD">
          <w:rPr>
            <w:rFonts w:ascii="Open Sans" w:hAnsi="Open Sans" w:cs="Open Sans"/>
            <w:sz w:val="20"/>
            <w:szCs w:val="20"/>
          </w:rPr>
          <w:instrText xml:space="preserve"> PAGE   \* MERGEFORMAT </w:instrText>
        </w:r>
        <w:r w:rsidRPr="008B2CCD">
          <w:rPr>
            <w:rFonts w:ascii="Open Sans" w:hAnsi="Open Sans" w:cs="Open Sans"/>
            <w:sz w:val="20"/>
            <w:szCs w:val="20"/>
          </w:rPr>
          <w:fldChar w:fldCharType="separate"/>
        </w:r>
        <w:r>
          <w:rPr>
            <w:rFonts w:ascii="Open Sans" w:hAnsi="Open Sans" w:cs="Open Sans"/>
            <w:sz w:val="20"/>
          </w:rPr>
          <w:t>2</w:t>
        </w:r>
        <w:r w:rsidRPr="008B2CCD">
          <w:rPr>
            <w:rFonts w:ascii="Open Sans" w:hAnsi="Open Sans" w:cs="Open Sans"/>
            <w:noProof/>
            <w:sz w:val="20"/>
            <w:szCs w:val="20"/>
          </w:rPr>
          <w:fldChar w:fldCharType="end"/>
        </w:r>
        <w:r w:rsidRPr="008B2CCD">
          <w:rPr>
            <w:rFonts w:ascii="Open Sans" w:hAnsi="Open Sans" w:cs="Open Sans"/>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8C89" w14:textId="77777777" w:rsidR="0091308A" w:rsidRPr="006253C9" w:rsidRDefault="0091308A" w:rsidP="008E17F3">
      <w:pPr>
        <w:spacing w:line="240" w:lineRule="auto"/>
      </w:pPr>
      <w:r w:rsidRPr="006253C9">
        <w:separator/>
      </w:r>
    </w:p>
  </w:footnote>
  <w:footnote w:type="continuationSeparator" w:id="0">
    <w:p w14:paraId="00C216E5" w14:textId="77777777" w:rsidR="0091308A" w:rsidRPr="006253C9" w:rsidRDefault="0091308A" w:rsidP="008E17F3">
      <w:pPr>
        <w:spacing w:line="240" w:lineRule="auto"/>
      </w:pPr>
      <w:r w:rsidRPr="006253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DB92" w14:textId="77777777" w:rsidR="006253C9" w:rsidRPr="006253C9" w:rsidRDefault="006253C9" w:rsidP="006253C9">
    <w:pPr>
      <w:pStyle w:val="Header"/>
      <w:rPr>
        <w:b/>
        <w:bCs/>
        <w:color w:val="BBBABA"/>
        <w:sz w:val="20"/>
      </w:rPr>
    </w:pPr>
  </w:p>
  <w:p w14:paraId="44E14452" w14:textId="77777777" w:rsidR="006253C9" w:rsidRPr="006253C9" w:rsidRDefault="006253C9" w:rsidP="006253C9">
    <w:pPr>
      <w:pStyle w:val="Header"/>
      <w:rPr>
        <w:b/>
        <w:bCs/>
        <w:color w:val="BBBABA"/>
        <w:sz w:val="20"/>
      </w:rPr>
    </w:pPr>
  </w:p>
  <w:p w14:paraId="2CECDFC9" w14:textId="77777777" w:rsidR="006253C9" w:rsidRPr="006253C9" w:rsidRDefault="006253C9" w:rsidP="006253C9">
    <w:pPr>
      <w:pStyle w:val="Heading1"/>
      <w:rPr>
        <w:sz w:val="20"/>
        <w:szCs w:val="20"/>
      </w:rPr>
    </w:pPr>
  </w:p>
  <w:p w14:paraId="41DC2C98" w14:textId="61DF7F51" w:rsidR="00187FCE" w:rsidRPr="006253C9" w:rsidRDefault="006253C9" w:rsidP="006253C9">
    <w:pPr>
      <w:pStyle w:val="Heading1"/>
      <w:spacing w:after="0"/>
      <w:jc w:val="left"/>
      <w:rPr>
        <w:b/>
        <w:bCs/>
        <w:color w:val="BFBFBF" w:themeColor="background1" w:themeShade="BF"/>
        <w:sz w:val="20"/>
        <w:szCs w:val="20"/>
      </w:rPr>
    </w:pPr>
    <w:r w:rsidRPr="006253C9">
      <w:rPr>
        <w:b/>
        <w:bCs/>
        <w:color w:val="BFBFBF" w:themeColor="background1" w:themeShade="BF"/>
        <w:sz w:val="20"/>
        <w:szCs w:val="20"/>
      </w:rPr>
      <w:t>Instructor Guidance Note—Application, saving and transitional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A168" w14:textId="6AAAF069" w:rsidR="006253C9" w:rsidRDefault="006253C9">
    <w:pPr>
      <w:pStyle w:val="Header"/>
    </w:pPr>
    <w:r w:rsidRPr="00F951F6">
      <w:rPr>
        <w:rFonts w:cs="Open Sans"/>
        <w:noProof/>
      </w:rPr>
      <w:drawing>
        <wp:anchor distT="0" distB="0" distL="114300" distR="114300" simplePos="0" relativeHeight="251663360" behindDoc="0" locked="0" layoutInCell="1" allowOverlap="1" wp14:anchorId="3AD5E767" wp14:editId="02B0068A">
          <wp:simplePos x="0" y="0"/>
          <wp:positionH relativeFrom="margin">
            <wp:posOffset>-117022</wp:posOffset>
          </wp:positionH>
          <wp:positionV relativeFrom="paragraph">
            <wp:posOffset>240665</wp:posOffset>
          </wp:positionV>
          <wp:extent cx="3229347" cy="748862"/>
          <wp:effectExtent l="0" t="0" r="0" b="0"/>
          <wp:wrapNone/>
          <wp:docPr id="1014649206" name="Picture 4"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403" name="Picture 4" descr="A black and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r w:rsidRPr="009D3F97">
      <w:rPr>
        <w:rFonts w:ascii="EB Garamond" w:hAnsi="EB Garamond"/>
        <w:b/>
        <w:noProof/>
        <w:color w:val="084D5E"/>
        <w:lang w:val="en-US"/>
      </w:rPr>
      <mc:AlternateContent>
        <mc:Choice Requires="wps">
          <w:drawing>
            <wp:anchor distT="0" distB="0" distL="114300" distR="114300" simplePos="0" relativeHeight="251664384" behindDoc="0" locked="1" layoutInCell="1" allowOverlap="1" wp14:anchorId="1C8886F9" wp14:editId="6C81F361">
              <wp:simplePos x="0" y="0"/>
              <wp:positionH relativeFrom="page">
                <wp:posOffset>914400</wp:posOffset>
              </wp:positionH>
              <wp:positionV relativeFrom="paragraph">
                <wp:posOffset>-352425</wp:posOffset>
              </wp:positionV>
              <wp:extent cx="5772785" cy="395605"/>
              <wp:effectExtent l="0" t="0" r="0" b="0"/>
              <wp:wrapNone/>
              <wp:docPr id="591247643" name="Text Box 340" descr="Sec-Headerfirstpage"/>
              <wp:cNvGraphicFramePr/>
              <a:graphic xmlns:a="http://schemas.openxmlformats.org/drawingml/2006/main">
                <a:graphicData uri="http://schemas.microsoft.com/office/word/2010/wordprocessingShape">
                  <wps:wsp>
                    <wps:cNvSpPr txBox="1"/>
                    <wps:spPr>
                      <a:xfrm>
                        <a:off x="0" y="0"/>
                        <a:ext cx="5772785" cy="39560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54E4DF" w14:textId="6C00F318" w:rsidR="006253C9" w:rsidRPr="00324EB0" w:rsidRDefault="006253C9" w:rsidP="006253C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3060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3060C">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3060C">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060C">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060C">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8886F9" id="_x0000_t202" coordsize="21600,21600" o:spt="202" path="m,l,21600r21600,l21600,xe">
              <v:stroke joinstyle="miter"/>
              <v:path gradientshapeok="t" o:connecttype="rect"/>
            </v:shapetype>
            <v:shape id="Text Box 340" o:spid="_x0000_s1026" type="#_x0000_t202" alt="Sec-Headerfirstpage" style="position:absolute;margin-left:1in;margin-top:-27.75pt;width:454.55pt;height:31.1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" stroked="f" strokeweight=".5pt">
              <v:fill opacity="0"/>
              <v:textbox>
                <w:txbxContent>
                  <w:p w14:paraId="4154E4DF" w14:textId="6C00F318" w:rsidR="006253C9" w:rsidRPr="00324EB0" w:rsidRDefault="006253C9" w:rsidP="006253C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3060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3060C">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3060C">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060C">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060C">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851FA8"/>
    <w:multiLevelType w:val="hybridMultilevel"/>
    <w:tmpl w:val="53D43F6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0D55443"/>
    <w:multiLevelType w:val="hybridMultilevel"/>
    <w:tmpl w:val="AA0E83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722C0C"/>
    <w:multiLevelType w:val="hybridMultilevel"/>
    <w:tmpl w:val="13CE3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9827983">
    <w:abstractNumId w:val="9"/>
  </w:num>
  <w:num w:numId="2" w16cid:durableId="854466139">
    <w:abstractNumId w:val="7"/>
  </w:num>
  <w:num w:numId="3" w16cid:durableId="1517883847">
    <w:abstractNumId w:val="6"/>
  </w:num>
  <w:num w:numId="4" w16cid:durableId="464930630">
    <w:abstractNumId w:val="5"/>
  </w:num>
  <w:num w:numId="5" w16cid:durableId="65348377">
    <w:abstractNumId w:val="4"/>
  </w:num>
  <w:num w:numId="6" w16cid:durableId="1906602356">
    <w:abstractNumId w:val="8"/>
  </w:num>
  <w:num w:numId="7" w16cid:durableId="1275862800">
    <w:abstractNumId w:val="3"/>
  </w:num>
  <w:num w:numId="8" w16cid:durableId="952828982">
    <w:abstractNumId w:val="2"/>
  </w:num>
  <w:num w:numId="9" w16cid:durableId="1830053910">
    <w:abstractNumId w:val="1"/>
  </w:num>
  <w:num w:numId="10" w16cid:durableId="295140628">
    <w:abstractNumId w:val="0"/>
  </w:num>
  <w:num w:numId="11" w16cid:durableId="444886720">
    <w:abstractNumId w:val="12"/>
  </w:num>
  <w:num w:numId="12" w16cid:durableId="106504702">
    <w:abstractNumId w:val="14"/>
  </w:num>
  <w:num w:numId="13" w16cid:durableId="1340692862">
    <w:abstractNumId w:val="10"/>
  </w:num>
  <w:num w:numId="14" w16cid:durableId="5065324">
    <w:abstractNumId w:val="15"/>
  </w:num>
  <w:num w:numId="15" w16cid:durableId="1258246650">
    <w:abstractNumId w:val="10"/>
    <w:lvlOverride w:ilvl="1">
      <w:lvl w:ilvl="1">
        <w:start w:val="1"/>
        <w:numFmt w:val="lowerLetter"/>
        <w:pStyle w:val="BodyPara"/>
        <w:lvlText w:val="(%2)"/>
        <w:lvlJc w:val="left"/>
        <w:pPr>
          <w:tabs>
            <w:tab w:val="num" w:pos="720"/>
          </w:tabs>
          <w:ind w:left="720" w:hanging="720"/>
        </w:pPr>
        <w:rPr>
          <w:rFonts w:hint="default"/>
          <w:b w:val="0"/>
        </w:rPr>
      </w:lvl>
    </w:lvlOverride>
  </w:num>
  <w:num w:numId="16" w16cid:durableId="1854298998">
    <w:abstractNumId w:val="11"/>
  </w:num>
  <w:num w:numId="17" w16cid:durableId="617178098">
    <w:abstractNumId w:val="13"/>
  </w:num>
  <w:num w:numId="18" w16cid:durableId="1075322268">
    <w:abstractNumId w:val="10"/>
  </w:num>
  <w:num w:numId="19" w16cid:durableId="1767994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8A"/>
    <w:rsid w:val="00002D46"/>
    <w:rsid w:val="000136AF"/>
    <w:rsid w:val="00022B7E"/>
    <w:rsid w:val="00036B0B"/>
    <w:rsid w:val="000503C0"/>
    <w:rsid w:val="00056743"/>
    <w:rsid w:val="000614BF"/>
    <w:rsid w:val="0006289C"/>
    <w:rsid w:val="00095E97"/>
    <w:rsid w:val="000A1C03"/>
    <w:rsid w:val="000A3BB3"/>
    <w:rsid w:val="000B0629"/>
    <w:rsid w:val="000B5F8E"/>
    <w:rsid w:val="000B7988"/>
    <w:rsid w:val="000C604C"/>
    <w:rsid w:val="000C76F0"/>
    <w:rsid w:val="000D05EF"/>
    <w:rsid w:val="000D438D"/>
    <w:rsid w:val="00105472"/>
    <w:rsid w:val="0010745C"/>
    <w:rsid w:val="0012788F"/>
    <w:rsid w:val="001350E1"/>
    <w:rsid w:val="00155E38"/>
    <w:rsid w:val="00162910"/>
    <w:rsid w:val="00166C2F"/>
    <w:rsid w:val="00174846"/>
    <w:rsid w:val="00177E5B"/>
    <w:rsid w:val="00177FFE"/>
    <w:rsid w:val="00187FCE"/>
    <w:rsid w:val="001939E1"/>
    <w:rsid w:val="00195382"/>
    <w:rsid w:val="001B6C1C"/>
    <w:rsid w:val="001B73AA"/>
    <w:rsid w:val="001C69C4"/>
    <w:rsid w:val="001E1147"/>
    <w:rsid w:val="001E3590"/>
    <w:rsid w:val="001E7407"/>
    <w:rsid w:val="001F4665"/>
    <w:rsid w:val="002052AB"/>
    <w:rsid w:val="002072AA"/>
    <w:rsid w:val="002101C4"/>
    <w:rsid w:val="00216816"/>
    <w:rsid w:val="00253D1B"/>
    <w:rsid w:val="002542AB"/>
    <w:rsid w:val="00265DC5"/>
    <w:rsid w:val="00271C5F"/>
    <w:rsid w:val="00295FBA"/>
    <w:rsid w:val="002970D7"/>
    <w:rsid w:val="00297ECB"/>
    <w:rsid w:val="002A45BD"/>
    <w:rsid w:val="002C520D"/>
    <w:rsid w:val="002D043A"/>
    <w:rsid w:val="002D6A8E"/>
    <w:rsid w:val="002E1C30"/>
    <w:rsid w:val="00311448"/>
    <w:rsid w:val="00315181"/>
    <w:rsid w:val="00325AB4"/>
    <w:rsid w:val="0033064A"/>
    <w:rsid w:val="003338FA"/>
    <w:rsid w:val="00352B0F"/>
    <w:rsid w:val="00360FB0"/>
    <w:rsid w:val="00363152"/>
    <w:rsid w:val="0036320F"/>
    <w:rsid w:val="003771FA"/>
    <w:rsid w:val="00380B0E"/>
    <w:rsid w:val="00384E93"/>
    <w:rsid w:val="003A2240"/>
    <w:rsid w:val="003A7D21"/>
    <w:rsid w:val="003B5735"/>
    <w:rsid w:val="003B7436"/>
    <w:rsid w:val="003C1DE1"/>
    <w:rsid w:val="003D0BFE"/>
    <w:rsid w:val="003D5700"/>
    <w:rsid w:val="003D6F8A"/>
    <w:rsid w:val="003E3514"/>
    <w:rsid w:val="003E4160"/>
    <w:rsid w:val="003F385A"/>
    <w:rsid w:val="004116CD"/>
    <w:rsid w:val="00424CA9"/>
    <w:rsid w:val="0043060C"/>
    <w:rsid w:val="0044291A"/>
    <w:rsid w:val="00450A86"/>
    <w:rsid w:val="004560FB"/>
    <w:rsid w:val="004653F8"/>
    <w:rsid w:val="00474C13"/>
    <w:rsid w:val="00496F97"/>
    <w:rsid w:val="004B0C7F"/>
    <w:rsid w:val="004D616C"/>
    <w:rsid w:val="004E591F"/>
    <w:rsid w:val="00503B63"/>
    <w:rsid w:val="005110D7"/>
    <w:rsid w:val="00516B8D"/>
    <w:rsid w:val="00531A1E"/>
    <w:rsid w:val="005327A0"/>
    <w:rsid w:val="00537FBC"/>
    <w:rsid w:val="00553601"/>
    <w:rsid w:val="00571498"/>
    <w:rsid w:val="00573906"/>
    <w:rsid w:val="00577E77"/>
    <w:rsid w:val="00584811"/>
    <w:rsid w:val="0058508E"/>
    <w:rsid w:val="00594161"/>
    <w:rsid w:val="00594749"/>
    <w:rsid w:val="00595278"/>
    <w:rsid w:val="005A3533"/>
    <w:rsid w:val="005B1982"/>
    <w:rsid w:val="005C05F7"/>
    <w:rsid w:val="005C5F9D"/>
    <w:rsid w:val="00600219"/>
    <w:rsid w:val="00614E33"/>
    <w:rsid w:val="006207A3"/>
    <w:rsid w:val="006253C9"/>
    <w:rsid w:val="006279B8"/>
    <w:rsid w:val="00641258"/>
    <w:rsid w:val="006601C6"/>
    <w:rsid w:val="0066782E"/>
    <w:rsid w:val="00677CC2"/>
    <w:rsid w:val="00680F77"/>
    <w:rsid w:val="006917BD"/>
    <w:rsid w:val="0069207B"/>
    <w:rsid w:val="006C7F8C"/>
    <w:rsid w:val="006D77BA"/>
    <w:rsid w:val="006E2E9F"/>
    <w:rsid w:val="007031E9"/>
    <w:rsid w:val="00704A73"/>
    <w:rsid w:val="00721792"/>
    <w:rsid w:val="007276BC"/>
    <w:rsid w:val="00731E00"/>
    <w:rsid w:val="0073345E"/>
    <w:rsid w:val="00733990"/>
    <w:rsid w:val="007367CC"/>
    <w:rsid w:val="00766393"/>
    <w:rsid w:val="007715C9"/>
    <w:rsid w:val="00774EDD"/>
    <w:rsid w:val="00775577"/>
    <w:rsid w:val="007757EC"/>
    <w:rsid w:val="00780CD5"/>
    <w:rsid w:val="00786767"/>
    <w:rsid w:val="00795875"/>
    <w:rsid w:val="007A1EF3"/>
    <w:rsid w:val="007B44DC"/>
    <w:rsid w:val="007C4B9F"/>
    <w:rsid w:val="007F3903"/>
    <w:rsid w:val="008006B2"/>
    <w:rsid w:val="0081117E"/>
    <w:rsid w:val="00822B33"/>
    <w:rsid w:val="0083621B"/>
    <w:rsid w:val="008433D0"/>
    <w:rsid w:val="00844E41"/>
    <w:rsid w:val="0084586A"/>
    <w:rsid w:val="00856A31"/>
    <w:rsid w:val="00864425"/>
    <w:rsid w:val="008659A5"/>
    <w:rsid w:val="008754D0"/>
    <w:rsid w:val="00875D12"/>
    <w:rsid w:val="008A6DA7"/>
    <w:rsid w:val="008B0862"/>
    <w:rsid w:val="008B2CCD"/>
    <w:rsid w:val="008E17F3"/>
    <w:rsid w:val="008E3B8C"/>
    <w:rsid w:val="008F5C51"/>
    <w:rsid w:val="008F7DB5"/>
    <w:rsid w:val="0091308A"/>
    <w:rsid w:val="0091456B"/>
    <w:rsid w:val="009269DA"/>
    <w:rsid w:val="009348FA"/>
    <w:rsid w:val="00944510"/>
    <w:rsid w:val="0094622F"/>
    <w:rsid w:val="0098638B"/>
    <w:rsid w:val="009B0F8A"/>
    <w:rsid w:val="009B3139"/>
    <w:rsid w:val="009B571C"/>
    <w:rsid w:val="009D5D05"/>
    <w:rsid w:val="009E0F87"/>
    <w:rsid w:val="00A05146"/>
    <w:rsid w:val="00A13C0B"/>
    <w:rsid w:val="00A231E2"/>
    <w:rsid w:val="00A27E2C"/>
    <w:rsid w:val="00A50B50"/>
    <w:rsid w:val="00A6298A"/>
    <w:rsid w:val="00A64912"/>
    <w:rsid w:val="00A679F5"/>
    <w:rsid w:val="00A70A74"/>
    <w:rsid w:val="00A82F0D"/>
    <w:rsid w:val="00A91B5C"/>
    <w:rsid w:val="00A966DC"/>
    <w:rsid w:val="00AA250B"/>
    <w:rsid w:val="00AD5641"/>
    <w:rsid w:val="00AF3C42"/>
    <w:rsid w:val="00B30D76"/>
    <w:rsid w:val="00B33B3C"/>
    <w:rsid w:val="00B3572B"/>
    <w:rsid w:val="00B42C48"/>
    <w:rsid w:val="00B432BE"/>
    <w:rsid w:val="00B45EA7"/>
    <w:rsid w:val="00B47BD6"/>
    <w:rsid w:val="00B501B2"/>
    <w:rsid w:val="00B618A3"/>
    <w:rsid w:val="00B944DB"/>
    <w:rsid w:val="00BD33FA"/>
    <w:rsid w:val="00BE2CB8"/>
    <w:rsid w:val="00BE719A"/>
    <w:rsid w:val="00BE720A"/>
    <w:rsid w:val="00BF43B6"/>
    <w:rsid w:val="00BF7034"/>
    <w:rsid w:val="00C102C2"/>
    <w:rsid w:val="00C23A02"/>
    <w:rsid w:val="00C417C3"/>
    <w:rsid w:val="00C42BF8"/>
    <w:rsid w:val="00C50043"/>
    <w:rsid w:val="00C54C88"/>
    <w:rsid w:val="00C61CDD"/>
    <w:rsid w:val="00C7573B"/>
    <w:rsid w:val="00C83868"/>
    <w:rsid w:val="00CA0E8D"/>
    <w:rsid w:val="00CA6B96"/>
    <w:rsid w:val="00CA7407"/>
    <w:rsid w:val="00CB3D6B"/>
    <w:rsid w:val="00CB48D8"/>
    <w:rsid w:val="00CB7883"/>
    <w:rsid w:val="00CD5886"/>
    <w:rsid w:val="00CD610C"/>
    <w:rsid w:val="00CE114C"/>
    <w:rsid w:val="00CF0BB2"/>
    <w:rsid w:val="00CF762A"/>
    <w:rsid w:val="00D13441"/>
    <w:rsid w:val="00D2387E"/>
    <w:rsid w:val="00D30957"/>
    <w:rsid w:val="00D450EE"/>
    <w:rsid w:val="00D507B6"/>
    <w:rsid w:val="00D52BA9"/>
    <w:rsid w:val="00D55ABF"/>
    <w:rsid w:val="00D70DFB"/>
    <w:rsid w:val="00D753AC"/>
    <w:rsid w:val="00D766DF"/>
    <w:rsid w:val="00D80502"/>
    <w:rsid w:val="00DA4823"/>
    <w:rsid w:val="00DB3B9E"/>
    <w:rsid w:val="00DB3CFE"/>
    <w:rsid w:val="00DB4D7C"/>
    <w:rsid w:val="00DE7073"/>
    <w:rsid w:val="00DF25BA"/>
    <w:rsid w:val="00E11277"/>
    <w:rsid w:val="00E1496D"/>
    <w:rsid w:val="00E17957"/>
    <w:rsid w:val="00E27927"/>
    <w:rsid w:val="00E342C3"/>
    <w:rsid w:val="00E4289D"/>
    <w:rsid w:val="00E454B1"/>
    <w:rsid w:val="00E475CC"/>
    <w:rsid w:val="00E6430D"/>
    <w:rsid w:val="00E74DC7"/>
    <w:rsid w:val="00E81A56"/>
    <w:rsid w:val="00E85E04"/>
    <w:rsid w:val="00ED0C49"/>
    <w:rsid w:val="00ED6723"/>
    <w:rsid w:val="00EF2E3A"/>
    <w:rsid w:val="00F04811"/>
    <w:rsid w:val="00F04C69"/>
    <w:rsid w:val="00F078DC"/>
    <w:rsid w:val="00F15658"/>
    <w:rsid w:val="00F23E5F"/>
    <w:rsid w:val="00F27E96"/>
    <w:rsid w:val="00F51269"/>
    <w:rsid w:val="00F65914"/>
    <w:rsid w:val="00FA6D06"/>
    <w:rsid w:val="00FC20A6"/>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D7B251B"/>
  <w15:docId w15:val="{B9110C8E-1414-45FA-9353-DD858743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6253C9"/>
    <w:pPr>
      <w:keepNext/>
      <w:pageBreakBefore/>
      <w:autoSpaceDE w:val="0"/>
      <w:autoSpaceDN w:val="0"/>
      <w:adjustRightInd w:val="0"/>
      <w:spacing w:before="160" w:after="300"/>
      <w:jc w:val="center"/>
      <w:outlineLvl w:val="0"/>
    </w:pPr>
    <w:rPr>
      <w:rFonts w:ascii="Open Sans" w:hAnsi="Open Sans" w:cs="Open Sans"/>
      <w:color w:val="000000" w:themeColor="text1"/>
      <w:kern w:val="28"/>
      <w:sz w:val="56"/>
      <w:szCs w:val="56"/>
      <w:lang w:val="en-GB" w:eastAsia="en-AU"/>
    </w:rPr>
  </w:style>
  <w:style w:type="paragraph" w:styleId="Heading2">
    <w:name w:val="heading 2"/>
    <w:basedOn w:val="Heading3"/>
    <w:next w:val="Normal"/>
    <w:link w:val="Heading2Char"/>
    <w:uiPriority w:val="9"/>
    <w:unhideWhenUsed/>
    <w:qFormat/>
    <w:rsid w:val="006253C9"/>
    <w:pPr>
      <w:keepNext w:val="0"/>
      <w:keepLines w:val="0"/>
      <w:spacing w:before="120" w:after="120" w:line="240" w:lineRule="auto"/>
      <w:outlineLvl w:val="1"/>
    </w:pPr>
    <w:rPr>
      <w:rFonts w:ascii="Open Sans ExtraBold" w:eastAsiaTheme="minorHAnsi" w:hAnsi="Open Sans ExtraBold" w:cs="Open Sans"/>
      <w:b/>
      <w:bCs/>
      <w:color w:val="084D5E"/>
      <w:kern w:val="2"/>
      <w:lang w:val="fr-CA" w:eastAsia="en-AU"/>
    </w:rPr>
  </w:style>
  <w:style w:type="paragraph" w:styleId="Heading3">
    <w:name w:val="heading 3"/>
    <w:basedOn w:val="Normal"/>
    <w:next w:val="Normal"/>
    <w:link w:val="Heading3Char"/>
    <w:uiPriority w:val="9"/>
    <w:semiHidden/>
    <w:unhideWhenUsed/>
    <w:qFormat/>
    <w:rsid w:val="006253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s>
      <w:spacing w:before="240" w:line="240" w:lineRule="auto"/>
      <w:ind w:hanging="36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tabs>
        <w:tab w:val="clear" w:pos="2160"/>
      </w:tabs>
      <w:spacing w:before="240" w:line="240" w:lineRule="auto"/>
      <w:ind w:left="2880" w:hanging="360"/>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Heading1Char">
    <w:name w:val="Heading 1 Char"/>
    <w:basedOn w:val="DefaultParagraphFont"/>
    <w:link w:val="Heading1"/>
    <w:uiPriority w:val="9"/>
    <w:rsid w:val="006253C9"/>
    <w:rPr>
      <w:rFonts w:ascii="Open Sans" w:hAnsi="Open Sans" w:cs="Open Sans"/>
      <w:color w:val="000000" w:themeColor="text1"/>
      <w:kern w:val="28"/>
      <w:sz w:val="56"/>
      <w:szCs w:val="56"/>
      <w:lang w:val="en-GB" w:eastAsia="en-AU"/>
    </w:rPr>
  </w:style>
  <w:style w:type="character" w:customStyle="1" w:styleId="Heading2Char">
    <w:name w:val="Heading 2 Char"/>
    <w:basedOn w:val="DefaultParagraphFont"/>
    <w:link w:val="Heading2"/>
    <w:uiPriority w:val="9"/>
    <w:rsid w:val="006253C9"/>
    <w:rPr>
      <w:rFonts w:ascii="Open Sans ExtraBold" w:hAnsi="Open Sans ExtraBold" w:cs="Open Sans"/>
      <w:b/>
      <w:bCs/>
      <w:color w:val="084D5E"/>
      <w:kern w:val="2"/>
      <w:sz w:val="24"/>
      <w:szCs w:val="24"/>
      <w:lang w:val="fr-CA" w:eastAsia="en-AU"/>
    </w:rPr>
  </w:style>
  <w:style w:type="table" w:styleId="TableGrid">
    <w:name w:val="Table Grid"/>
    <w:basedOn w:val="TableNormal"/>
    <w:uiPriority w:val="39"/>
    <w:rsid w:val="006253C9"/>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253C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8147</Characters>
  <Application>Microsoft Office Word</Application>
  <DocSecurity>8</DocSecurity>
  <Lines>150</Lines>
  <Paragraphs>60</Paragraphs>
  <ScaleCrop>false</ScaleCrop>
  <HeadingPairs>
    <vt:vector size="2" baseType="variant">
      <vt:variant>
        <vt:lpstr>Title</vt:lpstr>
      </vt:variant>
      <vt:variant>
        <vt:i4>1</vt:i4>
      </vt:variant>
    </vt:vector>
  </HeadingPairs>
  <TitlesOfParts>
    <vt:vector size="1" baseType="lpstr">
      <vt:lpstr>Application, saving and transitional provisions</vt:lpstr>
    </vt:vector>
  </TitlesOfParts>
  <Company>Office of Parliamentary Counsel</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saving and transitional provisions</dc:title>
  <dc:subject/>
  <dc:creator>MilesA</dc:creator>
  <cp:keywords/>
  <dc:description/>
  <cp:lastModifiedBy>Berryman, Elentari</cp:lastModifiedBy>
  <cp:revision>2</cp:revision>
  <cp:lastPrinted>2025-09-04T00:29:00Z</cp:lastPrinted>
  <dcterms:created xsi:type="dcterms:W3CDTF">2025-10-16T00:30:00Z</dcterms:created>
  <dcterms:modified xsi:type="dcterms:W3CDTF">2025-10-16T00:30:00Z</dcterms:modified>
  <cp:category>Other - Website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ies>
</file>