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8333" w14:textId="77777777" w:rsidR="00CE205A" w:rsidRPr="007A6D17" w:rsidRDefault="00CE205A" w:rsidP="00CE205A">
      <w:pPr>
        <w:pStyle w:val="Heading1"/>
        <w:rPr>
          <w:b/>
          <w:bCs/>
        </w:rPr>
      </w:pPr>
      <w:bookmarkStart w:id="0" w:name="_Hlk210377332"/>
      <w:r w:rsidRPr="007A6D17">
        <w:rPr>
          <w:b/>
          <w:bCs/>
        </w:rPr>
        <w:t>Instructor Guidance Note—</w:t>
      </w:r>
      <w:r w:rsidRPr="007A6D17">
        <w:rPr>
          <w:b/>
          <w:bCs/>
        </w:rPr>
        <w:br/>
        <w:t>Bills prioritisation and policy authority</w:t>
      </w:r>
    </w:p>
    <w:p w14:paraId="7C402A91" w14:textId="77777777" w:rsidR="00CE205A" w:rsidRPr="007A6D17" w:rsidRDefault="00CE205A" w:rsidP="00CE205A">
      <w:pPr>
        <w:pStyle w:val="BodyNum"/>
        <w:rPr>
          <w:rFonts w:ascii="Open Sans" w:hAnsi="Open Sans" w:cs="Open Sans"/>
          <w:sz w:val="22"/>
          <w:szCs w:val="18"/>
        </w:rPr>
      </w:pPr>
      <w:r w:rsidRPr="007A6D17">
        <w:rPr>
          <w:rFonts w:ascii="Open Sans" w:hAnsi="Open Sans" w:cs="Open Sans"/>
          <w:sz w:val="22"/>
          <w:szCs w:val="18"/>
        </w:rPr>
        <w:t>This Instructor Guidance Note gives an overview of the procedures involved in determining the Government’s legislative priorities for Bills.</w:t>
      </w:r>
    </w:p>
    <w:p w14:paraId="44AE0439" w14:textId="77777777" w:rsidR="00CE205A" w:rsidRPr="007A6D17" w:rsidRDefault="00CE205A" w:rsidP="00CE205A">
      <w:pPr>
        <w:pStyle w:val="BodyNum"/>
        <w:rPr>
          <w:rFonts w:ascii="Open Sans" w:hAnsi="Open Sans" w:cs="Open Sans"/>
          <w:sz w:val="22"/>
          <w:szCs w:val="18"/>
        </w:rPr>
      </w:pPr>
      <w:r w:rsidRPr="007A6D17">
        <w:rPr>
          <w:rFonts w:ascii="Open Sans" w:hAnsi="Open Sans" w:cs="Open Sans"/>
          <w:sz w:val="22"/>
          <w:szCs w:val="18"/>
        </w:rPr>
        <w:t>It also outlines the policy authority requirements for Bills, including for exposure drafts of Bills.</w:t>
      </w:r>
    </w:p>
    <w:p w14:paraId="62E4C8CF" w14:textId="77777777" w:rsidR="00CE205A" w:rsidRPr="007A6D17" w:rsidRDefault="00CE205A" w:rsidP="00D647B8">
      <w:pPr>
        <w:pStyle w:val="Heading2"/>
      </w:pPr>
      <w:proofErr w:type="spellStart"/>
      <w:r w:rsidRPr="007A6D17">
        <w:t>Priority</w:t>
      </w:r>
      <w:proofErr w:type="spellEnd"/>
      <w:r w:rsidRPr="007A6D17">
        <w:t xml:space="preserve"> process for Bills</w:t>
      </w:r>
    </w:p>
    <w:p w14:paraId="7DF89FB0" w14:textId="77777777" w:rsidR="00CE205A" w:rsidRPr="007A6D17" w:rsidRDefault="00CE205A" w:rsidP="00CE205A">
      <w:pPr>
        <w:pStyle w:val="BodyNum"/>
        <w:rPr>
          <w:rFonts w:ascii="Open Sans" w:hAnsi="Open Sans" w:cs="Open Sans"/>
          <w:sz w:val="22"/>
          <w:szCs w:val="22"/>
        </w:rPr>
      </w:pPr>
      <w:r w:rsidRPr="007A6D17">
        <w:rPr>
          <w:rFonts w:ascii="Open Sans" w:hAnsi="Open Sans" w:cs="Open Sans"/>
          <w:sz w:val="22"/>
          <w:szCs w:val="22"/>
        </w:rPr>
        <w:t>The Government’s legislative priorities are formally determined by the Parliamentary Business Committee of the Cabinet (</w:t>
      </w:r>
      <w:proofErr w:type="spellStart"/>
      <w:r w:rsidRPr="007A6D17">
        <w:rPr>
          <w:rFonts w:ascii="Open Sans" w:hAnsi="Open Sans" w:cs="Open Sans"/>
          <w:b/>
          <w:bCs/>
          <w:i/>
          <w:iCs/>
          <w:sz w:val="22"/>
          <w:szCs w:val="22"/>
        </w:rPr>
        <w:t>PBC</w:t>
      </w:r>
      <w:proofErr w:type="spellEnd"/>
      <w:r w:rsidRPr="007A6D17">
        <w:rPr>
          <w:rFonts w:ascii="Open Sans" w:hAnsi="Open Sans" w:cs="Open Sans"/>
          <w:sz w:val="22"/>
          <w:szCs w:val="22"/>
        </w:rPr>
        <w:t>).</w:t>
      </w:r>
    </w:p>
    <w:p w14:paraId="461311C2" w14:textId="77777777" w:rsidR="00CE205A" w:rsidRPr="007A6D17" w:rsidRDefault="00CE205A" w:rsidP="00CE205A">
      <w:pPr>
        <w:pStyle w:val="BodyNum"/>
        <w:rPr>
          <w:rFonts w:ascii="Open Sans" w:hAnsi="Open Sans" w:cs="Open Sans"/>
          <w:sz w:val="22"/>
          <w:szCs w:val="22"/>
        </w:rPr>
      </w:pPr>
      <w:r w:rsidRPr="007A6D17">
        <w:rPr>
          <w:rFonts w:ascii="Open Sans" w:hAnsi="Open Sans" w:cs="Open Sans"/>
          <w:sz w:val="22"/>
          <w:szCs w:val="22"/>
        </w:rPr>
        <w:t xml:space="preserve">At the end of each parliamentary sitting period, Ministers are asked to advise the Prime Minister of their legislation requirements for the next sitting period. The </w:t>
      </w:r>
      <w:proofErr w:type="spellStart"/>
      <w:r w:rsidRPr="007A6D17">
        <w:rPr>
          <w:rFonts w:ascii="Open Sans" w:hAnsi="Open Sans" w:cs="Open Sans"/>
          <w:sz w:val="22"/>
          <w:szCs w:val="22"/>
        </w:rPr>
        <w:t>PBC</w:t>
      </w:r>
      <w:proofErr w:type="spellEnd"/>
      <w:r w:rsidRPr="007A6D17">
        <w:rPr>
          <w:rFonts w:ascii="Open Sans" w:hAnsi="Open Sans" w:cs="Open Sans"/>
          <w:sz w:val="22"/>
          <w:szCs w:val="22"/>
        </w:rPr>
        <w:t xml:space="preserve"> considers Ministers’ requests and approves a legislation program for the next sitting period. The legislation program establishes the relative priority of government Bills.</w:t>
      </w:r>
    </w:p>
    <w:p w14:paraId="649D0BD4" w14:textId="77777777" w:rsidR="00CE205A" w:rsidRPr="007A6D17" w:rsidRDefault="00CE205A" w:rsidP="00CE205A">
      <w:pPr>
        <w:pStyle w:val="BodyNum"/>
        <w:rPr>
          <w:rFonts w:ascii="Open Sans" w:hAnsi="Open Sans" w:cs="Open Sans"/>
          <w:sz w:val="22"/>
          <w:szCs w:val="22"/>
        </w:rPr>
      </w:pPr>
      <w:r w:rsidRPr="007A6D17">
        <w:rPr>
          <w:rFonts w:ascii="Open Sans" w:hAnsi="Open Sans" w:cs="Open Sans"/>
          <w:sz w:val="22"/>
          <w:szCs w:val="22"/>
        </w:rPr>
        <w:t xml:space="preserve">When </w:t>
      </w:r>
      <w:proofErr w:type="spellStart"/>
      <w:r w:rsidRPr="007A6D17">
        <w:rPr>
          <w:rFonts w:ascii="Open Sans" w:hAnsi="Open Sans" w:cs="Open Sans"/>
          <w:sz w:val="22"/>
          <w:szCs w:val="22"/>
        </w:rPr>
        <w:t>PBC</w:t>
      </w:r>
      <w:proofErr w:type="spellEnd"/>
      <w:r w:rsidRPr="007A6D17">
        <w:rPr>
          <w:rFonts w:ascii="Open Sans" w:hAnsi="Open Sans" w:cs="Open Sans"/>
          <w:sz w:val="22"/>
          <w:szCs w:val="22"/>
        </w:rPr>
        <w:t xml:space="preserve"> adds a Bill to the legislation program, it decides the priority category that is given to the Bill. The priority category is relevant to the allocation of drafting resources and parliamentary time.</w:t>
      </w:r>
    </w:p>
    <w:p w14:paraId="77DBA160" w14:textId="77777777" w:rsidR="00CE205A" w:rsidRPr="007A6D17" w:rsidRDefault="00CE205A" w:rsidP="00CE205A">
      <w:pPr>
        <w:pStyle w:val="BodyNum"/>
        <w:rPr>
          <w:rFonts w:ascii="Open Sans" w:hAnsi="Open Sans" w:cs="Open Sans"/>
          <w:sz w:val="22"/>
          <w:szCs w:val="22"/>
        </w:rPr>
      </w:pPr>
      <w:r w:rsidRPr="007A6D17">
        <w:rPr>
          <w:rFonts w:ascii="Open Sans" w:hAnsi="Open Sans" w:cs="Open Sans"/>
          <w:sz w:val="22"/>
          <w:szCs w:val="22"/>
        </w:rPr>
        <w:t xml:space="preserve">The </w:t>
      </w:r>
      <w:proofErr w:type="spellStart"/>
      <w:r w:rsidRPr="007A6D17">
        <w:rPr>
          <w:rFonts w:ascii="Open Sans" w:hAnsi="Open Sans" w:cs="Open Sans"/>
          <w:sz w:val="22"/>
          <w:szCs w:val="22"/>
        </w:rPr>
        <w:t>PBC</w:t>
      </w:r>
      <w:proofErr w:type="spellEnd"/>
      <w:r w:rsidRPr="007A6D17">
        <w:rPr>
          <w:rFonts w:ascii="Open Sans" w:hAnsi="Open Sans" w:cs="Open Sans"/>
          <w:sz w:val="22"/>
          <w:szCs w:val="22"/>
        </w:rPr>
        <w:t xml:space="preserve"> may also agree to vary the legislation program on request from a Minister.</w:t>
      </w:r>
    </w:p>
    <w:tbl>
      <w:tblPr>
        <w:tblW w:w="902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21"/>
        <w:gridCol w:w="2235"/>
        <w:gridCol w:w="5770"/>
      </w:tblGrid>
      <w:tr w:rsidR="00CE205A" w:rsidRPr="007A6D17" w14:paraId="2DD13FBA" w14:textId="77777777" w:rsidTr="00F01C1E">
        <w:trPr>
          <w:tblHeader/>
        </w:trPr>
        <w:tc>
          <w:tcPr>
            <w:tcW w:w="1021" w:type="dxa"/>
            <w:tcBorders>
              <w:top w:val="single" w:sz="12" w:space="0" w:color="auto"/>
              <w:bottom w:val="single" w:sz="12" w:space="0" w:color="auto"/>
            </w:tcBorders>
          </w:tcPr>
          <w:p w14:paraId="3FCAC627" w14:textId="77777777" w:rsidR="00CE205A" w:rsidRPr="007A6D17" w:rsidRDefault="00CE205A" w:rsidP="00F01C1E">
            <w:pPr>
              <w:pStyle w:val="TableHeading"/>
              <w:rPr>
                <w:rFonts w:ascii="Open Sans" w:hAnsi="Open Sans" w:cs="Open Sans"/>
                <w:sz w:val="22"/>
                <w:szCs w:val="22"/>
              </w:rPr>
            </w:pPr>
            <w:r w:rsidRPr="007A6D17">
              <w:rPr>
                <w:rFonts w:ascii="Open Sans" w:hAnsi="Open Sans" w:cs="Open Sans"/>
                <w:sz w:val="22"/>
                <w:szCs w:val="22"/>
              </w:rPr>
              <w:t>Item</w:t>
            </w:r>
          </w:p>
        </w:tc>
        <w:tc>
          <w:tcPr>
            <w:tcW w:w="2235" w:type="dxa"/>
            <w:tcBorders>
              <w:top w:val="single" w:sz="12" w:space="0" w:color="auto"/>
              <w:bottom w:val="single" w:sz="12" w:space="0" w:color="auto"/>
            </w:tcBorders>
          </w:tcPr>
          <w:p w14:paraId="61209DC2" w14:textId="77777777" w:rsidR="00CE205A" w:rsidRPr="007A6D17" w:rsidRDefault="00CE205A" w:rsidP="00F01C1E">
            <w:pPr>
              <w:pStyle w:val="TableHeading"/>
              <w:rPr>
                <w:rFonts w:ascii="Open Sans" w:hAnsi="Open Sans" w:cs="Open Sans"/>
                <w:sz w:val="22"/>
                <w:szCs w:val="22"/>
              </w:rPr>
            </w:pPr>
            <w:r w:rsidRPr="007A6D17">
              <w:rPr>
                <w:rFonts w:ascii="Open Sans" w:hAnsi="Open Sans" w:cs="Open Sans"/>
                <w:sz w:val="22"/>
                <w:szCs w:val="22"/>
              </w:rPr>
              <w:t>Priority category</w:t>
            </w:r>
          </w:p>
        </w:tc>
        <w:tc>
          <w:tcPr>
            <w:tcW w:w="5770" w:type="dxa"/>
            <w:tcBorders>
              <w:top w:val="single" w:sz="12" w:space="0" w:color="auto"/>
              <w:bottom w:val="single" w:sz="12" w:space="0" w:color="auto"/>
            </w:tcBorders>
          </w:tcPr>
          <w:p w14:paraId="3B510247" w14:textId="77777777" w:rsidR="00CE205A" w:rsidRPr="007A6D17" w:rsidRDefault="00CE205A" w:rsidP="00F01C1E">
            <w:pPr>
              <w:pStyle w:val="TableHeading"/>
              <w:rPr>
                <w:rFonts w:ascii="Open Sans" w:hAnsi="Open Sans" w:cs="Open Sans"/>
                <w:sz w:val="22"/>
                <w:szCs w:val="22"/>
              </w:rPr>
            </w:pPr>
            <w:r w:rsidRPr="007A6D17">
              <w:rPr>
                <w:rFonts w:ascii="Open Sans" w:hAnsi="Open Sans" w:cs="Open Sans"/>
                <w:sz w:val="22"/>
                <w:szCs w:val="22"/>
              </w:rPr>
              <w:t>Purpose</w:t>
            </w:r>
          </w:p>
        </w:tc>
      </w:tr>
      <w:tr w:rsidR="00CE205A" w:rsidRPr="007A6D17" w14:paraId="19E76F22" w14:textId="77777777" w:rsidTr="00F01C1E">
        <w:tc>
          <w:tcPr>
            <w:tcW w:w="1021" w:type="dxa"/>
            <w:tcBorders>
              <w:top w:val="single" w:sz="12" w:space="0" w:color="auto"/>
            </w:tcBorders>
          </w:tcPr>
          <w:p w14:paraId="4F86858E"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1</w:t>
            </w:r>
          </w:p>
        </w:tc>
        <w:tc>
          <w:tcPr>
            <w:tcW w:w="2235" w:type="dxa"/>
            <w:tcBorders>
              <w:top w:val="single" w:sz="12" w:space="0" w:color="auto"/>
            </w:tcBorders>
          </w:tcPr>
          <w:p w14:paraId="76BE8142"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Category T</w:t>
            </w:r>
          </w:p>
        </w:tc>
        <w:tc>
          <w:tcPr>
            <w:tcW w:w="5770" w:type="dxa"/>
            <w:tcBorders>
              <w:top w:val="single" w:sz="12" w:space="0" w:color="auto"/>
            </w:tcBorders>
          </w:tcPr>
          <w:p w14:paraId="0571B7AB"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For time</w:t>
            </w:r>
            <w:r w:rsidRPr="007A6D17">
              <w:rPr>
                <w:rFonts w:ascii="Open Sans" w:hAnsi="Open Sans" w:cs="Open Sans"/>
                <w:sz w:val="22"/>
                <w:szCs w:val="22"/>
              </w:rPr>
              <w:noBreakHyphen/>
              <w:t>critical Bills which require introduction and passage in the same sitting period.</w:t>
            </w:r>
          </w:p>
          <w:p w14:paraId="769FC3CE"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A category T Bill must be ready for introduction:</w:t>
            </w:r>
          </w:p>
          <w:p w14:paraId="6A27A7E0"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(a) in the case of the Autumn or Winter sittings—in one of the first 2 sitting weeks; or</w:t>
            </w:r>
          </w:p>
          <w:p w14:paraId="0E6027E7"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(b) in the case of the Spring sittings—in one of the first 4 sitting weeks.</w:t>
            </w:r>
          </w:p>
        </w:tc>
      </w:tr>
      <w:tr w:rsidR="00CE205A" w:rsidRPr="007A6D17" w14:paraId="4BA062C5" w14:textId="77777777" w:rsidTr="00F01C1E">
        <w:tc>
          <w:tcPr>
            <w:tcW w:w="1021" w:type="dxa"/>
          </w:tcPr>
          <w:p w14:paraId="5E9F3741"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2</w:t>
            </w:r>
          </w:p>
        </w:tc>
        <w:tc>
          <w:tcPr>
            <w:tcW w:w="2235" w:type="dxa"/>
          </w:tcPr>
          <w:p w14:paraId="1D179288"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Category A</w:t>
            </w:r>
          </w:p>
        </w:tc>
        <w:tc>
          <w:tcPr>
            <w:tcW w:w="5770" w:type="dxa"/>
          </w:tcPr>
          <w:p w14:paraId="2C5D1DAF"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For Bills with a high priority for:</w:t>
            </w:r>
          </w:p>
          <w:p w14:paraId="0B4897D9"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(a) introduction in the next sitting period; and</w:t>
            </w:r>
          </w:p>
          <w:p w14:paraId="7AF60811"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(b) passage in a later sitting.</w:t>
            </w:r>
          </w:p>
        </w:tc>
      </w:tr>
      <w:tr w:rsidR="00944B73" w:rsidRPr="007A6D17" w14:paraId="4267ABFB" w14:textId="77777777" w:rsidTr="00F01C1E">
        <w:tc>
          <w:tcPr>
            <w:tcW w:w="1021" w:type="dxa"/>
          </w:tcPr>
          <w:p w14:paraId="19646E9E" w14:textId="3C40465E" w:rsidR="00944B73" w:rsidRPr="007A6D17" w:rsidRDefault="00944B73" w:rsidP="00F01C1E">
            <w:pPr>
              <w:pStyle w:val="Tabletext"/>
              <w:rPr>
                <w:rFonts w:ascii="Open Sans" w:hAnsi="Open Sans" w:cs="Open Sans"/>
                <w:sz w:val="22"/>
                <w:szCs w:val="22"/>
              </w:rPr>
            </w:pPr>
            <w:r>
              <w:rPr>
                <w:rFonts w:ascii="Open Sans" w:hAnsi="Open Sans" w:cs="Open Sans"/>
                <w:sz w:val="22"/>
                <w:szCs w:val="22"/>
              </w:rPr>
              <w:t>3</w:t>
            </w:r>
          </w:p>
        </w:tc>
        <w:tc>
          <w:tcPr>
            <w:tcW w:w="2235" w:type="dxa"/>
          </w:tcPr>
          <w:p w14:paraId="3CF46EB4" w14:textId="3B993EBB" w:rsidR="00944B73" w:rsidRPr="007A6D17" w:rsidRDefault="00944B73" w:rsidP="00F01C1E">
            <w:pPr>
              <w:pStyle w:val="Tabletext"/>
              <w:rPr>
                <w:rFonts w:ascii="Open Sans" w:hAnsi="Open Sans" w:cs="Open Sans"/>
                <w:sz w:val="22"/>
                <w:szCs w:val="22"/>
              </w:rPr>
            </w:pPr>
            <w:r>
              <w:rPr>
                <w:rFonts w:ascii="Open Sans" w:hAnsi="Open Sans" w:cs="Open Sans"/>
                <w:sz w:val="22"/>
                <w:szCs w:val="22"/>
              </w:rPr>
              <w:t>Category A—drafting only</w:t>
            </w:r>
          </w:p>
        </w:tc>
        <w:tc>
          <w:tcPr>
            <w:tcW w:w="5770" w:type="dxa"/>
          </w:tcPr>
          <w:p w14:paraId="220240DC" w14:textId="39237E92" w:rsidR="00944B73" w:rsidRPr="007A6D17" w:rsidRDefault="00944B73" w:rsidP="00944B73">
            <w:pPr>
              <w:pStyle w:val="Tabletext"/>
              <w:rPr>
                <w:rFonts w:ascii="Open Sans" w:hAnsi="Open Sans" w:cs="Open Sans"/>
                <w:sz w:val="22"/>
                <w:szCs w:val="22"/>
              </w:rPr>
            </w:pPr>
            <w:r w:rsidRPr="007A6D17">
              <w:rPr>
                <w:rFonts w:ascii="Open Sans" w:hAnsi="Open Sans" w:cs="Open Sans"/>
                <w:sz w:val="22"/>
                <w:szCs w:val="22"/>
              </w:rPr>
              <w:t>For Bills with a high</w:t>
            </w:r>
            <w:r w:rsidR="00CC38E4">
              <w:rPr>
                <w:rFonts w:ascii="Open Sans" w:hAnsi="Open Sans" w:cs="Open Sans"/>
                <w:sz w:val="22"/>
                <w:szCs w:val="22"/>
              </w:rPr>
              <w:t xml:space="preserve"> </w:t>
            </w:r>
            <w:r w:rsidRPr="007A6D17">
              <w:rPr>
                <w:rFonts w:ascii="Open Sans" w:hAnsi="Open Sans" w:cs="Open Sans"/>
                <w:sz w:val="22"/>
                <w:szCs w:val="22"/>
              </w:rPr>
              <w:t>priority for:</w:t>
            </w:r>
          </w:p>
          <w:p w14:paraId="4B7EF1B1" w14:textId="77777777" w:rsidR="00944B73" w:rsidRPr="007A6D17" w:rsidRDefault="00944B73" w:rsidP="00944B73">
            <w:pPr>
              <w:pStyle w:val="Tablea"/>
              <w:rPr>
                <w:rFonts w:ascii="Open Sans" w:hAnsi="Open Sans" w:cs="Open Sans"/>
                <w:sz w:val="22"/>
                <w:szCs w:val="22"/>
              </w:rPr>
            </w:pPr>
            <w:r w:rsidRPr="007A6D17">
              <w:rPr>
                <w:rFonts w:ascii="Open Sans" w:hAnsi="Open Sans" w:cs="Open Sans"/>
                <w:sz w:val="22"/>
                <w:szCs w:val="22"/>
              </w:rPr>
              <w:t>(a) drafting in the next sitting period; and</w:t>
            </w:r>
          </w:p>
          <w:p w14:paraId="0847B7ED" w14:textId="600AEEDD" w:rsidR="00944B73" w:rsidRPr="007A6D17" w:rsidRDefault="00944B73" w:rsidP="00944B73">
            <w:pPr>
              <w:pStyle w:val="Tabletext"/>
              <w:rPr>
                <w:rFonts w:ascii="Open Sans" w:hAnsi="Open Sans" w:cs="Open Sans"/>
                <w:sz w:val="22"/>
                <w:szCs w:val="22"/>
              </w:rPr>
            </w:pPr>
            <w:r w:rsidRPr="007A6D17">
              <w:rPr>
                <w:rFonts w:ascii="Open Sans" w:hAnsi="Open Sans" w:cs="Open Sans"/>
                <w:sz w:val="22"/>
                <w:szCs w:val="22"/>
              </w:rPr>
              <w:t>(b) introduction and passage in a later sitting.</w:t>
            </w:r>
          </w:p>
        </w:tc>
      </w:tr>
      <w:tr w:rsidR="00CE205A" w:rsidRPr="007A6D17" w14:paraId="3365D16C" w14:textId="77777777" w:rsidTr="00F01C1E">
        <w:tc>
          <w:tcPr>
            <w:tcW w:w="1021" w:type="dxa"/>
          </w:tcPr>
          <w:p w14:paraId="62F9FD4D" w14:textId="741CEA71" w:rsidR="00CE205A" w:rsidRPr="007A6D17" w:rsidRDefault="00944B73" w:rsidP="00F01C1E">
            <w:pPr>
              <w:pStyle w:val="Tabletext"/>
              <w:rPr>
                <w:rFonts w:ascii="Open Sans" w:hAnsi="Open Sans" w:cs="Open Sans"/>
                <w:sz w:val="22"/>
                <w:szCs w:val="22"/>
              </w:rPr>
            </w:pPr>
            <w:r>
              <w:rPr>
                <w:rFonts w:ascii="Open Sans" w:hAnsi="Open Sans" w:cs="Open Sans"/>
                <w:sz w:val="22"/>
                <w:szCs w:val="22"/>
              </w:rPr>
              <w:lastRenderedPageBreak/>
              <w:t>4</w:t>
            </w:r>
          </w:p>
        </w:tc>
        <w:tc>
          <w:tcPr>
            <w:tcW w:w="2235" w:type="dxa"/>
          </w:tcPr>
          <w:p w14:paraId="2B7755BB"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Category B</w:t>
            </w:r>
          </w:p>
        </w:tc>
        <w:tc>
          <w:tcPr>
            <w:tcW w:w="5770" w:type="dxa"/>
          </w:tcPr>
          <w:p w14:paraId="1C20A9D9" w14:textId="77777777" w:rsidR="00CE205A" w:rsidRPr="007A6D17" w:rsidRDefault="00CE205A" w:rsidP="00F01C1E">
            <w:pPr>
              <w:pStyle w:val="Tabletext"/>
              <w:rPr>
                <w:rFonts w:ascii="Open Sans" w:hAnsi="Open Sans" w:cs="Open Sans"/>
                <w:sz w:val="22"/>
                <w:szCs w:val="22"/>
              </w:rPr>
            </w:pPr>
            <w:r w:rsidRPr="007A6D17">
              <w:rPr>
                <w:rFonts w:ascii="Open Sans" w:hAnsi="Open Sans" w:cs="Open Sans"/>
                <w:sz w:val="22"/>
                <w:szCs w:val="22"/>
              </w:rPr>
              <w:t>For Bills with a medium priority for:</w:t>
            </w:r>
          </w:p>
          <w:p w14:paraId="2C20A52D"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(a) introduction in the next sitting period; and</w:t>
            </w:r>
          </w:p>
          <w:p w14:paraId="7B6D83CA" w14:textId="77777777" w:rsidR="00CE205A" w:rsidRPr="007A6D17" w:rsidRDefault="00CE205A" w:rsidP="00F01C1E">
            <w:pPr>
              <w:pStyle w:val="Tablea"/>
              <w:rPr>
                <w:rFonts w:ascii="Open Sans" w:hAnsi="Open Sans" w:cs="Open Sans"/>
                <w:sz w:val="22"/>
                <w:szCs w:val="22"/>
              </w:rPr>
            </w:pPr>
            <w:r w:rsidRPr="007A6D17">
              <w:rPr>
                <w:rFonts w:ascii="Open Sans" w:hAnsi="Open Sans" w:cs="Open Sans"/>
                <w:sz w:val="22"/>
                <w:szCs w:val="22"/>
              </w:rPr>
              <w:t>(b) passage in a later sitting.</w:t>
            </w:r>
          </w:p>
        </w:tc>
      </w:tr>
      <w:tr w:rsidR="00944B73" w:rsidRPr="007A6D17" w14:paraId="5762B202" w14:textId="77777777" w:rsidTr="00F01C1E">
        <w:tc>
          <w:tcPr>
            <w:tcW w:w="1021" w:type="dxa"/>
          </w:tcPr>
          <w:p w14:paraId="2066B5F0" w14:textId="5EAE93DF" w:rsidR="00944B73" w:rsidRDefault="00944B73" w:rsidP="00F01C1E">
            <w:pPr>
              <w:pStyle w:val="Tabletext"/>
              <w:rPr>
                <w:rFonts w:ascii="Open Sans" w:hAnsi="Open Sans" w:cs="Open Sans"/>
                <w:sz w:val="22"/>
                <w:szCs w:val="22"/>
              </w:rPr>
            </w:pPr>
            <w:r>
              <w:rPr>
                <w:rFonts w:ascii="Open Sans" w:hAnsi="Open Sans" w:cs="Open Sans"/>
                <w:sz w:val="22"/>
                <w:szCs w:val="22"/>
              </w:rPr>
              <w:t>5</w:t>
            </w:r>
          </w:p>
        </w:tc>
        <w:tc>
          <w:tcPr>
            <w:tcW w:w="2235" w:type="dxa"/>
          </w:tcPr>
          <w:p w14:paraId="1F5E8C1C" w14:textId="46A98AC7" w:rsidR="00944B73" w:rsidRPr="007A6D17" w:rsidRDefault="00944B73" w:rsidP="00F01C1E">
            <w:pPr>
              <w:pStyle w:val="Tabletext"/>
              <w:rPr>
                <w:rFonts w:ascii="Open Sans" w:hAnsi="Open Sans" w:cs="Open Sans"/>
                <w:sz w:val="22"/>
                <w:szCs w:val="22"/>
              </w:rPr>
            </w:pPr>
            <w:r>
              <w:rPr>
                <w:rFonts w:ascii="Open Sans" w:hAnsi="Open Sans" w:cs="Open Sans"/>
                <w:sz w:val="22"/>
                <w:szCs w:val="22"/>
              </w:rPr>
              <w:t>Category B—drafting only</w:t>
            </w:r>
          </w:p>
        </w:tc>
        <w:tc>
          <w:tcPr>
            <w:tcW w:w="5770" w:type="dxa"/>
          </w:tcPr>
          <w:p w14:paraId="2A9724CE" w14:textId="4B97C791" w:rsidR="00CC38E4" w:rsidRPr="007A6D17" w:rsidRDefault="00CC38E4" w:rsidP="00CC38E4">
            <w:pPr>
              <w:pStyle w:val="Tabletext"/>
              <w:rPr>
                <w:rFonts w:ascii="Open Sans" w:hAnsi="Open Sans" w:cs="Open Sans"/>
                <w:sz w:val="22"/>
                <w:szCs w:val="22"/>
              </w:rPr>
            </w:pPr>
            <w:r w:rsidRPr="007A6D17">
              <w:rPr>
                <w:rFonts w:ascii="Open Sans" w:hAnsi="Open Sans" w:cs="Open Sans"/>
                <w:sz w:val="22"/>
                <w:szCs w:val="22"/>
              </w:rPr>
              <w:t>For Bills with a medium priority for:</w:t>
            </w:r>
          </w:p>
          <w:p w14:paraId="036BB274" w14:textId="77777777" w:rsidR="00CC38E4" w:rsidRPr="007A6D17" w:rsidRDefault="00CC38E4" w:rsidP="00CC38E4">
            <w:pPr>
              <w:pStyle w:val="Tablea"/>
              <w:rPr>
                <w:rFonts w:ascii="Open Sans" w:hAnsi="Open Sans" w:cs="Open Sans"/>
                <w:sz w:val="22"/>
                <w:szCs w:val="22"/>
              </w:rPr>
            </w:pPr>
            <w:r w:rsidRPr="007A6D17">
              <w:rPr>
                <w:rFonts w:ascii="Open Sans" w:hAnsi="Open Sans" w:cs="Open Sans"/>
                <w:sz w:val="22"/>
                <w:szCs w:val="22"/>
              </w:rPr>
              <w:t>(a) drafting in the next sitting period; and</w:t>
            </w:r>
          </w:p>
          <w:p w14:paraId="0931D26F" w14:textId="55A9C7C8" w:rsidR="00944B73" w:rsidRPr="007A6D17" w:rsidRDefault="00CC38E4" w:rsidP="00CC38E4">
            <w:pPr>
              <w:pStyle w:val="Tabletext"/>
              <w:rPr>
                <w:rFonts w:ascii="Open Sans" w:hAnsi="Open Sans" w:cs="Open Sans"/>
                <w:sz w:val="22"/>
                <w:szCs w:val="22"/>
              </w:rPr>
            </w:pPr>
            <w:r w:rsidRPr="007A6D17">
              <w:rPr>
                <w:rFonts w:ascii="Open Sans" w:hAnsi="Open Sans" w:cs="Open Sans"/>
                <w:sz w:val="22"/>
                <w:szCs w:val="22"/>
              </w:rPr>
              <w:t>(b) introduction and passage in a later sitting.</w:t>
            </w:r>
          </w:p>
        </w:tc>
      </w:tr>
      <w:tr w:rsidR="00CC38E4" w:rsidRPr="007A6D17" w14:paraId="284C8E92" w14:textId="77777777" w:rsidTr="00F01C1E">
        <w:tc>
          <w:tcPr>
            <w:tcW w:w="1021" w:type="dxa"/>
            <w:tcBorders>
              <w:top w:val="single" w:sz="2" w:space="0" w:color="auto"/>
              <w:bottom w:val="single" w:sz="12" w:space="0" w:color="auto"/>
            </w:tcBorders>
          </w:tcPr>
          <w:p w14:paraId="17676A7B" w14:textId="5C496D45" w:rsidR="00CC38E4" w:rsidRPr="007A6D17" w:rsidRDefault="00CC38E4" w:rsidP="00CC38E4">
            <w:pPr>
              <w:pStyle w:val="Tabletext"/>
              <w:rPr>
                <w:rFonts w:ascii="Open Sans" w:hAnsi="Open Sans" w:cs="Open Sans"/>
                <w:sz w:val="22"/>
                <w:szCs w:val="22"/>
              </w:rPr>
            </w:pPr>
            <w:r>
              <w:rPr>
                <w:rFonts w:ascii="Open Sans" w:hAnsi="Open Sans" w:cs="Open Sans"/>
                <w:sz w:val="22"/>
                <w:szCs w:val="22"/>
              </w:rPr>
              <w:t>6</w:t>
            </w:r>
          </w:p>
        </w:tc>
        <w:tc>
          <w:tcPr>
            <w:tcW w:w="2235" w:type="dxa"/>
            <w:tcBorders>
              <w:top w:val="single" w:sz="2" w:space="0" w:color="auto"/>
              <w:bottom w:val="single" w:sz="12" w:space="0" w:color="auto"/>
            </w:tcBorders>
          </w:tcPr>
          <w:p w14:paraId="756CA8BA" w14:textId="07F1D765" w:rsidR="00CC38E4" w:rsidRPr="007A6D17" w:rsidRDefault="00CC38E4" w:rsidP="00CC38E4">
            <w:pPr>
              <w:pStyle w:val="Tabletext"/>
              <w:rPr>
                <w:rFonts w:ascii="Open Sans" w:hAnsi="Open Sans" w:cs="Open Sans"/>
                <w:sz w:val="22"/>
                <w:szCs w:val="22"/>
              </w:rPr>
            </w:pPr>
            <w:r w:rsidRPr="007A6D17">
              <w:rPr>
                <w:rFonts w:ascii="Open Sans" w:hAnsi="Open Sans" w:cs="Open Sans"/>
                <w:sz w:val="22"/>
                <w:szCs w:val="22"/>
              </w:rPr>
              <w:t>Category C</w:t>
            </w:r>
          </w:p>
        </w:tc>
        <w:tc>
          <w:tcPr>
            <w:tcW w:w="5770" w:type="dxa"/>
            <w:tcBorders>
              <w:top w:val="single" w:sz="2" w:space="0" w:color="auto"/>
              <w:bottom w:val="single" w:sz="12" w:space="0" w:color="auto"/>
            </w:tcBorders>
          </w:tcPr>
          <w:p w14:paraId="63E103AC" w14:textId="77777777" w:rsidR="00CC38E4" w:rsidRPr="007A6D17" w:rsidRDefault="00CC38E4" w:rsidP="00CC38E4">
            <w:pPr>
              <w:pStyle w:val="Tabletext"/>
              <w:rPr>
                <w:rFonts w:ascii="Open Sans" w:hAnsi="Open Sans" w:cs="Open Sans"/>
                <w:sz w:val="22"/>
                <w:szCs w:val="22"/>
              </w:rPr>
            </w:pPr>
            <w:r w:rsidRPr="007A6D17">
              <w:rPr>
                <w:rFonts w:ascii="Open Sans" w:hAnsi="Open Sans" w:cs="Open Sans"/>
                <w:sz w:val="22"/>
                <w:szCs w:val="22"/>
              </w:rPr>
              <w:t>For Bills with a lower priority for:</w:t>
            </w:r>
          </w:p>
          <w:p w14:paraId="4A56D059" w14:textId="77777777" w:rsidR="00CC38E4" w:rsidRPr="007A6D17" w:rsidRDefault="00CC38E4" w:rsidP="00CC38E4">
            <w:pPr>
              <w:pStyle w:val="Tablea"/>
              <w:rPr>
                <w:rFonts w:ascii="Open Sans" w:hAnsi="Open Sans" w:cs="Open Sans"/>
                <w:sz w:val="22"/>
                <w:szCs w:val="22"/>
              </w:rPr>
            </w:pPr>
            <w:r w:rsidRPr="007A6D17">
              <w:rPr>
                <w:rFonts w:ascii="Open Sans" w:hAnsi="Open Sans" w:cs="Open Sans"/>
                <w:sz w:val="22"/>
                <w:szCs w:val="22"/>
              </w:rPr>
              <w:t>(a) introduction in the next sitting period; and</w:t>
            </w:r>
          </w:p>
          <w:p w14:paraId="048974A5" w14:textId="7F83D1A0" w:rsidR="00CC38E4" w:rsidRPr="007A6D17" w:rsidRDefault="00CC38E4" w:rsidP="00CC38E4">
            <w:pPr>
              <w:pStyle w:val="Tablea"/>
              <w:rPr>
                <w:rFonts w:ascii="Open Sans" w:hAnsi="Open Sans" w:cs="Open Sans"/>
                <w:sz w:val="22"/>
                <w:szCs w:val="22"/>
              </w:rPr>
            </w:pPr>
            <w:r w:rsidRPr="007A6D17">
              <w:rPr>
                <w:rFonts w:ascii="Open Sans" w:hAnsi="Open Sans" w:cs="Open Sans"/>
                <w:sz w:val="22"/>
                <w:szCs w:val="22"/>
              </w:rPr>
              <w:t>(b) passage in a later sitting.</w:t>
            </w:r>
          </w:p>
        </w:tc>
      </w:tr>
    </w:tbl>
    <w:p w14:paraId="1C064C76" w14:textId="7B8E6CF5" w:rsidR="00CE205A" w:rsidRPr="006821E2" w:rsidRDefault="00CE205A" w:rsidP="00CE205A">
      <w:pPr>
        <w:pStyle w:val="BodyNum"/>
        <w:rPr>
          <w:rFonts w:ascii="Open Sans" w:hAnsi="Open Sans" w:cs="Open Sans"/>
          <w:sz w:val="22"/>
          <w:szCs w:val="18"/>
        </w:rPr>
      </w:pPr>
      <w:r w:rsidRPr="006821E2">
        <w:rPr>
          <w:rFonts w:ascii="Open Sans" w:hAnsi="Open Sans" w:cs="Open Sans"/>
          <w:sz w:val="22"/>
          <w:szCs w:val="22"/>
        </w:rPr>
        <w:t>To</w:t>
      </w:r>
      <w:r w:rsidRPr="006821E2">
        <w:rPr>
          <w:rFonts w:ascii="Open Sans" w:hAnsi="Open Sans" w:cs="Open Sans"/>
          <w:sz w:val="22"/>
          <w:szCs w:val="18"/>
        </w:rPr>
        <w:t xml:space="preserve"> advise the </w:t>
      </w:r>
      <w:proofErr w:type="spellStart"/>
      <w:r w:rsidRPr="006821E2">
        <w:rPr>
          <w:rFonts w:ascii="Open Sans" w:hAnsi="Open Sans" w:cs="Open Sans"/>
          <w:sz w:val="22"/>
          <w:szCs w:val="18"/>
        </w:rPr>
        <w:t>PBC</w:t>
      </w:r>
      <w:proofErr w:type="spellEnd"/>
      <w:r w:rsidRPr="006821E2">
        <w:rPr>
          <w:rFonts w:ascii="Open Sans" w:hAnsi="Open Sans" w:cs="Open Sans"/>
          <w:sz w:val="22"/>
          <w:szCs w:val="18"/>
        </w:rPr>
        <w:t xml:space="preserve"> of their legislation requirements, Ministers have to submit a bid for each Bill they want included in the legislation program, and propose a priority category. Within each portfolio, the bidding process is usually coordinated by a Legislation Liaison Officer (</w:t>
      </w:r>
      <w:r w:rsidRPr="006821E2">
        <w:rPr>
          <w:rFonts w:ascii="Open Sans" w:hAnsi="Open Sans" w:cs="Open Sans"/>
          <w:b/>
          <w:bCs/>
          <w:i/>
          <w:iCs/>
          <w:sz w:val="22"/>
          <w:szCs w:val="18"/>
        </w:rPr>
        <w:t>LLO</w:t>
      </w:r>
      <w:r w:rsidRPr="006821E2">
        <w:rPr>
          <w:rFonts w:ascii="Open Sans" w:hAnsi="Open Sans" w:cs="Open Sans"/>
          <w:sz w:val="22"/>
          <w:szCs w:val="18"/>
        </w:rPr>
        <w:t xml:space="preserve">). Further information is set out in the </w:t>
      </w:r>
      <w:hyperlink r:id="rId8" w:history="1">
        <w:r w:rsidRPr="006821E2">
          <w:rPr>
            <w:rStyle w:val="Hyperlink"/>
            <w:rFonts w:ascii="Open Sans" w:hAnsi="Open Sans" w:cs="Open Sans"/>
            <w:sz w:val="22"/>
            <w:szCs w:val="18"/>
          </w:rPr>
          <w:t>Legislation Handbook.</w:t>
        </w:r>
      </w:hyperlink>
    </w:p>
    <w:p w14:paraId="38B0010B" w14:textId="77777777" w:rsidR="00CE205A" w:rsidRPr="007A6D17" w:rsidRDefault="00CE205A" w:rsidP="00D647B8">
      <w:pPr>
        <w:pStyle w:val="Heading2"/>
      </w:pPr>
      <w:r w:rsidRPr="007A6D17">
        <w:t xml:space="preserve">Variations to the </w:t>
      </w:r>
      <w:proofErr w:type="spellStart"/>
      <w:r w:rsidRPr="007A6D17">
        <w:t>legislation</w:t>
      </w:r>
      <w:proofErr w:type="spellEnd"/>
      <w:r w:rsidRPr="007A6D17">
        <w:t xml:space="preserve"> program</w:t>
      </w:r>
    </w:p>
    <w:p w14:paraId="5324C2FC"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If a Minister wants to change the priority determined for a particular Bill, or to add new Bills to the program with a particular priority, the Minister needs to seek a variation to the program by letter to the Prime Minister. The Minister will also need to seek a variation to add new measures to a Bill already on the program.</w:t>
      </w:r>
    </w:p>
    <w:p w14:paraId="44591C08"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 xml:space="preserve">Requests for variations are considered by </w:t>
      </w:r>
      <w:proofErr w:type="spellStart"/>
      <w:r w:rsidRPr="00FC01D1">
        <w:rPr>
          <w:rFonts w:ascii="Open Sans" w:hAnsi="Open Sans" w:cs="Open Sans"/>
          <w:sz w:val="22"/>
          <w:szCs w:val="22"/>
        </w:rPr>
        <w:t>PBC</w:t>
      </w:r>
      <w:proofErr w:type="spellEnd"/>
      <w:r w:rsidRPr="00FC01D1">
        <w:rPr>
          <w:rFonts w:ascii="Open Sans" w:hAnsi="Open Sans" w:cs="Open Sans"/>
          <w:sz w:val="22"/>
          <w:szCs w:val="22"/>
        </w:rPr>
        <w:t xml:space="preserve">. Generally, variations are only granted in urgent or unforeseen circumstances. </w:t>
      </w:r>
    </w:p>
    <w:p w14:paraId="29953A9F"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 xml:space="preserve">Your LLO can provide more information about the procedures for seeking a variation. Advice on variations to the program can also be obtained from the Legislation Section in </w:t>
      </w:r>
      <w:proofErr w:type="spellStart"/>
      <w:r w:rsidRPr="00FC01D1">
        <w:rPr>
          <w:rFonts w:ascii="Open Sans" w:hAnsi="Open Sans" w:cs="Open Sans"/>
          <w:sz w:val="22"/>
          <w:szCs w:val="22"/>
        </w:rPr>
        <w:t>PM&amp;C</w:t>
      </w:r>
      <w:proofErr w:type="spellEnd"/>
      <w:r w:rsidRPr="00FC01D1">
        <w:rPr>
          <w:rFonts w:ascii="Open Sans" w:hAnsi="Open Sans" w:cs="Open Sans"/>
          <w:sz w:val="22"/>
          <w:szCs w:val="22"/>
        </w:rPr>
        <w:t>.</w:t>
      </w:r>
    </w:p>
    <w:p w14:paraId="5CF6A5D3" w14:textId="77777777" w:rsidR="00CE205A" w:rsidRPr="007A6D17" w:rsidRDefault="00CE205A" w:rsidP="00D647B8">
      <w:pPr>
        <w:pStyle w:val="Heading2"/>
      </w:pPr>
      <w:proofErr w:type="spellStart"/>
      <w:r w:rsidRPr="007A6D17">
        <w:t>Priority</w:t>
      </w:r>
      <w:proofErr w:type="spellEnd"/>
      <w:r w:rsidRPr="007A6D17">
        <w:t xml:space="preserve"> for </w:t>
      </w:r>
      <w:proofErr w:type="spellStart"/>
      <w:r w:rsidRPr="007A6D17">
        <w:t>later</w:t>
      </w:r>
      <w:proofErr w:type="spellEnd"/>
      <w:r w:rsidRPr="007A6D17">
        <w:t xml:space="preserve"> </w:t>
      </w:r>
      <w:proofErr w:type="spellStart"/>
      <w:r w:rsidRPr="007A6D17">
        <w:t>sittings</w:t>
      </w:r>
      <w:proofErr w:type="spellEnd"/>
    </w:p>
    <w:p w14:paraId="7D44751A" w14:textId="77777777" w:rsidR="00CE205A" w:rsidRDefault="00CE205A" w:rsidP="00CE205A">
      <w:pPr>
        <w:pStyle w:val="BodyNum"/>
        <w:rPr>
          <w:rFonts w:ascii="Open Sans" w:hAnsi="Open Sans" w:cs="Open Sans"/>
          <w:sz w:val="22"/>
          <w:szCs w:val="22"/>
        </w:rPr>
      </w:pPr>
      <w:r w:rsidRPr="00FC01D1">
        <w:rPr>
          <w:rFonts w:ascii="Open Sans" w:hAnsi="Open Sans" w:cs="Open Sans"/>
          <w:sz w:val="22"/>
          <w:szCs w:val="22"/>
        </w:rPr>
        <w:t>Sometimes a Bill does not end up being introduced into Parliament in the sittings for which it has been given a priority. If this happens, and it is proposed instead to introduce the Bill in a later sittings, the Minister will need to bid for the Bill for that later sittings. The previously allocated priority does not carry over to the later sittings.</w:t>
      </w:r>
    </w:p>
    <w:p w14:paraId="2E697BD1" w14:textId="77777777" w:rsidR="005A117F" w:rsidRDefault="005A117F" w:rsidP="005A117F">
      <w:pPr>
        <w:pStyle w:val="BodyNum"/>
        <w:numPr>
          <w:ilvl w:val="0"/>
          <w:numId w:val="0"/>
        </w:numPr>
        <w:rPr>
          <w:rFonts w:ascii="Open Sans" w:hAnsi="Open Sans" w:cs="Open Sans"/>
          <w:sz w:val="22"/>
          <w:szCs w:val="22"/>
        </w:rPr>
      </w:pPr>
    </w:p>
    <w:p w14:paraId="1A55CFA0" w14:textId="77777777" w:rsidR="005A117F" w:rsidRDefault="005A117F" w:rsidP="005A117F">
      <w:pPr>
        <w:pStyle w:val="BodyNum"/>
        <w:numPr>
          <w:ilvl w:val="0"/>
          <w:numId w:val="0"/>
        </w:numPr>
        <w:rPr>
          <w:rFonts w:ascii="Open Sans" w:hAnsi="Open Sans" w:cs="Open Sans"/>
          <w:sz w:val="22"/>
          <w:szCs w:val="22"/>
        </w:rPr>
      </w:pPr>
    </w:p>
    <w:p w14:paraId="623D3B45" w14:textId="77777777" w:rsidR="005A117F" w:rsidRPr="00FC01D1" w:rsidRDefault="005A117F" w:rsidP="005A117F">
      <w:pPr>
        <w:pStyle w:val="BodyNum"/>
        <w:numPr>
          <w:ilvl w:val="0"/>
          <w:numId w:val="0"/>
        </w:numPr>
        <w:rPr>
          <w:rFonts w:ascii="Open Sans" w:hAnsi="Open Sans" w:cs="Open Sans"/>
          <w:sz w:val="22"/>
          <w:szCs w:val="22"/>
        </w:rPr>
      </w:pPr>
    </w:p>
    <w:p w14:paraId="464D6466" w14:textId="77777777" w:rsidR="00CE205A" w:rsidRPr="007A6D17" w:rsidRDefault="00CE205A" w:rsidP="00D647B8">
      <w:pPr>
        <w:pStyle w:val="Heading2"/>
      </w:pPr>
      <w:r w:rsidRPr="007A6D17">
        <w:lastRenderedPageBreak/>
        <w:t xml:space="preserve">Policy </w:t>
      </w:r>
      <w:proofErr w:type="spellStart"/>
      <w:r w:rsidRPr="007A6D17">
        <w:t>authority</w:t>
      </w:r>
      <w:proofErr w:type="spellEnd"/>
      <w:r w:rsidRPr="007A6D17">
        <w:t xml:space="preserve"> for Bills</w:t>
      </w:r>
    </w:p>
    <w:p w14:paraId="221183EF"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Every measure in a Bill must have policy authority at the appropriate level before the Bill can be introduced.</w:t>
      </w:r>
    </w:p>
    <w:p w14:paraId="14FF2A5D"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There are 4 types of policy authority for Bills:</w:t>
      </w:r>
    </w:p>
    <w:tbl>
      <w:tblPr>
        <w:tblW w:w="902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2268"/>
        <w:gridCol w:w="5770"/>
      </w:tblGrid>
      <w:tr w:rsidR="00CE205A" w:rsidRPr="006821E2" w14:paraId="64FEACBA" w14:textId="77777777" w:rsidTr="006821E2">
        <w:trPr>
          <w:tblHeader/>
        </w:trPr>
        <w:tc>
          <w:tcPr>
            <w:tcW w:w="988" w:type="dxa"/>
            <w:tcBorders>
              <w:top w:val="single" w:sz="12" w:space="0" w:color="auto"/>
              <w:bottom w:val="single" w:sz="12" w:space="0" w:color="auto"/>
            </w:tcBorders>
          </w:tcPr>
          <w:p w14:paraId="1C08F0A7" w14:textId="77777777" w:rsidR="00CE205A" w:rsidRPr="006821E2" w:rsidRDefault="00CE205A" w:rsidP="00F01C1E">
            <w:pPr>
              <w:pStyle w:val="TableHeading"/>
              <w:rPr>
                <w:rFonts w:ascii="Open Sans" w:hAnsi="Open Sans" w:cs="Open Sans"/>
                <w:sz w:val="22"/>
                <w:szCs w:val="22"/>
              </w:rPr>
            </w:pPr>
            <w:r w:rsidRPr="006821E2">
              <w:rPr>
                <w:rFonts w:ascii="Open Sans" w:hAnsi="Open Sans" w:cs="Open Sans"/>
                <w:sz w:val="22"/>
                <w:szCs w:val="22"/>
              </w:rPr>
              <w:t>Item</w:t>
            </w:r>
          </w:p>
        </w:tc>
        <w:tc>
          <w:tcPr>
            <w:tcW w:w="2268" w:type="dxa"/>
            <w:tcBorders>
              <w:top w:val="single" w:sz="12" w:space="0" w:color="auto"/>
              <w:bottom w:val="single" w:sz="12" w:space="0" w:color="auto"/>
            </w:tcBorders>
          </w:tcPr>
          <w:p w14:paraId="1E04F95B" w14:textId="77777777" w:rsidR="00CE205A" w:rsidRPr="006821E2" w:rsidRDefault="00CE205A" w:rsidP="00F01C1E">
            <w:pPr>
              <w:pStyle w:val="TableHeading"/>
              <w:rPr>
                <w:rFonts w:ascii="Open Sans" w:hAnsi="Open Sans" w:cs="Open Sans"/>
                <w:sz w:val="22"/>
                <w:szCs w:val="22"/>
              </w:rPr>
            </w:pPr>
            <w:r w:rsidRPr="006821E2">
              <w:rPr>
                <w:rFonts w:ascii="Open Sans" w:hAnsi="Open Sans" w:cs="Open Sans"/>
                <w:sz w:val="22"/>
                <w:szCs w:val="22"/>
              </w:rPr>
              <w:t>Policy authority</w:t>
            </w:r>
          </w:p>
        </w:tc>
        <w:tc>
          <w:tcPr>
            <w:tcW w:w="5770" w:type="dxa"/>
            <w:tcBorders>
              <w:top w:val="single" w:sz="12" w:space="0" w:color="auto"/>
              <w:bottom w:val="single" w:sz="12" w:space="0" w:color="auto"/>
            </w:tcBorders>
          </w:tcPr>
          <w:p w14:paraId="3FDEE4DC" w14:textId="77777777" w:rsidR="00CE205A" w:rsidRPr="006821E2" w:rsidRDefault="00CE205A" w:rsidP="00F01C1E">
            <w:pPr>
              <w:pStyle w:val="TableHeading"/>
              <w:rPr>
                <w:rFonts w:ascii="Open Sans" w:hAnsi="Open Sans" w:cs="Open Sans"/>
                <w:sz w:val="22"/>
                <w:szCs w:val="22"/>
              </w:rPr>
            </w:pPr>
            <w:r w:rsidRPr="006821E2">
              <w:rPr>
                <w:rFonts w:ascii="Open Sans" w:hAnsi="Open Sans" w:cs="Open Sans"/>
                <w:sz w:val="22"/>
                <w:szCs w:val="22"/>
              </w:rPr>
              <w:t>Type of measure</w:t>
            </w:r>
          </w:p>
        </w:tc>
      </w:tr>
      <w:tr w:rsidR="00CE205A" w:rsidRPr="006821E2" w14:paraId="53395536" w14:textId="77777777" w:rsidTr="006821E2">
        <w:tc>
          <w:tcPr>
            <w:tcW w:w="988" w:type="dxa"/>
            <w:tcBorders>
              <w:top w:val="single" w:sz="12" w:space="0" w:color="auto"/>
            </w:tcBorders>
          </w:tcPr>
          <w:p w14:paraId="19354F7D"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1</w:t>
            </w:r>
          </w:p>
        </w:tc>
        <w:tc>
          <w:tcPr>
            <w:tcW w:w="2268" w:type="dxa"/>
            <w:tcBorders>
              <w:top w:val="single" w:sz="12" w:space="0" w:color="auto"/>
            </w:tcBorders>
          </w:tcPr>
          <w:p w14:paraId="2D3721D0"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Cabinet</w:t>
            </w:r>
          </w:p>
        </w:tc>
        <w:tc>
          <w:tcPr>
            <w:tcW w:w="5770" w:type="dxa"/>
            <w:tcBorders>
              <w:top w:val="single" w:sz="12" w:space="0" w:color="auto"/>
            </w:tcBorders>
          </w:tcPr>
          <w:p w14:paraId="3718F344" w14:textId="77777777" w:rsidR="00CE205A" w:rsidRPr="006821E2" w:rsidRDefault="00CE205A" w:rsidP="00F01C1E">
            <w:pPr>
              <w:pStyle w:val="Tabletext"/>
              <w:rPr>
                <w:rFonts w:ascii="Open Sans" w:hAnsi="Open Sans" w:cs="Open Sans"/>
                <w:sz w:val="22"/>
                <w:szCs w:val="22"/>
              </w:rPr>
            </w:pPr>
            <w:r w:rsidRPr="006821E2">
              <w:rPr>
                <w:rFonts w:ascii="Open Sans" w:eastAsiaTheme="minorEastAsia" w:hAnsi="Open Sans" w:cs="Open Sans"/>
                <w:sz w:val="22"/>
                <w:szCs w:val="22"/>
              </w:rPr>
              <w:t>Cabinet authority is required for measures with significant policy implications.</w:t>
            </w:r>
          </w:p>
        </w:tc>
      </w:tr>
      <w:tr w:rsidR="00CE205A" w:rsidRPr="006821E2" w14:paraId="65980742" w14:textId="77777777" w:rsidTr="006821E2">
        <w:tc>
          <w:tcPr>
            <w:tcW w:w="988" w:type="dxa"/>
          </w:tcPr>
          <w:p w14:paraId="5986ECD4"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2</w:t>
            </w:r>
          </w:p>
        </w:tc>
        <w:tc>
          <w:tcPr>
            <w:tcW w:w="2268" w:type="dxa"/>
          </w:tcPr>
          <w:p w14:paraId="283876A8"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Prime Minister</w:t>
            </w:r>
          </w:p>
        </w:tc>
        <w:tc>
          <w:tcPr>
            <w:tcW w:w="5770" w:type="dxa"/>
          </w:tcPr>
          <w:p w14:paraId="192CC541" w14:textId="77777777" w:rsidR="00CE205A" w:rsidRPr="006821E2" w:rsidRDefault="00CE205A" w:rsidP="00F01C1E">
            <w:pPr>
              <w:pStyle w:val="Tabletext"/>
              <w:rPr>
                <w:rFonts w:ascii="Open Sans" w:hAnsi="Open Sans" w:cs="Open Sans"/>
                <w:sz w:val="22"/>
                <w:szCs w:val="22"/>
              </w:rPr>
            </w:pPr>
            <w:r w:rsidRPr="006821E2">
              <w:rPr>
                <w:rFonts w:ascii="Open Sans" w:eastAsiaTheme="minorEastAsia" w:hAnsi="Open Sans" w:cs="Open Sans"/>
                <w:sz w:val="22"/>
                <w:szCs w:val="22"/>
              </w:rPr>
              <w:t>The Prime Minister may authorise measures with minor policy significance.</w:t>
            </w:r>
          </w:p>
        </w:tc>
      </w:tr>
      <w:tr w:rsidR="00CE205A" w:rsidRPr="006821E2" w14:paraId="79FF50EF" w14:textId="77777777" w:rsidTr="006821E2">
        <w:tc>
          <w:tcPr>
            <w:tcW w:w="988" w:type="dxa"/>
            <w:tcBorders>
              <w:bottom w:val="single" w:sz="2" w:space="0" w:color="auto"/>
            </w:tcBorders>
          </w:tcPr>
          <w:p w14:paraId="145B551B"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3</w:t>
            </w:r>
          </w:p>
        </w:tc>
        <w:tc>
          <w:tcPr>
            <w:tcW w:w="2268" w:type="dxa"/>
            <w:tcBorders>
              <w:bottom w:val="single" w:sz="2" w:space="0" w:color="auto"/>
            </w:tcBorders>
          </w:tcPr>
          <w:p w14:paraId="0EDCB664"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Responsible Minister</w:t>
            </w:r>
          </w:p>
        </w:tc>
        <w:tc>
          <w:tcPr>
            <w:tcW w:w="5770" w:type="dxa"/>
            <w:tcBorders>
              <w:bottom w:val="single" w:sz="2" w:space="0" w:color="auto"/>
            </w:tcBorders>
          </w:tcPr>
          <w:p w14:paraId="444DDC0A" w14:textId="77777777" w:rsidR="00CE205A" w:rsidRPr="006821E2" w:rsidRDefault="00CE205A" w:rsidP="00F01C1E">
            <w:pPr>
              <w:pStyle w:val="Tabletext"/>
              <w:rPr>
                <w:rFonts w:ascii="Open Sans" w:hAnsi="Open Sans" w:cs="Open Sans"/>
                <w:sz w:val="22"/>
                <w:szCs w:val="22"/>
              </w:rPr>
            </w:pPr>
            <w:r w:rsidRPr="006821E2">
              <w:rPr>
                <w:rFonts w:ascii="Open Sans" w:eastAsiaTheme="minorEastAsia" w:hAnsi="Open Sans" w:cs="Open Sans"/>
                <w:sz w:val="22"/>
                <w:szCs w:val="22"/>
              </w:rPr>
              <w:t>The Minister responsible for a particular Act may authorise technical amendments to the Act that are within the existing policy of the Act.</w:t>
            </w:r>
          </w:p>
        </w:tc>
      </w:tr>
      <w:tr w:rsidR="00CE205A" w:rsidRPr="006821E2" w14:paraId="16B6D6D5" w14:textId="77777777" w:rsidTr="006821E2">
        <w:tc>
          <w:tcPr>
            <w:tcW w:w="988" w:type="dxa"/>
            <w:tcBorders>
              <w:top w:val="single" w:sz="2" w:space="0" w:color="auto"/>
              <w:bottom w:val="single" w:sz="12" w:space="0" w:color="auto"/>
            </w:tcBorders>
          </w:tcPr>
          <w:p w14:paraId="52D0D0D7"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4</w:t>
            </w:r>
          </w:p>
        </w:tc>
        <w:tc>
          <w:tcPr>
            <w:tcW w:w="2268" w:type="dxa"/>
            <w:tcBorders>
              <w:top w:val="single" w:sz="2" w:space="0" w:color="auto"/>
              <w:bottom w:val="single" w:sz="12" w:space="0" w:color="auto"/>
            </w:tcBorders>
          </w:tcPr>
          <w:p w14:paraId="2FE8B73A" w14:textId="77777777" w:rsidR="00CE205A" w:rsidRPr="006821E2" w:rsidRDefault="00CE205A" w:rsidP="00F01C1E">
            <w:pPr>
              <w:pStyle w:val="Tabletext"/>
              <w:rPr>
                <w:rFonts w:ascii="Open Sans" w:hAnsi="Open Sans" w:cs="Open Sans"/>
                <w:sz w:val="22"/>
                <w:szCs w:val="22"/>
              </w:rPr>
            </w:pPr>
            <w:r w:rsidRPr="006821E2">
              <w:rPr>
                <w:rFonts w:ascii="Open Sans" w:hAnsi="Open Sans" w:cs="Open Sans"/>
                <w:sz w:val="22"/>
                <w:szCs w:val="22"/>
              </w:rPr>
              <w:t>First Parliamentary Counsel (FPC)</w:t>
            </w:r>
          </w:p>
        </w:tc>
        <w:tc>
          <w:tcPr>
            <w:tcW w:w="5770" w:type="dxa"/>
            <w:tcBorders>
              <w:top w:val="single" w:sz="2" w:space="0" w:color="auto"/>
              <w:bottom w:val="single" w:sz="12" w:space="0" w:color="auto"/>
            </w:tcBorders>
          </w:tcPr>
          <w:p w14:paraId="0DC9EDDC" w14:textId="77777777" w:rsidR="00CE205A" w:rsidRPr="006821E2" w:rsidRDefault="00CE205A" w:rsidP="00F01C1E">
            <w:pPr>
              <w:pStyle w:val="Tabletext"/>
              <w:rPr>
                <w:rFonts w:ascii="Open Sans" w:hAnsi="Open Sans" w:cs="Open Sans"/>
                <w:sz w:val="22"/>
                <w:szCs w:val="22"/>
              </w:rPr>
            </w:pPr>
            <w:r w:rsidRPr="006821E2">
              <w:rPr>
                <w:rFonts w:ascii="Open Sans" w:eastAsiaTheme="minorEastAsia" w:hAnsi="Open Sans" w:cs="Open Sans"/>
                <w:sz w:val="22"/>
                <w:szCs w:val="22"/>
              </w:rPr>
              <w:t>FPC may authorise technical corrections to an Act of a kind that would be suitable for a Statute Law Revision Bill.</w:t>
            </w:r>
          </w:p>
        </w:tc>
      </w:tr>
    </w:tbl>
    <w:p w14:paraId="7F5C6EE9"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The majority of measures in a Bill will have policy authority given by the Cabinet, the Prime Minister, or both.</w:t>
      </w:r>
    </w:p>
    <w:p w14:paraId="1817D011"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Instructors have a responsibility to:</w:t>
      </w:r>
    </w:p>
    <w:p w14:paraId="6495D38C"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 xml:space="preserve">consult </w:t>
      </w:r>
      <w:proofErr w:type="spellStart"/>
      <w:r w:rsidRPr="00FC01D1">
        <w:rPr>
          <w:rFonts w:ascii="Open Sans" w:hAnsi="Open Sans" w:cs="Open Sans"/>
          <w:sz w:val="22"/>
          <w:szCs w:val="22"/>
        </w:rPr>
        <w:t>PM&amp;C</w:t>
      </w:r>
      <w:proofErr w:type="spellEnd"/>
      <w:r w:rsidRPr="00FC01D1">
        <w:rPr>
          <w:rFonts w:ascii="Open Sans" w:hAnsi="Open Sans" w:cs="Open Sans"/>
          <w:sz w:val="22"/>
          <w:szCs w:val="22"/>
        </w:rPr>
        <w:t xml:space="preserve"> to determine the appropriate level of policy authority required; and</w:t>
      </w:r>
    </w:p>
    <w:p w14:paraId="62E1849D"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arrange for the required policy authority to be obtained (except in the case of FPC approval, which is obtained by the drafter of the Bill).</w:t>
      </w:r>
    </w:p>
    <w:p w14:paraId="00A96450"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As drafting progresses, instructors must monitor whether all measures in a Bill are supported by policy authority and discuss any issues with OPC. New policy issues tend to arise during the drafting process. As a result, instructors will generally need to seek further policy authority before a Bill can be introduced.</w:t>
      </w:r>
    </w:p>
    <w:p w14:paraId="7D7A0C67"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In rare circumstances, OPC may advise instructors to get express policy authority for a measure that appears to be covered by existing policy authority. OPC may give this advice if:</w:t>
      </w:r>
    </w:p>
    <w:p w14:paraId="4E3AC63A"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the legislative method chosen to implement the measure may be controversial or expose the Government to criticism; and</w:t>
      </w:r>
    </w:p>
    <w:p w14:paraId="3FD3795C" w14:textId="77777777" w:rsidR="00CE205A" w:rsidRDefault="00CE205A" w:rsidP="00CE205A">
      <w:pPr>
        <w:pStyle w:val="BodyPara"/>
        <w:rPr>
          <w:rFonts w:ascii="Open Sans" w:hAnsi="Open Sans" w:cs="Open Sans"/>
          <w:sz w:val="22"/>
          <w:szCs w:val="22"/>
        </w:rPr>
      </w:pPr>
      <w:r w:rsidRPr="00FC01D1">
        <w:rPr>
          <w:rFonts w:ascii="Open Sans" w:hAnsi="Open Sans" w:cs="Open Sans"/>
          <w:sz w:val="22"/>
          <w:szCs w:val="22"/>
        </w:rPr>
        <w:t>that legislative method, or its political consequences, would not have been contemplated when the original policy authority was given.</w:t>
      </w:r>
    </w:p>
    <w:p w14:paraId="35A3CC6F" w14:textId="77777777" w:rsidR="005A117F" w:rsidRPr="00FC01D1" w:rsidRDefault="005A117F" w:rsidP="005A117F">
      <w:pPr>
        <w:pStyle w:val="BodyNum"/>
        <w:numPr>
          <w:ilvl w:val="0"/>
          <w:numId w:val="0"/>
        </w:numPr>
      </w:pPr>
    </w:p>
    <w:p w14:paraId="2EE3938B"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lastRenderedPageBreak/>
        <w:t>Usually, further policy authority is sought by the responsible Minister writing to the Prime Minister. Instructors are encouraged to share any draft letters with OPC before they are finalised. Doing this will ensure that both drafters and instructors are satisfied that the content of the letter is adequate.</w:t>
      </w:r>
    </w:p>
    <w:p w14:paraId="6B9FFC28"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Having reviewed a lot of policy authority letters over the years, the following is a list of observations and tips from OPC which might be helpful in preparing a policy authority letter:</w:t>
      </w:r>
    </w:p>
    <w:p w14:paraId="7399815D"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provide a strong general explanation of the reasons for the Bill and the changes proposed to be introduced;</w:t>
      </w:r>
    </w:p>
    <w:p w14:paraId="6304D048"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do not include too much detail. If too much detail is included, it is much more likely that something will change and another letter will be needed to clarify the policy authority;</w:t>
      </w:r>
    </w:p>
    <w:p w14:paraId="4AB751F7"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explain that it may be necessary to make other minor consequential changes to the relevant legislation (and perhaps to other related legislation) to implement the proposal;</w:t>
      </w:r>
    </w:p>
    <w:p w14:paraId="75D05B93"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include some information about when the Bill will commence. If unusual commencement, application or transitional provisions will be required, provide some information about these provisions;</w:t>
      </w:r>
    </w:p>
    <w:p w14:paraId="5556175A"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if the Bill needs to be publicly exposed and there is not already earlier policy authority from the Prime Minister or the Cabinet for this, obtain specific permission for the public exposure of the Bill.</w:t>
      </w:r>
    </w:p>
    <w:p w14:paraId="62CAC8C3" w14:textId="77777777" w:rsidR="00CE205A" w:rsidRPr="007A6D17" w:rsidRDefault="00CE205A" w:rsidP="00D647B8">
      <w:pPr>
        <w:pStyle w:val="Heading2"/>
      </w:pPr>
      <w:proofErr w:type="spellStart"/>
      <w:r w:rsidRPr="007A6D17">
        <w:t>Exposure</w:t>
      </w:r>
      <w:proofErr w:type="spellEnd"/>
      <w:r w:rsidRPr="007A6D17">
        <w:t xml:space="preserve"> drafts</w:t>
      </w:r>
    </w:p>
    <w:p w14:paraId="1884BE5A" w14:textId="77777777" w:rsidR="00CE205A" w:rsidRPr="00FC01D1" w:rsidRDefault="00CE205A" w:rsidP="00CE205A">
      <w:pPr>
        <w:pStyle w:val="BodyNum"/>
        <w:rPr>
          <w:rFonts w:ascii="Open Sans" w:hAnsi="Open Sans" w:cs="Open Sans"/>
          <w:sz w:val="22"/>
          <w:szCs w:val="22"/>
        </w:rPr>
      </w:pPr>
      <w:bookmarkStart w:id="1" w:name="_Ref209439925"/>
      <w:r w:rsidRPr="00FC01D1">
        <w:rPr>
          <w:rFonts w:ascii="Open Sans" w:hAnsi="Open Sans" w:cs="Open Sans"/>
          <w:sz w:val="22"/>
          <w:szCs w:val="22"/>
        </w:rPr>
        <w:t>Generally, a Bill is required to have the following approvals before being released as an exposure draft (either for general public exposure or for any more limited release to any entity that is not a Commonwealth agency):</w:t>
      </w:r>
      <w:bookmarkEnd w:id="1"/>
    </w:p>
    <w:p w14:paraId="3787508C"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approval from the Prime Minister or the Cabinet for exposure of the draft;</w:t>
      </w:r>
    </w:p>
    <w:p w14:paraId="5D29DA22" w14:textId="77777777" w:rsidR="00CE205A" w:rsidRPr="00FC01D1" w:rsidRDefault="00CE205A" w:rsidP="00CE205A">
      <w:pPr>
        <w:pStyle w:val="BodyPara"/>
        <w:rPr>
          <w:rFonts w:ascii="Open Sans" w:hAnsi="Open Sans" w:cs="Open Sans"/>
          <w:sz w:val="22"/>
          <w:szCs w:val="22"/>
        </w:rPr>
      </w:pPr>
      <w:r w:rsidRPr="00FC01D1">
        <w:rPr>
          <w:rFonts w:ascii="Open Sans" w:hAnsi="Open Sans" w:cs="Open Sans"/>
          <w:sz w:val="22"/>
          <w:szCs w:val="22"/>
        </w:rPr>
        <w:t>policy authority for the measures contained in the Bill.</w:t>
      </w:r>
    </w:p>
    <w:p w14:paraId="29A22AF0" w14:textId="77777777"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 xml:space="preserve">If in doubt, instructors should contact the Legislation Section of </w:t>
      </w:r>
      <w:proofErr w:type="spellStart"/>
      <w:r w:rsidRPr="00FC01D1">
        <w:rPr>
          <w:rFonts w:ascii="Open Sans" w:hAnsi="Open Sans" w:cs="Open Sans"/>
          <w:sz w:val="22"/>
          <w:szCs w:val="22"/>
        </w:rPr>
        <w:t>PM&amp;C</w:t>
      </w:r>
      <w:proofErr w:type="spellEnd"/>
      <w:r w:rsidRPr="00FC01D1">
        <w:rPr>
          <w:rFonts w:ascii="Open Sans" w:hAnsi="Open Sans" w:cs="Open Sans"/>
          <w:sz w:val="22"/>
          <w:szCs w:val="22"/>
        </w:rPr>
        <w:t xml:space="preserve"> about the approvals that are needed.</w:t>
      </w:r>
    </w:p>
    <w:p w14:paraId="4D55F1D5" w14:textId="1AEE1DCB" w:rsidR="00CE205A" w:rsidRPr="00FC01D1" w:rsidRDefault="00CE205A" w:rsidP="00CE205A">
      <w:pPr>
        <w:pStyle w:val="BodyNum"/>
        <w:rPr>
          <w:rFonts w:ascii="Open Sans" w:hAnsi="Open Sans" w:cs="Open Sans"/>
          <w:sz w:val="22"/>
          <w:szCs w:val="22"/>
        </w:rPr>
      </w:pPr>
      <w:r w:rsidRPr="00FC01D1">
        <w:rPr>
          <w:rFonts w:ascii="Open Sans" w:hAnsi="Open Sans" w:cs="Open Sans"/>
          <w:sz w:val="22"/>
          <w:szCs w:val="22"/>
        </w:rPr>
        <w:t xml:space="preserve">The Legislation Approval Process does not apply at the exposure draft stage, but the drafters will generally seek an assurance from the instructors that the approval and authority mentioned in paragraph </w:t>
      </w:r>
      <w:r w:rsidRPr="00FC01D1">
        <w:rPr>
          <w:rFonts w:ascii="Open Sans" w:hAnsi="Open Sans" w:cs="Open Sans"/>
          <w:sz w:val="22"/>
          <w:szCs w:val="22"/>
        </w:rPr>
        <w:fldChar w:fldCharType="begin"/>
      </w:r>
      <w:r w:rsidRPr="00FC01D1">
        <w:rPr>
          <w:rFonts w:ascii="Open Sans" w:hAnsi="Open Sans" w:cs="Open Sans"/>
          <w:sz w:val="22"/>
          <w:szCs w:val="22"/>
        </w:rPr>
        <w:instrText xml:space="preserve"> REF _Ref209439925 \r \h  \* MERGEFORMAT </w:instrText>
      </w:r>
      <w:r w:rsidRPr="00FC01D1">
        <w:rPr>
          <w:rFonts w:ascii="Open Sans" w:hAnsi="Open Sans" w:cs="Open Sans"/>
          <w:sz w:val="22"/>
          <w:szCs w:val="22"/>
        </w:rPr>
      </w:r>
      <w:r w:rsidRPr="00FC01D1">
        <w:rPr>
          <w:rFonts w:ascii="Open Sans" w:hAnsi="Open Sans" w:cs="Open Sans"/>
          <w:sz w:val="22"/>
          <w:szCs w:val="22"/>
        </w:rPr>
        <w:fldChar w:fldCharType="separate"/>
      </w:r>
      <w:r w:rsidR="006821E2">
        <w:rPr>
          <w:rFonts w:ascii="Open Sans" w:hAnsi="Open Sans" w:cs="Open Sans"/>
          <w:sz w:val="22"/>
          <w:szCs w:val="22"/>
        </w:rPr>
        <w:t>20</w:t>
      </w:r>
      <w:r w:rsidRPr="00FC01D1">
        <w:rPr>
          <w:rFonts w:ascii="Open Sans" w:hAnsi="Open Sans" w:cs="Open Sans"/>
          <w:sz w:val="22"/>
          <w:szCs w:val="22"/>
        </w:rPr>
        <w:fldChar w:fldCharType="end"/>
      </w:r>
      <w:r w:rsidRPr="00FC01D1">
        <w:rPr>
          <w:rFonts w:ascii="Open Sans" w:hAnsi="Open Sans" w:cs="Open Sans"/>
          <w:sz w:val="22"/>
          <w:szCs w:val="22"/>
        </w:rPr>
        <w:t xml:space="preserve"> have been obtained.</w:t>
      </w:r>
    </w:p>
    <w:p w14:paraId="752B5E81" w14:textId="77777777" w:rsidR="00CE205A" w:rsidRPr="007A6D17" w:rsidRDefault="00CE205A" w:rsidP="00D647B8">
      <w:pPr>
        <w:pStyle w:val="Heading2"/>
      </w:pPr>
      <w:proofErr w:type="spellStart"/>
      <w:r w:rsidRPr="007A6D17">
        <w:t>Expiry</w:t>
      </w:r>
      <w:proofErr w:type="spellEnd"/>
      <w:r w:rsidRPr="007A6D17">
        <w:t xml:space="preserve"> of </w:t>
      </w:r>
      <w:proofErr w:type="spellStart"/>
      <w:r w:rsidRPr="007A6D17">
        <w:t>policy</w:t>
      </w:r>
      <w:proofErr w:type="spellEnd"/>
      <w:r w:rsidRPr="007A6D17">
        <w:t xml:space="preserve"> </w:t>
      </w:r>
      <w:proofErr w:type="spellStart"/>
      <w:r w:rsidRPr="007A6D17">
        <w:t>authority</w:t>
      </w:r>
      <w:proofErr w:type="spellEnd"/>
    </w:p>
    <w:p w14:paraId="1BD56ACF" w14:textId="77777777" w:rsidR="00CE205A" w:rsidRPr="00FC01D1" w:rsidRDefault="00CE205A" w:rsidP="00CE205A">
      <w:pPr>
        <w:pStyle w:val="BodyNum"/>
        <w:rPr>
          <w:rFonts w:ascii="Open Sans" w:hAnsi="Open Sans" w:cs="Open Sans"/>
          <w:sz w:val="22"/>
          <w:szCs w:val="18"/>
        </w:rPr>
      </w:pPr>
      <w:r w:rsidRPr="00FC01D1">
        <w:rPr>
          <w:rFonts w:ascii="Open Sans" w:hAnsi="Open Sans" w:cs="Open Sans"/>
          <w:sz w:val="22"/>
          <w:szCs w:val="18"/>
        </w:rPr>
        <w:t xml:space="preserve">Once a Bill is introduced in reliance on particular policy authority, that authority is generally regarded as expired (or spent). Generally, any later changes to the Bill, </w:t>
      </w:r>
      <w:r w:rsidRPr="00FC01D1">
        <w:rPr>
          <w:rFonts w:ascii="Open Sans" w:hAnsi="Open Sans" w:cs="Open Sans"/>
          <w:sz w:val="22"/>
          <w:szCs w:val="18"/>
        </w:rPr>
        <w:lastRenderedPageBreak/>
        <w:t>whether by way of parliamentary amendments or revision before reintroduction, will require further authority, even if those later changes could have been adopted under the original authority.</w:t>
      </w:r>
    </w:p>
    <w:p w14:paraId="656F490F" w14:textId="77777777" w:rsidR="00CE205A" w:rsidRPr="00FC01D1" w:rsidRDefault="00CE205A" w:rsidP="00CE205A">
      <w:pPr>
        <w:pStyle w:val="BodyNum"/>
        <w:rPr>
          <w:rFonts w:ascii="Open Sans" w:hAnsi="Open Sans" w:cs="Open Sans"/>
          <w:sz w:val="22"/>
          <w:szCs w:val="18"/>
        </w:rPr>
      </w:pPr>
      <w:r w:rsidRPr="00FC01D1">
        <w:rPr>
          <w:rFonts w:ascii="Open Sans" w:hAnsi="Open Sans" w:cs="Open Sans"/>
          <w:sz w:val="22"/>
          <w:szCs w:val="18"/>
        </w:rPr>
        <w:t>If, after an election or otherwise, a government is formed by members of a political party or parties different from the party or parties that formed the previous government, all previously given policy authorities are regarded as having expired. But if the same political party or parties form a government after an election, policy authorities that were current immediately before the election will generally be treated as having survived the election.</w:t>
      </w:r>
    </w:p>
    <w:p w14:paraId="7952B7B0" w14:textId="43816063" w:rsidR="00CE205A" w:rsidRPr="007A6D17" w:rsidRDefault="00CE205A" w:rsidP="00D647B8">
      <w:pPr>
        <w:pStyle w:val="Heading2"/>
      </w:pPr>
      <w:r w:rsidRPr="007A6D17">
        <w:t>More information</w:t>
      </w:r>
    </w:p>
    <w:p w14:paraId="755DC2B6" w14:textId="77777777" w:rsidR="00CE205A" w:rsidRPr="00FC01D1" w:rsidRDefault="00CE205A" w:rsidP="00CE205A">
      <w:pPr>
        <w:pStyle w:val="BodyParaBullet"/>
        <w:rPr>
          <w:rFonts w:ascii="Open Sans" w:hAnsi="Open Sans" w:cs="Open Sans"/>
          <w:sz w:val="22"/>
          <w:szCs w:val="18"/>
        </w:rPr>
      </w:pPr>
      <w:r w:rsidRPr="00FC01D1">
        <w:rPr>
          <w:rFonts w:ascii="Open Sans" w:hAnsi="Open Sans" w:cs="Open Sans"/>
          <w:i/>
          <w:iCs/>
          <w:sz w:val="22"/>
          <w:szCs w:val="18"/>
        </w:rPr>
        <w:t>Legislation Handbook</w:t>
      </w:r>
      <w:r w:rsidRPr="00FC01D1">
        <w:rPr>
          <w:rFonts w:ascii="Open Sans" w:hAnsi="Open Sans" w:cs="Open Sans"/>
          <w:sz w:val="22"/>
          <w:szCs w:val="18"/>
        </w:rPr>
        <w:t xml:space="preserve"> available on the Department of the Prime Minister and Cabinet website</w:t>
      </w:r>
    </w:p>
    <w:p w14:paraId="2903AFFD" w14:textId="77777777" w:rsidR="00CE205A" w:rsidRPr="00FC01D1" w:rsidRDefault="00CE205A" w:rsidP="00CE205A">
      <w:pPr>
        <w:pStyle w:val="BodyParaBullet"/>
        <w:rPr>
          <w:rFonts w:ascii="Open Sans" w:hAnsi="Open Sans" w:cs="Open Sans"/>
          <w:sz w:val="22"/>
          <w:szCs w:val="18"/>
        </w:rPr>
      </w:pPr>
      <w:r w:rsidRPr="00FC01D1">
        <w:rPr>
          <w:rFonts w:ascii="Open Sans" w:hAnsi="Open Sans" w:cs="Open Sans"/>
          <w:i/>
          <w:iCs/>
          <w:sz w:val="22"/>
          <w:szCs w:val="18"/>
        </w:rPr>
        <w:t>Drafting Direction 4.6—Legislation Approval Process</w:t>
      </w:r>
    </w:p>
    <w:p w14:paraId="0D8337BB" w14:textId="77777777" w:rsidR="00CE205A" w:rsidRPr="007A6D17" w:rsidRDefault="00CE205A" w:rsidP="00CE205A">
      <w:pPr>
        <w:spacing w:before="120" w:after="120"/>
        <w:rPr>
          <w:rFonts w:cs="Open Sans"/>
          <w:sz w:val="21"/>
          <w:szCs w:val="22"/>
        </w:rPr>
      </w:pPr>
    </w:p>
    <w:tbl>
      <w:tblPr>
        <w:tblStyle w:val="TableGrid"/>
        <w:tblW w:w="0" w:type="auto"/>
        <w:tblLook w:val="04A0" w:firstRow="1" w:lastRow="0" w:firstColumn="1" w:lastColumn="0" w:noHBand="0" w:noVBand="1"/>
      </w:tblPr>
      <w:tblGrid>
        <w:gridCol w:w="9016"/>
      </w:tblGrid>
      <w:tr w:rsidR="00CE205A" w:rsidRPr="007A6D17" w14:paraId="0C602AE5" w14:textId="77777777" w:rsidTr="00F01C1E">
        <w:tc>
          <w:tcPr>
            <w:tcW w:w="9016" w:type="dxa"/>
            <w:tcBorders>
              <w:top w:val="nil"/>
              <w:left w:val="nil"/>
              <w:bottom w:val="nil"/>
              <w:right w:val="nil"/>
            </w:tcBorders>
            <w:shd w:val="clear" w:color="auto" w:fill="A9D9DB"/>
          </w:tcPr>
          <w:p w14:paraId="7DFDCAF6" w14:textId="77777777" w:rsidR="00CE205A" w:rsidRPr="00CE205A" w:rsidRDefault="00CE205A" w:rsidP="00F01C1E">
            <w:pPr>
              <w:spacing w:before="120" w:after="120"/>
              <w:rPr>
                <w:rFonts w:ascii="Open Sans" w:hAnsi="Open Sans" w:cs="Open Sans"/>
                <w:szCs w:val="22"/>
              </w:rPr>
            </w:pPr>
            <w:bookmarkStart w:id="2" w:name="_Hlk202188723"/>
            <w:r w:rsidRPr="00CE205A">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bookmarkEnd w:id="2"/>
    </w:tbl>
    <w:p w14:paraId="605A397A" w14:textId="77777777" w:rsidR="00CE205A" w:rsidRPr="009B0878" w:rsidRDefault="00CE205A" w:rsidP="00CE205A">
      <w:pPr>
        <w:spacing w:before="120" w:after="120"/>
        <w:rPr>
          <w:rFonts w:cs="Open Sans"/>
          <w:sz w:val="21"/>
          <w:szCs w:val="22"/>
        </w:rPr>
      </w:pPr>
    </w:p>
    <w:p w14:paraId="404632A5" w14:textId="77777777" w:rsidR="00F23187" w:rsidRPr="00CE205A" w:rsidRDefault="00F23187" w:rsidP="00CE205A"/>
    <w:sectPr w:rsidR="00F23187" w:rsidRPr="00CE205A" w:rsidSect="00D647B8">
      <w:headerReference w:type="even" r:id="rId9"/>
      <w:headerReference w:type="default" r:id="rId10"/>
      <w:footerReference w:type="even" r:id="rId11"/>
      <w:footerReference w:type="default" r:id="rId12"/>
      <w:headerReference w:type="first" r:id="rId13"/>
      <w:footerReference w:type="first" r:id="rId14"/>
      <w:pgSz w:w="11907" w:h="16839"/>
      <w:pgMar w:top="1276" w:right="1440" w:bottom="1418" w:left="1440" w:header="1134"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A30E" w14:textId="77777777" w:rsidR="007E0928" w:rsidRDefault="007E0928" w:rsidP="008E17F3">
      <w:pPr>
        <w:spacing w:line="240" w:lineRule="auto"/>
      </w:pPr>
      <w:r>
        <w:separator/>
      </w:r>
    </w:p>
  </w:endnote>
  <w:endnote w:type="continuationSeparator" w:id="0">
    <w:p w14:paraId="7077B40B" w14:textId="77777777" w:rsidR="007E0928" w:rsidRDefault="007E092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Bold r:id="rId1" w:subsetted="1" w:fontKey="{FBE57F2A-E393-4954-9D47-75D8225591CB}"/>
  </w:font>
  <w:font w:name="Open Sans">
    <w:charset w:val="00"/>
    <w:family w:val="swiss"/>
    <w:pitch w:val="variable"/>
    <w:sig w:usb0="E00002EF" w:usb1="4000205B" w:usb2="00000028" w:usb3="00000000" w:csb0="0000019F" w:csb1="00000000"/>
    <w:embedRegular r:id="rId2" w:fontKey="{3A236AD2-9742-4EC0-B713-FBE2457ED120}"/>
    <w:embedBold r:id="rId3" w:fontKey="{E272E988-9DF9-4F91-A241-7859DDAF4A94}"/>
    <w:embedItalic r:id="rId4" w:fontKey="{753DD834-8865-46E5-8C06-D11B09BAA526}"/>
    <w:embedBoldItalic r:id="rId5" w:fontKey="{1B9DA22D-2253-40CB-8EB5-C5DDC27B5589}"/>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7FDA" w14:textId="621F366F"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6821E2">
      <w:rPr>
        <w:rStyle w:val="PageNumber"/>
        <w:noProof/>
      </w:rPr>
      <w:t>5</w:t>
    </w:r>
    <w:r>
      <w:rPr>
        <w:rStyle w:val="PageNumber"/>
      </w:rPr>
      <w:fldChar w:fldCharType="end"/>
    </w:r>
  </w:p>
  <w:p w14:paraId="26E4833F"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0820605"/>
      <w:docPartObj>
        <w:docPartGallery w:val="Page Numbers (Bottom of Page)"/>
        <w:docPartUnique/>
      </w:docPartObj>
    </w:sdtPr>
    <w:sdtEndPr>
      <w:rPr>
        <w:rFonts w:ascii="Open Sans" w:hAnsi="Open Sans" w:cs="Open Sans"/>
      </w:rPr>
    </w:sdtEndPr>
    <w:sdtContent>
      <w:p w14:paraId="4FE1C23A" w14:textId="3D92E255" w:rsidR="00D57416" w:rsidRPr="00D57416" w:rsidRDefault="00D57416" w:rsidP="00D647B8">
        <w:pPr>
          <w:pStyle w:val="Footer"/>
          <w:ind w:hanging="709"/>
          <w:jc w:val="right"/>
          <w:rPr>
            <w:rFonts w:ascii="Open Sans" w:hAnsi="Open Sans" w:cs="Open Sans"/>
            <w:sz w:val="20"/>
            <w:szCs w:val="20"/>
          </w:rPr>
        </w:pPr>
        <w:r w:rsidRPr="00D57416">
          <w:rPr>
            <w:rFonts w:ascii="Open Sans" w:hAnsi="Open Sans" w:cs="Open Sans"/>
            <w:sz w:val="20"/>
            <w:szCs w:val="20"/>
          </w:rPr>
          <w:t>[S25ia100.docx]</w:t>
        </w:r>
        <w:r w:rsidRPr="00D57416">
          <w:rPr>
            <w:rFonts w:ascii="Open Sans" w:hAnsi="Open Sans" w:cs="Open Sans"/>
            <w:sz w:val="20"/>
            <w:szCs w:val="20"/>
          </w:rPr>
          <w:tab/>
        </w:r>
        <w:r w:rsidRPr="00D57416">
          <w:rPr>
            <w:rFonts w:ascii="Open Sans" w:hAnsi="Open Sans" w:cs="Open Sans"/>
            <w:sz w:val="20"/>
            <w:szCs w:val="20"/>
          </w:rPr>
          <w:tab/>
        </w:r>
        <w:r>
          <w:rPr>
            <w:rFonts w:ascii="Open Sans" w:hAnsi="Open Sans" w:cs="Open Sans"/>
            <w:sz w:val="20"/>
            <w:szCs w:val="20"/>
          </w:rPr>
          <w:t>Last updated: 13 October 2025</w:t>
        </w:r>
        <w:r>
          <w:rPr>
            <w:rFonts w:ascii="Open Sans" w:hAnsi="Open Sans" w:cs="Open Sans"/>
            <w:sz w:val="20"/>
            <w:szCs w:val="20"/>
          </w:rPr>
          <w:br/>
        </w:r>
        <w:r w:rsidRPr="00D57416">
          <w:rPr>
            <w:rFonts w:ascii="Open Sans" w:hAnsi="Open Sans" w:cs="Open Sans"/>
            <w:sz w:val="20"/>
            <w:szCs w:val="20"/>
          </w:rPr>
          <w:t xml:space="preserve">Page | </w:t>
        </w:r>
        <w:r w:rsidRPr="00D57416">
          <w:rPr>
            <w:rFonts w:ascii="Open Sans" w:hAnsi="Open Sans" w:cs="Open Sans"/>
            <w:sz w:val="20"/>
            <w:szCs w:val="20"/>
          </w:rPr>
          <w:fldChar w:fldCharType="begin"/>
        </w:r>
        <w:r w:rsidRPr="00D57416">
          <w:rPr>
            <w:rFonts w:ascii="Open Sans" w:hAnsi="Open Sans" w:cs="Open Sans"/>
            <w:sz w:val="20"/>
            <w:szCs w:val="20"/>
          </w:rPr>
          <w:instrText xml:space="preserve"> PAGE   \* MERGEFORMAT </w:instrText>
        </w:r>
        <w:r w:rsidRPr="00D57416">
          <w:rPr>
            <w:rFonts w:ascii="Open Sans" w:hAnsi="Open Sans" w:cs="Open Sans"/>
            <w:sz w:val="20"/>
            <w:szCs w:val="20"/>
          </w:rPr>
          <w:fldChar w:fldCharType="separate"/>
        </w:r>
        <w:r w:rsidRPr="00D57416">
          <w:rPr>
            <w:rFonts w:ascii="Open Sans" w:hAnsi="Open Sans" w:cs="Open Sans"/>
            <w:noProof/>
            <w:sz w:val="20"/>
            <w:szCs w:val="20"/>
          </w:rPr>
          <w:t>2</w:t>
        </w:r>
        <w:r w:rsidRPr="00D57416">
          <w:rPr>
            <w:rFonts w:ascii="Open Sans" w:hAnsi="Open Sans" w:cs="Open Sans"/>
            <w:noProof/>
            <w:sz w:val="20"/>
            <w:szCs w:val="20"/>
          </w:rPr>
          <w:fldChar w:fldCharType="end"/>
        </w:r>
        <w:r w:rsidRPr="00D57416">
          <w:rPr>
            <w:rFonts w:ascii="Open Sans" w:hAnsi="Open Sans" w:cs="Open Sans"/>
            <w:sz w:val="20"/>
            <w:szCs w:val="20"/>
          </w:rPr>
          <w:t xml:space="preserve"> </w:t>
        </w:r>
      </w:p>
    </w:sdtContent>
  </w:sdt>
  <w:p w14:paraId="3A1508A0" w14:textId="43D7FBC0" w:rsidR="008E17F3" w:rsidRPr="00D57416" w:rsidRDefault="008E17F3" w:rsidP="008E17F3">
    <w:pPr>
      <w:pStyle w:val="Footer"/>
      <w:tabs>
        <w:tab w:val="clear" w:pos="4153"/>
        <w:tab w:val="clear" w:pos="8306"/>
        <w:tab w:val="left" w:pos="7680"/>
      </w:tabs>
      <w:ind w:right="27"/>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ED69" w14:textId="7A5499ED" w:rsidR="00D647B8" w:rsidRDefault="00D647B8" w:rsidP="00D647B8">
    <w:pPr>
      <w:pStyle w:val="Footer"/>
    </w:pPr>
    <w:r w:rsidRPr="00D57416">
      <w:rPr>
        <w:rFonts w:ascii="Open Sans" w:hAnsi="Open Sans" w:cs="Open Sans"/>
        <w:sz w:val="20"/>
        <w:szCs w:val="20"/>
      </w:rPr>
      <w:t>[S25ia100.docx]</w:t>
    </w:r>
    <w:r>
      <w:rPr>
        <w:rFonts w:ascii="Open Sans" w:hAnsi="Open Sans" w:cs="Open Sans"/>
        <w:sz w:val="20"/>
        <w:szCs w:val="20"/>
      </w:rPr>
      <w:tab/>
    </w:r>
    <w:r>
      <w:rPr>
        <w:rFonts w:ascii="Open Sans" w:hAnsi="Open Sans" w:cs="Open Sans"/>
        <w:sz w:val="20"/>
        <w:szCs w:val="20"/>
      </w:rPr>
      <w:tab/>
      <w:t>Last updated: 13 October 2025</w:t>
    </w:r>
    <w:r>
      <w:rPr>
        <w:rFonts w:ascii="Open Sans" w:hAnsi="Open Sans" w:cs="Open Sans"/>
        <w:sz w:val="20"/>
        <w:szCs w:val="20"/>
      </w:rPr>
      <w:br/>
    </w:r>
    <w:r>
      <w:rPr>
        <w:rFonts w:ascii="Open Sans" w:hAnsi="Open Sans" w:cs="Open Sans"/>
        <w:sz w:val="20"/>
        <w:szCs w:val="20"/>
      </w:rPr>
      <w:tab/>
    </w:r>
    <w:r>
      <w:rPr>
        <w:rFonts w:ascii="Open Sans" w:hAnsi="Open Sans" w:cs="Open Sans"/>
        <w:sz w:val="20"/>
        <w:szCs w:val="20"/>
      </w:rPr>
      <w:tab/>
    </w:r>
    <w:r w:rsidRPr="00D57416">
      <w:rPr>
        <w:rFonts w:ascii="Open Sans" w:hAnsi="Open Sans" w:cs="Open Sans"/>
        <w:sz w:val="20"/>
        <w:szCs w:val="20"/>
      </w:rPr>
      <w:t xml:space="preserve">Page | </w:t>
    </w:r>
    <w:r w:rsidRPr="00D57416">
      <w:rPr>
        <w:rFonts w:ascii="Open Sans" w:hAnsi="Open Sans" w:cs="Open Sans"/>
        <w:sz w:val="20"/>
        <w:szCs w:val="20"/>
      </w:rPr>
      <w:fldChar w:fldCharType="begin"/>
    </w:r>
    <w:r w:rsidRPr="00D57416">
      <w:rPr>
        <w:rFonts w:ascii="Open Sans" w:hAnsi="Open Sans" w:cs="Open Sans"/>
        <w:sz w:val="20"/>
        <w:szCs w:val="20"/>
      </w:rPr>
      <w:instrText xml:space="preserve"> PAGE   \* MERGEFORMAT </w:instrText>
    </w:r>
    <w:r w:rsidRPr="00D57416">
      <w:rPr>
        <w:rFonts w:ascii="Open Sans" w:hAnsi="Open Sans" w:cs="Open Sans"/>
        <w:sz w:val="20"/>
        <w:szCs w:val="20"/>
      </w:rPr>
      <w:fldChar w:fldCharType="separate"/>
    </w:r>
    <w:r>
      <w:rPr>
        <w:rFonts w:ascii="Open Sans" w:hAnsi="Open Sans" w:cs="Open Sans"/>
        <w:sz w:val="20"/>
        <w:szCs w:val="20"/>
      </w:rPr>
      <w:t>1</w:t>
    </w:r>
    <w:r w:rsidRPr="00D57416">
      <w:rPr>
        <w:rFonts w:ascii="Open Sans" w:hAnsi="Open Sans" w:cs="Open Sans"/>
        <w:noProof/>
        <w:sz w:val="20"/>
        <w:szCs w:val="20"/>
      </w:rPr>
      <w:fldChar w:fldCharType="end"/>
    </w:r>
    <w:r w:rsidRPr="00D57416">
      <w:rPr>
        <w:rFonts w:ascii="Open Sans" w:hAnsi="Open Sans" w:cs="Open Sans"/>
        <w:sz w:val="20"/>
        <w:szCs w:val="20"/>
      </w:rPr>
      <w:t xml:space="preserve"> </w:t>
    </w:r>
  </w:p>
  <w:p w14:paraId="7E751B5A" w14:textId="63B3E429" w:rsidR="00D647B8" w:rsidRPr="00D647B8" w:rsidRDefault="00D647B8" w:rsidP="00D6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3612" w14:textId="77777777" w:rsidR="007E0928" w:rsidRDefault="007E0928" w:rsidP="008E17F3">
      <w:pPr>
        <w:spacing w:line="240" w:lineRule="auto"/>
      </w:pPr>
      <w:r>
        <w:separator/>
      </w:r>
    </w:p>
  </w:footnote>
  <w:footnote w:type="continuationSeparator" w:id="0">
    <w:p w14:paraId="6B6DD704" w14:textId="77777777" w:rsidR="007E0928" w:rsidRDefault="007E092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EB39" w14:textId="77777777" w:rsidR="005422B0" w:rsidRDefault="00542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A6F2" w14:textId="1A689DD2" w:rsidR="00CD39BF" w:rsidRPr="005A117F" w:rsidRDefault="00CD39BF" w:rsidP="00CD39BF">
    <w:pPr>
      <w:tabs>
        <w:tab w:val="center" w:pos="4513"/>
        <w:tab w:val="right" w:pos="9026"/>
      </w:tabs>
      <w:spacing w:line="240" w:lineRule="auto"/>
      <w:rPr>
        <w:rFonts w:ascii="Open Sans" w:eastAsia="Calibri" w:hAnsi="Open Sans" w:cs="EB Garamond"/>
        <w:b/>
        <w:bCs/>
        <w:color w:val="BBBABA"/>
        <w:sz w:val="10"/>
        <w:szCs w:val="12"/>
      </w:rPr>
    </w:pPr>
    <w:r w:rsidRPr="00CD39BF">
      <w:rPr>
        <w:rFonts w:ascii="Open Sans" w:eastAsia="Calibri" w:hAnsi="Open Sans" w:cs="EB Garamond"/>
        <w:b/>
        <w:bCs/>
        <w:color w:val="BBBABA"/>
        <w:szCs w:val="24"/>
      </w:rPr>
      <w:t>Instructor Guidance Note—Bills prioritisation and policy authority</w:t>
    </w:r>
    <w:r w:rsidR="005A117F">
      <w:rPr>
        <w:rFonts w:ascii="Open Sans" w:eastAsia="Calibri" w:hAnsi="Open Sans" w:cs="EB Garamond"/>
        <w:b/>
        <w:bCs/>
        <w:color w:val="BBBABA"/>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0F2E" w14:textId="71E3BFF6" w:rsidR="00CE205A" w:rsidRDefault="00CE205A">
    <w:pPr>
      <w:pStyle w:val="Header"/>
    </w:pPr>
    <w:r w:rsidRPr="00752340">
      <w:rPr>
        <w:noProof/>
      </w:rPr>
      <w:drawing>
        <wp:anchor distT="0" distB="0" distL="114300" distR="114300" simplePos="0" relativeHeight="251663360" behindDoc="0" locked="0" layoutInCell="1" allowOverlap="1" wp14:anchorId="49483F72" wp14:editId="1292D07E">
          <wp:simplePos x="0" y="0"/>
          <wp:positionH relativeFrom="margin">
            <wp:posOffset>-101757</wp:posOffset>
          </wp:positionH>
          <wp:positionV relativeFrom="paragraph">
            <wp:posOffset>-588010</wp:posOffset>
          </wp:positionV>
          <wp:extent cx="3229347" cy="748862"/>
          <wp:effectExtent l="0" t="0" r="0" b="0"/>
          <wp:wrapNone/>
          <wp:docPr id="159785651"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28617239">
    <w:abstractNumId w:val="1"/>
  </w:num>
  <w:num w:numId="2" w16cid:durableId="1085885923">
    <w:abstractNumId w:val="0"/>
  </w:num>
  <w:num w:numId="3" w16cid:durableId="15800983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28"/>
    <w:rsid w:val="00004D80"/>
    <w:rsid w:val="00011D5A"/>
    <w:rsid w:val="000136AF"/>
    <w:rsid w:val="0001490F"/>
    <w:rsid w:val="00022B7E"/>
    <w:rsid w:val="00030B91"/>
    <w:rsid w:val="00036B0B"/>
    <w:rsid w:val="00056743"/>
    <w:rsid w:val="00057241"/>
    <w:rsid w:val="000614BF"/>
    <w:rsid w:val="00071D76"/>
    <w:rsid w:val="00077765"/>
    <w:rsid w:val="000A154B"/>
    <w:rsid w:val="000C4952"/>
    <w:rsid w:val="000C4E50"/>
    <w:rsid w:val="000C567A"/>
    <w:rsid w:val="000C604C"/>
    <w:rsid w:val="000D05EF"/>
    <w:rsid w:val="000F3DC0"/>
    <w:rsid w:val="0010745C"/>
    <w:rsid w:val="001140E7"/>
    <w:rsid w:val="00121994"/>
    <w:rsid w:val="001346C4"/>
    <w:rsid w:val="00153E0C"/>
    <w:rsid w:val="00160692"/>
    <w:rsid w:val="00163095"/>
    <w:rsid w:val="00166C2F"/>
    <w:rsid w:val="001730EC"/>
    <w:rsid w:val="00174846"/>
    <w:rsid w:val="001939E1"/>
    <w:rsid w:val="00195382"/>
    <w:rsid w:val="001B79DE"/>
    <w:rsid w:val="001C38B9"/>
    <w:rsid w:val="001C69C4"/>
    <w:rsid w:val="001D5669"/>
    <w:rsid w:val="001E3590"/>
    <w:rsid w:val="001E7407"/>
    <w:rsid w:val="001F415B"/>
    <w:rsid w:val="001F5F28"/>
    <w:rsid w:val="002070FD"/>
    <w:rsid w:val="0021016C"/>
    <w:rsid w:val="002243C6"/>
    <w:rsid w:val="00245E21"/>
    <w:rsid w:val="00253D1B"/>
    <w:rsid w:val="00263FA6"/>
    <w:rsid w:val="00295FBA"/>
    <w:rsid w:val="002970D7"/>
    <w:rsid w:val="00297ECB"/>
    <w:rsid w:val="002B13B9"/>
    <w:rsid w:val="002B2B38"/>
    <w:rsid w:val="002D043A"/>
    <w:rsid w:val="002D1212"/>
    <w:rsid w:val="002D5AB0"/>
    <w:rsid w:val="002D6A8E"/>
    <w:rsid w:val="003053CC"/>
    <w:rsid w:val="00311448"/>
    <w:rsid w:val="003126C9"/>
    <w:rsid w:val="00352B0F"/>
    <w:rsid w:val="00360FB0"/>
    <w:rsid w:val="0039431E"/>
    <w:rsid w:val="003A460F"/>
    <w:rsid w:val="003B5735"/>
    <w:rsid w:val="003B673B"/>
    <w:rsid w:val="003D0BFE"/>
    <w:rsid w:val="003D5700"/>
    <w:rsid w:val="003D6F8A"/>
    <w:rsid w:val="003D7B4F"/>
    <w:rsid w:val="003E4160"/>
    <w:rsid w:val="003E504E"/>
    <w:rsid w:val="003F6246"/>
    <w:rsid w:val="003F7661"/>
    <w:rsid w:val="004116CD"/>
    <w:rsid w:val="004118CF"/>
    <w:rsid w:val="00424CA9"/>
    <w:rsid w:val="00424FDD"/>
    <w:rsid w:val="0043112B"/>
    <w:rsid w:val="00436D9E"/>
    <w:rsid w:val="0044291A"/>
    <w:rsid w:val="00450A86"/>
    <w:rsid w:val="004560FB"/>
    <w:rsid w:val="00457D06"/>
    <w:rsid w:val="004653F8"/>
    <w:rsid w:val="00496F97"/>
    <w:rsid w:val="004B0C7F"/>
    <w:rsid w:val="004C135D"/>
    <w:rsid w:val="004D3D15"/>
    <w:rsid w:val="004F2188"/>
    <w:rsid w:val="00516B8D"/>
    <w:rsid w:val="005305BC"/>
    <w:rsid w:val="005327A0"/>
    <w:rsid w:val="00537FBC"/>
    <w:rsid w:val="005422B0"/>
    <w:rsid w:val="005475A4"/>
    <w:rsid w:val="0056435C"/>
    <w:rsid w:val="00584811"/>
    <w:rsid w:val="00584CE8"/>
    <w:rsid w:val="00594161"/>
    <w:rsid w:val="00594749"/>
    <w:rsid w:val="005A117F"/>
    <w:rsid w:val="005B5702"/>
    <w:rsid w:val="005D51C1"/>
    <w:rsid w:val="005F18EA"/>
    <w:rsid w:val="005F1E0D"/>
    <w:rsid w:val="00600219"/>
    <w:rsid w:val="006145E0"/>
    <w:rsid w:val="00615E0D"/>
    <w:rsid w:val="006207A3"/>
    <w:rsid w:val="006279B8"/>
    <w:rsid w:val="00635B49"/>
    <w:rsid w:val="00642EE4"/>
    <w:rsid w:val="0066029C"/>
    <w:rsid w:val="00675E3B"/>
    <w:rsid w:val="00677CC2"/>
    <w:rsid w:val="00680F77"/>
    <w:rsid w:val="006821E2"/>
    <w:rsid w:val="0069207B"/>
    <w:rsid w:val="006A64B6"/>
    <w:rsid w:val="006A68B4"/>
    <w:rsid w:val="006C18E1"/>
    <w:rsid w:val="006C7F8C"/>
    <w:rsid w:val="006D6C0F"/>
    <w:rsid w:val="006D770D"/>
    <w:rsid w:val="006D77BA"/>
    <w:rsid w:val="006E0159"/>
    <w:rsid w:val="006E2E9F"/>
    <w:rsid w:val="00704A73"/>
    <w:rsid w:val="007115CD"/>
    <w:rsid w:val="0072145C"/>
    <w:rsid w:val="007276BC"/>
    <w:rsid w:val="00730D4B"/>
    <w:rsid w:val="00731E00"/>
    <w:rsid w:val="00733990"/>
    <w:rsid w:val="00745BF1"/>
    <w:rsid w:val="00752340"/>
    <w:rsid w:val="00766393"/>
    <w:rsid w:val="007715C9"/>
    <w:rsid w:val="00774EDD"/>
    <w:rsid w:val="00775577"/>
    <w:rsid w:val="007757EC"/>
    <w:rsid w:val="007C19C2"/>
    <w:rsid w:val="007C4B9F"/>
    <w:rsid w:val="007E0928"/>
    <w:rsid w:val="008006B2"/>
    <w:rsid w:val="00835251"/>
    <w:rsid w:val="00843D09"/>
    <w:rsid w:val="0085444B"/>
    <w:rsid w:val="008562DE"/>
    <w:rsid w:val="00856A31"/>
    <w:rsid w:val="00857588"/>
    <w:rsid w:val="008754D0"/>
    <w:rsid w:val="0088646A"/>
    <w:rsid w:val="00893BC8"/>
    <w:rsid w:val="008B6ED5"/>
    <w:rsid w:val="008E17F3"/>
    <w:rsid w:val="008E3B8C"/>
    <w:rsid w:val="008E5121"/>
    <w:rsid w:val="00912D08"/>
    <w:rsid w:val="00917E9C"/>
    <w:rsid w:val="00934248"/>
    <w:rsid w:val="00941BDE"/>
    <w:rsid w:val="00944B73"/>
    <w:rsid w:val="0094622F"/>
    <w:rsid w:val="00951279"/>
    <w:rsid w:val="00953052"/>
    <w:rsid w:val="0095590E"/>
    <w:rsid w:val="0098638B"/>
    <w:rsid w:val="009876F4"/>
    <w:rsid w:val="00991842"/>
    <w:rsid w:val="0099328C"/>
    <w:rsid w:val="009C0D4D"/>
    <w:rsid w:val="009C7077"/>
    <w:rsid w:val="009E4621"/>
    <w:rsid w:val="009E7010"/>
    <w:rsid w:val="00A231E2"/>
    <w:rsid w:val="00A32A7A"/>
    <w:rsid w:val="00A63757"/>
    <w:rsid w:val="00A64912"/>
    <w:rsid w:val="00A703E4"/>
    <w:rsid w:val="00A70A74"/>
    <w:rsid w:val="00A80ADF"/>
    <w:rsid w:val="00A8343D"/>
    <w:rsid w:val="00A9154A"/>
    <w:rsid w:val="00A91B5C"/>
    <w:rsid w:val="00AB1563"/>
    <w:rsid w:val="00AB677F"/>
    <w:rsid w:val="00AB7A84"/>
    <w:rsid w:val="00AC0D0A"/>
    <w:rsid w:val="00AD5641"/>
    <w:rsid w:val="00B13EB6"/>
    <w:rsid w:val="00B24946"/>
    <w:rsid w:val="00B33B3C"/>
    <w:rsid w:val="00B35308"/>
    <w:rsid w:val="00B7588B"/>
    <w:rsid w:val="00B8226C"/>
    <w:rsid w:val="00BA4BC9"/>
    <w:rsid w:val="00BB4CDF"/>
    <w:rsid w:val="00BC1276"/>
    <w:rsid w:val="00BE719A"/>
    <w:rsid w:val="00BE720A"/>
    <w:rsid w:val="00C14294"/>
    <w:rsid w:val="00C20FE4"/>
    <w:rsid w:val="00C33979"/>
    <w:rsid w:val="00C4102F"/>
    <w:rsid w:val="00C42BF8"/>
    <w:rsid w:val="00C50043"/>
    <w:rsid w:val="00C61CDD"/>
    <w:rsid w:val="00C7573B"/>
    <w:rsid w:val="00C81A79"/>
    <w:rsid w:val="00C83868"/>
    <w:rsid w:val="00CB3CDC"/>
    <w:rsid w:val="00CB3D6B"/>
    <w:rsid w:val="00CB48D8"/>
    <w:rsid w:val="00CC38E4"/>
    <w:rsid w:val="00CD39BF"/>
    <w:rsid w:val="00CE205A"/>
    <w:rsid w:val="00CF0BB2"/>
    <w:rsid w:val="00D13441"/>
    <w:rsid w:val="00D41569"/>
    <w:rsid w:val="00D57416"/>
    <w:rsid w:val="00D647B8"/>
    <w:rsid w:val="00D70DFB"/>
    <w:rsid w:val="00D70FCA"/>
    <w:rsid w:val="00D766DF"/>
    <w:rsid w:val="00D81404"/>
    <w:rsid w:val="00D91618"/>
    <w:rsid w:val="00DA2D4C"/>
    <w:rsid w:val="00DB3CFE"/>
    <w:rsid w:val="00DD58C4"/>
    <w:rsid w:val="00DE7073"/>
    <w:rsid w:val="00DF08D8"/>
    <w:rsid w:val="00DF610D"/>
    <w:rsid w:val="00E34D7A"/>
    <w:rsid w:val="00E43D57"/>
    <w:rsid w:val="00E4646E"/>
    <w:rsid w:val="00E54BFC"/>
    <w:rsid w:val="00E74DC7"/>
    <w:rsid w:val="00EA2949"/>
    <w:rsid w:val="00ED0C49"/>
    <w:rsid w:val="00EE185C"/>
    <w:rsid w:val="00EE1E5F"/>
    <w:rsid w:val="00EF2E3A"/>
    <w:rsid w:val="00F04811"/>
    <w:rsid w:val="00F078DC"/>
    <w:rsid w:val="00F23187"/>
    <w:rsid w:val="00F23E5F"/>
    <w:rsid w:val="00F51269"/>
    <w:rsid w:val="00F90994"/>
    <w:rsid w:val="00FA291B"/>
    <w:rsid w:val="00FC1806"/>
    <w:rsid w:val="00FD456C"/>
    <w:rsid w:val="00FE495E"/>
    <w:rsid w:val="00FF61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FC140E"/>
  <w15:docId w15:val="{3339F910-CE81-400C-999B-423BFA1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460F"/>
    <w:pPr>
      <w:spacing w:line="260" w:lineRule="atLeast"/>
    </w:pPr>
    <w:rPr>
      <w:sz w:val="22"/>
    </w:rPr>
  </w:style>
  <w:style w:type="paragraph" w:styleId="Heading1">
    <w:name w:val="heading 1"/>
    <w:next w:val="Heading2"/>
    <w:link w:val="Heading1Char"/>
    <w:uiPriority w:val="9"/>
    <w:qFormat/>
    <w:rsid w:val="00CE205A"/>
    <w:pPr>
      <w:keepNext/>
      <w:pageBreakBefore/>
      <w:autoSpaceDE w:val="0"/>
      <w:autoSpaceDN w:val="0"/>
      <w:adjustRightInd w:val="0"/>
      <w:spacing w:before="160" w:after="300"/>
      <w:outlineLvl w:val="0"/>
    </w:pPr>
    <w:rPr>
      <w:rFonts w:ascii="Open Sans ExtraBold" w:hAnsi="Open Sans ExtraBold" w:cs="Open Sans"/>
      <w:color w:val="084D5E"/>
      <w:kern w:val="28"/>
      <w:sz w:val="56"/>
      <w:szCs w:val="56"/>
      <w:lang w:eastAsia="en-AU"/>
    </w:rPr>
  </w:style>
  <w:style w:type="paragraph" w:styleId="Heading2">
    <w:name w:val="heading 2"/>
    <w:basedOn w:val="Heading3"/>
    <w:next w:val="Normal"/>
    <w:link w:val="Heading2Char"/>
    <w:autoRedefine/>
    <w:uiPriority w:val="9"/>
    <w:unhideWhenUsed/>
    <w:qFormat/>
    <w:rsid w:val="00D647B8"/>
    <w:pPr>
      <w:keepLines w:val="0"/>
      <w:spacing w:before="120" w:after="120" w:line="240" w:lineRule="auto"/>
      <w:outlineLvl w:val="1"/>
    </w:pPr>
    <w:rPr>
      <w:rFonts w:ascii="Open Sans ExtraBold" w:eastAsiaTheme="minorHAnsi" w:hAnsi="Open Sans ExtraBold" w:cs="Open Sans"/>
      <w:b/>
      <w:bCs/>
      <w:color w:val="084D5E"/>
      <w:kern w:val="2"/>
      <w:lang w:val="fr-CA" w:eastAsia="en-AU"/>
    </w:rPr>
  </w:style>
  <w:style w:type="paragraph" w:styleId="Heading3">
    <w:name w:val="heading 3"/>
    <w:basedOn w:val="Normal"/>
    <w:next w:val="Normal"/>
    <w:link w:val="Heading3Char"/>
    <w:uiPriority w:val="9"/>
    <w:semiHidden/>
    <w:unhideWhenUsed/>
    <w:qFormat/>
    <w:rsid w:val="00CE20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460F"/>
  </w:style>
  <w:style w:type="paragraph" w:customStyle="1" w:styleId="OPCParaBase">
    <w:name w:val="OPCParaBase"/>
    <w:qFormat/>
    <w:rsid w:val="003A460F"/>
    <w:pPr>
      <w:spacing w:line="260" w:lineRule="atLeast"/>
    </w:pPr>
    <w:rPr>
      <w:rFonts w:eastAsia="Times New Roman" w:cs="Times New Roman"/>
      <w:sz w:val="22"/>
      <w:lang w:eastAsia="en-AU"/>
    </w:rPr>
  </w:style>
  <w:style w:type="paragraph" w:customStyle="1" w:styleId="ShortT">
    <w:name w:val="ShortT"/>
    <w:basedOn w:val="OPCParaBase"/>
    <w:next w:val="Normal"/>
    <w:qFormat/>
    <w:rsid w:val="003A460F"/>
    <w:pPr>
      <w:spacing w:line="240" w:lineRule="auto"/>
    </w:pPr>
    <w:rPr>
      <w:b/>
      <w:sz w:val="40"/>
    </w:rPr>
  </w:style>
  <w:style w:type="paragraph" w:customStyle="1" w:styleId="ActHead1">
    <w:name w:val="ActHead 1"/>
    <w:aliases w:val="c"/>
    <w:basedOn w:val="OPCParaBase"/>
    <w:next w:val="Normal"/>
    <w:qFormat/>
    <w:rsid w:val="003A46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46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46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46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A46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46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46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46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46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460F"/>
  </w:style>
  <w:style w:type="paragraph" w:customStyle="1" w:styleId="Blocks">
    <w:name w:val="Blocks"/>
    <w:aliases w:val="bb"/>
    <w:basedOn w:val="OPCParaBase"/>
    <w:qFormat/>
    <w:rsid w:val="003A460F"/>
    <w:pPr>
      <w:spacing w:line="240" w:lineRule="auto"/>
    </w:pPr>
    <w:rPr>
      <w:sz w:val="24"/>
    </w:rPr>
  </w:style>
  <w:style w:type="paragraph" w:customStyle="1" w:styleId="BoxText">
    <w:name w:val="BoxText"/>
    <w:aliases w:val="bt"/>
    <w:basedOn w:val="OPCParaBase"/>
    <w:rsid w:val="003A46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460F"/>
    <w:rPr>
      <w:b/>
    </w:rPr>
  </w:style>
  <w:style w:type="paragraph" w:customStyle="1" w:styleId="BoxHeadItalic">
    <w:name w:val="BoxHeadItalic"/>
    <w:aliases w:val="bhi"/>
    <w:basedOn w:val="BoxText"/>
    <w:next w:val="Normal"/>
    <w:qFormat/>
    <w:rsid w:val="003A460F"/>
    <w:rPr>
      <w:i/>
    </w:rPr>
  </w:style>
  <w:style w:type="paragraph" w:customStyle="1" w:styleId="BoxList">
    <w:name w:val="BoxList"/>
    <w:aliases w:val="bl"/>
    <w:basedOn w:val="BoxText"/>
    <w:qFormat/>
    <w:rsid w:val="003A460F"/>
    <w:pPr>
      <w:ind w:left="1559" w:hanging="425"/>
    </w:pPr>
  </w:style>
  <w:style w:type="paragraph" w:customStyle="1" w:styleId="BoxNote">
    <w:name w:val="BoxNote"/>
    <w:aliases w:val="bn"/>
    <w:basedOn w:val="BoxText"/>
    <w:qFormat/>
    <w:rsid w:val="003A460F"/>
    <w:pPr>
      <w:tabs>
        <w:tab w:val="left" w:pos="1985"/>
      </w:tabs>
      <w:spacing w:before="122" w:line="198" w:lineRule="exact"/>
      <w:ind w:left="2948" w:hanging="1814"/>
    </w:pPr>
    <w:rPr>
      <w:sz w:val="18"/>
    </w:rPr>
  </w:style>
  <w:style w:type="paragraph" w:customStyle="1" w:styleId="BoxPara">
    <w:name w:val="BoxPara"/>
    <w:aliases w:val="bp"/>
    <w:basedOn w:val="BoxText"/>
    <w:qFormat/>
    <w:rsid w:val="003A460F"/>
    <w:pPr>
      <w:tabs>
        <w:tab w:val="right" w:pos="2268"/>
      </w:tabs>
      <w:ind w:left="2552" w:hanging="1418"/>
    </w:pPr>
  </w:style>
  <w:style w:type="paragraph" w:customStyle="1" w:styleId="BoxStep">
    <w:name w:val="BoxStep"/>
    <w:aliases w:val="bs"/>
    <w:basedOn w:val="BoxText"/>
    <w:qFormat/>
    <w:rsid w:val="003A460F"/>
    <w:pPr>
      <w:ind w:left="1985" w:hanging="851"/>
    </w:pPr>
  </w:style>
  <w:style w:type="character" w:customStyle="1" w:styleId="CharAmPartNo">
    <w:name w:val="CharAmPartNo"/>
    <w:basedOn w:val="OPCCharBase"/>
    <w:uiPriority w:val="1"/>
    <w:qFormat/>
    <w:rsid w:val="003A460F"/>
  </w:style>
  <w:style w:type="character" w:customStyle="1" w:styleId="CharAmPartText">
    <w:name w:val="CharAmPartText"/>
    <w:basedOn w:val="OPCCharBase"/>
    <w:uiPriority w:val="1"/>
    <w:qFormat/>
    <w:rsid w:val="003A460F"/>
  </w:style>
  <w:style w:type="character" w:customStyle="1" w:styleId="CharAmSchNo">
    <w:name w:val="CharAmSchNo"/>
    <w:basedOn w:val="OPCCharBase"/>
    <w:uiPriority w:val="1"/>
    <w:qFormat/>
    <w:rsid w:val="003A460F"/>
  </w:style>
  <w:style w:type="character" w:customStyle="1" w:styleId="CharAmSchText">
    <w:name w:val="CharAmSchText"/>
    <w:basedOn w:val="OPCCharBase"/>
    <w:uiPriority w:val="1"/>
    <w:qFormat/>
    <w:rsid w:val="003A460F"/>
  </w:style>
  <w:style w:type="character" w:customStyle="1" w:styleId="CharBoldItalic">
    <w:name w:val="CharBoldItalic"/>
    <w:basedOn w:val="OPCCharBase"/>
    <w:uiPriority w:val="1"/>
    <w:qFormat/>
    <w:rsid w:val="003A460F"/>
    <w:rPr>
      <w:b/>
      <w:i/>
    </w:rPr>
  </w:style>
  <w:style w:type="character" w:customStyle="1" w:styleId="CharChapNo">
    <w:name w:val="CharChapNo"/>
    <w:basedOn w:val="OPCCharBase"/>
    <w:uiPriority w:val="1"/>
    <w:qFormat/>
    <w:rsid w:val="003A460F"/>
  </w:style>
  <w:style w:type="character" w:customStyle="1" w:styleId="CharChapText">
    <w:name w:val="CharChapText"/>
    <w:basedOn w:val="OPCCharBase"/>
    <w:uiPriority w:val="1"/>
    <w:qFormat/>
    <w:rsid w:val="003A460F"/>
  </w:style>
  <w:style w:type="character" w:customStyle="1" w:styleId="CharDivNo">
    <w:name w:val="CharDivNo"/>
    <w:basedOn w:val="OPCCharBase"/>
    <w:uiPriority w:val="1"/>
    <w:qFormat/>
    <w:rsid w:val="003A460F"/>
  </w:style>
  <w:style w:type="character" w:customStyle="1" w:styleId="CharDivText">
    <w:name w:val="CharDivText"/>
    <w:basedOn w:val="OPCCharBase"/>
    <w:uiPriority w:val="1"/>
    <w:qFormat/>
    <w:rsid w:val="003A460F"/>
  </w:style>
  <w:style w:type="character" w:customStyle="1" w:styleId="CharItalic">
    <w:name w:val="CharItalic"/>
    <w:basedOn w:val="OPCCharBase"/>
    <w:uiPriority w:val="1"/>
    <w:qFormat/>
    <w:rsid w:val="003A460F"/>
    <w:rPr>
      <w:i/>
    </w:rPr>
  </w:style>
  <w:style w:type="character" w:customStyle="1" w:styleId="CharPartNo">
    <w:name w:val="CharPartNo"/>
    <w:basedOn w:val="OPCCharBase"/>
    <w:uiPriority w:val="1"/>
    <w:qFormat/>
    <w:rsid w:val="003A460F"/>
  </w:style>
  <w:style w:type="character" w:customStyle="1" w:styleId="CharPartText">
    <w:name w:val="CharPartText"/>
    <w:basedOn w:val="OPCCharBase"/>
    <w:uiPriority w:val="1"/>
    <w:qFormat/>
    <w:rsid w:val="003A460F"/>
  </w:style>
  <w:style w:type="character" w:customStyle="1" w:styleId="CharSectno">
    <w:name w:val="CharSectno"/>
    <w:basedOn w:val="OPCCharBase"/>
    <w:uiPriority w:val="1"/>
    <w:qFormat/>
    <w:rsid w:val="003A460F"/>
  </w:style>
  <w:style w:type="character" w:customStyle="1" w:styleId="CharSubdNo">
    <w:name w:val="CharSubdNo"/>
    <w:basedOn w:val="OPCCharBase"/>
    <w:uiPriority w:val="1"/>
    <w:qFormat/>
    <w:rsid w:val="003A460F"/>
  </w:style>
  <w:style w:type="character" w:customStyle="1" w:styleId="CharSubdText">
    <w:name w:val="CharSubdText"/>
    <w:basedOn w:val="OPCCharBase"/>
    <w:uiPriority w:val="1"/>
    <w:qFormat/>
    <w:rsid w:val="003A460F"/>
  </w:style>
  <w:style w:type="paragraph" w:customStyle="1" w:styleId="CTA--">
    <w:name w:val="CTA --"/>
    <w:basedOn w:val="OPCParaBase"/>
    <w:next w:val="Normal"/>
    <w:rsid w:val="003A460F"/>
    <w:pPr>
      <w:spacing w:before="60" w:line="240" w:lineRule="atLeast"/>
      <w:ind w:left="142" w:hanging="142"/>
    </w:pPr>
    <w:rPr>
      <w:sz w:val="20"/>
    </w:rPr>
  </w:style>
  <w:style w:type="paragraph" w:customStyle="1" w:styleId="CTA-">
    <w:name w:val="CTA -"/>
    <w:basedOn w:val="OPCParaBase"/>
    <w:rsid w:val="003A460F"/>
    <w:pPr>
      <w:spacing w:before="60" w:line="240" w:lineRule="atLeast"/>
      <w:ind w:left="85" w:hanging="85"/>
    </w:pPr>
    <w:rPr>
      <w:sz w:val="20"/>
    </w:rPr>
  </w:style>
  <w:style w:type="paragraph" w:customStyle="1" w:styleId="CTA---">
    <w:name w:val="CTA ---"/>
    <w:basedOn w:val="OPCParaBase"/>
    <w:next w:val="Normal"/>
    <w:rsid w:val="003A460F"/>
    <w:pPr>
      <w:spacing w:before="60" w:line="240" w:lineRule="atLeast"/>
      <w:ind w:left="198" w:hanging="198"/>
    </w:pPr>
    <w:rPr>
      <w:sz w:val="20"/>
    </w:rPr>
  </w:style>
  <w:style w:type="paragraph" w:customStyle="1" w:styleId="CTA----">
    <w:name w:val="CTA ----"/>
    <w:basedOn w:val="OPCParaBase"/>
    <w:next w:val="Normal"/>
    <w:rsid w:val="003A460F"/>
    <w:pPr>
      <w:spacing w:before="60" w:line="240" w:lineRule="atLeast"/>
      <w:ind w:left="255" w:hanging="255"/>
    </w:pPr>
    <w:rPr>
      <w:sz w:val="20"/>
    </w:rPr>
  </w:style>
  <w:style w:type="paragraph" w:customStyle="1" w:styleId="CTA1a">
    <w:name w:val="CTA 1(a)"/>
    <w:basedOn w:val="OPCParaBase"/>
    <w:rsid w:val="003A460F"/>
    <w:pPr>
      <w:tabs>
        <w:tab w:val="right" w:pos="414"/>
      </w:tabs>
      <w:spacing w:before="40" w:line="240" w:lineRule="atLeast"/>
      <w:ind w:left="675" w:hanging="675"/>
    </w:pPr>
    <w:rPr>
      <w:sz w:val="20"/>
    </w:rPr>
  </w:style>
  <w:style w:type="paragraph" w:customStyle="1" w:styleId="CTA1ai">
    <w:name w:val="CTA 1(a)(i)"/>
    <w:basedOn w:val="OPCParaBase"/>
    <w:rsid w:val="003A460F"/>
    <w:pPr>
      <w:tabs>
        <w:tab w:val="right" w:pos="1004"/>
      </w:tabs>
      <w:spacing w:before="40" w:line="240" w:lineRule="atLeast"/>
      <w:ind w:left="1253" w:hanging="1253"/>
    </w:pPr>
    <w:rPr>
      <w:sz w:val="20"/>
    </w:rPr>
  </w:style>
  <w:style w:type="paragraph" w:customStyle="1" w:styleId="CTA2a">
    <w:name w:val="CTA 2(a)"/>
    <w:basedOn w:val="OPCParaBase"/>
    <w:rsid w:val="003A460F"/>
    <w:pPr>
      <w:tabs>
        <w:tab w:val="right" w:pos="482"/>
      </w:tabs>
      <w:spacing w:before="40" w:line="240" w:lineRule="atLeast"/>
      <w:ind w:left="748" w:hanging="748"/>
    </w:pPr>
    <w:rPr>
      <w:sz w:val="20"/>
    </w:rPr>
  </w:style>
  <w:style w:type="paragraph" w:customStyle="1" w:styleId="CTA2ai">
    <w:name w:val="CTA 2(a)(i)"/>
    <w:basedOn w:val="OPCParaBase"/>
    <w:rsid w:val="003A460F"/>
    <w:pPr>
      <w:tabs>
        <w:tab w:val="right" w:pos="1089"/>
      </w:tabs>
      <w:spacing w:before="40" w:line="240" w:lineRule="atLeast"/>
      <w:ind w:left="1327" w:hanging="1327"/>
    </w:pPr>
    <w:rPr>
      <w:sz w:val="20"/>
    </w:rPr>
  </w:style>
  <w:style w:type="paragraph" w:customStyle="1" w:styleId="CTA3a">
    <w:name w:val="CTA 3(a)"/>
    <w:basedOn w:val="OPCParaBase"/>
    <w:rsid w:val="003A460F"/>
    <w:pPr>
      <w:tabs>
        <w:tab w:val="right" w:pos="556"/>
      </w:tabs>
      <w:spacing w:before="40" w:line="240" w:lineRule="atLeast"/>
      <w:ind w:left="805" w:hanging="805"/>
    </w:pPr>
    <w:rPr>
      <w:sz w:val="20"/>
    </w:rPr>
  </w:style>
  <w:style w:type="paragraph" w:customStyle="1" w:styleId="CTA3ai">
    <w:name w:val="CTA 3(a)(i)"/>
    <w:basedOn w:val="OPCParaBase"/>
    <w:rsid w:val="003A460F"/>
    <w:pPr>
      <w:tabs>
        <w:tab w:val="right" w:pos="1140"/>
      </w:tabs>
      <w:spacing w:before="40" w:line="240" w:lineRule="atLeast"/>
      <w:ind w:left="1361" w:hanging="1361"/>
    </w:pPr>
    <w:rPr>
      <w:sz w:val="20"/>
    </w:rPr>
  </w:style>
  <w:style w:type="paragraph" w:customStyle="1" w:styleId="CTA4a">
    <w:name w:val="CTA 4(a)"/>
    <w:basedOn w:val="OPCParaBase"/>
    <w:rsid w:val="003A460F"/>
    <w:pPr>
      <w:tabs>
        <w:tab w:val="right" w:pos="624"/>
      </w:tabs>
      <w:spacing w:before="40" w:line="240" w:lineRule="atLeast"/>
      <w:ind w:left="873" w:hanging="873"/>
    </w:pPr>
    <w:rPr>
      <w:sz w:val="20"/>
    </w:rPr>
  </w:style>
  <w:style w:type="paragraph" w:customStyle="1" w:styleId="CTA4ai">
    <w:name w:val="CTA 4(a)(i)"/>
    <w:basedOn w:val="OPCParaBase"/>
    <w:rsid w:val="003A460F"/>
    <w:pPr>
      <w:tabs>
        <w:tab w:val="right" w:pos="1213"/>
      </w:tabs>
      <w:spacing w:before="40" w:line="240" w:lineRule="atLeast"/>
      <w:ind w:left="1452" w:hanging="1452"/>
    </w:pPr>
    <w:rPr>
      <w:sz w:val="20"/>
    </w:rPr>
  </w:style>
  <w:style w:type="paragraph" w:customStyle="1" w:styleId="CTACAPS">
    <w:name w:val="CTA CAPS"/>
    <w:basedOn w:val="OPCParaBase"/>
    <w:rsid w:val="003A460F"/>
    <w:pPr>
      <w:spacing w:before="60" w:line="240" w:lineRule="atLeast"/>
    </w:pPr>
    <w:rPr>
      <w:sz w:val="20"/>
    </w:rPr>
  </w:style>
  <w:style w:type="paragraph" w:customStyle="1" w:styleId="CTAright">
    <w:name w:val="CTA right"/>
    <w:basedOn w:val="OPCParaBase"/>
    <w:rsid w:val="003A460F"/>
    <w:pPr>
      <w:spacing w:before="60" w:line="240" w:lineRule="auto"/>
      <w:jc w:val="right"/>
    </w:pPr>
    <w:rPr>
      <w:sz w:val="20"/>
    </w:rPr>
  </w:style>
  <w:style w:type="paragraph" w:customStyle="1" w:styleId="subsection">
    <w:name w:val="subsection"/>
    <w:aliases w:val="ss"/>
    <w:basedOn w:val="OPCParaBase"/>
    <w:rsid w:val="003A460F"/>
    <w:pPr>
      <w:tabs>
        <w:tab w:val="right" w:pos="1021"/>
      </w:tabs>
      <w:spacing w:before="180" w:line="240" w:lineRule="auto"/>
      <w:ind w:left="1134" w:hanging="1134"/>
    </w:pPr>
  </w:style>
  <w:style w:type="paragraph" w:customStyle="1" w:styleId="Definition">
    <w:name w:val="Definition"/>
    <w:aliases w:val="dd"/>
    <w:basedOn w:val="OPCParaBase"/>
    <w:rsid w:val="003A460F"/>
    <w:pPr>
      <w:spacing w:before="180" w:line="240" w:lineRule="auto"/>
      <w:ind w:left="1134"/>
    </w:pPr>
  </w:style>
  <w:style w:type="paragraph" w:customStyle="1" w:styleId="ETAsubitem">
    <w:name w:val="ETA(subitem)"/>
    <w:basedOn w:val="OPCParaBase"/>
    <w:rsid w:val="003A460F"/>
    <w:pPr>
      <w:tabs>
        <w:tab w:val="right" w:pos="340"/>
      </w:tabs>
      <w:spacing w:before="60" w:line="240" w:lineRule="auto"/>
      <w:ind w:left="454" w:hanging="454"/>
    </w:pPr>
    <w:rPr>
      <w:sz w:val="20"/>
    </w:rPr>
  </w:style>
  <w:style w:type="paragraph" w:customStyle="1" w:styleId="ETApara">
    <w:name w:val="ETA(para)"/>
    <w:basedOn w:val="OPCParaBase"/>
    <w:rsid w:val="003A460F"/>
    <w:pPr>
      <w:tabs>
        <w:tab w:val="right" w:pos="754"/>
      </w:tabs>
      <w:spacing w:before="60" w:line="240" w:lineRule="auto"/>
      <w:ind w:left="828" w:hanging="828"/>
    </w:pPr>
    <w:rPr>
      <w:sz w:val="20"/>
    </w:rPr>
  </w:style>
  <w:style w:type="paragraph" w:customStyle="1" w:styleId="ETAsubpara">
    <w:name w:val="ETA(subpara)"/>
    <w:basedOn w:val="OPCParaBase"/>
    <w:rsid w:val="003A460F"/>
    <w:pPr>
      <w:tabs>
        <w:tab w:val="right" w:pos="1083"/>
      </w:tabs>
      <w:spacing w:before="60" w:line="240" w:lineRule="auto"/>
      <w:ind w:left="1191" w:hanging="1191"/>
    </w:pPr>
    <w:rPr>
      <w:sz w:val="20"/>
    </w:rPr>
  </w:style>
  <w:style w:type="paragraph" w:customStyle="1" w:styleId="ETAsub-subpara">
    <w:name w:val="ETA(sub-subpara)"/>
    <w:basedOn w:val="OPCParaBase"/>
    <w:rsid w:val="003A460F"/>
    <w:pPr>
      <w:tabs>
        <w:tab w:val="right" w:pos="1412"/>
      </w:tabs>
      <w:spacing w:before="60" w:line="240" w:lineRule="auto"/>
      <w:ind w:left="1525" w:hanging="1525"/>
    </w:pPr>
    <w:rPr>
      <w:sz w:val="20"/>
    </w:rPr>
  </w:style>
  <w:style w:type="paragraph" w:customStyle="1" w:styleId="Formula">
    <w:name w:val="Formula"/>
    <w:basedOn w:val="OPCParaBase"/>
    <w:rsid w:val="003A460F"/>
    <w:pPr>
      <w:spacing w:line="240" w:lineRule="auto"/>
      <w:ind w:left="1134"/>
    </w:pPr>
    <w:rPr>
      <w:sz w:val="20"/>
    </w:rPr>
  </w:style>
  <w:style w:type="paragraph" w:styleId="Header">
    <w:name w:val="header"/>
    <w:basedOn w:val="OPCParaBase"/>
    <w:link w:val="HeaderChar"/>
    <w:uiPriority w:val="99"/>
    <w:unhideWhenUsed/>
    <w:rsid w:val="003A46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3A460F"/>
    <w:rPr>
      <w:rFonts w:eastAsia="Times New Roman" w:cs="Times New Roman"/>
      <w:sz w:val="16"/>
      <w:lang w:eastAsia="en-AU"/>
    </w:rPr>
  </w:style>
  <w:style w:type="paragraph" w:customStyle="1" w:styleId="House">
    <w:name w:val="House"/>
    <w:basedOn w:val="OPCParaBase"/>
    <w:rsid w:val="003A460F"/>
    <w:pPr>
      <w:spacing w:line="240" w:lineRule="auto"/>
    </w:pPr>
    <w:rPr>
      <w:sz w:val="28"/>
    </w:rPr>
  </w:style>
  <w:style w:type="paragraph" w:customStyle="1" w:styleId="Item">
    <w:name w:val="Item"/>
    <w:aliases w:val="i"/>
    <w:basedOn w:val="OPCParaBase"/>
    <w:next w:val="ItemHead"/>
    <w:rsid w:val="003A460F"/>
    <w:pPr>
      <w:keepLines/>
      <w:spacing w:before="80" w:line="240" w:lineRule="auto"/>
      <w:ind w:left="709"/>
    </w:pPr>
  </w:style>
  <w:style w:type="paragraph" w:customStyle="1" w:styleId="ItemHead">
    <w:name w:val="ItemHead"/>
    <w:aliases w:val="ih"/>
    <w:basedOn w:val="OPCParaBase"/>
    <w:next w:val="Item"/>
    <w:rsid w:val="003A460F"/>
    <w:pPr>
      <w:keepLines/>
      <w:spacing w:before="220" w:line="240" w:lineRule="auto"/>
      <w:ind w:left="709" w:hanging="709"/>
    </w:pPr>
    <w:rPr>
      <w:rFonts w:ascii="Arial" w:hAnsi="Arial"/>
      <w:b/>
      <w:kern w:val="28"/>
      <w:sz w:val="24"/>
    </w:rPr>
  </w:style>
  <w:style w:type="paragraph" w:customStyle="1" w:styleId="LongT">
    <w:name w:val="LongT"/>
    <w:basedOn w:val="OPCParaBase"/>
    <w:rsid w:val="003A460F"/>
    <w:pPr>
      <w:spacing w:line="240" w:lineRule="auto"/>
    </w:pPr>
    <w:rPr>
      <w:b/>
      <w:sz w:val="32"/>
    </w:rPr>
  </w:style>
  <w:style w:type="paragraph" w:customStyle="1" w:styleId="notedraft">
    <w:name w:val="note(draft)"/>
    <w:aliases w:val="nd"/>
    <w:basedOn w:val="OPCParaBase"/>
    <w:rsid w:val="003A460F"/>
    <w:pPr>
      <w:spacing w:before="240" w:line="240" w:lineRule="auto"/>
      <w:ind w:left="284" w:hanging="284"/>
    </w:pPr>
    <w:rPr>
      <w:i/>
      <w:sz w:val="24"/>
    </w:rPr>
  </w:style>
  <w:style w:type="paragraph" w:customStyle="1" w:styleId="notemargin">
    <w:name w:val="note(margin)"/>
    <w:aliases w:val="nm"/>
    <w:basedOn w:val="OPCParaBase"/>
    <w:rsid w:val="003A460F"/>
    <w:pPr>
      <w:tabs>
        <w:tab w:val="left" w:pos="709"/>
      </w:tabs>
      <w:spacing w:before="122" w:line="198" w:lineRule="exact"/>
      <w:ind w:left="709" w:hanging="709"/>
    </w:pPr>
    <w:rPr>
      <w:sz w:val="18"/>
    </w:rPr>
  </w:style>
  <w:style w:type="paragraph" w:customStyle="1" w:styleId="notepara">
    <w:name w:val="note(para)"/>
    <w:aliases w:val="na"/>
    <w:basedOn w:val="OPCParaBase"/>
    <w:rsid w:val="003A460F"/>
    <w:pPr>
      <w:spacing w:before="40" w:line="198" w:lineRule="exact"/>
      <w:ind w:left="2354" w:hanging="369"/>
    </w:pPr>
    <w:rPr>
      <w:sz w:val="18"/>
    </w:rPr>
  </w:style>
  <w:style w:type="paragraph" w:customStyle="1" w:styleId="noteParlAmend">
    <w:name w:val="note(ParlAmend)"/>
    <w:aliases w:val="npp"/>
    <w:basedOn w:val="OPCParaBase"/>
    <w:next w:val="ParlAmend"/>
    <w:rsid w:val="003A460F"/>
    <w:pPr>
      <w:spacing w:line="240" w:lineRule="auto"/>
      <w:jc w:val="right"/>
    </w:pPr>
    <w:rPr>
      <w:rFonts w:ascii="Arial" w:hAnsi="Arial"/>
      <w:b/>
      <w:i/>
    </w:rPr>
  </w:style>
  <w:style w:type="paragraph" w:customStyle="1" w:styleId="Page1">
    <w:name w:val="Page1"/>
    <w:basedOn w:val="OPCParaBase"/>
    <w:rsid w:val="003A460F"/>
    <w:pPr>
      <w:spacing w:before="5600" w:line="240" w:lineRule="auto"/>
    </w:pPr>
    <w:rPr>
      <w:b/>
      <w:sz w:val="32"/>
    </w:rPr>
  </w:style>
  <w:style w:type="paragraph" w:customStyle="1" w:styleId="PageBreak">
    <w:name w:val="PageBreak"/>
    <w:aliases w:val="pb"/>
    <w:basedOn w:val="OPCParaBase"/>
    <w:rsid w:val="003A460F"/>
    <w:pPr>
      <w:spacing w:line="240" w:lineRule="auto"/>
    </w:pPr>
    <w:rPr>
      <w:sz w:val="10"/>
    </w:rPr>
  </w:style>
  <w:style w:type="paragraph" w:customStyle="1" w:styleId="paragraphsub">
    <w:name w:val="paragraph(sub)"/>
    <w:aliases w:val="aa"/>
    <w:basedOn w:val="OPCParaBase"/>
    <w:rsid w:val="003A460F"/>
    <w:pPr>
      <w:tabs>
        <w:tab w:val="right" w:pos="1985"/>
      </w:tabs>
      <w:spacing w:before="40" w:line="240" w:lineRule="auto"/>
      <w:ind w:left="2098" w:hanging="2098"/>
    </w:pPr>
  </w:style>
  <w:style w:type="paragraph" w:customStyle="1" w:styleId="paragraphsub-sub">
    <w:name w:val="paragraph(sub-sub)"/>
    <w:aliases w:val="aaa"/>
    <w:basedOn w:val="OPCParaBase"/>
    <w:rsid w:val="003A460F"/>
    <w:pPr>
      <w:tabs>
        <w:tab w:val="right" w:pos="2722"/>
      </w:tabs>
      <w:spacing w:before="40" w:line="240" w:lineRule="auto"/>
      <w:ind w:left="2835" w:hanging="2835"/>
    </w:pPr>
  </w:style>
  <w:style w:type="paragraph" w:customStyle="1" w:styleId="paragraph">
    <w:name w:val="paragraph"/>
    <w:aliases w:val="a"/>
    <w:basedOn w:val="OPCParaBase"/>
    <w:rsid w:val="003A460F"/>
    <w:pPr>
      <w:tabs>
        <w:tab w:val="right" w:pos="1531"/>
      </w:tabs>
      <w:spacing w:before="40" w:line="240" w:lineRule="auto"/>
      <w:ind w:left="1644" w:hanging="1644"/>
    </w:pPr>
  </w:style>
  <w:style w:type="paragraph" w:customStyle="1" w:styleId="ParlAmend">
    <w:name w:val="ParlAmend"/>
    <w:aliases w:val="pp"/>
    <w:basedOn w:val="OPCParaBase"/>
    <w:rsid w:val="003A460F"/>
    <w:pPr>
      <w:spacing w:before="240" w:line="240" w:lineRule="atLeast"/>
      <w:ind w:hanging="567"/>
    </w:pPr>
    <w:rPr>
      <w:sz w:val="24"/>
    </w:rPr>
  </w:style>
  <w:style w:type="paragraph" w:customStyle="1" w:styleId="Penalty">
    <w:name w:val="Penalty"/>
    <w:basedOn w:val="OPCParaBase"/>
    <w:rsid w:val="003A460F"/>
    <w:pPr>
      <w:tabs>
        <w:tab w:val="left" w:pos="2977"/>
      </w:tabs>
      <w:spacing w:before="180" w:line="240" w:lineRule="auto"/>
      <w:ind w:left="1985" w:hanging="851"/>
    </w:pPr>
  </w:style>
  <w:style w:type="paragraph" w:customStyle="1" w:styleId="Portfolio">
    <w:name w:val="Portfolio"/>
    <w:basedOn w:val="OPCParaBase"/>
    <w:rsid w:val="003A460F"/>
    <w:pPr>
      <w:spacing w:line="240" w:lineRule="auto"/>
    </w:pPr>
    <w:rPr>
      <w:i/>
      <w:sz w:val="20"/>
    </w:rPr>
  </w:style>
  <w:style w:type="paragraph" w:customStyle="1" w:styleId="Preamble">
    <w:name w:val="Preamble"/>
    <w:basedOn w:val="OPCParaBase"/>
    <w:next w:val="Normal"/>
    <w:rsid w:val="003A46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460F"/>
    <w:pPr>
      <w:spacing w:line="240" w:lineRule="auto"/>
    </w:pPr>
    <w:rPr>
      <w:i/>
      <w:sz w:val="20"/>
    </w:rPr>
  </w:style>
  <w:style w:type="paragraph" w:customStyle="1" w:styleId="Session">
    <w:name w:val="Session"/>
    <w:basedOn w:val="OPCParaBase"/>
    <w:rsid w:val="003A460F"/>
    <w:pPr>
      <w:spacing w:line="240" w:lineRule="auto"/>
    </w:pPr>
    <w:rPr>
      <w:sz w:val="28"/>
    </w:rPr>
  </w:style>
  <w:style w:type="paragraph" w:customStyle="1" w:styleId="Sponsor">
    <w:name w:val="Sponsor"/>
    <w:basedOn w:val="OPCParaBase"/>
    <w:rsid w:val="003A460F"/>
    <w:pPr>
      <w:spacing w:line="240" w:lineRule="auto"/>
    </w:pPr>
    <w:rPr>
      <w:i/>
    </w:rPr>
  </w:style>
  <w:style w:type="paragraph" w:customStyle="1" w:styleId="Subitem">
    <w:name w:val="Subitem"/>
    <w:aliases w:val="iss"/>
    <w:basedOn w:val="OPCParaBase"/>
    <w:rsid w:val="003A460F"/>
    <w:pPr>
      <w:spacing w:before="180" w:line="240" w:lineRule="auto"/>
      <w:ind w:left="709" w:hanging="709"/>
    </w:pPr>
  </w:style>
  <w:style w:type="paragraph" w:customStyle="1" w:styleId="SubitemHead">
    <w:name w:val="SubitemHead"/>
    <w:aliases w:val="issh"/>
    <w:basedOn w:val="OPCParaBase"/>
    <w:rsid w:val="003A46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460F"/>
    <w:pPr>
      <w:spacing w:before="40" w:line="240" w:lineRule="auto"/>
      <w:ind w:left="1134"/>
    </w:pPr>
  </w:style>
  <w:style w:type="paragraph" w:customStyle="1" w:styleId="SubsectionHead">
    <w:name w:val="SubsectionHead"/>
    <w:aliases w:val="ssh"/>
    <w:basedOn w:val="OPCParaBase"/>
    <w:next w:val="subsection"/>
    <w:rsid w:val="003A460F"/>
    <w:pPr>
      <w:keepNext/>
      <w:keepLines/>
      <w:spacing w:before="240" w:line="240" w:lineRule="auto"/>
      <w:ind w:left="1134"/>
    </w:pPr>
    <w:rPr>
      <w:i/>
    </w:rPr>
  </w:style>
  <w:style w:type="paragraph" w:customStyle="1" w:styleId="Tablea">
    <w:name w:val="Table(a)"/>
    <w:aliases w:val="ta"/>
    <w:basedOn w:val="OPCParaBase"/>
    <w:rsid w:val="003A460F"/>
    <w:pPr>
      <w:spacing w:before="60" w:line="240" w:lineRule="auto"/>
      <w:ind w:left="284" w:hanging="284"/>
    </w:pPr>
    <w:rPr>
      <w:sz w:val="20"/>
    </w:rPr>
  </w:style>
  <w:style w:type="paragraph" w:customStyle="1" w:styleId="TableAA">
    <w:name w:val="Table(AA)"/>
    <w:aliases w:val="taaa"/>
    <w:basedOn w:val="OPCParaBase"/>
    <w:rsid w:val="003A46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46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460F"/>
    <w:pPr>
      <w:spacing w:before="60" w:line="240" w:lineRule="atLeast"/>
    </w:pPr>
    <w:rPr>
      <w:sz w:val="20"/>
    </w:rPr>
  </w:style>
  <w:style w:type="paragraph" w:customStyle="1" w:styleId="TLPBoxTextnote">
    <w:name w:val="TLPBoxText(note"/>
    <w:aliases w:val="right)"/>
    <w:basedOn w:val="OPCParaBase"/>
    <w:rsid w:val="003A46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460F"/>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3A460F"/>
    <w:pPr>
      <w:spacing w:before="122" w:line="198" w:lineRule="exact"/>
      <w:ind w:left="1985" w:hanging="851"/>
      <w:jc w:val="right"/>
    </w:pPr>
    <w:rPr>
      <w:sz w:val="18"/>
    </w:rPr>
  </w:style>
  <w:style w:type="paragraph" w:customStyle="1" w:styleId="TLPTableBullet">
    <w:name w:val="TLPTableBullet"/>
    <w:aliases w:val="ttb"/>
    <w:basedOn w:val="OPCParaBase"/>
    <w:rsid w:val="003A460F"/>
    <w:pPr>
      <w:spacing w:line="240" w:lineRule="exact"/>
      <w:ind w:left="284" w:hanging="284"/>
    </w:pPr>
    <w:rPr>
      <w:sz w:val="20"/>
    </w:rPr>
  </w:style>
  <w:style w:type="paragraph" w:styleId="TOC1">
    <w:name w:val="toc 1"/>
    <w:basedOn w:val="OPCParaBase"/>
    <w:next w:val="Normal"/>
    <w:uiPriority w:val="39"/>
    <w:unhideWhenUsed/>
    <w:rsid w:val="003A460F"/>
    <w:pPr>
      <w:spacing w:line="240" w:lineRule="auto"/>
    </w:pPr>
    <w:rPr>
      <w:sz w:val="24"/>
    </w:rPr>
  </w:style>
  <w:style w:type="paragraph" w:styleId="TOC2">
    <w:name w:val="toc 2"/>
    <w:basedOn w:val="OPCParaBase"/>
    <w:next w:val="Normal"/>
    <w:uiPriority w:val="39"/>
    <w:unhideWhenUsed/>
    <w:rsid w:val="003A460F"/>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3A460F"/>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3A460F"/>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3A460F"/>
    <w:pPr>
      <w:spacing w:line="240" w:lineRule="auto"/>
      <w:ind w:left="958"/>
    </w:pPr>
    <w:rPr>
      <w:sz w:val="24"/>
    </w:rPr>
  </w:style>
  <w:style w:type="paragraph" w:styleId="TOC6">
    <w:name w:val="toc 6"/>
    <w:basedOn w:val="OPCParaBase"/>
    <w:next w:val="Normal"/>
    <w:uiPriority w:val="39"/>
    <w:semiHidden/>
    <w:unhideWhenUsed/>
    <w:rsid w:val="003A460F"/>
    <w:pPr>
      <w:spacing w:line="240" w:lineRule="auto"/>
      <w:ind w:left="1202"/>
    </w:pPr>
    <w:rPr>
      <w:sz w:val="24"/>
    </w:rPr>
  </w:style>
  <w:style w:type="paragraph" w:styleId="TOC7">
    <w:name w:val="toc 7"/>
    <w:basedOn w:val="OPCParaBase"/>
    <w:next w:val="Normal"/>
    <w:uiPriority w:val="39"/>
    <w:semiHidden/>
    <w:unhideWhenUsed/>
    <w:rsid w:val="003A460F"/>
    <w:pPr>
      <w:spacing w:line="240" w:lineRule="auto"/>
      <w:ind w:left="1440"/>
    </w:pPr>
    <w:rPr>
      <w:sz w:val="24"/>
    </w:rPr>
  </w:style>
  <w:style w:type="paragraph" w:styleId="TOC8">
    <w:name w:val="toc 8"/>
    <w:basedOn w:val="OPCParaBase"/>
    <w:next w:val="Normal"/>
    <w:uiPriority w:val="39"/>
    <w:semiHidden/>
    <w:unhideWhenUsed/>
    <w:rsid w:val="003A460F"/>
    <w:pPr>
      <w:spacing w:line="240" w:lineRule="auto"/>
      <w:ind w:left="1678"/>
    </w:pPr>
    <w:rPr>
      <w:sz w:val="24"/>
    </w:rPr>
  </w:style>
  <w:style w:type="paragraph" w:styleId="TOC9">
    <w:name w:val="toc 9"/>
    <w:basedOn w:val="OPCParaBase"/>
    <w:next w:val="Normal"/>
    <w:uiPriority w:val="39"/>
    <w:unhideWhenUsed/>
    <w:rsid w:val="003A460F"/>
    <w:pPr>
      <w:spacing w:line="240" w:lineRule="auto"/>
      <w:ind w:left="1922"/>
    </w:pPr>
    <w:rPr>
      <w:sz w:val="24"/>
    </w:rPr>
  </w:style>
  <w:style w:type="paragraph" w:customStyle="1" w:styleId="TofSectsGroupHeading">
    <w:name w:val="TofSects(GroupHeading)"/>
    <w:basedOn w:val="OPCParaBase"/>
    <w:next w:val="TofSectsSection"/>
    <w:rsid w:val="003A460F"/>
    <w:pPr>
      <w:keepLines/>
      <w:spacing w:before="240" w:after="120" w:line="240" w:lineRule="auto"/>
      <w:ind w:left="794"/>
    </w:pPr>
    <w:rPr>
      <w:b/>
      <w:kern w:val="28"/>
      <w:sz w:val="20"/>
    </w:rPr>
  </w:style>
  <w:style w:type="paragraph" w:customStyle="1" w:styleId="TofSectsHeading">
    <w:name w:val="TofSects(Heading)"/>
    <w:basedOn w:val="OPCParaBase"/>
    <w:rsid w:val="003A460F"/>
    <w:pPr>
      <w:spacing w:before="240" w:after="120" w:line="240" w:lineRule="auto"/>
    </w:pPr>
    <w:rPr>
      <w:b/>
      <w:sz w:val="24"/>
    </w:rPr>
  </w:style>
  <w:style w:type="paragraph" w:customStyle="1" w:styleId="TofSectsSection">
    <w:name w:val="TofSects(Section)"/>
    <w:basedOn w:val="OPCParaBase"/>
    <w:rsid w:val="003A460F"/>
    <w:pPr>
      <w:keepLines/>
      <w:spacing w:before="40" w:line="240" w:lineRule="auto"/>
      <w:ind w:left="1588" w:hanging="794"/>
    </w:pPr>
    <w:rPr>
      <w:kern w:val="28"/>
      <w:sz w:val="18"/>
    </w:rPr>
  </w:style>
  <w:style w:type="paragraph" w:customStyle="1" w:styleId="TofSectsSubdiv">
    <w:name w:val="TofSects(Subdiv)"/>
    <w:basedOn w:val="OPCParaBase"/>
    <w:rsid w:val="003A460F"/>
    <w:pPr>
      <w:keepLines/>
      <w:spacing w:before="80" w:line="240" w:lineRule="auto"/>
      <w:ind w:left="1588" w:hanging="794"/>
    </w:pPr>
    <w:rPr>
      <w:kern w:val="28"/>
    </w:rPr>
  </w:style>
  <w:style w:type="paragraph" w:customStyle="1" w:styleId="WRStyle">
    <w:name w:val="WR Style"/>
    <w:aliases w:val="WR"/>
    <w:basedOn w:val="OPCParaBase"/>
    <w:rsid w:val="003A460F"/>
    <w:pPr>
      <w:spacing w:before="240" w:line="240" w:lineRule="auto"/>
      <w:ind w:left="284" w:hanging="284"/>
    </w:pPr>
    <w:rPr>
      <w:b/>
      <w:i/>
      <w:kern w:val="28"/>
      <w:sz w:val="24"/>
    </w:rPr>
  </w:style>
  <w:style w:type="paragraph" w:customStyle="1" w:styleId="Body">
    <w:name w:val="Body"/>
    <w:aliases w:val="b"/>
    <w:basedOn w:val="OPCParaBase"/>
    <w:rsid w:val="003A460F"/>
    <w:pPr>
      <w:spacing w:before="240" w:line="240" w:lineRule="auto"/>
    </w:pPr>
    <w:rPr>
      <w:sz w:val="24"/>
    </w:rPr>
  </w:style>
  <w:style w:type="paragraph" w:customStyle="1" w:styleId="BodyNum">
    <w:name w:val="BodyNum"/>
    <w:aliases w:val="b1"/>
    <w:basedOn w:val="OPCParaBase"/>
    <w:rsid w:val="003A460F"/>
    <w:pPr>
      <w:numPr>
        <w:numId w:val="2"/>
      </w:numPr>
      <w:spacing w:before="240" w:line="240" w:lineRule="auto"/>
    </w:pPr>
    <w:rPr>
      <w:sz w:val="24"/>
    </w:rPr>
  </w:style>
  <w:style w:type="paragraph" w:customStyle="1" w:styleId="BodyPara">
    <w:name w:val="BodyPara"/>
    <w:aliases w:val="ba"/>
    <w:basedOn w:val="OPCParaBase"/>
    <w:rsid w:val="003A460F"/>
    <w:pPr>
      <w:numPr>
        <w:ilvl w:val="1"/>
        <w:numId w:val="2"/>
      </w:numPr>
      <w:spacing w:before="240" w:line="240" w:lineRule="auto"/>
    </w:pPr>
    <w:rPr>
      <w:sz w:val="24"/>
    </w:rPr>
  </w:style>
  <w:style w:type="paragraph" w:customStyle="1" w:styleId="BodyParaBullet">
    <w:name w:val="BodyParaBullet"/>
    <w:aliases w:val="bpb"/>
    <w:basedOn w:val="OPCParaBase"/>
    <w:rsid w:val="003A460F"/>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3A460F"/>
    <w:pPr>
      <w:numPr>
        <w:ilvl w:val="3"/>
        <w:numId w:val="2"/>
      </w:numPr>
      <w:spacing w:before="240" w:line="240" w:lineRule="auto"/>
    </w:pPr>
    <w:rPr>
      <w:sz w:val="24"/>
    </w:rPr>
  </w:style>
  <w:style w:type="numbering" w:customStyle="1" w:styleId="OPCBodyList">
    <w:name w:val="OPCBodyList"/>
    <w:uiPriority w:val="99"/>
    <w:rsid w:val="003A460F"/>
    <w:pPr>
      <w:numPr>
        <w:numId w:val="2"/>
      </w:numPr>
    </w:pPr>
  </w:style>
  <w:style w:type="paragraph" w:customStyle="1" w:styleId="Head1">
    <w:name w:val="Head 1"/>
    <w:aliases w:val="1"/>
    <w:basedOn w:val="OPCParaBase"/>
    <w:next w:val="BodyNum"/>
    <w:rsid w:val="003A460F"/>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3A460F"/>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3A460F"/>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3A460F"/>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3A460F"/>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3A460F"/>
    <w:pPr>
      <w:spacing w:before="122" w:line="198" w:lineRule="exact"/>
      <w:ind w:left="2353" w:hanging="709"/>
    </w:pPr>
    <w:rPr>
      <w:sz w:val="18"/>
    </w:rPr>
  </w:style>
  <w:style w:type="paragraph" w:styleId="Footer">
    <w:name w:val="footer"/>
    <w:link w:val="FooterChar"/>
    <w:uiPriority w:val="99"/>
    <w:rsid w:val="003A460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3A460F"/>
    <w:rPr>
      <w:rFonts w:eastAsia="Times New Roman" w:cs="Times New Roman"/>
      <w:sz w:val="22"/>
      <w:szCs w:val="24"/>
      <w:lang w:eastAsia="en-AU"/>
    </w:rPr>
  </w:style>
  <w:style w:type="character" w:styleId="PageNumber">
    <w:name w:val="page number"/>
    <w:basedOn w:val="DefaultParagraphFont"/>
    <w:rsid w:val="003A460F"/>
  </w:style>
  <w:style w:type="paragraph" w:styleId="BalloonText">
    <w:name w:val="Balloon Text"/>
    <w:basedOn w:val="Normal"/>
    <w:link w:val="BalloonTextChar"/>
    <w:uiPriority w:val="99"/>
    <w:semiHidden/>
    <w:unhideWhenUsed/>
    <w:rsid w:val="003A46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60F"/>
    <w:rPr>
      <w:rFonts w:ascii="Tahoma" w:hAnsi="Tahoma" w:cs="Tahoma"/>
      <w:sz w:val="16"/>
      <w:szCs w:val="16"/>
    </w:rPr>
  </w:style>
  <w:style w:type="paragraph" w:customStyle="1" w:styleId="MessShortTitle">
    <w:name w:val="MessShortTitle"/>
    <w:basedOn w:val="Head2"/>
    <w:rsid w:val="003A460F"/>
  </w:style>
  <w:style w:type="paragraph" w:customStyle="1" w:styleId="notetext">
    <w:name w:val="note(text)"/>
    <w:aliases w:val="n"/>
    <w:basedOn w:val="OPCParaBase"/>
    <w:rsid w:val="003A460F"/>
    <w:pPr>
      <w:spacing w:before="122" w:line="240" w:lineRule="auto"/>
      <w:ind w:left="1985" w:hanging="851"/>
    </w:pPr>
    <w:rPr>
      <w:sz w:val="18"/>
    </w:rPr>
  </w:style>
  <w:style w:type="paragraph" w:customStyle="1" w:styleId="FreeForm">
    <w:name w:val="FreeForm"/>
    <w:rsid w:val="003A460F"/>
    <w:rPr>
      <w:rFonts w:ascii="Arial" w:hAnsi="Arial"/>
      <w:sz w:val="22"/>
    </w:rPr>
  </w:style>
  <w:style w:type="paragraph" w:customStyle="1" w:styleId="SOTextNote">
    <w:name w:val="SO TextNote"/>
    <w:aliases w:val="sont"/>
    <w:basedOn w:val="Normal"/>
    <w:qFormat/>
    <w:rsid w:val="003A460F"/>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3A460F"/>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3A460F"/>
    <w:rPr>
      <w:sz w:val="22"/>
    </w:rPr>
  </w:style>
  <w:style w:type="paragraph" w:customStyle="1" w:styleId="SOHeadItalic">
    <w:name w:val="SO HeadItalic"/>
    <w:aliases w:val="sohi"/>
    <w:basedOn w:val="Normal"/>
    <w:next w:val="Normal"/>
    <w:link w:val="SOHeadItalicChar"/>
    <w:qFormat/>
    <w:rsid w:val="003A460F"/>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3A460F"/>
    <w:rPr>
      <w:i/>
      <w:sz w:val="22"/>
    </w:rPr>
  </w:style>
  <w:style w:type="paragraph" w:customStyle="1" w:styleId="SOHeadBold">
    <w:name w:val="SO HeadBold"/>
    <w:aliases w:val="sohb"/>
    <w:basedOn w:val="Normal"/>
    <w:next w:val="Normal"/>
    <w:link w:val="SOHeadBoldChar"/>
    <w:qFormat/>
    <w:rsid w:val="003A460F"/>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3A460F"/>
    <w:rPr>
      <w:b/>
      <w:sz w:val="22"/>
    </w:rPr>
  </w:style>
  <w:style w:type="paragraph" w:customStyle="1" w:styleId="SOBulletNote">
    <w:name w:val="SO BulletNote"/>
    <w:aliases w:val="sonb"/>
    <w:basedOn w:val="SOTextNote"/>
    <w:link w:val="SOBulletNoteChar"/>
    <w:qFormat/>
    <w:rsid w:val="003A460F"/>
    <w:pPr>
      <w:tabs>
        <w:tab w:val="left" w:pos="1560"/>
      </w:tabs>
      <w:ind w:left="2268" w:hanging="1134"/>
    </w:pPr>
  </w:style>
  <w:style w:type="character" w:customStyle="1" w:styleId="SOBulletNoteChar">
    <w:name w:val="SO BulletNote Char"/>
    <w:aliases w:val="sonb Char"/>
    <w:basedOn w:val="DefaultParagraphFont"/>
    <w:link w:val="SOBulletNote"/>
    <w:rsid w:val="003A460F"/>
    <w:rPr>
      <w:sz w:val="18"/>
    </w:rPr>
  </w:style>
  <w:style w:type="paragraph" w:customStyle="1" w:styleId="SOBullet">
    <w:name w:val="SO Bullet"/>
    <w:aliases w:val="sotb"/>
    <w:basedOn w:val="Normal"/>
    <w:link w:val="SOBulletChar"/>
    <w:qFormat/>
    <w:rsid w:val="003A460F"/>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3A460F"/>
    <w:rPr>
      <w:sz w:val="22"/>
    </w:rPr>
  </w:style>
  <w:style w:type="paragraph" w:customStyle="1" w:styleId="TableHeading">
    <w:name w:val="TableHeading"/>
    <w:aliases w:val="th"/>
    <w:basedOn w:val="OPCParaBase"/>
    <w:next w:val="Tabletext"/>
    <w:rsid w:val="003A460F"/>
    <w:pPr>
      <w:keepNext/>
      <w:spacing w:before="60" w:line="240" w:lineRule="atLeast"/>
    </w:pPr>
    <w:rPr>
      <w:b/>
      <w:sz w:val="20"/>
    </w:rPr>
  </w:style>
  <w:style w:type="paragraph" w:customStyle="1" w:styleId="SubPartCASA">
    <w:name w:val="SubPart(CASA)"/>
    <w:aliases w:val="csp"/>
    <w:basedOn w:val="OPCParaBase"/>
    <w:next w:val="ActHead3"/>
    <w:rsid w:val="003A460F"/>
    <w:pPr>
      <w:keepNext/>
      <w:keepLines/>
      <w:spacing w:before="280"/>
      <w:ind w:left="1134" w:hanging="1134"/>
      <w:outlineLvl w:val="1"/>
    </w:pPr>
    <w:rPr>
      <w:b/>
      <w:kern w:val="28"/>
      <w:sz w:val="32"/>
    </w:rPr>
  </w:style>
  <w:style w:type="paragraph" w:customStyle="1" w:styleId="SundryBoxBullet">
    <w:name w:val="SundryBoxBullet"/>
    <w:aliases w:val="sbb"/>
    <w:basedOn w:val="Normal"/>
    <w:rsid w:val="003A460F"/>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3A460F"/>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436D9E"/>
    <w:rPr>
      <w:color w:val="0000FF" w:themeColor="hyperlink"/>
      <w:u w:val="single"/>
    </w:rPr>
  </w:style>
  <w:style w:type="character" w:styleId="UnresolvedMention">
    <w:name w:val="Unresolved Mention"/>
    <w:basedOn w:val="DefaultParagraphFont"/>
    <w:uiPriority w:val="99"/>
    <w:semiHidden/>
    <w:unhideWhenUsed/>
    <w:rsid w:val="00436D9E"/>
    <w:rPr>
      <w:color w:val="605E5C"/>
      <w:shd w:val="clear" w:color="auto" w:fill="E1DFDD"/>
    </w:rPr>
  </w:style>
  <w:style w:type="character" w:customStyle="1" w:styleId="Heading1Char">
    <w:name w:val="Heading 1 Char"/>
    <w:basedOn w:val="DefaultParagraphFont"/>
    <w:link w:val="Heading1"/>
    <w:uiPriority w:val="9"/>
    <w:rsid w:val="00CE205A"/>
    <w:rPr>
      <w:rFonts w:ascii="Open Sans ExtraBold" w:hAnsi="Open Sans ExtraBold" w:cs="Open Sans"/>
      <w:color w:val="084D5E"/>
      <w:kern w:val="28"/>
      <w:sz w:val="56"/>
      <w:szCs w:val="56"/>
      <w:lang w:eastAsia="en-AU"/>
    </w:rPr>
  </w:style>
  <w:style w:type="character" w:customStyle="1" w:styleId="Heading2Char">
    <w:name w:val="Heading 2 Char"/>
    <w:basedOn w:val="DefaultParagraphFont"/>
    <w:link w:val="Heading2"/>
    <w:uiPriority w:val="9"/>
    <w:rsid w:val="00D647B8"/>
    <w:rPr>
      <w:rFonts w:ascii="Open Sans ExtraBold" w:hAnsi="Open Sans ExtraBold" w:cs="Open Sans"/>
      <w:b/>
      <w:bCs/>
      <w:color w:val="084D5E"/>
      <w:kern w:val="2"/>
      <w:sz w:val="24"/>
      <w:szCs w:val="24"/>
      <w:lang w:val="fr-CA" w:eastAsia="en-AU"/>
    </w:rPr>
  </w:style>
  <w:style w:type="table" w:styleId="TableGrid">
    <w:name w:val="Table Grid"/>
    <w:basedOn w:val="TableNormal"/>
    <w:uiPriority w:val="39"/>
    <w:rsid w:val="00CE205A"/>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E205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c.gov.au/sites/default/files/resource/download/legislation-handbook-201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4D2AE-B924-4EDE-A1DB-50B91C73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7649</Characters>
  <Application>Microsoft Office Word</Application>
  <DocSecurity>0</DocSecurity>
  <Lines>186</Lines>
  <Paragraphs>112</Paragraphs>
  <ScaleCrop>false</ScaleCrop>
  <HeadingPairs>
    <vt:vector size="2" baseType="variant">
      <vt:variant>
        <vt:lpstr>Title</vt:lpstr>
      </vt:variant>
      <vt:variant>
        <vt:i4>1</vt:i4>
      </vt:variant>
    </vt:vector>
  </HeadingPairs>
  <TitlesOfParts>
    <vt:vector size="1" baseType="lpstr">
      <vt:lpstr>Bills prioritisation and policy authority</vt:lpstr>
    </vt:vector>
  </TitlesOfParts>
  <Company>Office of Parliamentary Counsel</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Bills prioritisation and policy authority</dc:title>
  <dc:subject/>
  <dc:creator>NadineT</dc:creator>
  <cp:keywords/>
  <dc:description/>
  <cp:lastModifiedBy>Berryman, Elentari</cp:lastModifiedBy>
  <cp:revision>2</cp:revision>
  <cp:lastPrinted>2025-10-07T02:56:00Z</cp:lastPrinted>
  <dcterms:created xsi:type="dcterms:W3CDTF">2025-10-15T23:35:00Z</dcterms:created>
  <dcterms:modified xsi:type="dcterms:W3CDTF">2025-10-15T23:35:00Z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