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2EE4" w14:textId="559A7369" w:rsidR="00163856" w:rsidRPr="006A7524" w:rsidRDefault="00EE2F12" w:rsidP="00163856">
      <w:pPr>
        <w:pStyle w:val="Head1"/>
        <w:rPr>
          <w:rFonts w:ascii="Open Sans ExtraBold" w:eastAsiaTheme="minorHAnsi" w:hAnsi="Open Sans ExtraBold" w:cs="Open Sans ExtraBold"/>
          <w:b w:val="0"/>
          <w:color w:val="084D5E"/>
          <w:sz w:val="56"/>
          <w:szCs w:val="56"/>
        </w:rPr>
      </w:pPr>
      <w:r w:rsidRPr="006A7524">
        <w:rPr>
          <w:rFonts w:ascii="Open Sans ExtraBold" w:eastAsiaTheme="minorHAnsi" w:hAnsi="Open Sans ExtraBold" w:cs="Open Sans ExtraBold"/>
          <w:b w:val="0"/>
          <w:color w:val="084D5E"/>
          <w:sz w:val="56"/>
          <w:szCs w:val="56"/>
        </w:rPr>
        <w:t>Instruc</w:t>
      </w:r>
      <w:r w:rsidR="00703299" w:rsidRPr="006A7524">
        <w:rPr>
          <w:rFonts w:ascii="Open Sans ExtraBold" w:eastAsiaTheme="minorHAnsi" w:hAnsi="Open Sans ExtraBold" w:cs="Open Sans ExtraBold"/>
          <w:b w:val="0"/>
          <w:color w:val="084D5E"/>
          <w:sz w:val="56"/>
          <w:szCs w:val="56"/>
        </w:rPr>
        <w:t>tor Guidance Note</w:t>
      </w:r>
      <w:r w:rsidR="00850CB4" w:rsidRPr="00850CB4">
        <w:rPr>
          <w:rFonts w:ascii="Open Sans ExtraBold" w:eastAsiaTheme="minorHAnsi" w:hAnsi="Open Sans ExtraBold" w:cs="Open Sans ExtraBold"/>
          <w:b w:val="0"/>
          <w:color w:val="084D5E"/>
          <w:sz w:val="56"/>
          <w:szCs w:val="56"/>
        </w:rPr>
        <w:t>—</w:t>
      </w:r>
      <w:r w:rsidR="00455D8B">
        <w:rPr>
          <w:rFonts w:ascii="Open Sans ExtraBold" w:eastAsiaTheme="minorHAnsi" w:hAnsi="Open Sans ExtraBold" w:cs="Open Sans ExtraBold"/>
          <w:b w:val="0"/>
          <w:color w:val="084D5E"/>
          <w:sz w:val="56"/>
          <w:szCs w:val="56"/>
        </w:rPr>
        <w:t>D</w:t>
      </w:r>
      <w:r w:rsidR="007D079F">
        <w:rPr>
          <w:rFonts w:ascii="Open Sans ExtraBold" w:eastAsiaTheme="minorHAnsi" w:hAnsi="Open Sans ExtraBold" w:cs="Open Sans ExtraBold"/>
          <w:b w:val="0"/>
          <w:color w:val="084D5E"/>
          <w:sz w:val="56"/>
          <w:szCs w:val="56"/>
        </w:rPr>
        <w:t>rafting instructions</w:t>
      </w:r>
      <w:r w:rsidR="00BE23A7" w:rsidRPr="006A7524">
        <w:rPr>
          <w:rFonts w:ascii="Open Sans ExtraBold" w:eastAsiaTheme="minorHAnsi" w:hAnsi="Open Sans ExtraBold" w:cs="Open Sans ExtraBold"/>
          <w:b w:val="0"/>
          <w:color w:val="084D5E"/>
          <w:sz w:val="56"/>
          <w:szCs w:val="56"/>
        </w:rPr>
        <w:t xml:space="preserve"> template </w:t>
      </w:r>
      <w:r w:rsidR="00455D8B">
        <w:rPr>
          <w:rFonts w:ascii="Open Sans ExtraBold" w:eastAsiaTheme="minorHAnsi" w:hAnsi="Open Sans ExtraBold" w:cs="Open Sans ExtraBold"/>
          <w:b w:val="0"/>
          <w:color w:val="084D5E"/>
          <w:sz w:val="56"/>
          <w:szCs w:val="56"/>
        </w:rPr>
        <w:t xml:space="preserve">(Bills) </w:t>
      </w:r>
      <w:r w:rsidR="00BE23A7" w:rsidRPr="006A7524">
        <w:rPr>
          <w:rFonts w:ascii="Open Sans ExtraBold" w:eastAsiaTheme="minorHAnsi" w:hAnsi="Open Sans ExtraBold" w:cs="Open Sans ExtraBold"/>
          <w:b w:val="0"/>
          <w:color w:val="084D5E"/>
          <w:sz w:val="56"/>
          <w:szCs w:val="56"/>
        </w:rPr>
        <w:t xml:space="preserve">checklist </w:t>
      </w:r>
      <w:r w:rsidR="009F1788" w:rsidRPr="006A7524">
        <w:rPr>
          <w:rFonts w:ascii="Open Sans ExtraBold" w:eastAsiaTheme="minorHAnsi" w:hAnsi="Open Sans ExtraBold" w:cs="Open Sans ExtraBold"/>
          <w:b w:val="0"/>
          <w:color w:val="084D5E"/>
          <w:sz w:val="56"/>
          <w:szCs w:val="56"/>
        </w:rPr>
        <w:t>topics</w:t>
      </w:r>
    </w:p>
    <w:p w14:paraId="35FBBA41" w14:textId="497B4A1E" w:rsidR="005631E4" w:rsidRPr="003D2A60" w:rsidRDefault="00163856"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This </w:t>
      </w:r>
      <w:r w:rsidR="004D3818" w:rsidRPr="004D3818">
        <w:rPr>
          <w:rFonts w:ascii="Open Sans" w:hAnsi="Open Sans" w:cs="Open Sans"/>
          <w:i/>
          <w:iCs/>
          <w:sz w:val="22"/>
          <w:szCs w:val="18"/>
        </w:rPr>
        <w:t>I</w:t>
      </w:r>
      <w:r w:rsidR="00A14923" w:rsidRPr="004D3818">
        <w:rPr>
          <w:rFonts w:ascii="Open Sans" w:hAnsi="Open Sans" w:cs="Open Sans"/>
          <w:i/>
          <w:iCs/>
          <w:sz w:val="22"/>
          <w:szCs w:val="18"/>
        </w:rPr>
        <w:t xml:space="preserve">nstructor </w:t>
      </w:r>
      <w:r w:rsidR="004D3818" w:rsidRPr="004D3818">
        <w:rPr>
          <w:rFonts w:ascii="Open Sans" w:hAnsi="Open Sans" w:cs="Open Sans"/>
          <w:i/>
          <w:iCs/>
          <w:sz w:val="22"/>
          <w:szCs w:val="18"/>
        </w:rPr>
        <w:t>G</w:t>
      </w:r>
      <w:r w:rsidR="00A14923" w:rsidRPr="004D3818">
        <w:rPr>
          <w:rFonts w:ascii="Open Sans" w:hAnsi="Open Sans" w:cs="Open Sans"/>
          <w:i/>
          <w:iCs/>
          <w:sz w:val="22"/>
          <w:szCs w:val="18"/>
        </w:rPr>
        <w:t>uidance</w:t>
      </w:r>
      <w:r w:rsidR="00A14923" w:rsidRPr="006A7524">
        <w:rPr>
          <w:rFonts w:ascii="Open Sans" w:hAnsi="Open Sans" w:cs="Open Sans"/>
          <w:sz w:val="22"/>
          <w:szCs w:val="18"/>
        </w:rPr>
        <w:t xml:space="preserve"> </w:t>
      </w:r>
      <w:r w:rsidR="004D3818" w:rsidRPr="004D3818">
        <w:rPr>
          <w:rFonts w:ascii="Open Sans" w:hAnsi="Open Sans" w:cs="Open Sans"/>
          <w:i/>
          <w:iCs/>
          <w:sz w:val="22"/>
          <w:szCs w:val="18"/>
        </w:rPr>
        <w:t>N</w:t>
      </w:r>
      <w:r w:rsidR="00A14923" w:rsidRPr="004D3818">
        <w:rPr>
          <w:rFonts w:ascii="Open Sans" w:hAnsi="Open Sans" w:cs="Open Sans"/>
          <w:i/>
          <w:iCs/>
          <w:sz w:val="22"/>
          <w:szCs w:val="18"/>
        </w:rPr>
        <w:t>ote</w:t>
      </w:r>
      <w:r w:rsidRPr="006A7524">
        <w:rPr>
          <w:rFonts w:ascii="Open Sans" w:hAnsi="Open Sans" w:cs="Open Sans"/>
          <w:sz w:val="22"/>
          <w:szCs w:val="18"/>
        </w:rPr>
        <w:t xml:space="preserve"> covers </w:t>
      </w:r>
      <w:r w:rsidR="00E92985" w:rsidRPr="006A7524">
        <w:rPr>
          <w:rFonts w:ascii="Open Sans" w:hAnsi="Open Sans" w:cs="Open Sans"/>
          <w:sz w:val="22"/>
          <w:szCs w:val="18"/>
        </w:rPr>
        <w:t>topics</w:t>
      </w:r>
      <w:r w:rsidR="00290B24" w:rsidRPr="006A7524">
        <w:rPr>
          <w:rFonts w:ascii="Open Sans" w:hAnsi="Open Sans" w:cs="Open Sans"/>
          <w:sz w:val="22"/>
          <w:szCs w:val="18"/>
        </w:rPr>
        <w:t xml:space="preserve"> </w:t>
      </w:r>
      <w:r w:rsidR="00E92985" w:rsidRPr="006A7524">
        <w:rPr>
          <w:rFonts w:ascii="Open Sans" w:hAnsi="Open Sans" w:cs="Open Sans"/>
          <w:sz w:val="22"/>
          <w:szCs w:val="18"/>
        </w:rPr>
        <w:t>in</w:t>
      </w:r>
      <w:r w:rsidR="00290B24" w:rsidRPr="006A7524">
        <w:rPr>
          <w:rFonts w:ascii="Open Sans" w:hAnsi="Open Sans" w:cs="Open Sans"/>
          <w:sz w:val="22"/>
          <w:szCs w:val="18"/>
        </w:rPr>
        <w:t xml:space="preserve"> the Part D </w:t>
      </w:r>
      <w:r w:rsidR="00EB16E9">
        <w:rPr>
          <w:rFonts w:ascii="Open Sans" w:hAnsi="Open Sans" w:cs="Open Sans"/>
          <w:sz w:val="22"/>
          <w:szCs w:val="18"/>
        </w:rPr>
        <w:t>c</w:t>
      </w:r>
      <w:r w:rsidR="00290B24" w:rsidRPr="006A7524">
        <w:rPr>
          <w:rFonts w:ascii="Open Sans" w:hAnsi="Open Sans" w:cs="Open Sans"/>
          <w:sz w:val="22"/>
          <w:szCs w:val="18"/>
        </w:rPr>
        <w:t xml:space="preserve">hecklist of the </w:t>
      </w:r>
      <w:hyperlink r:id="rId7" w:history="1">
        <w:r w:rsidR="00290B24" w:rsidRPr="00455D8B">
          <w:rPr>
            <w:rStyle w:val="Hyperlink"/>
            <w:rFonts w:ascii="Open Sans" w:hAnsi="Open Sans" w:cs="Open Sans"/>
            <w:color w:val="auto"/>
            <w:sz w:val="22"/>
            <w:szCs w:val="18"/>
          </w:rPr>
          <w:t xml:space="preserve">Drafting </w:t>
        </w:r>
        <w:r w:rsidR="001603D6" w:rsidRPr="00455D8B">
          <w:rPr>
            <w:rStyle w:val="Hyperlink"/>
            <w:rFonts w:ascii="Open Sans" w:hAnsi="Open Sans" w:cs="Open Sans"/>
            <w:color w:val="auto"/>
            <w:sz w:val="22"/>
            <w:szCs w:val="18"/>
          </w:rPr>
          <w:t>Instructions</w:t>
        </w:r>
        <w:r w:rsidR="00290B24" w:rsidRPr="00455D8B">
          <w:rPr>
            <w:rStyle w:val="Hyperlink"/>
            <w:rFonts w:ascii="Open Sans" w:hAnsi="Open Sans" w:cs="Open Sans"/>
            <w:color w:val="auto"/>
            <w:sz w:val="22"/>
            <w:szCs w:val="18"/>
          </w:rPr>
          <w:t xml:space="preserve"> Template</w:t>
        </w:r>
        <w:r w:rsidR="00755B56" w:rsidRPr="00455D8B">
          <w:rPr>
            <w:rStyle w:val="Hyperlink"/>
            <w:rFonts w:ascii="Open Sans" w:hAnsi="Open Sans" w:cs="Open Sans"/>
            <w:color w:val="auto"/>
            <w:sz w:val="22"/>
            <w:szCs w:val="18"/>
          </w:rPr>
          <w:t xml:space="preserve"> </w:t>
        </w:r>
        <w:r w:rsidR="00455D8B" w:rsidRPr="00455D8B">
          <w:rPr>
            <w:rStyle w:val="Hyperlink"/>
            <w:rFonts w:ascii="Open Sans" w:hAnsi="Open Sans" w:cs="Open Sans"/>
            <w:color w:val="auto"/>
            <w:sz w:val="22"/>
            <w:szCs w:val="18"/>
          </w:rPr>
          <w:t>(Bills)</w:t>
        </w:r>
      </w:hyperlink>
      <w:r w:rsidR="00455D8B">
        <w:rPr>
          <w:rFonts w:ascii="Open Sans" w:hAnsi="Open Sans" w:cs="Open Sans"/>
          <w:sz w:val="22"/>
          <w:szCs w:val="18"/>
        </w:rPr>
        <w:t xml:space="preserve"> </w:t>
      </w:r>
      <w:r w:rsidR="00755B56">
        <w:rPr>
          <w:rFonts w:ascii="Open Sans" w:hAnsi="Open Sans" w:cs="Open Sans"/>
          <w:sz w:val="22"/>
          <w:szCs w:val="18"/>
        </w:rPr>
        <w:t>that agencies are required to use when instructing OPC</w:t>
      </w:r>
      <w:r w:rsidR="00290B24" w:rsidRPr="006A7524">
        <w:rPr>
          <w:rFonts w:ascii="Open Sans" w:hAnsi="Open Sans" w:cs="Open Sans"/>
          <w:sz w:val="22"/>
          <w:szCs w:val="18"/>
        </w:rPr>
        <w:t xml:space="preserve">. </w:t>
      </w:r>
      <w:r w:rsidR="00347E16">
        <w:rPr>
          <w:rFonts w:ascii="Open Sans" w:hAnsi="Open Sans" w:cs="Open Sans"/>
          <w:sz w:val="22"/>
          <w:szCs w:val="18"/>
        </w:rPr>
        <w:t xml:space="preserve">Instructors should consider each topic and provide instructions </w:t>
      </w:r>
      <w:r w:rsidR="003D2A60">
        <w:rPr>
          <w:rFonts w:ascii="Open Sans" w:hAnsi="Open Sans" w:cs="Open Sans"/>
          <w:sz w:val="22"/>
          <w:szCs w:val="18"/>
        </w:rPr>
        <w:t xml:space="preserve">on </w:t>
      </w:r>
      <w:r w:rsidR="001F750A">
        <w:rPr>
          <w:rFonts w:ascii="Open Sans" w:hAnsi="Open Sans" w:cs="Open Sans"/>
          <w:sz w:val="22"/>
          <w:szCs w:val="18"/>
        </w:rPr>
        <w:t>each</w:t>
      </w:r>
      <w:r w:rsidR="003D2A60">
        <w:rPr>
          <w:rFonts w:ascii="Open Sans" w:hAnsi="Open Sans" w:cs="Open Sans"/>
          <w:sz w:val="22"/>
          <w:szCs w:val="18"/>
        </w:rPr>
        <w:t xml:space="preserve"> topic </w:t>
      </w:r>
      <w:r w:rsidR="001F750A">
        <w:rPr>
          <w:rFonts w:ascii="Open Sans" w:hAnsi="Open Sans" w:cs="Open Sans"/>
          <w:sz w:val="22"/>
          <w:szCs w:val="18"/>
        </w:rPr>
        <w:t>as</w:t>
      </w:r>
      <w:r w:rsidR="003D2A60">
        <w:rPr>
          <w:rFonts w:ascii="Open Sans" w:hAnsi="Open Sans" w:cs="Open Sans"/>
          <w:sz w:val="22"/>
          <w:szCs w:val="18"/>
        </w:rPr>
        <w:t xml:space="preserve"> required.</w:t>
      </w:r>
      <w:r w:rsidR="004D3818" w:rsidRPr="003D2A60">
        <w:rPr>
          <w:rFonts w:ascii="Open Sans" w:hAnsi="Open Sans" w:cs="Open Sans"/>
          <w:sz w:val="22"/>
          <w:szCs w:val="18"/>
        </w:rPr>
        <w:t xml:space="preserve"> Other </w:t>
      </w:r>
      <w:r w:rsidR="004D3818" w:rsidRPr="003D2A60">
        <w:rPr>
          <w:rFonts w:ascii="Open Sans" w:hAnsi="Open Sans" w:cs="Open Sans"/>
          <w:i/>
          <w:iCs/>
          <w:sz w:val="22"/>
          <w:szCs w:val="18"/>
        </w:rPr>
        <w:t>Instructor Guidance</w:t>
      </w:r>
      <w:r w:rsidR="004D3818" w:rsidRPr="003D2A60">
        <w:rPr>
          <w:rFonts w:ascii="Open Sans" w:hAnsi="Open Sans" w:cs="Open Sans"/>
          <w:sz w:val="22"/>
          <w:szCs w:val="18"/>
        </w:rPr>
        <w:t xml:space="preserve"> </w:t>
      </w:r>
      <w:r w:rsidR="004D3818" w:rsidRPr="003D2A60">
        <w:rPr>
          <w:rFonts w:ascii="Open Sans" w:hAnsi="Open Sans" w:cs="Open Sans"/>
          <w:i/>
          <w:iCs/>
          <w:sz w:val="22"/>
          <w:szCs w:val="18"/>
        </w:rPr>
        <w:t xml:space="preserve">Notes </w:t>
      </w:r>
      <w:r w:rsidR="00755B56" w:rsidRPr="003D2A60">
        <w:rPr>
          <w:rFonts w:ascii="Open Sans" w:hAnsi="Open Sans" w:cs="Open Sans"/>
          <w:sz w:val="22"/>
          <w:szCs w:val="18"/>
        </w:rPr>
        <w:t xml:space="preserve">deal with other </w:t>
      </w:r>
      <w:r w:rsidR="001F750A">
        <w:rPr>
          <w:rFonts w:ascii="Open Sans" w:hAnsi="Open Sans" w:cs="Open Sans"/>
          <w:sz w:val="22"/>
          <w:szCs w:val="18"/>
        </w:rPr>
        <w:t>topics</w:t>
      </w:r>
      <w:r w:rsidR="00755B56" w:rsidRPr="003D2A60">
        <w:rPr>
          <w:rFonts w:ascii="Open Sans" w:hAnsi="Open Sans" w:cs="Open Sans"/>
          <w:sz w:val="22"/>
          <w:szCs w:val="18"/>
        </w:rPr>
        <w:t xml:space="preserve"> in the checklist.</w:t>
      </w:r>
    </w:p>
    <w:p w14:paraId="3027DE74" w14:textId="77777777" w:rsidR="00163856" w:rsidRPr="006A7524" w:rsidRDefault="00163856" w:rsidP="003D2A60">
      <w:pPr>
        <w:pStyle w:val="Heading2"/>
        <w:keepNext/>
        <w:rPr>
          <w:rFonts w:ascii="Open Sans ExtraBold" w:hAnsi="Open Sans ExtraBold" w:cs="Open Sans ExtraBold"/>
          <w:lang w:val="en-AU"/>
        </w:rPr>
      </w:pPr>
      <w:r w:rsidRPr="006A7524">
        <w:rPr>
          <w:rFonts w:ascii="Open Sans ExtraBold" w:hAnsi="Open Sans ExtraBold" w:cs="Open Sans ExtraBold"/>
          <w:lang w:val="en-AU"/>
        </w:rPr>
        <w:t>Binding the Crown</w:t>
      </w:r>
    </w:p>
    <w:p w14:paraId="09278C1C" w14:textId="70576BED" w:rsidR="004C1B49" w:rsidRDefault="00D62A29"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There is a presumption that an Act is not intended to bind the Crown. </w:t>
      </w:r>
      <w:r w:rsidR="004C1B49">
        <w:rPr>
          <w:rFonts w:ascii="Open Sans" w:hAnsi="Open Sans" w:cs="Open Sans"/>
          <w:sz w:val="22"/>
          <w:szCs w:val="18"/>
        </w:rPr>
        <w:t>This is the starting point unless an Act provides otherwise.</w:t>
      </w:r>
    </w:p>
    <w:p w14:paraId="6375D718" w14:textId="29CA49E2" w:rsidR="007171FA" w:rsidRPr="004D3818" w:rsidRDefault="00A86CAC"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Near the beginning of</w:t>
      </w:r>
      <w:r w:rsidR="00E80CFC" w:rsidRPr="006A7524">
        <w:rPr>
          <w:rFonts w:ascii="Open Sans" w:hAnsi="Open Sans" w:cs="Open Sans"/>
          <w:sz w:val="22"/>
          <w:szCs w:val="18"/>
        </w:rPr>
        <w:t xml:space="preserve"> an Act, </w:t>
      </w:r>
      <w:r w:rsidR="009314CD" w:rsidRPr="006A7524">
        <w:rPr>
          <w:rFonts w:ascii="Open Sans" w:hAnsi="Open Sans" w:cs="Open Sans"/>
          <w:sz w:val="22"/>
          <w:szCs w:val="18"/>
        </w:rPr>
        <w:t xml:space="preserve">there may be a section </w:t>
      </w:r>
      <w:r w:rsidR="00C968A9">
        <w:rPr>
          <w:rFonts w:ascii="Open Sans" w:hAnsi="Open Sans" w:cs="Open Sans"/>
          <w:sz w:val="22"/>
          <w:szCs w:val="18"/>
        </w:rPr>
        <w:t xml:space="preserve">that reads </w:t>
      </w:r>
      <w:r w:rsidR="00973055" w:rsidRPr="006A7524">
        <w:rPr>
          <w:rFonts w:ascii="Open Sans" w:hAnsi="Open Sans" w:cs="Open Sans"/>
          <w:sz w:val="22"/>
          <w:szCs w:val="18"/>
        </w:rPr>
        <w:t>along the lines of</w:t>
      </w:r>
      <w:r w:rsidR="00A05FB8" w:rsidRPr="006A7524">
        <w:rPr>
          <w:rFonts w:ascii="Open Sans" w:hAnsi="Open Sans" w:cs="Open Sans"/>
          <w:sz w:val="22"/>
          <w:szCs w:val="18"/>
        </w:rPr>
        <w:t xml:space="preserve"> </w:t>
      </w:r>
      <w:r w:rsidR="009314CD" w:rsidRPr="006A7524">
        <w:rPr>
          <w:rFonts w:ascii="Open Sans" w:hAnsi="Open Sans" w:cs="Open Sans"/>
          <w:sz w:val="22"/>
          <w:szCs w:val="18"/>
        </w:rPr>
        <w:t>‘</w:t>
      </w:r>
      <w:r w:rsidR="00E80CFC" w:rsidRPr="006A7524">
        <w:rPr>
          <w:rFonts w:ascii="Open Sans" w:hAnsi="Open Sans" w:cs="Open Sans"/>
          <w:sz w:val="22"/>
          <w:szCs w:val="18"/>
        </w:rPr>
        <w:t>Act binds the Crown</w:t>
      </w:r>
      <w:r w:rsidR="009314CD" w:rsidRPr="006A7524">
        <w:rPr>
          <w:rFonts w:ascii="Open Sans" w:hAnsi="Open Sans" w:cs="Open Sans"/>
          <w:sz w:val="22"/>
          <w:szCs w:val="18"/>
        </w:rPr>
        <w:t>’</w:t>
      </w:r>
      <w:r w:rsidR="00E80CFC" w:rsidRPr="006A7524">
        <w:rPr>
          <w:rFonts w:ascii="Open Sans" w:hAnsi="Open Sans" w:cs="Open Sans"/>
          <w:sz w:val="22"/>
          <w:szCs w:val="18"/>
        </w:rPr>
        <w:t>.</w:t>
      </w:r>
      <w:r w:rsidRPr="006A7524">
        <w:rPr>
          <w:rFonts w:ascii="Open Sans" w:hAnsi="Open Sans" w:cs="Open Sans"/>
          <w:sz w:val="22"/>
          <w:szCs w:val="18"/>
        </w:rPr>
        <w:t xml:space="preserve"> </w:t>
      </w:r>
      <w:r w:rsidR="00212737" w:rsidRPr="006A7524">
        <w:rPr>
          <w:rFonts w:ascii="Open Sans" w:hAnsi="Open Sans" w:cs="Open Sans"/>
          <w:sz w:val="22"/>
          <w:szCs w:val="18"/>
        </w:rPr>
        <w:t>T</w:t>
      </w:r>
      <w:r w:rsidRPr="006A7524">
        <w:rPr>
          <w:rFonts w:ascii="Open Sans" w:hAnsi="Open Sans" w:cs="Open Sans"/>
          <w:sz w:val="22"/>
          <w:szCs w:val="18"/>
        </w:rPr>
        <w:t xml:space="preserve">his </w:t>
      </w:r>
      <w:r w:rsidR="00212737" w:rsidRPr="006A7524">
        <w:rPr>
          <w:rFonts w:ascii="Open Sans" w:hAnsi="Open Sans" w:cs="Open Sans"/>
          <w:sz w:val="22"/>
          <w:szCs w:val="18"/>
        </w:rPr>
        <w:t>means</w:t>
      </w:r>
      <w:r w:rsidRPr="006A7524">
        <w:rPr>
          <w:rFonts w:ascii="Open Sans" w:hAnsi="Open Sans" w:cs="Open Sans"/>
          <w:sz w:val="22"/>
          <w:szCs w:val="18"/>
        </w:rPr>
        <w:t xml:space="preserve"> that </w:t>
      </w:r>
      <w:r w:rsidR="000D2294">
        <w:rPr>
          <w:rFonts w:ascii="Open Sans" w:hAnsi="Open Sans" w:cs="Open Sans"/>
          <w:sz w:val="22"/>
          <w:szCs w:val="18"/>
        </w:rPr>
        <w:t>the</w:t>
      </w:r>
      <w:r w:rsidRPr="006A7524">
        <w:rPr>
          <w:rFonts w:ascii="Open Sans" w:hAnsi="Open Sans" w:cs="Open Sans"/>
          <w:sz w:val="22"/>
          <w:szCs w:val="18"/>
        </w:rPr>
        <w:t xml:space="preserve"> </w:t>
      </w:r>
      <w:r w:rsidR="00457C8F">
        <w:rPr>
          <w:rFonts w:ascii="Open Sans" w:hAnsi="Open Sans" w:cs="Open Sans"/>
          <w:sz w:val="22"/>
          <w:szCs w:val="18"/>
        </w:rPr>
        <w:t xml:space="preserve">Act </w:t>
      </w:r>
      <w:r w:rsidR="00CA2ED0" w:rsidRPr="006A7524">
        <w:rPr>
          <w:rFonts w:ascii="Open Sans" w:hAnsi="Open Sans" w:cs="Open Sans"/>
          <w:sz w:val="22"/>
          <w:szCs w:val="18"/>
        </w:rPr>
        <w:t>does apply to the</w:t>
      </w:r>
      <w:r w:rsidRPr="006A7524">
        <w:rPr>
          <w:rFonts w:ascii="Open Sans" w:hAnsi="Open Sans" w:cs="Open Sans"/>
          <w:sz w:val="22"/>
          <w:szCs w:val="18"/>
        </w:rPr>
        <w:t xml:space="preserve"> </w:t>
      </w:r>
      <w:r w:rsidR="00D702DF" w:rsidRPr="006A7524">
        <w:rPr>
          <w:rFonts w:ascii="Open Sans" w:hAnsi="Open Sans" w:cs="Open Sans"/>
          <w:sz w:val="22"/>
          <w:szCs w:val="18"/>
        </w:rPr>
        <w:t>Crown</w:t>
      </w:r>
      <w:r w:rsidR="009907A9">
        <w:rPr>
          <w:rFonts w:ascii="Open Sans" w:hAnsi="Open Sans" w:cs="Open Sans"/>
          <w:sz w:val="22"/>
          <w:szCs w:val="18"/>
        </w:rPr>
        <w:t xml:space="preserve"> and t</w:t>
      </w:r>
      <w:r w:rsidR="001A0FC4" w:rsidRPr="006A7524">
        <w:rPr>
          <w:rFonts w:ascii="Open Sans" w:hAnsi="Open Sans" w:cs="Open Sans"/>
          <w:sz w:val="22"/>
          <w:szCs w:val="18"/>
        </w:rPr>
        <w:t>he Crown must comply with the Act. I</w:t>
      </w:r>
      <w:r w:rsidR="000C2788" w:rsidRPr="006A7524">
        <w:rPr>
          <w:rFonts w:ascii="Open Sans" w:hAnsi="Open Sans" w:cs="Open Sans"/>
          <w:sz w:val="22"/>
          <w:szCs w:val="18"/>
        </w:rPr>
        <w:t>f an Act binds the Crown, this section may also state whether the Crown is liable for offences and civil penalties under that Act</w:t>
      </w:r>
      <w:r w:rsidR="006A4482">
        <w:rPr>
          <w:rFonts w:ascii="Open Sans" w:hAnsi="Open Sans" w:cs="Open Sans"/>
          <w:sz w:val="22"/>
          <w:szCs w:val="18"/>
        </w:rPr>
        <w:t>.</w:t>
      </w:r>
    </w:p>
    <w:p w14:paraId="479457EC" w14:textId="596830EC" w:rsidR="0087309E" w:rsidRPr="006A7524" w:rsidRDefault="00AF6864"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The Crown</w:t>
      </w:r>
      <w:r w:rsidR="00300828" w:rsidRPr="006A7524">
        <w:rPr>
          <w:rFonts w:ascii="Open Sans" w:hAnsi="Open Sans" w:cs="Open Sans"/>
          <w:sz w:val="22"/>
          <w:szCs w:val="18"/>
        </w:rPr>
        <w:t xml:space="preserve"> in this context</w:t>
      </w:r>
      <w:r w:rsidRPr="006A7524">
        <w:rPr>
          <w:rFonts w:ascii="Open Sans" w:hAnsi="Open Sans" w:cs="Open Sans"/>
          <w:sz w:val="22"/>
          <w:szCs w:val="18"/>
        </w:rPr>
        <w:t xml:space="preserve"> refers to </w:t>
      </w:r>
      <w:r w:rsidR="00300828" w:rsidRPr="006A7524">
        <w:rPr>
          <w:rFonts w:ascii="Open Sans" w:hAnsi="Open Sans" w:cs="Open Sans"/>
          <w:sz w:val="22"/>
          <w:szCs w:val="18"/>
        </w:rPr>
        <w:t>the ‘body politic’</w:t>
      </w:r>
      <w:r w:rsidR="00127402" w:rsidRPr="006A7524">
        <w:rPr>
          <w:rFonts w:ascii="Open Sans" w:hAnsi="Open Sans" w:cs="Open Sans"/>
          <w:sz w:val="22"/>
          <w:szCs w:val="18"/>
        </w:rPr>
        <w:t>, being the Commonwealth and each of the States and Territories</w:t>
      </w:r>
      <w:r w:rsidR="00300828" w:rsidRPr="006A7524">
        <w:rPr>
          <w:rFonts w:ascii="Open Sans" w:hAnsi="Open Sans" w:cs="Open Sans"/>
          <w:sz w:val="22"/>
          <w:szCs w:val="18"/>
        </w:rPr>
        <w:t xml:space="preserve">. This means </w:t>
      </w:r>
      <w:r w:rsidR="00AF26BD" w:rsidRPr="006A7524">
        <w:rPr>
          <w:rFonts w:ascii="Open Sans" w:hAnsi="Open Sans" w:cs="Open Sans"/>
          <w:sz w:val="22"/>
          <w:szCs w:val="18"/>
        </w:rPr>
        <w:t>how</w:t>
      </w:r>
      <w:r w:rsidR="00F968DA" w:rsidRPr="006A7524">
        <w:rPr>
          <w:rFonts w:ascii="Open Sans" w:hAnsi="Open Sans" w:cs="Open Sans"/>
          <w:sz w:val="22"/>
          <w:szCs w:val="18"/>
        </w:rPr>
        <w:t xml:space="preserve"> an Act should apply to </w:t>
      </w:r>
      <w:r w:rsidRPr="006A7524">
        <w:rPr>
          <w:rFonts w:ascii="Open Sans" w:hAnsi="Open Sans" w:cs="Open Sans"/>
          <w:sz w:val="22"/>
          <w:szCs w:val="18"/>
        </w:rPr>
        <w:t xml:space="preserve">individual </w:t>
      </w:r>
      <w:r w:rsidR="00F968DA" w:rsidRPr="006A7524">
        <w:rPr>
          <w:rFonts w:ascii="Open Sans" w:hAnsi="Open Sans" w:cs="Open Sans"/>
          <w:sz w:val="22"/>
          <w:szCs w:val="18"/>
        </w:rPr>
        <w:t>Commonwealth</w:t>
      </w:r>
      <w:r w:rsidR="00F330D7" w:rsidRPr="006A7524">
        <w:rPr>
          <w:rFonts w:ascii="Open Sans" w:hAnsi="Open Sans" w:cs="Open Sans"/>
          <w:sz w:val="22"/>
          <w:szCs w:val="18"/>
        </w:rPr>
        <w:t>, State or Territory</w:t>
      </w:r>
      <w:r w:rsidR="00F968DA" w:rsidRPr="006A7524">
        <w:rPr>
          <w:rFonts w:ascii="Open Sans" w:hAnsi="Open Sans" w:cs="Open Sans"/>
          <w:sz w:val="22"/>
          <w:szCs w:val="18"/>
        </w:rPr>
        <w:t xml:space="preserve"> officers</w:t>
      </w:r>
      <w:r w:rsidR="00EA7F97" w:rsidRPr="006A7524">
        <w:rPr>
          <w:rFonts w:ascii="Open Sans" w:hAnsi="Open Sans" w:cs="Open Sans"/>
          <w:sz w:val="22"/>
          <w:szCs w:val="18"/>
        </w:rPr>
        <w:t xml:space="preserve">, or </w:t>
      </w:r>
      <w:r w:rsidR="00E6477F" w:rsidRPr="006A7524">
        <w:rPr>
          <w:rFonts w:ascii="Open Sans" w:hAnsi="Open Sans" w:cs="Open Sans"/>
          <w:sz w:val="22"/>
          <w:szCs w:val="18"/>
        </w:rPr>
        <w:t>Commonwealth</w:t>
      </w:r>
      <w:r w:rsidR="00951E76" w:rsidRPr="006A7524">
        <w:rPr>
          <w:rFonts w:ascii="Open Sans" w:hAnsi="Open Sans" w:cs="Open Sans"/>
          <w:sz w:val="22"/>
          <w:szCs w:val="18"/>
        </w:rPr>
        <w:t>, State or Territory</w:t>
      </w:r>
      <w:r w:rsidR="00E6477F" w:rsidRPr="006A7524">
        <w:rPr>
          <w:rFonts w:ascii="Open Sans" w:hAnsi="Open Sans" w:cs="Open Sans"/>
          <w:sz w:val="22"/>
          <w:szCs w:val="18"/>
        </w:rPr>
        <w:t xml:space="preserve"> bodies corporate</w:t>
      </w:r>
      <w:r w:rsidR="0038111F" w:rsidRPr="006A7524">
        <w:rPr>
          <w:rFonts w:ascii="Open Sans" w:hAnsi="Open Sans" w:cs="Open Sans"/>
          <w:sz w:val="22"/>
          <w:szCs w:val="18"/>
        </w:rPr>
        <w:t>,</w:t>
      </w:r>
      <w:r w:rsidR="00EA7F97" w:rsidRPr="006A7524">
        <w:rPr>
          <w:rFonts w:ascii="Open Sans" w:hAnsi="Open Sans" w:cs="Open Sans"/>
          <w:sz w:val="22"/>
          <w:szCs w:val="18"/>
        </w:rPr>
        <w:t xml:space="preserve"> is a separate question.</w:t>
      </w:r>
    </w:p>
    <w:p w14:paraId="0F48F23D" w14:textId="7A6140D6" w:rsidR="006A1CD9" w:rsidRPr="006A7524" w:rsidRDefault="00BF4B1C"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When</w:t>
      </w:r>
      <w:r w:rsidR="006A1CD9" w:rsidRPr="006A7524">
        <w:rPr>
          <w:rFonts w:ascii="Open Sans" w:hAnsi="Open Sans" w:cs="Open Sans"/>
          <w:sz w:val="22"/>
          <w:szCs w:val="18"/>
        </w:rPr>
        <w:t xml:space="preserve"> preparing instructions for an amending Bill, take into account any existing provision dealing with binding the Crown in the legislation being amended.</w:t>
      </w:r>
    </w:p>
    <w:p w14:paraId="33C44536" w14:textId="53786A6F" w:rsidR="006A1CD9" w:rsidRPr="006A7524" w:rsidRDefault="00053447"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Instructors should consider</w:t>
      </w:r>
      <w:r w:rsidR="00551A5C" w:rsidRPr="006A7524">
        <w:rPr>
          <w:rFonts w:ascii="Open Sans" w:hAnsi="Open Sans" w:cs="Open Sans"/>
          <w:sz w:val="22"/>
          <w:szCs w:val="18"/>
        </w:rPr>
        <w:t xml:space="preserve"> and provide instructions on:</w:t>
      </w:r>
    </w:p>
    <w:p w14:paraId="1F75766B" w14:textId="07D5E524" w:rsidR="00F330D7" w:rsidRPr="006A7524" w:rsidRDefault="00F330D7"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whether the Bill should bind the Commonwealth, State and Territory governments</w:t>
      </w:r>
      <w:r w:rsidR="00640DDD" w:rsidRPr="006A7524">
        <w:rPr>
          <w:rFonts w:ascii="Open Sans" w:hAnsi="Open Sans" w:cs="Open Sans"/>
          <w:sz w:val="22"/>
          <w:szCs w:val="18"/>
        </w:rPr>
        <w:t>;</w:t>
      </w:r>
    </w:p>
    <w:p w14:paraId="76CED22F" w14:textId="2868128E" w:rsidR="00640DDD" w:rsidRPr="006A7524" w:rsidRDefault="00F330D7"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 xml:space="preserve">whether any penalties in the Bill </w:t>
      </w:r>
      <w:r w:rsidR="00640DDD" w:rsidRPr="006A7524">
        <w:rPr>
          <w:rFonts w:ascii="Open Sans" w:hAnsi="Open Sans" w:cs="Open Sans"/>
          <w:sz w:val="22"/>
          <w:szCs w:val="18"/>
        </w:rPr>
        <w:t xml:space="preserve">should </w:t>
      </w:r>
      <w:r w:rsidRPr="006A7524">
        <w:rPr>
          <w:rFonts w:ascii="Open Sans" w:hAnsi="Open Sans" w:cs="Open Sans"/>
          <w:sz w:val="22"/>
          <w:szCs w:val="18"/>
        </w:rPr>
        <w:t>apply to Commonwealth, State and Territory governments</w:t>
      </w:r>
      <w:r w:rsidR="00640DDD" w:rsidRPr="006A7524">
        <w:rPr>
          <w:rFonts w:ascii="Open Sans" w:hAnsi="Open Sans" w:cs="Open Sans"/>
          <w:sz w:val="22"/>
          <w:szCs w:val="18"/>
        </w:rPr>
        <w:t>;</w:t>
      </w:r>
    </w:p>
    <w:p w14:paraId="48F85F33" w14:textId="1046B4F4" w:rsidR="00F330D7" w:rsidRPr="006A7524" w:rsidRDefault="00640DDD"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how</w:t>
      </w:r>
      <w:r w:rsidR="00F330D7" w:rsidRPr="006A7524">
        <w:rPr>
          <w:rFonts w:ascii="Open Sans" w:hAnsi="Open Sans" w:cs="Open Sans"/>
          <w:sz w:val="22"/>
          <w:szCs w:val="18"/>
        </w:rPr>
        <w:t xml:space="preserve"> the Bill </w:t>
      </w:r>
      <w:r w:rsidRPr="006A7524">
        <w:rPr>
          <w:rFonts w:ascii="Open Sans" w:hAnsi="Open Sans" w:cs="Open Sans"/>
          <w:sz w:val="22"/>
          <w:szCs w:val="18"/>
        </w:rPr>
        <w:t xml:space="preserve">should </w:t>
      </w:r>
      <w:r w:rsidR="00F330D7" w:rsidRPr="006A7524">
        <w:rPr>
          <w:rFonts w:ascii="Open Sans" w:hAnsi="Open Sans" w:cs="Open Sans"/>
          <w:sz w:val="22"/>
          <w:szCs w:val="18"/>
        </w:rPr>
        <w:t>apply to other Commonwealth</w:t>
      </w:r>
      <w:r w:rsidR="00410914" w:rsidRPr="006A7524">
        <w:rPr>
          <w:rFonts w:ascii="Open Sans" w:hAnsi="Open Sans" w:cs="Open Sans"/>
          <w:sz w:val="22"/>
          <w:szCs w:val="18"/>
        </w:rPr>
        <w:t>, State and Territory</w:t>
      </w:r>
      <w:r w:rsidR="00F330D7" w:rsidRPr="006A7524">
        <w:rPr>
          <w:rFonts w:ascii="Open Sans" w:hAnsi="Open Sans" w:cs="Open Sans"/>
          <w:sz w:val="22"/>
          <w:szCs w:val="18"/>
        </w:rPr>
        <w:t xml:space="preserve"> bodies</w:t>
      </w:r>
      <w:r w:rsidR="008B289D" w:rsidRPr="006A7524">
        <w:rPr>
          <w:rFonts w:ascii="Open Sans" w:hAnsi="Open Sans" w:cs="Open Sans"/>
          <w:sz w:val="22"/>
          <w:szCs w:val="18"/>
        </w:rPr>
        <w:t>,</w:t>
      </w:r>
      <w:r w:rsidR="00F330D7" w:rsidRPr="006A7524">
        <w:rPr>
          <w:rFonts w:ascii="Open Sans" w:hAnsi="Open Sans" w:cs="Open Sans"/>
          <w:sz w:val="22"/>
          <w:szCs w:val="18"/>
        </w:rPr>
        <w:t xml:space="preserve"> </w:t>
      </w:r>
      <w:r w:rsidR="008B289D" w:rsidRPr="006A7524">
        <w:rPr>
          <w:rFonts w:ascii="Open Sans" w:hAnsi="Open Sans" w:cs="Open Sans"/>
          <w:sz w:val="22"/>
          <w:szCs w:val="18"/>
        </w:rPr>
        <w:t>such as</w:t>
      </w:r>
      <w:r w:rsidR="00F330D7" w:rsidRPr="006A7524">
        <w:rPr>
          <w:rFonts w:ascii="Open Sans" w:hAnsi="Open Sans" w:cs="Open Sans"/>
          <w:sz w:val="22"/>
          <w:szCs w:val="18"/>
        </w:rPr>
        <w:t xml:space="preserve"> Commonwealth bodies corporate</w:t>
      </w:r>
      <w:r w:rsidR="008B289D" w:rsidRPr="006A7524">
        <w:rPr>
          <w:rFonts w:ascii="Open Sans" w:hAnsi="Open Sans" w:cs="Open Sans"/>
          <w:sz w:val="22"/>
          <w:szCs w:val="18"/>
        </w:rPr>
        <w:t>,</w:t>
      </w:r>
      <w:r w:rsidR="00F330D7" w:rsidRPr="006A7524">
        <w:rPr>
          <w:rFonts w:ascii="Open Sans" w:hAnsi="Open Sans" w:cs="Open Sans"/>
          <w:sz w:val="22"/>
          <w:szCs w:val="18"/>
        </w:rPr>
        <w:t xml:space="preserve"> that are separate from the Crown</w:t>
      </w:r>
      <w:r w:rsidRPr="006A7524">
        <w:rPr>
          <w:rFonts w:ascii="Open Sans" w:hAnsi="Open Sans" w:cs="Open Sans"/>
          <w:sz w:val="22"/>
          <w:szCs w:val="18"/>
        </w:rPr>
        <w:t>.</w:t>
      </w:r>
    </w:p>
    <w:p w14:paraId="5DA59CFD" w14:textId="6F9C45D9" w:rsidR="00691196" w:rsidRPr="006A7524" w:rsidRDefault="009314CD"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See also </w:t>
      </w:r>
      <w:r w:rsidR="008E49ED">
        <w:rPr>
          <w:rFonts w:ascii="Open Sans" w:hAnsi="Open Sans" w:cs="Open Sans"/>
          <w:sz w:val="22"/>
          <w:szCs w:val="18"/>
        </w:rPr>
        <w:t>Part 1</w:t>
      </w:r>
      <w:r w:rsidRPr="006A7524">
        <w:rPr>
          <w:rFonts w:ascii="Open Sans" w:hAnsi="Open Sans" w:cs="Open Sans"/>
          <w:sz w:val="22"/>
          <w:szCs w:val="18"/>
        </w:rPr>
        <w:t xml:space="preserve"> of </w:t>
      </w:r>
      <w:proofErr w:type="spellStart"/>
      <w:r w:rsidRPr="006A7524">
        <w:rPr>
          <w:rFonts w:ascii="Open Sans" w:hAnsi="Open Sans" w:cs="Open Sans"/>
          <w:sz w:val="22"/>
          <w:szCs w:val="18"/>
        </w:rPr>
        <w:t>OPC's</w:t>
      </w:r>
      <w:proofErr w:type="spellEnd"/>
      <w:r w:rsidRPr="006A7524">
        <w:rPr>
          <w:rFonts w:ascii="Open Sans" w:hAnsi="Open Sans" w:cs="Open Sans"/>
          <w:sz w:val="22"/>
          <w:szCs w:val="18"/>
        </w:rPr>
        <w:t xml:space="preserve"> </w:t>
      </w:r>
      <w:hyperlink r:id="rId8" w:history="1">
        <w:r w:rsidRPr="006A7524">
          <w:rPr>
            <w:rFonts w:ascii="Open Sans" w:hAnsi="Open Sans" w:cs="Open Sans"/>
            <w:sz w:val="22"/>
            <w:szCs w:val="18"/>
            <w:u w:val="single"/>
          </w:rPr>
          <w:t xml:space="preserve">Drafting </w:t>
        </w:r>
        <w:r w:rsidR="008E49ED">
          <w:rPr>
            <w:rFonts w:ascii="Open Sans" w:hAnsi="Open Sans" w:cs="Open Sans"/>
            <w:sz w:val="22"/>
            <w:szCs w:val="18"/>
            <w:u w:val="single"/>
          </w:rPr>
          <w:t>Direction 3</w:t>
        </w:r>
        <w:r w:rsidRPr="006A7524">
          <w:rPr>
            <w:rFonts w:ascii="Open Sans" w:hAnsi="Open Sans" w:cs="Open Sans"/>
            <w:sz w:val="22"/>
            <w:szCs w:val="18"/>
            <w:u w:val="single"/>
          </w:rPr>
          <w:t>.10</w:t>
        </w:r>
      </w:hyperlink>
      <w:r w:rsidRPr="006A7524">
        <w:rPr>
          <w:rFonts w:ascii="Open Sans" w:hAnsi="Open Sans" w:cs="Open Sans"/>
          <w:sz w:val="22"/>
          <w:szCs w:val="18"/>
        </w:rPr>
        <w:t>.</w:t>
      </w:r>
      <w:r w:rsidR="00F330D7" w:rsidRPr="006A7524">
        <w:rPr>
          <w:rFonts w:ascii="Open Sans" w:hAnsi="Open Sans" w:cs="Open Sans"/>
          <w:sz w:val="22"/>
          <w:szCs w:val="18"/>
        </w:rPr>
        <w:t xml:space="preserve"> This is quite a technical issue and instructors are encouraged to discuss it with the drafters after providing the initial drafting instructions.</w:t>
      </w:r>
    </w:p>
    <w:p w14:paraId="4D91407E" w14:textId="136046D0" w:rsidR="00163856" w:rsidRPr="006A7524" w:rsidRDefault="00163856" w:rsidP="009907A9">
      <w:pPr>
        <w:pStyle w:val="Heading2"/>
        <w:keepNext/>
        <w:rPr>
          <w:rFonts w:ascii="Open Sans ExtraBold" w:hAnsi="Open Sans ExtraBold" w:cs="Open Sans ExtraBold"/>
          <w:lang w:val="en-AU"/>
        </w:rPr>
      </w:pPr>
      <w:r w:rsidRPr="006A7524">
        <w:rPr>
          <w:rFonts w:ascii="Open Sans ExtraBold" w:hAnsi="Open Sans ExtraBold" w:cs="Open Sans ExtraBold"/>
          <w:lang w:val="en-AU"/>
        </w:rPr>
        <w:lastRenderedPageBreak/>
        <w:t xml:space="preserve">Application in external </w:t>
      </w:r>
      <w:r w:rsidR="00AB2DF5" w:rsidRPr="006A7524">
        <w:rPr>
          <w:rFonts w:ascii="Open Sans ExtraBold" w:hAnsi="Open Sans ExtraBold" w:cs="Open Sans ExtraBold"/>
          <w:lang w:val="en-AU"/>
        </w:rPr>
        <w:t>T</w:t>
      </w:r>
      <w:r w:rsidRPr="006A7524">
        <w:rPr>
          <w:rFonts w:ascii="Open Sans ExtraBold" w:hAnsi="Open Sans ExtraBold" w:cs="Open Sans ExtraBold"/>
          <w:lang w:val="en-AU"/>
        </w:rPr>
        <w:t>erritories and outside Australia</w:t>
      </w:r>
    </w:p>
    <w:p w14:paraId="2D549A40" w14:textId="762E807B" w:rsidR="00D55620" w:rsidRPr="00150002" w:rsidRDefault="00D55620" w:rsidP="00150002">
      <w:pPr>
        <w:pStyle w:val="Heading3"/>
        <w:rPr>
          <w:rFonts w:ascii="Open Sans SemiBold" w:hAnsi="Open Sans SemiBold" w:cs="Open Sans SemiBold"/>
          <w:color w:val="084D5E"/>
        </w:rPr>
      </w:pPr>
      <w:r w:rsidRPr="00150002">
        <w:rPr>
          <w:rFonts w:ascii="Open Sans SemiBold" w:hAnsi="Open Sans SemiBold" w:cs="Open Sans SemiBold"/>
          <w:color w:val="084D5E"/>
        </w:rPr>
        <w:t>External Territories and maritime areas</w:t>
      </w:r>
    </w:p>
    <w:p w14:paraId="1631A8FB" w14:textId="0A8C2681" w:rsidR="008401AB" w:rsidRPr="006A7524" w:rsidRDefault="00AD5FC7"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The default position in relation to </w:t>
      </w:r>
      <w:r w:rsidR="00430985" w:rsidRPr="006A7524">
        <w:rPr>
          <w:rFonts w:ascii="Open Sans" w:hAnsi="Open Sans" w:cs="Open Sans"/>
          <w:sz w:val="22"/>
          <w:szCs w:val="18"/>
        </w:rPr>
        <w:t xml:space="preserve">external </w:t>
      </w:r>
      <w:r w:rsidR="00AB2DF5" w:rsidRPr="006A7524">
        <w:rPr>
          <w:rFonts w:ascii="Open Sans" w:hAnsi="Open Sans" w:cs="Open Sans"/>
          <w:sz w:val="22"/>
          <w:szCs w:val="18"/>
        </w:rPr>
        <w:t>T</w:t>
      </w:r>
      <w:r w:rsidR="00430985" w:rsidRPr="006A7524">
        <w:rPr>
          <w:rFonts w:ascii="Open Sans" w:hAnsi="Open Sans" w:cs="Open Sans"/>
          <w:sz w:val="22"/>
          <w:szCs w:val="18"/>
        </w:rPr>
        <w:t>erritories is that an Act applies in relation to Norfolk Island, the Territory of Ashmore and Cartier Islands, the Territory of Christmas Island and the Territory of Cocos (Keeling) Islands. An express provision is required if an Act is intended to apply to:</w:t>
      </w:r>
    </w:p>
    <w:p w14:paraId="7D9026E3" w14:textId="77777777" w:rsidR="00430985" w:rsidRPr="006A7524" w:rsidRDefault="00430985"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the Australian Antarctic Territory;</w:t>
      </w:r>
    </w:p>
    <w:p w14:paraId="05C75390" w14:textId="77777777" w:rsidR="00430985" w:rsidRPr="006A7524" w:rsidRDefault="00430985"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the Coral Sea Islands Territory;</w:t>
      </w:r>
    </w:p>
    <w:p w14:paraId="23DA575B" w14:textId="1FFEF287" w:rsidR="00430985" w:rsidRPr="006A7524" w:rsidRDefault="00430985"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the Territory of Heard Island and McDonald Islands.</w:t>
      </w:r>
    </w:p>
    <w:p w14:paraId="71F2AC80" w14:textId="1E4A234F" w:rsidR="00510620" w:rsidRPr="006A7524" w:rsidRDefault="0042468D"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The default position </w:t>
      </w:r>
      <w:r w:rsidR="008401AB" w:rsidRPr="006A7524">
        <w:rPr>
          <w:rFonts w:ascii="Open Sans" w:hAnsi="Open Sans" w:cs="Open Sans"/>
          <w:sz w:val="22"/>
          <w:szCs w:val="18"/>
        </w:rPr>
        <w:t xml:space="preserve">in relation to maritime areas </w:t>
      </w:r>
      <w:r w:rsidRPr="006A7524">
        <w:rPr>
          <w:rFonts w:ascii="Open Sans" w:hAnsi="Open Sans" w:cs="Open Sans"/>
          <w:sz w:val="22"/>
          <w:szCs w:val="18"/>
        </w:rPr>
        <w:t xml:space="preserve">is that an Act applies in relation to </w:t>
      </w:r>
      <w:r w:rsidR="00AD5FC7" w:rsidRPr="006A7524">
        <w:rPr>
          <w:rFonts w:ascii="Open Sans" w:hAnsi="Open Sans" w:cs="Open Sans"/>
          <w:sz w:val="22"/>
          <w:szCs w:val="18"/>
        </w:rPr>
        <w:t>the Commonwealth’s</w:t>
      </w:r>
      <w:r w:rsidR="00532F32" w:rsidRPr="006A7524">
        <w:rPr>
          <w:rFonts w:ascii="Open Sans" w:hAnsi="Open Sans" w:cs="Open Sans"/>
          <w:sz w:val="22"/>
          <w:szCs w:val="18"/>
        </w:rPr>
        <w:t xml:space="preserve"> internal waters </w:t>
      </w:r>
      <w:r w:rsidRPr="006A7524">
        <w:rPr>
          <w:rFonts w:ascii="Open Sans" w:hAnsi="Open Sans" w:cs="Open Sans"/>
          <w:sz w:val="22"/>
          <w:szCs w:val="18"/>
        </w:rPr>
        <w:t xml:space="preserve">and the coastal sea of Australia (see </w:t>
      </w:r>
      <w:r w:rsidR="008E49ED">
        <w:rPr>
          <w:rFonts w:ascii="Open Sans" w:hAnsi="Open Sans" w:cs="Open Sans"/>
          <w:sz w:val="22"/>
          <w:szCs w:val="18"/>
        </w:rPr>
        <w:t>section 1</w:t>
      </w:r>
      <w:r w:rsidRPr="006A7524">
        <w:rPr>
          <w:rFonts w:ascii="Open Sans" w:hAnsi="Open Sans" w:cs="Open Sans"/>
          <w:sz w:val="22"/>
          <w:szCs w:val="18"/>
        </w:rPr>
        <w:t>5B of the</w:t>
      </w:r>
      <w:r w:rsidRPr="006A7524">
        <w:rPr>
          <w:rFonts w:ascii="Open Sans" w:hAnsi="Open Sans" w:cs="Open Sans"/>
          <w:i/>
          <w:iCs/>
          <w:sz w:val="22"/>
          <w:szCs w:val="18"/>
        </w:rPr>
        <w:t xml:space="preserve"> Acts Interpretation Act 1901</w:t>
      </w:r>
      <w:r w:rsidRPr="006A7524">
        <w:rPr>
          <w:rFonts w:ascii="Open Sans" w:hAnsi="Open Sans" w:cs="Open Sans"/>
          <w:sz w:val="22"/>
          <w:szCs w:val="18"/>
        </w:rPr>
        <w:t>).</w:t>
      </w:r>
      <w:r w:rsidR="00266938" w:rsidRPr="006A7524">
        <w:rPr>
          <w:rFonts w:ascii="Open Sans" w:hAnsi="Open Sans" w:cs="Open Sans"/>
          <w:sz w:val="22"/>
          <w:szCs w:val="18"/>
        </w:rPr>
        <w:t xml:space="preserve"> An express provision </w:t>
      </w:r>
      <w:r w:rsidR="000E075E" w:rsidRPr="006A7524">
        <w:rPr>
          <w:rFonts w:ascii="Open Sans" w:hAnsi="Open Sans" w:cs="Open Sans"/>
          <w:sz w:val="22"/>
          <w:szCs w:val="18"/>
        </w:rPr>
        <w:t>is required</w:t>
      </w:r>
      <w:r w:rsidR="00266938" w:rsidRPr="006A7524">
        <w:rPr>
          <w:rFonts w:ascii="Open Sans" w:hAnsi="Open Sans" w:cs="Open Sans"/>
          <w:sz w:val="22"/>
          <w:szCs w:val="18"/>
        </w:rPr>
        <w:t xml:space="preserve"> if an Act is intended to apply to:</w:t>
      </w:r>
    </w:p>
    <w:p w14:paraId="079BC1FA" w14:textId="1E4B6535" w:rsidR="00266938" w:rsidRPr="006A7524" w:rsidRDefault="00266938"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 xml:space="preserve">the </w:t>
      </w:r>
      <w:r w:rsidR="006D30D7" w:rsidRPr="006A7524">
        <w:rPr>
          <w:rFonts w:ascii="Open Sans" w:hAnsi="Open Sans" w:cs="Open Sans"/>
          <w:sz w:val="22"/>
          <w:szCs w:val="18"/>
        </w:rPr>
        <w:t>c</w:t>
      </w:r>
      <w:r w:rsidRPr="006A7524">
        <w:rPr>
          <w:rFonts w:ascii="Open Sans" w:hAnsi="Open Sans" w:cs="Open Sans"/>
          <w:sz w:val="22"/>
          <w:szCs w:val="18"/>
        </w:rPr>
        <w:t>ontiguous zone;</w:t>
      </w:r>
    </w:p>
    <w:p w14:paraId="33F79EDE" w14:textId="30CCFD23" w:rsidR="00266938" w:rsidRPr="006A7524" w:rsidRDefault="00584ED9"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the exclusive economic zone;</w:t>
      </w:r>
    </w:p>
    <w:p w14:paraId="2480349E" w14:textId="2112E794" w:rsidR="00584ED9" w:rsidRPr="006A7524" w:rsidRDefault="00584ED9"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the continental shelf;</w:t>
      </w:r>
    </w:p>
    <w:p w14:paraId="4DD6B3DF" w14:textId="2FD4B02C" w:rsidR="00235F90" w:rsidRPr="006A7524" w:rsidRDefault="00235F90"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offshore areas in respect of the States and Territories</w:t>
      </w:r>
      <w:r w:rsidR="006D30D7" w:rsidRPr="006A7524">
        <w:rPr>
          <w:rFonts w:ascii="Open Sans" w:hAnsi="Open Sans" w:cs="Open Sans"/>
          <w:sz w:val="22"/>
          <w:szCs w:val="18"/>
        </w:rPr>
        <w:t>.</w:t>
      </w:r>
    </w:p>
    <w:p w14:paraId="676632DF" w14:textId="76F86A7E" w:rsidR="00AB2DF5" w:rsidRPr="006A7524" w:rsidRDefault="00AB2DF5"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It is not common for an Act to require application to external Territories</w:t>
      </w:r>
      <w:r w:rsidR="006D30D7" w:rsidRPr="006A7524">
        <w:rPr>
          <w:rFonts w:ascii="Open Sans" w:hAnsi="Open Sans" w:cs="Open Sans"/>
          <w:sz w:val="22"/>
          <w:szCs w:val="18"/>
        </w:rPr>
        <w:t xml:space="preserve"> or maritime areas</w:t>
      </w:r>
      <w:r w:rsidRPr="006A7524">
        <w:rPr>
          <w:rFonts w:ascii="Open Sans" w:hAnsi="Open Sans" w:cs="Open Sans"/>
          <w:sz w:val="22"/>
          <w:szCs w:val="18"/>
        </w:rPr>
        <w:t xml:space="preserve">. One example of an Act which does have an extended application is the </w:t>
      </w:r>
      <w:r w:rsidRPr="006A7524">
        <w:rPr>
          <w:rFonts w:ascii="Open Sans" w:hAnsi="Open Sans" w:cs="Open Sans"/>
          <w:i/>
          <w:iCs/>
          <w:sz w:val="22"/>
          <w:szCs w:val="18"/>
        </w:rPr>
        <w:t>Offshore Electricity Infrastructure Act 2021</w:t>
      </w:r>
      <w:r w:rsidRPr="006A7524">
        <w:rPr>
          <w:rFonts w:ascii="Open Sans" w:hAnsi="Open Sans" w:cs="Open Sans"/>
          <w:sz w:val="22"/>
          <w:szCs w:val="18"/>
        </w:rPr>
        <w:t xml:space="preserve"> (see </w:t>
      </w:r>
      <w:r w:rsidR="008E49ED">
        <w:rPr>
          <w:rFonts w:ascii="Open Sans" w:hAnsi="Open Sans" w:cs="Open Sans"/>
          <w:sz w:val="22"/>
          <w:szCs w:val="18"/>
        </w:rPr>
        <w:t>section 5</w:t>
      </w:r>
      <w:r w:rsidRPr="006A7524">
        <w:rPr>
          <w:rFonts w:ascii="Open Sans" w:hAnsi="Open Sans" w:cs="Open Sans"/>
          <w:sz w:val="22"/>
          <w:szCs w:val="18"/>
        </w:rPr>
        <w:t xml:space="preserve"> and the definition of Commonwealth offshore area).</w:t>
      </w:r>
    </w:p>
    <w:p w14:paraId="2659A7EC" w14:textId="408D2F18" w:rsidR="002138AC" w:rsidRDefault="00584ED9"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If one of the above </w:t>
      </w:r>
      <w:r w:rsidR="00235F90" w:rsidRPr="006A7524">
        <w:rPr>
          <w:rFonts w:ascii="Open Sans" w:hAnsi="Open Sans" w:cs="Open Sans"/>
          <w:sz w:val="22"/>
          <w:szCs w:val="18"/>
        </w:rPr>
        <w:t xml:space="preserve">express provisions may be required, instructors should </w:t>
      </w:r>
      <w:r w:rsidR="00FA35E3" w:rsidRPr="006A7524">
        <w:rPr>
          <w:rFonts w:ascii="Open Sans" w:hAnsi="Open Sans" w:cs="Open Sans"/>
          <w:sz w:val="22"/>
          <w:szCs w:val="18"/>
        </w:rPr>
        <w:t>consider consulting</w:t>
      </w:r>
      <w:r w:rsidR="00235F90" w:rsidRPr="006A7524">
        <w:rPr>
          <w:rFonts w:ascii="Open Sans" w:hAnsi="Open Sans" w:cs="Open Sans"/>
          <w:sz w:val="22"/>
          <w:szCs w:val="18"/>
        </w:rPr>
        <w:t xml:space="preserve"> with the Office of International Law.</w:t>
      </w:r>
      <w:r w:rsidR="008401AB" w:rsidRPr="006A7524">
        <w:rPr>
          <w:rFonts w:ascii="Open Sans" w:hAnsi="Open Sans" w:cs="Open Sans"/>
          <w:sz w:val="22"/>
          <w:szCs w:val="18"/>
        </w:rPr>
        <w:t xml:space="preserve"> See </w:t>
      </w:r>
      <w:r w:rsidR="008E49ED">
        <w:rPr>
          <w:rFonts w:ascii="Open Sans" w:hAnsi="Open Sans" w:cs="Open Sans"/>
          <w:sz w:val="22"/>
          <w:szCs w:val="18"/>
        </w:rPr>
        <w:t>Part 3</w:t>
      </w:r>
      <w:r w:rsidR="002F5574" w:rsidRPr="006A7524">
        <w:rPr>
          <w:rFonts w:ascii="Open Sans" w:hAnsi="Open Sans" w:cs="Open Sans"/>
          <w:sz w:val="22"/>
          <w:szCs w:val="18"/>
        </w:rPr>
        <w:t xml:space="preserve"> of </w:t>
      </w:r>
      <w:hyperlink r:id="rId9" w:history="1">
        <w:r w:rsidR="002F5574" w:rsidRPr="006A7524">
          <w:rPr>
            <w:rFonts w:ascii="Open Sans" w:hAnsi="Open Sans" w:cs="Open Sans"/>
            <w:sz w:val="22"/>
            <w:szCs w:val="18"/>
            <w:u w:val="single"/>
          </w:rPr>
          <w:t xml:space="preserve">Drafting </w:t>
        </w:r>
        <w:r w:rsidR="008E49ED">
          <w:rPr>
            <w:rFonts w:ascii="Open Sans" w:hAnsi="Open Sans" w:cs="Open Sans"/>
            <w:sz w:val="22"/>
            <w:szCs w:val="18"/>
            <w:u w:val="single"/>
          </w:rPr>
          <w:t>Direction 3</w:t>
        </w:r>
        <w:r w:rsidR="002F5574" w:rsidRPr="006A7524">
          <w:rPr>
            <w:rFonts w:ascii="Open Sans" w:hAnsi="Open Sans" w:cs="Open Sans"/>
            <w:sz w:val="22"/>
            <w:szCs w:val="18"/>
            <w:u w:val="single"/>
          </w:rPr>
          <w:t>.10</w:t>
        </w:r>
      </w:hyperlink>
      <w:r w:rsidR="002F5574" w:rsidRPr="006A7524">
        <w:rPr>
          <w:rFonts w:ascii="Open Sans" w:hAnsi="Open Sans" w:cs="Open Sans"/>
          <w:sz w:val="22"/>
          <w:szCs w:val="18"/>
        </w:rPr>
        <w:t xml:space="preserve"> for more information on external Territories and </w:t>
      </w:r>
      <w:r w:rsidR="008E49ED">
        <w:rPr>
          <w:rFonts w:ascii="Open Sans" w:hAnsi="Open Sans" w:cs="Open Sans"/>
          <w:sz w:val="22"/>
          <w:szCs w:val="18"/>
        </w:rPr>
        <w:t>Part 2</w:t>
      </w:r>
      <w:r w:rsidR="002F5574" w:rsidRPr="006A7524">
        <w:rPr>
          <w:rFonts w:ascii="Open Sans" w:hAnsi="Open Sans" w:cs="Open Sans"/>
          <w:sz w:val="22"/>
          <w:szCs w:val="18"/>
        </w:rPr>
        <w:t xml:space="preserve"> of </w:t>
      </w:r>
      <w:hyperlink r:id="rId10" w:history="1">
        <w:r w:rsidR="008401AB" w:rsidRPr="006A7524">
          <w:rPr>
            <w:rFonts w:ascii="Open Sans" w:hAnsi="Open Sans" w:cs="Open Sans"/>
            <w:sz w:val="22"/>
            <w:szCs w:val="18"/>
            <w:u w:val="single"/>
          </w:rPr>
          <w:t xml:space="preserve">Drafting </w:t>
        </w:r>
        <w:r w:rsidR="008E49ED">
          <w:rPr>
            <w:rFonts w:ascii="Open Sans" w:hAnsi="Open Sans" w:cs="Open Sans"/>
            <w:sz w:val="22"/>
            <w:szCs w:val="18"/>
            <w:u w:val="single"/>
          </w:rPr>
          <w:t>Direction 3</w:t>
        </w:r>
        <w:r w:rsidR="008401AB" w:rsidRPr="006A7524">
          <w:rPr>
            <w:rFonts w:ascii="Open Sans" w:hAnsi="Open Sans" w:cs="Open Sans"/>
            <w:sz w:val="22"/>
            <w:szCs w:val="18"/>
            <w:u w:val="single"/>
          </w:rPr>
          <w:t>.3</w:t>
        </w:r>
      </w:hyperlink>
      <w:r w:rsidR="008401AB" w:rsidRPr="006A7524">
        <w:rPr>
          <w:rFonts w:ascii="Open Sans" w:hAnsi="Open Sans" w:cs="Open Sans"/>
          <w:sz w:val="22"/>
          <w:szCs w:val="18"/>
        </w:rPr>
        <w:t xml:space="preserve"> for more information on maritime areas</w:t>
      </w:r>
      <w:r w:rsidR="00430985" w:rsidRPr="006A7524">
        <w:rPr>
          <w:rFonts w:ascii="Open Sans" w:hAnsi="Open Sans" w:cs="Open Sans"/>
          <w:sz w:val="22"/>
          <w:szCs w:val="18"/>
        </w:rPr>
        <w:t>.</w:t>
      </w:r>
    </w:p>
    <w:p w14:paraId="318DD107" w14:textId="77777777" w:rsidR="00E43112" w:rsidRPr="006A7524" w:rsidRDefault="00E43112" w:rsidP="00E43112">
      <w:pPr>
        <w:pStyle w:val="BodyNum"/>
        <w:numPr>
          <w:ilvl w:val="0"/>
          <w:numId w:val="0"/>
        </w:numPr>
        <w:rPr>
          <w:rFonts w:ascii="Open Sans" w:hAnsi="Open Sans" w:cs="Open Sans"/>
          <w:sz w:val="22"/>
          <w:szCs w:val="18"/>
        </w:rPr>
      </w:pPr>
    </w:p>
    <w:p w14:paraId="02785CE5" w14:textId="732654EA" w:rsidR="00D55620" w:rsidRPr="000730DD" w:rsidRDefault="00D55620" w:rsidP="000730DD">
      <w:pPr>
        <w:pStyle w:val="Heading3"/>
        <w:rPr>
          <w:rFonts w:ascii="Open Sans SemiBold" w:hAnsi="Open Sans SemiBold" w:cs="Open Sans SemiBold"/>
          <w:color w:val="084D5E"/>
        </w:rPr>
      </w:pPr>
      <w:r w:rsidRPr="000730DD">
        <w:rPr>
          <w:rFonts w:ascii="Open Sans SemiBold" w:hAnsi="Open Sans SemiBold" w:cs="Open Sans SemiBold"/>
          <w:color w:val="084D5E"/>
        </w:rPr>
        <w:t>Other countries</w:t>
      </w:r>
    </w:p>
    <w:p w14:paraId="110DB76C" w14:textId="1ED07ED2" w:rsidR="00D55620" w:rsidRDefault="00B05E05"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The default position is that references to places, matters and things in an Act are references to places, matters and things in the Commonwealth</w:t>
      </w:r>
      <w:r w:rsidR="00B65EDB" w:rsidRPr="006A7524">
        <w:rPr>
          <w:rFonts w:ascii="Open Sans" w:hAnsi="Open Sans" w:cs="Open Sans"/>
          <w:sz w:val="22"/>
          <w:szCs w:val="18"/>
        </w:rPr>
        <w:t xml:space="preserve"> (see </w:t>
      </w:r>
      <w:r w:rsidR="008E49ED">
        <w:rPr>
          <w:rFonts w:ascii="Open Sans" w:hAnsi="Open Sans" w:cs="Open Sans"/>
          <w:sz w:val="22"/>
          <w:szCs w:val="18"/>
        </w:rPr>
        <w:t>section 2</w:t>
      </w:r>
      <w:r w:rsidR="00B65EDB" w:rsidRPr="006A7524">
        <w:rPr>
          <w:rFonts w:ascii="Open Sans" w:hAnsi="Open Sans" w:cs="Open Sans"/>
          <w:sz w:val="22"/>
          <w:szCs w:val="18"/>
        </w:rPr>
        <w:t>1 of the</w:t>
      </w:r>
      <w:r w:rsidR="00B65EDB" w:rsidRPr="006A7524">
        <w:rPr>
          <w:rFonts w:ascii="Open Sans" w:hAnsi="Open Sans" w:cs="Open Sans"/>
          <w:i/>
          <w:iCs/>
          <w:sz w:val="22"/>
          <w:szCs w:val="18"/>
        </w:rPr>
        <w:t xml:space="preserve"> Acts Interpretation Act 1901</w:t>
      </w:r>
      <w:r w:rsidR="00B65EDB" w:rsidRPr="006A7524">
        <w:rPr>
          <w:rFonts w:ascii="Open Sans" w:hAnsi="Open Sans" w:cs="Open Sans"/>
          <w:sz w:val="22"/>
          <w:szCs w:val="18"/>
        </w:rPr>
        <w:t xml:space="preserve">). If an Act is intended to apply to things outside the Commonwealth, the Office of International Law should be consulted </w:t>
      </w:r>
      <w:r w:rsidR="00A45F02">
        <w:rPr>
          <w:rFonts w:ascii="Open Sans" w:hAnsi="Open Sans" w:cs="Open Sans"/>
          <w:sz w:val="22"/>
          <w:szCs w:val="18"/>
        </w:rPr>
        <w:t xml:space="preserve">before providing </w:t>
      </w:r>
      <w:r w:rsidR="00B65EDB" w:rsidRPr="006A7524">
        <w:rPr>
          <w:rFonts w:ascii="Open Sans" w:hAnsi="Open Sans" w:cs="Open Sans"/>
          <w:sz w:val="22"/>
          <w:szCs w:val="18"/>
        </w:rPr>
        <w:t>instructions.</w:t>
      </w:r>
    </w:p>
    <w:p w14:paraId="3E848E35" w14:textId="77777777" w:rsidR="00850CB4" w:rsidRDefault="00850CB4" w:rsidP="00850CB4">
      <w:pPr>
        <w:pStyle w:val="BodyNum"/>
        <w:numPr>
          <w:ilvl w:val="0"/>
          <w:numId w:val="0"/>
        </w:numPr>
        <w:rPr>
          <w:rFonts w:ascii="Open Sans" w:hAnsi="Open Sans" w:cs="Open Sans"/>
          <w:sz w:val="22"/>
          <w:szCs w:val="18"/>
        </w:rPr>
      </w:pPr>
    </w:p>
    <w:p w14:paraId="6DCBFA54" w14:textId="77777777" w:rsidR="00850CB4" w:rsidRPr="006A7524" w:rsidRDefault="00850CB4" w:rsidP="00850CB4">
      <w:pPr>
        <w:pStyle w:val="BodyNum"/>
        <w:numPr>
          <w:ilvl w:val="0"/>
          <w:numId w:val="0"/>
        </w:numPr>
        <w:rPr>
          <w:rFonts w:ascii="Open Sans" w:hAnsi="Open Sans" w:cs="Open Sans"/>
          <w:sz w:val="22"/>
          <w:szCs w:val="18"/>
        </w:rPr>
      </w:pPr>
    </w:p>
    <w:p w14:paraId="1F601CDA" w14:textId="3944984E" w:rsidR="00D55620" w:rsidRPr="000730DD" w:rsidRDefault="00D55620" w:rsidP="000730DD">
      <w:pPr>
        <w:pStyle w:val="Heading3"/>
        <w:rPr>
          <w:rFonts w:ascii="Open Sans SemiBold" w:hAnsi="Open Sans SemiBold" w:cs="Open Sans SemiBold"/>
          <w:color w:val="084D5E"/>
        </w:rPr>
      </w:pPr>
      <w:r w:rsidRPr="000730DD">
        <w:rPr>
          <w:rFonts w:ascii="Open Sans SemiBold" w:hAnsi="Open Sans SemiBold" w:cs="Open Sans SemiBold"/>
          <w:color w:val="084D5E"/>
        </w:rPr>
        <w:lastRenderedPageBreak/>
        <w:t>Geographical jurisdiction of offences</w:t>
      </w:r>
    </w:p>
    <w:p w14:paraId="12CB0BBA" w14:textId="3A599B28" w:rsidR="00AB2DF5" w:rsidRPr="006A7524" w:rsidRDefault="00FA35E3"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The geographical jurisdiction of offences in an Act is a separate question.</w:t>
      </w:r>
    </w:p>
    <w:p w14:paraId="49818A20" w14:textId="5AA2DFE7" w:rsidR="00FA35E3" w:rsidRPr="006A7524" w:rsidRDefault="008E49ED" w:rsidP="00062852">
      <w:pPr>
        <w:pStyle w:val="BodyNum"/>
        <w:numPr>
          <w:ilvl w:val="0"/>
          <w:numId w:val="2"/>
        </w:numPr>
        <w:rPr>
          <w:rFonts w:ascii="Open Sans" w:hAnsi="Open Sans" w:cs="Open Sans"/>
          <w:sz w:val="22"/>
          <w:szCs w:val="18"/>
        </w:rPr>
      </w:pPr>
      <w:r>
        <w:rPr>
          <w:rFonts w:ascii="Open Sans" w:hAnsi="Open Sans" w:cs="Open Sans"/>
          <w:sz w:val="22"/>
          <w:szCs w:val="18"/>
        </w:rPr>
        <w:t>Part 2</w:t>
      </w:r>
      <w:r w:rsidR="00FA35E3" w:rsidRPr="006A7524">
        <w:rPr>
          <w:rFonts w:ascii="Open Sans" w:hAnsi="Open Sans" w:cs="Open Sans"/>
          <w:sz w:val="22"/>
          <w:szCs w:val="18"/>
        </w:rPr>
        <w:t xml:space="preserve">.7 of the </w:t>
      </w:r>
      <w:r w:rsidR="00FA35E3" w:rsidRPr="006A7524">
        <w:rPr>
          <w:rFonts w:ascii="Open Sans" w:hAnsi="Open Sans" w:cs="Open Sans"/>
          <w:i/>
          <w:iCs/>
          <w:sz w:val="22"/>
          <w:szCs w:val="18"/>
        </w:rPr>
        <w:t>Criminal Code</w:t>
      </w:r>
      <w:r w:rsidR="00FA35E3" w:rsidRPr="006A7524">
        <w:rPr>
          <w:rFonts w:ascii="Open Sans" w:hAnsi="Open Sans" w:cs="Open Sans"/>
          <w:sz w:val="22"/>
          <w:szCs w:val="18"/>
        </w:rPr>
        <w:t xml:space="preserve"> deals with geographical jurisdiction of offences. The default position is that if any part of the conduct constituting an offence occurs in Australia or on an Australian aircraft or ship, the offence applies. The offence also applies if any part of the result of the conduct constituting the offence occurs in Australia or on an Australian aircraft or ship (see </w:t>
      </w:r>
      <w:r>
        <w:rPr>
          <w:rFonts w:ascii="Open Sans" w:hAnsi="Open Sans" w:cs="Open Sans"/>
          <w:sz w:val="22"/>
          <w:szCs w:val="18"/>
        </w:rPr>
        <w:t>section 1</w:t>
      </w:r>
      <w:r w:rsidR="00FA35E3" w:rsidRPr="006A7524">
        <w:rPr>
          <w:rFonts w:ascii="Open Sans" w:hAnsi="Open Sans" w:cs="Open Sans"/>
          <w:sz w:val="22"/>
          <w:szCs w:val="18"/>
        </w:rPr>
        <w:t>4.1</w:t>
      </w:r>
      <w:r w:rsidR="00D55620" w:rsidRPr="006A7524">
        <w:rPr>
          <w:rFonts w:ascii="Open Sans" w:hAnsi="Open Sans" w:cs="Open Sans"/>
          <w:sz w:val="22"/>
          <w:szCs w:val="18"/>
        </w:rPr>
        <w:t xml:space="preserve"> of the </w:t>
      </w:r>
      <w:r w:rsidR="00D55620" w:rsidRPr="006A7524">
        <w:rPr>
          <w:rFonts w:ascii="Open Sans" w:hAnsi="Open Sans" w:cs="Open Sans"/>
          <w:i/>
          <w:iCs/>
          <w:sz w:val="22"/>
          <w:szCs w:val="18"/>
        </w:rPr>
        <w:t>Criminal Code</w:t>
      </w:r>
      <w:r w:rsidR="00FA35E3" w:rsidRPr="006A7524">
        <w:rPr>
          <w:rFonts w:ascii="Open Sans" w:hAnsi="Open Sans" w:cs="Open Sans"/>
          <w:sz w:val="22"/>
          <w:szCs w:val="18"/>
        </w:rPr>
        <w:t>).</w:t>
      </w:r>
    </w:p>
    <w:p w14:paraId="222B790F" w14:textId="6C023911" w:rsidR="002138AC" w:rsidRPr="006A7524" w:rsidRDefault="00FA35E3"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If extended geographical jurisdiction is required, </w:t>
      </w:r>
      <w:r w:rsidR="008E49ED">
        <w:rPr>
          <w:rFonts w:ascii="Open Sans" w:hAnsi="Open Sans" w:cs="Open Sans"/>
          <w:sz w:val="22"/>
          <w:szCs w:val="18"/>
        </w:rPr>
        <w:t>sections 1</w:t>
      </w:r>
      <w:r w:rsidRPr="006A7524">
        <w:rPr>
          <w:rFonts w:ascii="Open Sans" w:hAnsi="Open Sans" w:cs="Open Sans"/>
          <w:sz w:val="22"/>
          <w:szCs w:val="18"/>
        </w:rPr>
        <w:t>5.1 to 15.4 of the Criminal Code provide</w:t>
      </w:r>
      <w:r w:rsidR="00053447" w:rsidRPr="006A7524">
        <w:rPr>
          <w:rFonts w:ascii="Open Sans" w:hAnsi="Open Sans" w:cs="Open Sans"/>
          <w:sz w:val="22"/>
          <w:szCs w:val="18"/>
        </w:rPr>
        <w:t xml:space="preserve"> options</w:t>
      </w:r>
      <w:r w:rsidRPr="006A7524">
        <w:rPr>
          <w:rFonts w:ascii="Open Sans" w:hAnsi="Open Sans" w:cs="Open Sans"/>
          <w:sz w:val="22"/>
          <w:szCs w:val="18"/>
        </w:rPr>
        <w:t xml:space="preserve"> for alternative geographical jurisdictions. The </w:t>
      </w:r>
      <w:hyperlink r:id="rId11" w:history="1">
        <w:r w:rsidRPr="006A7524">
          <w:rPr>
            <w:rFonts w:ascii="Open Sans" w:hAnsi="Open Sans" w:cs="Open Sans"/>
            <w:sz w:val="22"/>
            <w:szCs w:val="18"/>
            <w:u w:val="single"/>
          </w:rPr>
          <w:t>Guide to Framing Commonwealth Offences</w:t>
        </w:r>
      </w:hyperlink>
      <w:r w:rsidRPr="006A7524">
        <w:rPr>
          <w:rFonts w:ascii="Open Sans" w:hAnsi="Open Sans" w:cs="Open Sans"/>
          <w:sz w:val="22"/>
          <w:szCs w:val="18"/>
        </w:rPr>
        <w:t xml:space="preserve"> states that caution should be exercised before extending geographical jurisdiction beyond the standard position </w:t>
      </w:r>
      <w:r w:rsidR="00D55620" w:rsidRPr="006A7524">
        <w:rPr>
          <w:rFonts w:ascii="Open Sans" w:hAnsi="Open Sans" w:cs="Open Sans"/>
          <w:sz w:val="22"/>
          <w:szCs w:val="18"/>
        </w:rPr>
        <w:t xml:space="preserve">set out </w:t>
      </w:r>
      <w:r w:rsidRPr="006A7524">
        <w:rPr>
          <w:rFonts w:ascii="Open Sans" w:hAnsi="Open Sans" w:cs="Open Sans"/>
          <w:sz w:val="22"/>
          <w:szCs w:val="18"/>
        </w:rPr>
        <w:t xml:space="preserve">in </w:t>
      </w:r>
      <w:r w:rsidR="008E49ED">
        <w:rPr>
          <w:rFonts w:ascii="Open Sans" w:hAnsi="Open Sans" w:cs="Open Sans"/>
          <w:sz w:val="22"/>
          <w:szCs w:val="18"/>
        </w:rPr>
        <w:t>section 1</w:t>
      </w:r>
      <w:r w:rsidRPr="006A7524">
        <w:rPr>
          <w:rFonts w:ascii="Open Sans" w:hAnsi="Open Sans" w:cs="Open Sans"/>
          <w:sz w:val="22"/>
          <w:szCs w:val="18"/>
        </w:rPr>
        <w:t xml:space="preserve">4.1. Also see </w:t>
      </w:r>
      <w:r w:rsidR="008E49ED">
        <w:rPr>
          <w:rFonts w:ascii="Open Sans" w:hAnsi="Open Sans" w:cs="Open Sans"/>
          <w:sz w:val="22"/>
          <w:szCs w:val="18"/>
        </w:rPr>
        <w:t>Part 6</w:t>
      </w:r>
      <w:r w:rsidRPr="006A7524">
        <w:rPr>
          <w:rFonts w:ascii="Open Sans" w:hAnsi="Open Sans" w:cs="Open Sans"/>
          <w:sz w:val="22"/>
          <w:szCs w:val="18"/>
        </w:rPr>
        <w:t xml:space="preserve"> of </w:t>
      </w:r>
      <w:hyperlink r:id="rId12" w:history="1">
        <w:r w:rsidRPr="006A7524">
          <w:rPr>
            <w:rFonts w:ascii="Open Sans" w:hAnsi="Open Sans" w:cs="Open Sans"/>
            <w:sz w:val="22"/>
            <w:szCs w:val="18"/>
            <w:u w:val="single"/>
          </w:rPr>
          <w:t xml:space="preserve">Drafting </w:t>
        </w:r>
        <w:r w:rsidR="008E49ED">
          <w:rPr>
            <w:rFonts w:ascii="Open Sans" w:hAnsi="Open Sans" w:cs="Open Sans"/>
            <w:sz w:val="22"/>
            <w:szCs w:val="18"/>
            <w:u w:val="single"/>
          </w:rPr>
          <w:t>Direction 3</w:t>
        </w:r>
        <w:r w:rsidRPr="006A7524">
          <w:rPr>
            <w:rFonts w:ascii="Open Sans" w:hAnsi="Open Sans" w:cs="Open Sans"/>
            <w:sz w:val="22"/>
            <w:szCs w:val="18"/>
            <w:u w:val="single"/>
          </w:rPr>
          <w:t>.5</w:t>
        </w:r>
      </w:hyperlink>
      <w:r w:rsidRPr="006A7524">
        <w:rPr>
          <w:rFonts w:ascii="Open Sans" w:hAnsi="Open Sans" w:cs="Open Sans"/>
          <w:sz w:val="22"/>
          <w:szCs w:val="18"/>
        </w:rPr>
        <w:t xml:space="preserve"> for more information.</w:t>
      </w:r>
    </w:p>
    <w:p w14:paraId="4F5F5E4F" w14:textId="13B3D21F" w:rsidR="00B65EDB" w:rsidRPr="006A7524" w:rsidRDefault="00B65EDB"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When preparing instructions for an amending Bill, take into account any existing </w:t>
      </w:r>
      <w:r w:rsidR="00DC53CF" w:rsidRPr="006A7524">
        <w:rPr>
          <w:rFonts w:ascii="Open Sans" w:hAnsi="Open Sans" w:cs="Open Sans"/>
          <w:sz w:val="22"/>
          <w:szCs w:val="18"/>
        </w:rPr>
        <w:t>provisions dealing with these matters</w:t>
      </w:r>
      <w:r w:rsidRPr="006A7524">
        <w:rPr>
          <w:rFonts w:ascii="Open Sans" w:hAnsi="Open Sans" w:cs="Open Sans"/>
          <w:sz w:val="22"/>
          <w:szCs w:val="18"/>
        </w:rPr>
        <w:t xml:space="preserve"> in the legislation being amended.</w:t>
      </w:r>
    </w:p>
    <w:p w14:paraId="1972E3FC" w14:textId="5897B749" w:rsidR="00AB2DF5" w:rsidRPr="006A7524" w:rsidRDefault="00053447"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In summary, i</w:t>
      </w:r>
      <w:r w:rsidR="00AB2DF5" w:rsidRPr="006A7524">
        <w:rPr>
          <w:rFonts w:ascii="Open Sans" w:hAnsi="Open Sans" w:cs="Open Sans"/>
          <w:sz w:val="22"/>
          <w:szCs w:val="18"/>
        </w:rPr>
        <w:t xml:space="preserve">nstructors should </w:t>
      </w:r>
      <w:r w:rsidRPr="006A7524">
        <w:rPr>
          <w:rFonts w:ascii="Open Sans" w:hAnsi="Open Sans" w:cs="Open Sans"/>
          <w:sz w:val="22"/>
          <w:szCs w:val="18"/>
        </w:rPr>
        <w:t>consider</w:t>
      </w:r>
      <w:r w:rsidR="00860275" w:rsidRPr="006A7524">
        <w:rPr>
          <w:rFonts w:ascii="Open Sans" w:hAnsi="Open Sans" w:cs="Open Sans"/>
          <w:sz w:val="22"/>
          <w:szCs w:val="18"/>
        </w:rPr>
        <w:t xml:space="preserve"> and </w:t>
      </w:r>
      <w:r w:rsidR="00B65EDB" w:rsidRPr="006A7524">
        <w:rPr>
          <w:rFonts w:ascii="Open Sans" w:hAnsi="Open Sans" w:cs="Open Sans"/>
          <w:sz w:val="22"/>
          <w:szCs w:val="18"/>
        </w:rPr>
        <w:t>provide instructions</w:t>
      </w:r>
      <w:r w:rsidR="00860275" w:rsidRPr="006A7524">
        <w:rPr>
          <w:rFonts w:ascii="Open Sans" w:hAnsi="Open Sans" w:cs="Open Sans"/>
          <w:sz w:val="22"/>
          <w:szCs w:val="18"/>
        </w:rPr>
        <w:t xml:space="preserve"> on</w:t>
      </w:r>
      <w:r w:rsidR="00AB2DF5" w:rsidRPr="006A7524">
        <w:rPr>
          <w:rFonts w:ascii="Open Sans" w:hAnsi="Open Sans" w:cs="Open Sans"/>
          <w:sz w:val="22"/>
          <w:szCs w:val="18"/>
        </w:rPr>
        <w:t>:</w:t>
      </w:r>
    </w:p>
    <w:p w14:paraId="7CDBEFD3" w14:textId="3EC16EB3" w:rsidR="00AB2DF5" w:rsidRPr="006A7524" w:rsidRDefault="00FA35E3"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whether the Bill</w:t>
      </w:r>
      <w:r w:rsidR="00AB2DF5" w:rsidRPr="006A7524">
        <w:rPr>
          <w:rFonts w:ascii="Open Sans" w:hAnsi="Open Sans" w:cs="Open Sans"/>
          <w:sz w:val="22"/>
          <w:szCs w:val="18"/>
        </w:rPr>
        <w:t xml:space="preserve"> </w:t>
      </w:r>
      <w:r w:rsidRPr="006A7524">
        <w:rPr>
          <w:rFonts w:ascii="Open Sans" w:hAnsi="Open Sans" w:cs="Open Sans"/>
          <w:sz w:val="22"/>
          <w:szCs w:val="18"/>
        </w:rPr>
        <w:t xml:space="preserve">should </w:t>
      </w:r>
      <w:r w:rsidR="00AB2DF5" w:rsidRPr="006A7524">
        <w:rPr>
          <w:rFonts w:ascii="Open Sans" w:hAnsi="Open Sans" w:cs="Open Sans"/>
          <w:sz w:val="22"/>
          <w:szCs w:val="18"/>
        </w:rPr>
        <w:t>apply in any of the external Territories</w:t>
      </w:r>
      <w:r w:rsidRPr="006A7524">
        <w:rPr>
          <w:rFonts w:ascii="Open Sans" w:hAnsi="Open Sans" w:cs="Open Sans"/>
          <w:sz w:val="22"/>
          <w:szCs w:val="18"/>
        </w:rPr>
        <w:t>;</w:t>
      </w:r>
    </w:p>
    <w:p w14:paraId="1415DEDC" w14:textId="30549B9B" w:rsidR="00AB2DF5" w:rsidRPr="006A7524" w:rsidRDefault="00FA35E3"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whether</w:t>
      </w:r>
      <w:r w:rsidR="00AB2DF5" w:rsidRPr="006A7524">
        <w:rPr>
          <w:rFonts w:ascii="Open Sans" w:hAnsi="Open Sans" w:cs="Open Sans"/>
          <w:sz w:val="22"/>
          <w:szCs w:val="18"/>
        </w:rPr>
        <w:t xml:space="preserve"> the Bill </w:t>
      </w:r>
      <w:r w:rsidRPr="006A7524">
        <w:rPr>
          <w:rFonts w:ascii="Open Sans" w:hAnsi="Open Sans" w:cs="Open Sans"/>
          <w:sz w:val="22"/>
          <w:szCs w:val="18"/>
        </w:rPr>
        <w:t>should</w:t>
      </w:r>
      <w:r w:rsidR="00AB2DF5" w:rsidRPr="006A7524">
        <w:rPr>
          <w:rFonts w:ascii="Open Sans" w:hAnsi="Open Sans" w:cs="Open Sans"/>
          <w:sz w:val="22"/>
          <w:szCs w:val="18"/>
        </w:rPr>
        <w:t xml:space="preserve"> have any application to persons, or matters occurring, outside Australia and the external Territories</w:t>
      </w:r>
      <w:r w:rsidRPr="006A7524">
        <w:rPr>
          <w:rFonts w:ascii="Open Sans" w:hAnsi="Open Sans" w:cs="Open Sans"/>
          <w:sz w:val="22"/>
          <w:szCs w:val="18"/>
        </w:rPr>
        <w:t>.</w:t>
      </w:r>
    </w:p>
    <w:p w14:paraId="79CF1EBF" w14:textId="19E808E3" w:rsidR="00345721" w:rsidRPr="006A7524" w:rsidRDefault="00345721"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These are quite technical issues and instructors are encouraged to discuss them with the drafters after providing the initial drafting instructions.</w:t>
      </w:r>
    </w:p>
    <w:p w14:paraId="0D0C3AFB" w14:textId="250AF46C" w:rsidR="00163856" w:rsidRPr="006A7524" w:rsidRDefault="00860275" w:rsidP="003D2A60">
      <w:pPr>
        <w:pStyle w:val="Heading2"/>
        <w:keepNext/>
        <w:rPr>
          <w:rFonts w:ascii="Open Sans ExtraBold" w:hAnsi="Open Sans ExtraBold" w:cs="Open Sans ExtraBold"/>
          <w:lang w:val="en-AU"/>
        </w:rPr>
      </w:pPr>
      <w:r w:rsidRPr="006A7524">
        <w:rPr>
          <w:rFonts w:ascii="Open Sans ExtraBold" w:hAnsi="Open Sans ExtraBold" w:cs="Open Sans ExtraBold"/>
          <w:lang w:val="en-AU"/>
        </w:rPr>
        <w:t>Consequences for non</w:t>
      </w:r>
      <w:r w:rsidR="008E49ED">
        <w:rPr>
          <w:rFonts w:ascii="Open Sans ExtraBold" w:hAnsi="Open Sans ExtraBold" w:cs="Open Sans ExtraBold"/>
          <w:lang w:val="en-AU"/>
        </w:rPr>
        <w:noBreakHyphen/>
      </w:r>
      <w:r w:rsidRPr="006A7524">
        <w:rPr>
          <w:rFonts w:ascii="Open Sans ExtraBold" w:hAnsi="Open Sans ExtraBold" w:cs="Open Sans ExtraBold"/>
          <w:lang w:val="en-AU"/>
        </w:rPr>
        <w:t>c</w:t>
      </w:r>
      <w:r w:rsidR="00163856" w:rsidRPr="006A7524">
        <w:rPr>
          <w:rFonts w:ascii="Open Sans ExtraBold" w:hAnsi="Open Sans ExtraBold" w:cs="Open Sans ExtraBold"/>
          <w:lang w:val="en-AU"/>
        </w:rPr>
        <w:t>ompliance with obligations</w:t>
      </w:r>
    </w:p>
    <w:p w14:paraId="2D768BC6" w14:textId="79064239" w:rsidR="0083112E" w:rsidRPr="006A7524" w:rsidRDefault="00345721"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If the Bill will impose obligations, </w:t>
      </w:r>
      <w:r w:rsidR="000000E7">
        <w:rPr>
          <w:rFonts w:ascii="Open Sans" w:hAnsi="Open Sans" w:cs="Open Sans"/>
          <w:sz w:val="22"/>
          <w:szCs w:val="18"/>
        </w:rPr>
        <w:t>the Bill will need to impose</w:t>
      </w:r>
      <w:r w:rsidR="0083112E" w:rsidRPr="006A7524">
        <w:rPr>
          <w:rFonts w:ascii="Open Sans" w:hAnsi="Open Sans" w:cs="Open Sans"/>
          <w:sz w:val="22"/>
          <w:szCs w:val="18"/>
        </w:rPr>
        <w:t xml:space="preserve"> </w:t>
      </w:r>
      <w:r w:rsidRPr="006A7524">
        <w:rPr>
          <w:rFonts w:ascii="Open Sans" w:hAnsi="Open Sans" w:cs="Open Sans"/>
          <w:sz w:val="22"/>
          <w:szCs w:val="18"/>
        </w:rPr>
        <w:t xml:space="preserve">consequences </w:t>
      </w:r>
      <w:r w:rsidR="0083112E" w:rsidRPr="006A7524">
        <w:rPr>
          <w:rFonts w:ascii="Open Sans" w:hAnsi="Open Sans" w:cs="Open Sans"/>
          <w:sz w:val="22"/>
          <w:szCs w:val="18"/>
        </w:rPr>
        <w:t>for</w:t>
      </w:r>
      <w:r w:rsidRPr="006A7524">
        <w:rPr>
          <w:rFonts w:ascii="Open Sans" w:hAnsi="Open Sans" w:cs="Open Sans"/>
          <w:sz w:val="22"/>
          <w:szCs w:val="18"/>
        </w:rPr>
        <w:t xml:space="preserve"> non</w:t>
      </w:r>
      <w:r w:rsidR="008E49ED">
        <w:rPr>
          <w:rFonts w:ascii="Open Sans" w:hAnsi="Open Sans" w:cs="Open Sans"/>
          <w:sz w:val="22"/>
          <w:szCs w:val="18"/>
        </w:rPr>
        <w:noBreakHyphen/>
      </w:r>
      <w:r w:rsidRPr="006A7524">
        <w:rPr>
          <w:rFonts w:ascii="Open Sans" w:hAnsi="Open Sans" w:cs="Open Sans"/>
          <w:sz w:val="22"/>
          <w:szCs w:val="18"/>
        </w:rPr>
        <w:t>compliance with those obligations</w:t>
      </w:r>
      <w:r w:rsidR="0083112E" w:rsidRPr="006A7524">
        <w:rPr>
          <w:rFonts w:ascii="Open Sans" w:hAnsi="Open Sans" w:cs="Open Sans"/>
          <w:sz w:val="22"/>
          <w:szCs w:val="18"/>
        </w:rPr>
        <w:t>.</w:t>
      </w:r>
      <w:r w:rsidRPr="006A7524">
        <w:rPr>
          <w:rFonts w:ascii="Open Sans" w:hAnsi="Open Sans" w:cs="Open Sans"/>
          <w:sz w:val="22"/>
          <w:szCs w:val="18"/>
        </w:rPr>
        <w:t xml:space="preserve"> </w:t>
      </w:r>
      <w:r w:rsidR="000000E7">
        <w:rPr>
          <w:rFonts w:ascii="Open Sans" w:hAnsi="Open Sans" w:cs="Open Sans"/>
          <w:sz w:val="22"/>
          <w:szCs w:val="18"/>
        </w:rPr>
        <w:t>Those c</w:t>
      </w:r>
      <w:r w:rsidR="00696B5B" w:rsidRPr="006A7524">
        <w:rPr>
          <w:rFonts w:ascii="Open Sans" w:hAnsi="Open Sans" w:cs="Open Sans"/>
          <w:sz w:val="22"/>
          <w:szCs w:val="18"/>
        </w:rPr>
        <w:t xml:space="preserve">onsequences </w:t>
      </w:r>
      <w:r w:rsidR="000000E7">
        <w:rPr>
          <w:rFonts w:ascii="Open Sans" w:hAnsi="Open Sans" w:cs="Open Sans"/>
          <w:sz w:val="22"/>
          <w:szCs w:val="18"/>
        </w:rPr>
        <w:t>may include</w:t>
      </w:r>
      <w:r w:rsidRPr="006A7524">
        <w:rPr>
          <w:rFonts w:ascii="Open Sans" w:hAnsi="Open Sans" w:cs="Open Sans"/>
          <w:sz w:val="22"/>
          <w:szCs w:val="18"/>
        </w:rPr>
        <w:t xml:space="preserve"> </w:t>
      </w:r>
      <w:r w:rsidR="0083112E" w:rsidRPr="006A7524">
        <w:rPr>
          <w:rFonts w:ascii="Open Sans" w:hAnsi="Open Sans" w:cs="Open Sans"/>
          <w:sz w:val="22"/>
          <w:szCs w:val="18"/>
        </w:rPr>
        <w:t>the</w:t>
      </w:r>
      <w:r w:rsidRPr="006A7524">
        <w:rPr>
          <w:rFonts w:ascii="Open Sans" w:hAnsi="Open Sans" w:cs="Open Sans"/>
          <w:sz w:val="22"/>
          <w:szCs w:val="18"/>
        </w:rPr>
        <w:t xml:space="preserve"> loss or denial of a benefit, a criminal offence</w:t>
      </w:r>
      <w:r w:rsidR="00EB2651">
        <w:rPr>
          <w:rFonts w:ascii="Open Sans" w:hAnsi="Open Sans" w:cs="Open Sans"/>
          <w:sz w:val="22"/>
          <w:szCs w:val="18"/>
        </w:rPr>
        <w:t>,</w:t>
      </w:r>
      <w:r w:rsidRPr="006A7524">
        <w:rPr>
          <w:rFonts w:ascii="Open Sans" w:hAnsi="Open Sans" w:cs="Open Sans"/>
          <w:sz w:val="22"/>
          <w:szCs w:val="18"/>
        </w:rPr>
        <w:t xml:space="preserve"> </w:t>
      </w:r>
      <w:r w:rsidR="00EB2651">
        <w:rPr>
          <w:rFonts w:ascii="Open Sans" w:hAnsi="Open Sans" w:cs="Open Sans"/>
          <w:sz w:val="22"/>
          <w:szCs w:val="18"/>
        </w:rPr>
        <w:t xml:space="preserve">a </w:t>
      </w:r>
      <w:r w:rsidRPr="006A7524">
        <w:rPr>
          <w:rFonts w:ascii="Open Sans" w:hAnsi="Open Sans" w:cs="Open Sans"/>
          <w:sz w:val="22"/>
          <w:szCs w:val="18"/>
        </w:rPr>
        <w:t>civil penalty</w:t>
      </w:r>
      <w:r w:rsidR="0083112E" w:rsidRPr="006A7524">
        <w:rPr>
          <w:rFonts w:ascii="Open Sans" w:hAnsi="Open Sans" w:cs="Open Sans"/>
          <w:sz w:val="22"/>
          <w:szCs w:val="18"/>
        </w:rPr>
        <w:t>,</w:t>
      </w:r>
      <w:r w:rsidRPr="006A7524">
        <w:rPr>
          <w:rFonts w:ascii="Open Sans" w:hAnsi="Open Sans" w:cs="Open Sans"/>
          <w:sz w:val="22"/>
          <w:szCs w:val="18"/>
        </w:rPr>
        <w:t xml:space="preserve"> or all three</w:t>
      </w:r>
      <w:r w:rsidR="0083112E" w:rsidRPr="006A7524">
        <w:rPr>
          <w:rFonts w:ascii="Open Sans" w:hAnsi="Open Sans" w:cs="Open Sans"/>
          <w:sz w:val="22"/>
          <w:szCs w:val="18"/>
        </w:rPr>
        <w:t>.</w:t>
      </w:r>
    </w:p>
    <w:p w14:paraId="1F5A3CC0" w14:textId="3F5786C7" w:rsidR="0083112E" w:rsidRPr="006A7524" w:rsidRDefault="0083112E"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The </w:t>
      </w:r>
      <w:r w:rsidRPr="006A7524">
        <w:rPr>
          <w:rFonts w:ascii="Open Sans" w:hAnsi="Open Sans" w:cs="Open Sans"/>
          <w:i/>
          <w:iCs/>
          <w:sz w:val="22"/>
          <w:szCs w:val="18"/>
        </w:rPr>
        <w:t>Regulatory Powers (Standard Provisions) Act 2014</w:t>
      </w:r>
      <w:r w:rsidR="00224107" w:rsidRPr="006A7524">
        <w:rPr>
          <w:rFonts w:ascii="Open Sans" w:hAnsi="Open Sans" w:cs="Open Sans"/>
          <w:sz w:val="22"/>
          <w:szCs w:val="18"/>
        </w:rPr>
        <w:t xml:space="preserve"> (</w:t>
      </w:r>
      <w:r w:rsidR="00224107" w:rsidRPr="00EA22EE">
        <w:rPr>
          <w:rFonts w:ascii="Open Sans" w:hAnsi="Open Sans" w:cs="Open Sans"/>
          <w:b/>
          <w:bCs/>
          <w:i/>
          <w:iCs/>
          <w:sz w:val="22"/>
          <w:szCs w:val="18"/>
        </w:rPr>
        <w:t>Regulatory Powers Act</w:t>
      </w:r>
      <w:r w:rsidR="00224107" w:rsidRPr="006A7524">
        <w:rPr>
          <w:rFonts w:ascii="Open Sans" w:hAnsi="Open Sans" w:cs="Open Sans"/>
          <w:sz w:val="22"/>
          <w:szCs w:val="18"/>
        </w:rPr>
        <w:t>)</w:t>
      </w:r>
      <w:r w:rsidRPr="006A7524">
        <w:rPr>
          <w:rFonts w:ascii="Open Sans" w:hAnsi="Open Sans" w:cs="Open Sans"/>
          <w:sz w:val="22"/>
          <w:szCs w:val="18"/>
        </w:rPr>
        <w:t xml:space="preserve"> is the starting point for all regulatory powers. The Regulatory Powers Act covers monitoring powers, investigation powers, civil penalties, infringement notices, injunctions, and enforceable undertakings. </w:t>
      </w:r>
    </w:p>
    <w:p w14:paraId="754205FE" w14:textId="7E094D1F" w:rsidR="00EB2651" w:rsidRPr="00FC4DDE" w:rsidRDefault="00EB2651" w:rsidP="00062852">
      <w:pPr>
        <w:pStyle w:val="BodyNum"/>
        <w:numPr>
          <w:ilvl w:val="0"/>
          <w:numId w:val="2"/>
        </w:numPr>
        <w:rPr>
          <w:rFonts w:ascii="Open Sans" w:hAnsi="Open Sans" w:cs="Open Sans"/>
          <w:sz w:val="22"/>
          <w:szCs w:val="18"/>
        </w:rPr>
      </w:pPr>
      <w:r>
        <w:rPr>
          <w:rFonts w:ascii="Open Sans" w:hAnsi="Open Sans" w:cs="Open Sans"/>
          <w:sz w:val="22"/>
          <w:szCs w:val="18"/>
        </w:rPr>
        <w:t>The Regulatory Powers Act can be trigge</w:t>
      </w:r>
      <w:r w:rsidR="00FC4DDE">
        <w:rPr>
          <w:rFonts w:ascii="Open Sans" w:hAnsi="Open Sans" w:cs="Open Sans"/>
          <w:sz w:val="22"/>
          <w:szCs w:val="18"/>
        </w:rPr>
        <w:t>re</w:t>
      </w:r>
      <w:r>
        <w:rPr>
          <w:rFonts w:ascii="Open Sans" w:hAnsi="Open Sans" w:cs="Open Sans"/>
          <w:sz w:val="22"/>
          <w:szCs w:val="18"/>
        </w:rPr>
        <w:t xml:space="preserve">d by other Acts. </w:t>
      </w:r>
      <w:r w:rsidR="00203849">
        <w:rPr>
          <w:rFonts w:ascii="Open Sans" w:hAnsi="Open Sans" w:cs="Open Sans"/>
          <w:sz w:val="22"/>
          <w:szCs w:val="18"/>
        </w:rPr>
        <w:t>This allows Commonwealth Acts to apply a set of standardised powers without repeating lengthy provisions. An Act can trigger only some of the powers under the Regulatory Powers Act, and can also include modifications of those powers if necessary.</w:t>
      </w:r>
    </w:p>
    <w:p w14:paraId="2F3EB6C9" w14:textId="35A80BA5" w:rsidR="0083112E" w:rsidRDefault="0083112E"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New or amending Acts that require powers of the kind available under the Regulatory Powers Act should be drafted to trigger the relevant provisions of that Act, unless there are compelling policy reasons to t</w:t>
      </w:r>
      <w:r w:rsidR="00860275" w:rsidRPr="006A7524">
        <w:rPr>
          <w:rFonts w:ascii="Open Sans" w:hAnsi="Open Sans" w:cs="Open Sans"/>
          <w:sz w:val="22"/>
          <w:szCs w:val="18"/>
        </w:rPr>
        <w:t>ake a different approach</w:t>
      </w:r>
      <w:r w:rsidRPr="006A7524">
        <w:rPr>
          <w:rFonts w:ascii="Open Sans" w:hAnsi="Open Sans" w:cs="Open Sans"/>
          <w:sz w:val="22"/>
          <w:szCs w:val="18"/>
        </w:rPr>
        <w:t xml:space="preserve">. Instructors may </w:t>
      </w:r>
      <w:r w:rsidRPr="006A7524">
        <w:rPr>
          <w:rFonts w:ascii="Open Sans" w:hAnsi="Open Sans" w:cs="Open Sans"/>
          <w:sz w:val="22"/>
          <w:szCs w:val="18"/>
        </w:rPr>
        <w:lastRenderedPageBreak/>
        <w:t xml:space="preserve">wish to consult the Administrative Law Section if they are considering </w:t>
      </w:r>
      <w:r w:rsidR="00860275" w:rsidRPr="006A7524">
        <w:rPr>
          <w:rFonts w:ascii="Open Sans" w:hAnsi="Open Sans" w:cs="Open Sans"/>
          <w:sz w:val="22"/>
          <w:szCs w:val="18"/>
        </w:rPr>
        <w:t>another</w:t>
      </w:r>
      <w:r w:rsidRPr="006A7524">
        <w:rPr>
          <w:rFonts w:ascii="Open Sans" w:hAnsi="Open Sans" w:cs="Open Sans"/>
          <w:sz w:val="22"/>
          <w:szCs w:val="18"/>
        </w:rPr>
        <w:t xml:space="preserve"> approach. See also </w:t>
      </w:r>
      <w:hyperlink r:id="rId13" w:history="1">
        <w:r w:rsidRPr="006A7524">
          <w:rPr>
            <w:rFonts w:ascii="Open Sans" w:hAnsi="Open Sans" w:cs="Open Sans"/>
            <w:sz w:val="22"/>
            <w:szCs w:val="18"/>
            <w:u w:val="single"/>
          </w:rPr>
          <w:t xml:space="preserve">Drafting </w:t>
        </w:r>
        <w:r w:rsidR="008E49ED">
          <w:rPr>
            <w:rFonts w:ascii="Open Sans" w:hAnsi="Open Sans" w:cs="Open Sans"/>
            <w:sz w:val="22"/>
            <w:szCs w:val="18"/>
            <w:u w:val="single"/>
          </w:rPr>
          <w:t>Direction 3</w:t>
        </w:r>
        <w:r w:rsidRPr="006A7524">
          <w:rPr>
            <w:rFonts w:ascii="Open Sans" w:hAnsi="Open Sans" w:cs="Open Sans"/>
            <w:sz w:val="22"/>
            <w:szCs w:val="18"/>
            <w:u w:val="single"/>
          </w:rPr>
          <w:t>.5A</w:t>
        </w:r>
      </w:hyperlink>
      <w:r w:rsidRPr="006A7524">
        <w:rPr>
          <w:rFonts w:ascii="Open Sans" w:hAnsi="Open Sans" w:cs="Open Sans"/>
          <w:sz w:val="22"/>
          <w:szCs w:val="18"/>
        </w:rPr>
        <w:t>.</w:t>
      </w:r>
    </w:p>
    <w:p w14:paraId="0C4BA1B0" w14:textId="6ED01590" w:rsidR="0083112E" w:rsidRDefault="0083112E"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In relation to criminal offences, the starting point is the</w:t>
      </w:r>
      <w:r w:rsidR="00995605">
        <w:rPr>
          <w:rFonts w:ascii="Open Sans" w:hAnsi="Open Sans" w:cs="Open Sans"/>
          <w:sz w:val="22"/>
          <w:szCs w:val="18"/>
        </w:rPr>
        <w:t xml:space="preserve"> </w:t>
      </w:r>
      <w:r w:rsidR="00995605" w:rsidRPr="00995605">
        <w:rPr>
          <w:rFonts w:ascii="Open Sans" w:hAnsi="Open Sans" w:cs="Open Sans"/>
          <w:i/>
          <w:iCs/>
          <w:sz w:val="22"/>
          <w:szCs w:val="18"/>
        </w:rPr>
        <w:t>Criminal Code Act 1995</w:t>
      </w:r>
      <w:r w:rsidR="00995605">
        <w:rPr>
          <w:rFonts w:ascii="Open Sans" w:hAnsi="Open Sans" w:cs="Open Sans"/>
          <w:sz w:val="22"/>
          <w:szCs w:val="18"/>
        </w:rPr>
        <w:t>,</w:t>
      </w:r>
      <w:r w:rsidR="00995605" w:rsidRPr="00995605">
        <w:rPr>
          <w:rFonts w:ascii="Open Sans" w:hAnsi="Open Sans" w:cs="Open Sans"/>
          <w:sz w:val="22"/>
          <w:szCs w:val="18"/>
        </w:rPr>
        <w:t xml:space="preserve"> the </w:t>
      </w:r>
      <w:r w:rsidR="00995605" w:rsidRPr="00995605">
        <w:rPr>
          <w:rFonts w:ascii="Open Sans" w:hAnsi="Open Sans" w:cs="Open Sans"/>
          <w:i/>
          <w:iCs/>
          <w:sz w:val="22"/>
          <w:szCs w:val="18"/>
        </w:rPr>
        <w:t>Crimes Act 1914</w:t>
      </w:r>
      <w:r w:rsidRPr="006A7524">
        <w:rPr>
          <w:rFonts w:ascii="Open Sans" w:hAnsi="Open Sans" w:cs="Open Sans"/>
          <w:sz w:val="22"/>
          <w:szCs w:val="18"/>
        </w:rPr>
        <w:t xml:space="preserve"> </w:t>
      </w:r>
      <w:r w:rsidR="00995605">
        <w:rPr>
          <w:rFonts w:ascii="Open Sans" w:hAnsi="Open Sans" w:cs="Open Sans"/>
          <w:sz w:val="22"/>
          <w:szCs w:val="18"/>
        </w:rPr>
        <w:t xml:space="preserve">and the </w:t>
      </w:r>
      <w:hyperlink r:id="rId14" w:history="1">
        <w:r w:rsidRPr="006A7524">
          <w:rPr>
            <w:rFonts w:ascii="Open Sans" w:hAnsi="Open Sans" w:cs="Open Sans"/>
            <w:sz w:val="22"/>
            <w:szCs w:val="18"/>
            <w:u w:val="single"/>
          </w:rPr>
          <w:t>Guide to Framing Commonwealth Offences</w:t>
        </w:r>
      </w:hyperlink>
      <w:r w:rsidRPr="006A7524">
        <w:rPr>
          <w:rFonts w:ascii="Open Sans" w:hAnsi="Open Sans" w:cs="Open Sans"/>
          <w:sz w:val="22"/>
          <w:szCs w:val="18"/>
        </w:rPr>
        <w:t xml:space="preserve">. </w:t>
      </w:r>
      <w:r w:rsidR="00A41615">
        <w:rPr>
          <w:rFonts w:ascii="Open Sans" w:hAnsi="Open Sans" w:cs="Open Sans"/>
          <w:sz w:val="22"/>
          <w:szCs w:val="18"/>
        </w:rPr>
        <w:t xml:space="preserve">Instructors </w:t>
      </w:r>
      <w:r w:rsidR="00824A93">
        <w:rPr>
          <w:rFonts w:ascii="Open Sans" w:hAnsi="Open Sans" w:cs="Open Sans"/>
          <w:sz w:val="22"/>
          <w:szCs w:val="18"/>
        </w:rPr>
        <w:t>may</w:t>
      </w:r>
      <w:r w:rsidR="004C5263">
        <w:rPr>
          <w:rFonts w:ascii="Open Sans" w:hAnsi="Open Sans" w:cs="Open Sans"/>
          <w:sz w:val="22"/>
          <w:szCs w:val="18"/>
        </w:rPr>
        <w:t xml:space="preserve"> </w:t>
      </w:r>
      <w:r w:rsidR="00A41615">
        <w:rPr>
          <w:rFonts w:ascii="Open Sans" w:hAnsi="Open Sans" w:cs="Open Sans"/>
          <w:sz w:val="22"/>
          <w:szCs w:val="18"/>
        </w:rPr>
        <w:t xml:space="preserve">need to be familiar with </w:t>
      </w:r>
      <w:r w:rsidR="00116747">
        <w:rPr>
          <w:rFonts w:ascii="Open Sans" w:hAnsi="Open Sans" w:cs="Open Sans"/>
          <w:sz w:val="22"/>
          <w:szCs w:val="18"/>
        </w:rPr>
        <w:t>basic concepts such as</w:t>
      </w:r>
      <w:r w:rsidR="004C5263">
        <w:rPr>
          <w:rFonts w:ascii="Open Sans" w:hAnsi="Open Sans" w:cs="Open Sans"/>
          <w:sz w:val="22"/>
          <w:szCs w:val="18"/>
        </w:rPr>
        <w:t xml:space="preserve"> physical elements, fault elements and penalties. </w:t>
      </w:r>
      <w:r w:rsidR="00490130">
        <w:rPr>
          <w:rFonts w:ascii="Open Sans" w:hAnsi="Open Sans" w:cs="Open Sans"/>
          <w:sz w:val="22"/>
          <w:szCs w:val="18"/>
        </w:rPr>
        <w:t xml:space="preserve">The Guide includes advice on </w:t>
      </w:r>
      <w:r w:rsidR="00116747">
        <w:rPr>
          <w:rFonts w:ascii="Open Sans" w:hAnsi="Open Sans" w:cs="Open Sans"/>
          <w:sz w:val="22"/>
          <w:szCs w:val="18"/>
        </w:rPr>
        <w:t xml:space="preserve">these </w:t>
      </w:r>
      <w:r w:rsidR="00746C25">
        <w:rPr>
          <w:rFonts w:ascii="Open Sans" w:hAnsi="Open Sans" w:cs="Open Sans"/>
          <w:sz w:val="22"/>
          <w:szCs w:val="18"/>
        </w:rPr>
        <w:t>topics</w:t>
      </w:r>
      <w:r w:rsidR="004C5263">
        <w:rPr>
          <w:rFonts w:ascii="Open Sans" w:hAnsi="Open Sans" w:cs="Open Sans"/>
          <w:sz w:val="22"/>
          <w:szCs w:val="18"/>
        </w:rPr>
        <w:t xml:space="preserve"> and many others.</w:t>
      </w:r>
    </w:p>
    <w:p w14:paraId="492E78D0" w14:textId="6236D565" w:rsidR="00E41FD0" w:rsidRPr="006A7524" w:rsidRDefault="00E41FD0" w:rsidP="00062852">
      <w:pPr>
        <w:pStyle w:val="BodyNum"/>
        <w:numPr>
          <w:ilvl w:val="0"/>
          <w:numId w:val="2"/>
        </w:numPr>
        <w:rPr>
          <w:rFonts w:ascii="Open Sans" w:hAnsi="Open Sans" w:cs="Open Sans"/>
          <w:sz w:val="22"/>
          <w:szCs w:val="18"/>
        </w:rPr>
      </w:pPr>
      <w:r>
        <w:rPr>
          <w:rFonts w:ascii="Open Sans" w:hAnsi="Open Sans" w:cs="Open Sans"/>
          <w:sz w:val="22"/>
          <w:szCs w:val="18"/>
        </w:rPr>
        <w:t xml:space="preserve">Triggering </w:t>
      </w:r>
      <w:r w:rsidR="00203849">
        <w:rPr>
          <w:rFonts w:ascii="Open Sans" w:hAnsi="Open Sans" w:cs="Open Sans"/>
          <w:sz w:val="22"/>
          <w:szCs w:val="18"/>
        </w:rPr>
        <w:t xml:space="preserve">the </w:t>
      </w:r>
      <w:r>
        <w:rPr>
          <w:rFonts w:ascii="Open Sans" w:hAnsi="Open Sans" w:cs="Open Sans"/>
          <w:sz w:val="22"/>
          <w:szCs w:val="18"/>
        </w:rPr>
        <w:t xml:space="preserve">coercive powers </w:t>
      </w:r>
      <w:r w:rsidR="00203849">
        <w:rPr>
          <w:rFonts w:ascii="Open Sans" w:hAnsi="Open Sans" w:cs="Open Sans"/>
          <w:sz w:val="22"/>
          <w:szCs w:val="18"/>
        </w:rPr>
        <w:t>in</w:t>
      </w:r>
      <w:r>
        <w:rPr>
          <w:rFonts w:ascii="Open Sans" w:hAnsi="Open Sans" w:cs="Open Sans"/>
          <w:sz w:val="22"/>
          <w:szCs w:val="18"/>
        </w:rPr>
        <w:t xml:space="preserve"> the Regulatory Powers Act need</w:t>
      </w:r>
      <w:r w:rsidR="00203849">
        <w:rPr>
          <w:rFonts w:ascii="Open Sans" w:hAnsi="Open Sans" w:cs="Open Sans"/>
          <w:sz w:val="22"/>
          <w:szCs w:val="18"/>
        </w:rPr>
        <w:t>s</w:t>
      </w:r>
      <w:r>
        <w:rPr>
          <w:rFonts w:ascii="Open Sans" w:hAnsi="Open Sans" w:cs="Open Sans"/>
          <w:sz w:val="22"/>
          <w:szCs w:val="18"/>
        </w:rPr>
        <w:t xml:space="preserve"> to be justified in </w:t>
      </w:r>
      <w:r w:rsidR="00203849">
        <w:rPr>
          <w:rFonts w:ascii="Open Sans" w:hAnsi="Open Sans" w:cs="Open Sans"/>
          <w:sz w:val="22"/>
          <w:szCs w:val="18"/>
        </w:rPr>
        <w:t xml:space="preserve">the </w:t>
      </w:r>
      <w:r>
        <w:rPr>
          <w:rFonts w:ascii="Open Sans" w:hAnsi="Open Sans" w:cs="Open Sans"/>
          <w:sz w:val="22"/>
          <w:szCs w:val="18"/>
        </w:rPr>
        <w:t>explanatory materials.</w:t>
      </w:r>
      <w:r w:rsidR="00490130">
        <w:rPr>
          <w:rFonts w:ascii="Open Sans" w:hAnsi="Open Sans" w:cs="Open Sans"/>
          <w:sz w:val="22"/>
          <w:szCs w:val="18"/>
        </w:rPr>
        <w:t xml:space="preserve"> </w:t>
      </w:r>
      <w:r w:rsidR="00A41615">
        <w:rPr>
          <w:rFonts w:ascii="Open Sans" w:hAnsi="Open Sans" w:cs="Open Sans"/>
          <w:sz w:val="22"/>
          <w:szCs w:val="18"/>
        </w:rPr>
        <w:t>The inclusion of offences that</w:t>
      </w:r>
      <w:r w:rsidR="00490130">
        <w:rPr>
          <w:rFonts w:ascii="Open Sans" w:hAnsi="Open Sans" w:cs="Open Sans"/>
          <w:sz w:val="22"/>
          <w:szCs w:val="18"/>
        </w:rPr>
        <w:t xml:space="preserve"> </w:t>
      </w:r>
      <w:r w:rsidR="00490130" w:rsidRPr="006A7524">
        <w:rPr>
          <w:rFonts w:ascii="Open Sans" w:hAnsi="Open Sans" w:cs="Open Sans"/>
          <w:sz w:val="22"/>
          <w:szCs w:val="18"/>
        </w:rPr>
        <w:t xml:space="preserve">depart from the positions set out in </w:t>
      </w:r>
      <w:r w:rsidR="00490130">
        <w:rPr>
          <w:rFonts w:ascii="Open Sans" w:hAnsi="Open Sans" w:cs="Open Sans"/>
          <w:sz w:val="22"/>
          <w:szCs w:val="18"/>
        </w:rPr>
        <w:t>the</w:t>
      </w:r>
      <w:r w:rsidR="00490130" w:rsidRPr="006A7524">
        <w:rPr>
          <w:rFonts w:ascii="Open Sans" w:hAnsi="Open Sans" w:cs="Open Sans"/>
          <w:sz w:val="22"/>
          <w:szCs w:val="18"/>
        </w:rPr>
        <w:t xml:space="preserve"> Guide </w:t>
      </w:r>
      <w:r w:rsidR="00490130">
        <w:rPr>
          <w:rFonts w:ascii="Open Sans" w:hAnsi="Open Sans" w:cs="Open Sans"/>
          <w:sz w:val="22"/>
          <w:szCs w:val="18"/>
        </w:rPr>
        <w:t xml:space="preserve">to Framing Commonwealth Offences also </w:t>
      </w:r>
      <w:r w:rsidR="00490130" w:rsidRPr="006A7524">
        <w:rPr>
          <w:rFonts w:ascii="Open Sans" w:hAnsi="Open Sans" w:cs="Open Sans"/>
          <w:sz w:val="22"/>
          <w:szCs w:val="18"/>
        </w:rPr>
        <w:t>need</w:t>
      </w:r>
      <w:r w:rsidR="00212FC6">
        <w:rPr>
          <w:rFonts w:ascii="Open Sans" w:hAnsi="Open Sans" w:cs="Open Sans"/>
          <w:sz w:val="22"/>
          <w:szCs w:val="18"/>
        </w:rPr>
        <w:t>s</w:t>
      </w:r>
      <w:r w:rsidR="00490130" w:rsidRPr="006A7524">
        <w:rPr>
          <w:rFonts w:ascii="Open Sans" w:hAnsi="Open Sans" w:cs="Open Sans"/>
          <w:sz w:val="22"/>
          <w:szCs w:val="18"/>
        </w:rPr>
        <w:t xml:space="preserve"> to be justified.</w:t>
      </w:r>
      <w:r>
        <w:rPr>
          <w:rFonts w:ascii="Open Sans" w:hAnsi="Open Sans" w:cs="Open Sans"/>
          <w:sz w:val="22"/>
          <w:szCs w:val="18"/>
        </w:rPr>
        <w:t xml:space="preserve"> </w:t>
      </w:r>
      <w:r w:rsidRPr="006A7524">
        <w:rPr>
          <w:rFonts w:ascii="Open Sans" w:hAnsi="Open Sans" w:cs="Open Sans"/>
          <w:sz w:val="22"/>
          <w:szCs w:val="18"/>
        </w:rPr>
        <w:t xml:space="preserve">See the </w:t>
      </w:r>
      <w:r>
        <w:rPr>
          <w:rFonts w:ascii="Open Sans" w:hAnsi="Open Sans" w:cs="Open Sans"/>
          <w:sz w:val="22"/>
          <w:szCs w:val="18"/>
        </w:rPr>
        <w:t xml:space="preserve">Senate Standing Committee for the Scrutiny of Bills </w:t>
      </w:r>
      <w:hyperlink r:id="rId15" w:history="1">
        <w:r w:rsidRPr="006A7524">
          <w:rPr>
            <w:rFonts w:ascii="Open Sans" w:hAnsi="Open Sans" w:cs="Open Sans"/>
            <w:sz w:val="22"/>
            <w:szCs w:val="18"/>
            <w:u w:val="single"/>
          </w:rPr>
          <w:t>Committee Guidelines</w:t>
        </w:r>
      </w:hyperlink>
      <w:r w:rsidRPr="006A7524">
        <w:rPr>
          <w:rFonts w:ascii="Open Sans" w:hAnsi="Open Sans" w:cs="Open Sans"/>
          <w:sz w:val="22"/>
          <w:szCs w:val="18"/>
        </w:rPr>
        <w:t>, Principle (</w:t>
      </w:r>
      <w:proofErr w:type="spellStart"/>
      <w:r>
        <w:rPr>
          <w:rFonts w:ascii="Open Sans" w:hAnsi="Open Sans" w:cs="Open Sans"/>
          <w:sz w:val="22"/>
          <w:szCs w:val="18"/>
        </w:rPr>
        <w:t>i</w:t>
      </w:r>
      <w:proofErr w:type="spellEnd"/>
      <w:r w:rsidRPr="006A7524">
        <w:rPr>
          <w:rFonts w:ascii="Open Sans" w:hAnsi="Open Sans" w:cs="Open Sans"/>
          <w:sz w:val="22"/>
          <w:szCs w:val="18"/>
        </w:rPr>
        <w:t>).</w:t>
      </w:r>
    </w:p>
    <w:p w14:paraId="33DA018E" w14:textId="152843E8" w:rsidR="0083112E" w:rsidRPr="006A7524" w:rsidRDefault="00053447"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Instructors should consider</w:t>
      </w:r>
      <w:r w:rsidR="00860275" w:rsidRPr="006A7524">
        <w:rPr>
          <w:rFonts w:ascii="Open Sans" w:hAnsi="Open Sans" w:cs="Open Sans"/>
          <w:sz w:val="22"/>
          <w:szCs w:val="18"/>
        </w:rPr>
        <w:t xml:space="preserve"> and </w:t>
      </w:r>
      <w:r w:rsidR="00696B5B" w:rsidRPr="006A7524">
        <w:rPr>
          <w:rFonts w:ascii="Open Sans" w:hAnsi="Open Sans" w:cs="Open Sans"/>
          <w:sz w:val="22"/>
          <w:szCs w:val="18"/>
        </w:rPr>
        <w:t>provide instructions on</w:t>
      </w:r>
      <w:r w:rsidR="0083112E" w:rsidRPr="006A7524">
        <w:rPr>
          <w:rFonts w:ascii="Open Sans" w:hAnsi="Open Sans" w:cs="Open Sans"/>
          <w:sz w:val="22"/>
          <w:szCs w:val="18"/>
        </w:rPr>
        <w:t>:</w:t>
      </w:r>
    </w:p>
    <w:p w14:paraId="5EF4706E" w14:textId="33213C71" w:rsidR="0083112E" w:rsidRPr="006A7524" w:rsidRDefault="00824A93" w:rsidP="00062852">
      <w:pPr>
        <w:pStyle w:val="BodyParaBullet"/>
        <w:numPr>
          <w:ilvl w:val="0"/>
          <w:numId w:val="4"/>
        </w:numPr>
        <w:rPr>
          <w:rFonts w:ascii="Open Sans" w:hAnsi="Open Sans" w:cs="Open Sans"/>
          <w:sz w:val="22"/>
          <w:szCs w:val="18"/>
        </w:rPr>
      </w:pPr>
      <w:r>
        <w:rPr>
          <w:rFonts w:ascii="Open Sans" w:hAnsi="Open Sans" w:cs="Open Sans"/>
          <w:sz w:val="22"/>
          <w:szCs w:val="18"/>
        </w:rPr>
        <w:t>w</w:t>
      </w:r>
      <w:r w:rsidR="001E5E26" w:rsidRPr="006A7524">
        <w:rPr>
          <w:rFonts w:ascii="Open Sans" w:hAnsi="Open Sans" w:cs="Open Sans"/>
          <w:sz w:val="22"/>
          <w:szCs w:val="18"/>
        </w:rPr>
        <w:t>hat consequences should apply to obligations imposed by the Bill</w:t>
      </w:r>
      <w:r w:rsidR="0083112E" w:rsidRPr="006A7524">
        <w:rPr>
          <w:rFonts w:ascii="Open Sans" w:hAnsi="Open Sans" w:cs="Open Sans"/>
          <w:sz w:val="22"/>
          <w:szCs w:val="18"/>
        </w:rPr>
        <w:t>;</w:t>
      </w:r>
    </w:p>
    <w:p w14:paraId="2733CB51" w14:textId="27BE1E5F" w:rsidR="0083112E" w:rsidRDefault="00824A93" w:rsidP="00062852">
      <w:pPr>
        <w:pStyle w:val="BodyParaBullet"/>
        <w:numPr>
          <w:ilvl w:val="0"/>
          <w:numId w:val="4"/>
        </w:numPr>
        <w:rPr>
          <w:rFonts w:ascii="Open Sans" w:hAnsi="Open Sans" w:cs="Open Sans"/>
          <w:sz w:val="22"/>
          <w:szCs w:val="18"/>
        </w:rPr>
      </w:pPr>
      <w:r>
        <w:rPr>
          <w:rFonts w:ascii="Open Sans" w:hAnsi="Open Sans" w:cs="Open Sans"/>
          <w:sz w:val="22"/>
          <w:szCs w:val="18"/>
        </w:rPr>
        <w:t>w</w:t>
      </w:r>
      <w:r w:rsidR="003B40B0" w:rsidRPr="006A7524">
        <w:rPr>
          <w:rFonts w:ascii="Open Sans" w:hAnsi="Open Sans" w:cs="Open Sans"/>
          <w:sz w:val="22"/>
          <w:szCs w:val="18"/>
        </w:rPr>
        <w:t>hich powers of the Regulatory Powers</w:t>
      </w:r>
      <w:r w:rsidR="008F28E8" w:rsidRPr="006A7524">
        <w:rPr>
          <w:rFonts w:ascii="Open Sans" w:hAnsi="Open Sans" w:cs="Open Sans"/>
          <w:sz w:val="22"/>
          <w:szCs w:val="18"/>
        </w:rPr>
        <w:t xml:space="preserve"> Act are to be triggered</w:t>
      </w:r>
      <w:r w:rsidR="00CB5017" w:rsidRPr="006A7524">
        <w:rPr>
          <w:rFonts w:ascii="Open Sans" w:hAnsi="Open Sans" w:cs="Open Sans"/>
          <w:sz w:val="22"/>
          <w:szCs w:val="18"/>
        </w:rPr>
        <w:t>, and whether any modifications of those powers are required</w:t>
      </w:r>
      <w:r w:rsidR="00F2613D">
        <w:rPr>
          <w:rFonts w:ascii="Open Sans" w:hAnsi="Open Sans" w:cs="Open Sans"/>
          <w:sz w:val="22"/>
          <w:szCs w:val="18"/>
        </w:rPr>
        <w:t>;</w:t>
      </w:r>
    </w:p>
    <w:p w14:paraId="2BDDFBAD" w14:textId="1837A911" w:rsidR="00F2613D" w:rsidRPr="006A7524" w:rsidRDefault="00824A93" w:rsidP="00062852">
      <w:pPr>
        <w:pStyle w:val="BodyParaBullet"/>
        <w:numPr>
          <w:ilvl w:val="0"/>
          <w:numId w:val="4"/>
        </w:numPr>
        <w:rPr>
          <w:rFonts w:ascii="Open Sans" w:hAnsi="Open Sans" w:cs="Open Sans"/>
          <w:sz w:val="22"/>
          <w:szCs w:val="18"/>
        </w:rPr>
      </w:pPr>
      <w:r>
        <w:rPr>
          <w:rFonts w:ascii="Open Sans" w:hAnsi="Open Sans" w:cs="Open Sans"/>
          <w:sz w:val="22"/>
          <w:szCs w:val="18"/>
        </w:rPr>
        <w:t>w</w:t>
      </w:r>
      <w:r w:rsidR="00746C25">
        <w:rPr>
          <w:rFonts w:ascii="Open Sans" w:hAnsi="Open Sans" w:cs="Open Sans"/>
          <w:sz w:val="22"/>
          <w:szCs w:val="18"/>
        </w:rPr>
        <w:t>hat offences are to be included, addressing the matters in the Guide to Framing Commonwealth Offences.</w:t>
      </w:r>
    </w:p>
    <w:p w14:paraId="7FB01F73" w14:textId="7D650312" w:rsidR="00163856" w:rsidRPr="006A7524" w:rsidRDefault="00163856" w:rsidP="003D2A60">
      <w:pPr>
        <w:pStyle w:val="Heading2"/>
        <w:keepNext/>
        <w:rPr>
          <w:rFonts w:ascii="Open Sans ExtraBold" w:hAnsi="Open Sans ExtraBold" w:cs="Open Sans ExtraBold"/>
          <w:lang w:val="en-AU"/>
        </w:rPr>
      </w:pPr>
      <w:r w:rsidRPr="006A7524">
        <w:rPr>
          <w:rFonts w:ascii="Open Sans ExtraBold" w:hAnsi="Open Sans ExtraBold" w:cs="Open Sans ExtraBold"/>
          <w:lang w:val="en-AU"/>
        </w:rPr>
        <w:t>Statutory bodies and offices</w:t>
      </w:r>
    </w:p>
    <w:p w14:paraId="5ED2A967" w14:textId="09774125" w:rsidR="003B5F17" w:rsidRPr="006A7524" w:rsidRDefault="0081057D"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A statutory body is a body that is established by legislation</w:t>
      </w:r>
      <w:r w:rsidR="00936A1B" w:rsidRPr="006A7524">
        <w:rPr>
          <w:rFonts w:ascii="Open Sans" w:hAnsi="Open Sans" w:cs="Open Sans"/>
          <w:sz w:val="22"/>
          <w:szCs w:val="18"/>
        </w:rPr>
        <w:t xml:space="preserve">, </w:t>
      </w:r>
      <w:r w:rsidRPr="006A7524">
        <w:rPr>
          <w:rFonts w:ascii="Open Sans" w:hAnsi="Open Sans" w:cs="Open Sans"/>
          <w:sz w:val="22"/>
          <w:szCs w:val="18"/>
        </w:rPr>
        <w:t>such as OPC</w:t>
      </w:r>
      <w:r w:rsidR="00BF6B83" w:rsidRPr="006A7524">
        <w:rPr>
          <w:rFonts w:ascii="Open Sans" w:hAnsi="Open Sans" w:cs="Open Sans"/>
          <w:sz w:val="22"/>
          <w:szCs w:val="18"/>
        </w:rPr>
        <w:t xml:space="preserve"> (see the </w:t>
      </w:r>
      <w:r w:rsidR="00BF6B83" w:rsidRPr="006A7524">
        <w:rPr>
          <w:rFonts w:ascii="Open Sans" w:hAnsi="Open Sans" w:cs="Open Sans"/>
          <w:i/>
          <w:iCs/>
          <w:sz w:val="22"/>
          <w:szCs w:val="18"/>
        </w:rPr>
        <w:t>Parliamentary Counsel Act</w:t>
      </w:r>
      <w:r w:rsidR="001A2BA5" w:rsidRPr="006A7524">
        <w:rPr>
          <w:rFonts w:ascii="Open Sans" w:hAnsi="Open Sans" w:cs="Open Sans"/>
          <w:i/>
          <w:iCs/>
          <w:sz w:val="22"/>
          <w:szCs w:val="18"/>
        </w:rPr>
        <w:t xml:space="preserve"> 1970)</w:t>
      </w:r>
      <w:r w:rsidR="00BF6B83" w:rsidRPr="006A7524">
        <w:rPr>
          <w:rFonts w:ascii="Open Sans" w:hAnsi="Open Sans" w:cs="Open Sans"/>
          <w:i/>
          <w:iCs/>
          <w:sz w:val="22"/>
          <w:szCs w:val="18"/>
        </w:rPr>
        <w:t xml:space="preserve"> </w:t>
      </w:r>
      <w:r w:rsidR="00936A1B" w:rsidRPr="006A7524">
        <w:rPr>
          <w:rFonts w:ascii="Open Sans" w:hAnsi="Open Sans" w:cs="Open Sans"/>
          <w:sz w:val="22"/>
          <w:szCs w:val="18"/>
        </w:rPr>
        <w:t>. Non</w:t>
      </w:r>
      <w:r w:rsidR="008E49ED">
        <w:rPr>
          <w:rFonts w:ascii="Open Sans" w:hAnsi="Open Sans" w:cs="Open Sans"/>
          <w:sz w:val="22"/>
          <w:szCs w:val="18"/>
        </w:rPr>
        <w:noBreakHyphen/>
      </w:r>
      <w:r w:rsidR="00936A1B" w:rsidRPr="006A7524">
        <w:rPr>
          <w:rFonts w:ascii="Open Sans" w:hAnsi="Open Sans" w:cs="Open Sans"/>
          <w:sz w:val="22"/>
          <w:szCs w:val="18"/>
        </w:rPr>
        <w:t>statutory</w:t>
      </w:r>
      <w:r w:rsidRPr="006A7524">
        <w:rPr>
          <w:rFonts w:ascii="Open Sans" w:hAnsi="Open Sans" w:cs="Open Sans"/>
          <w:sz w:val="22"/>
          <w:szCs w:val="18"/>
        </w:rPr>
        <w:t xml:space="preserve"> bodies are not created by legislation</w:t>
      </w:r>
      <w:r w:rsidR="00936A1B" w:rsidRPr="006A7524">
        <w:rPr>
          <w:rFonts w:ascii="Open Sans" w:hAnsi="Open Sans" w:cs="Open Sans"/>
          <w:sz w:val="22"/>
          <w:szCs w:val="18"/>
        </w:rPr>
        <w:t xml:space="preserve">, </w:t>
      </w:r>
      <w:r w:rsidRPr="006A7524">
        <w:rPr>
          <w:rFonts w:ascii="Open Sans" w:hAnsi="Open Sans" w:cs="Open Sans"/>
          <w:sz w:val="22"/>
          <w:szCs w:val="18"/>
        </w:rPr>
        <w:t xml:space="preserve">such as the </w:t>
      </w:r>
      <w:r w:rsidR="003C7D5A" w:rsidRPr="006A7524">
        <w:rPr>
          <w:rFonts w:ascii="Open Sans" w:hAnsi="Open Sans" w:cs="Open Sans"/>
          <w:sz w:val="22"/>
          <w:szCs w:val="18"/>
        </w:rPr>
        <w:t>Attorney</w:t>
      </w:r>
      <w:r w:rsidR="008E49ED">
        <w:rPr>
          <w:rFonts w:ascii="Open Sans" w:hAnsi="Open Sans" w:cs="Open Sans"/>
          <w:sz w:val="22"/>
          <w:szCs w:val="18"/>
        </w:rPr>
        <w:noBreakHyphen/>
      </w:r>
      <w:r w:rsidR="003C7D5A" w:rsidRPr="006A7524">
        <w:rPr>
          <w:rFonts w:ascii="Open Sans" w:hAnsi="Open Sans" w:cs="Open Sans"/>
          <w:sz w:val="22"/>
          <w:szCs w:val="18"/>
        </w:rPr>
        <w:t>General’s Department</w:t>
      </w:r>
      <w:r w:rsidRPr="006A7524">
        <w:rPr>
          <w:rFonts w:ascii="Open Sans" w:hAnsi="Open Sans" w:cs="Open Sans"/>
          <w:sz w:val="22"/>
          <w:szCs w:val="18"/>
        </w:rPr>
        <w:t>.</w:t>
      </w:r>
    </w:p>
    <w:p w14:paraId="1155A3C8" w14:textId="72BDAC6A" w:rsidR="00CF5986" w:rsidRPr="006A7524" w:rsidRDefault="00CF5986"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A statutory office is a</w:t>
      </w:r>
      <w:r w:rsidR="00224107" w:rsidRPr="006A7524">
        <w:rPr>
          <w:rFonts w:ascii="Open Sans" w:hAnsi="Open Sans" w:cs="Open Sans"/>
          <w:sz w:val="22"/>
          <w:szCs w:val="18"/>
        </w:rPr>
        <w:t xml:space="preserve"> position </w:t>
      </w:r>
      <w:r w:rsidR="00D7096E" w:rsidRPr="006A7524">
        <w:rPr>
          <w:rFonts w:ascii="Open Sans" w:hAnsi="Open Sans" w:cs="Open Sans"/>
          <w:sz w:val="22"/>
          <w:szCs w:val="18"/>
        </w:rPr>
        <w:t>created by legislation</w:t>
      </w:r>
      <w:r w:rsidR="00224107" w:rsidRPr="006A7524">
        <w:rPr>
          <w:rFonts w:ascii="Open Sans" w:hAnsi="Open Sans" w:cs="Open Sans"/>
          <w:sz w:val="22"/>
          <w:szCs w:val="18"/>
        </w:rPr>
        <w:t>,</w:t>
      </w:r>
      <w:r w:rsidR="00D7096E" w:rsidRPr="006A7524">
        <w:rPr>
          <w:rFonts w:ascii="Open Sans" w:hAnsi="Open Sans" w:cs="Open Sans"/>
          <w:sz w:val="22"/>
          <w:szCs w:val="18"/>
        </w:rPr>
        <w:t xml:space="preserve"> </w:t>
      </w:r>
      <w:r w:rsidRPr="006A7524">
        <w:rPr>
          <w:rFonts w:ascii="Open Sans" w:hAnsi="Open Sans" w:cs="Open Sans"/>
          <w:sz w:val="22"/>
          <w:szCs w:val="18"/>
        </w:rPr>
        <w:t xml:space="preserve">such as the </w:t>
      </w:r>
      <w:r w:rsidR="005E2748" w:rsidRPr="006A7524">
        <w:rPr>
          <w:rFonts w:ascii="Open Sans" w:hAnsi="Open Sans" w:cs="Open Sans"/>
          <w:sz w:val="22"/>
          <w:szCs w:val="18"/>
        </w:rPr>
        <w:t>Australian Small Business and Family Enterprise Ombudsman</w:t>
      </w:r>
      <w:r w:rsidRPr="006A7524">
        <w:rPr>
          <w:rFonts w:ascii="Open Sans" w:hAnsi="Open Sans" w:cs="Open Sans"/>
          <w:sz w:val="22"/>
          <w:szCs w:val="18"/>
        </w:rPr>
        <w:t>. The office</w:t>
      </w:r>
      <w:r w:rsidR="008E49ED">
        <w:rPr>
          <w:rFonts w:ascii="Open Sans" w:hAnsi="Open Sans" w:cs="Open Sans"/>
          <w:sz w:val="22"/>
          <w:szCs w:val="18"/>
        </w:rPr>
        <w:noBreakHyphen/>
      </w:r>
      <w:r w:rsidRPr="006A7524">
        <w:rPr>
          <w:rFonts w:ascii="Open Sans" w:hAnsi="Open Sans" w:cs="Open Sans"/>
          <w:sz w:val="22"/>
          <w:szCs w:val="18"/>
        </w:rPr>
        <w:t xml:space="preserve">holder is the person occupying that position. </w:t>
      </w:r>
      <w:r w:rsidR="002A5120" w:rsidRPr="006A7524">
        <w:rPr>
          <w:rFonts w:ascii="Open Sans" w:hAnsi="Open Sans" w:cs="Open Sans"/>
          <w:sz w:val="22"/>
          <w:szCs w:val="18"/>
        </w:rPr>
        <w:t>A statutory office can be a</w:t>
      </w:r>
      <w:r w:rsidR="00664CED" w:rsidRPr="006A7524">
        <w:rPr>
          <w:rFonts w:ascii="Open Sans" w:hAnsi="Open Sans" w:cs="Open Sans"/>
          <w:sz w:val="22"/>
          <w:szCs w:val="18"/>
        </w:rPr>
        <w:t>n</w:t>
      </w:r>
      <w:r w:rsidR="002A5120" w:rsidRPr="006A7524">
        <w:rPr>
          <w:rFonts w:ascii="Open Sans" w:hAnsi="Open Sans" w:cs="Open Sans"/>
          <w:sz w:val="22"/>
          <w:szCs w:val="18"/>
        </w:rPr>
        <w:t xml:space="preserve"> </w:t>
      </w:r>
      <w:r w:rsidR="00D7096E" w:rsidRPr="006A7524">
        <w:rPr>
          <w:rFonts w:ascii="Open Sans" w:hAnsi="Open Sans" w:cs="Open Sans"/>
          <w:sz w:val="22"/>
          <w:szCs w:val="18"/>
        </w:rPr>
        <w:t>appointment</w:t>
      </w:r>
      <w:r w:rsidR="00664CED" w:rsidRPr="006A7524">
        <w:rPr>
          <w:rFonts w:ascii="Open Sans" w:hAnsi="Open Sans" w:cs="Open Sans"/>
          <w:sz w:val="22"/>
          <w:szCs w:val="18"/>
        </w:rPr>
        <w:t xml:space="preserve"> that is</w:t>
      </w:r>
      <w:r w:rsidR="008B14C9" w:rsidRPr="006A7524">
        <w:rPr>
          <w:rFonts w:ascii="Open Sans" w:hAnsi="Open Sans" w:cs="Open Sans"/>
          <w:sz w:val="22"/>
          <w:szCs w:val="18"/>
        </w:rPr>
        <w:t xml:space="preserve"> not necessarily part of a larger statutory body</w:t>
      </w:r>
      <w:r w:rsidRPr="006A7524">
        <w:rPr>
          <w:rFonts w:ascii="Open Sans" w:hAnsi="Open Sans" w:cs="Open Sans"/>
          <w:sz w:val="22"/>
          <w:szCs w:val="18"/>
        </w:rPr>
        <w:t xml:space="preserve">. For example, the </w:t>
      </w:r>
      <w:r w:rsidR="005E2748" w:rsidRPr="006A7524">
        <w:rPr>
          <w:rFonts w:ascii="Open Sans" w:hAnsi="Open Sans" w:cs="Open Sans"/>
          <w:sz w:val="22"/>
          <w:szCs w:val="18"/>
        </w:rPr>
        <w:t>Australian Small Business and Family Enterprise Ombudsman</w:t>
      </w:r>
      <w:r w:rsidRPr="006A7524">
        <w:rPr>
          <w:rFonts w:ascii="Open Sans" w:hAnsi="Open Sans" w:cs="Open Sans"/>
          <w:sz w:val="22"/>
          <w:szCs w:val="18"/>
        </w:rPr>
        <w:t xml:space="preserve"> is supported by Departmental staff (see </w:t>
      </w:r>
      <w:r w:rsidR="008E49ED">
        <w:rPr>
          <w:rFonts w:ascii="Open Sans" w:hAnsi="Open Sans" w:cs="Open Sans"/>
          <w:sz w:val="22"/>
          <w:szCs w:val="18"/>
        </w:rPr>
        <w:t>section 3</w:t>
      </w:r>
      <w:r w:rsidR="005E2748" w:rsidRPr="006A7524">
        <w:rPr>
          <w:rFonts w:ascii="Open Sans" w:hAnsi="Open Sans" w:cs="Open Sans"/>
          <w:sz w:val="22"/>
          <w:szCs w:val="18"/>
        </w:rPr>
        <w:t>3</w:t>
      </w:r>
      <w:r w:rsidRPr="006A7524">
        <w:rPr>
          <w:rFonts w:ascii="Open Sans" w:hAnsi="Open Sans" w:cs="Open Sans"/>
          <w:sz w:val="22"/>
          <w:szCs w:val="18"/>
        </w:rPr>
        <w:t xml:space="preserve"> of the </w:t>
      </w:r>
      <w:r w:rsidR="001A2BA5" w:rsidRPr="006A7524">
        <w:rPr>
          <w:rFonts w:ascii="Open Sans" w:hAnsi="Open Sans" w:cs="Open Sans"/>
          <w:i/>
          <w:iCs/>
          <w:sz w:val="22"/>
          <w:szCs w:val="18"/>
        </w:rPr>
        <w:t>Australian Small Business and Family Enterprise Ombudsman Act 2015</w:t>
      </w:r>
      <w:r w:rsidRPr="006A7524">
        <w:rPr>
          <w:rFonts w:ascii="Open Sans" w:hAnsi="Open Sans" w:cs="Open Sans"/>
          <w:sz w:val="22"/>
          <w:szCs w:val="18"/>
        </w:rPr>
        <w:t>).</w:t>
      </w:r>
    </w:p>
    <w:p w14:paraId="53C03FEF" w14:textId="204C8D35" w:rsidR="0081057D" w:rsidRPr="006A7524" w:rsidRDefault="00BA15D7"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Note that the </w:t>
      </w:r>
      <w:hyperlink r:id="rId16" w:history="1">
        <w:r w:rsidRPr="006A7524">
          <w:rPr>
            <w:rFonts w:ascii="Open Sans" w:hAnsi="Open Sans" w:cs="Open Sans"/>
            <w:sz w:val="22"/>
            <w:szCs w:val="18"/>
            <w:u w:val="single"/>
          </w:rPr>
          <w:t>Legislation Handbook</w:t>
        </w:r>
      </w:hyperlink>
      <w:r w:rsidRPr="006A7524">
        <w:rPr>
          <w:rFonts w:ascii="Open Sans" w:hAnsi="Open Sans" w:cs="Open Sans"/>
          <w:sz w:val="22"/>
          <w:szCs w:val="18"/>
        </w:rPr>
        <w:t xml:space="preserve"> states that the general position is that new functions </w:t>
      </w:r>
      <w:r w:rsidR="00D754C9" w:rsidRPr="006A7524">
        <w:rPr>
          <w:rFonts w:ascii="Open Sans" w:hAnsi="Open Sans" w:cs="Open Sans"/>
          <w:sz w:val="22"/>
          <w:szCs w:val="18"/>
        </w:rPr>
        <w:t>should be</w:t>
      </w:r>
      <w:r w:rsidRPr="006A7524">
        <w:rPr>
          <w:rFonts w:ascii="Open Sans" w:hAnsi="Open Sans" w:cs="Open Sans"/>
          <w:sz w:val="22"/>
          <w:szCs w:val="18"/>
        </w:rPr>
        <w:t xml:space="preserve"> conferred on an existing Commonwealth entity </w:t>
      </w:r>
      <w:r w:rsidR="00D754C9" w:rsidRPr="006A7524">
        <w:rPr>
          <w:rFonts w:ascii="Open Sans" w:hAnsi="Open Sans" w:cs="Open Sans"/>
          <w:sz w:val="22"/>
          <w:szCs w:val="18"/>
        </w:rPr>
        <w:t>rather than</w:t>
      </w:r>
      <w:r w:rsidRPr="006A7524">
        <w:rPr>
          <w:rFonts w:ascii="Open Sans" w:hAnsi="Open Sans" w:cs="Open Sans"/>
          <w:sz w:val="22"/>
          <w:szCs w:val="18"/>
        </w:rPr>
        <w:t xml:space="preserve"> creat</w:t>
      </w:r>
      <w:r w:rsidR="00D754C9" w:rsidRPr="006A7524">
        <w:rPr>
          <w:rFonts w:ascii="Open Sans" w:hAnsi="Open Sans" w:cs="Open Sans"/>
          <w:sz w:val="22"/>
          <w:szCs w:val="18"/>
        </w:rPr>
        <w:t>ing</w:t>
      </w:r>
      <w:r w:rsidRPr="006A7524">
        <w:rPr>
          <w:rFonts w:ascii="Open Sans" w:hAnsi="Open Sans" w:cs="Open Sans"/>
          <w:sz w:val="22"/>
          <w:szCs w:val="18"/>
        </w:rPr>
        <w:t xml:space="preserve"> a new Commonwealth entity (see </w:t>
      </w:r>
      <w:r w:rsidR="008E49ED">
        <w:rPr>
          <w:rFonts w:ascii="Open Sans" w:hAnsi="Open Sans" w:cs="Open Sans"/>
          <w:sz w:val="22"/>
          <w:szCs w:val="18"/>
        </w:rPr>
        <w:t>paragraph 5</w:t>
      </w:r>
      <w:r w:rsidRPr="006A7524">
        <w:rPr>
          <w:rFonts w:ascii="Open Sans" w:hAnsi="Open Sans" w:cs="Open Sans"/>
          <w:sz w:val="22"/>
          <w:szCs w:val="18"/>
        </w:rPr>
        <w:t>.59</w:t>
      </w:r>
      <w:r w:rsidR="001A2BA5" w:rsidRPr="006A7524">
        <w:rPr>
          <w:rFonts w:ascii="Open Sans" w:hAnsi="Open Sans" w:cs="Open Sans"/>
          <w:sz w:val="22"/>
          <w:szCs w:val="18"/>
        </w:rPr>
        <w:t xml:space="preserve"> of the Handbook</w:t>
      </w:r>
      <w:r w:rsidRPr="006A7524">
        <w:rPr>
          <w:rFonts w:ascii="Open Sans" w:hAnsi="Open Sans" w:cs="Open Sans"/>
          <w:sz w:val="22"/>
          <w:szCs w:val="18"/>
        </w:rPr>
        <w:t>).</w:t>
      </w:r>
    </w:p>
    <w:p w14:paraId="1B0C599E" w14:textId="18DD3673" w:rsidR="00077F41" w:rsidRPr="006A7524" w:rsidRDefault="00077F41"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If a new Commonwealth body is required, a number of policy decisions will need to be made in relation to the kind of body</w:t>
      </w:r>
      <w:r w:rsidR="00D754C9" w:rsidRPr="006A7524">
        <w:rPr>
          <w:rFonts w:ascii="Open Sans" w:hAnsi="Open Sans" w:cs="Open Sans"/>
          <w:sz w:val="22"/>
          <w:szCs w:val="18"/>
        </w:rPr>
        <w:t xml:space="preserve">. This includes </w:t>
      </w:r>
      <w:r w:rsidRPr="006A7524">
        <w:rPr>
          <w:rFonts w:ascii="Open Sans" w:hAnsi="Open Sans" w:cs="Open Sans"/>
          <w:sz w:val="22"/>
          <w:szCs w:val="18"/>
        </w:rPr>
        <w:t xml:space="preserve">how the body is funded, </w:t>
      </w:r>
      <w:r w:rsidR="007F7A03" w:rsidRPr="006A7524">
        <w:rPr>
          <w:rFonts w:ascii="Open Sans" w:hAnsi="Open Sans" w:cs="Open Sans"/>
          <w:sz w:val="22"/>
          <w:szCs w:val="18"/>
        </w:rPr>
        <w:t>governance</w:t>
      </w:r>
      <w:r w:rsidRPr="006A7524">
        <w:rPr>
          <w:rFonts w:ascii="Open Sans" w:hAnsi="Open Sans" w:cs="Open Sans"/>
          <w:sz w:val="22"/>
          <w:szCs w:val="18"/>
        </w:rPr>
        <w:t>, staff</w:t>
      </w:r>
      <w:r w:rsidR="00455A13" w:rsidRPr="006A7524">
        <w:rPr>
          <w:rFonts w:ascii="Open Sans" w:hAnsi="Open Sans" w:cs="Open Sans"/>
          <w:sz w:val="22"/>
          <w:szCs w:val="18"/>
        </w:rPr>
        <w:t>, functions and powers etc</w:t>
      </w:r>
      <w:r w:rsidR="007F7A03" w:rsidRPr="006A7524">
        <w:rPr>
          <w:rFonts w:ascii="Open Sans" w:hAnsi="Open Sans" w:cs="Open Sans"/>
          <w:sz w:val="22"/>
          <w:szCs w:val="18"/>
        </w:rPr>
        <w:t xml:space="preserve">. This will likely require that instructors are familiar with the </w:t>
      </w:r>
      <w:r w:rsidR="00047C1C" w:rsidRPr="00047C1C">
        <w:rPr>
          <w:rFonts w:ascii="Open Sans" w:hAnsi="Open Sans" w:cs="Open Sans"/>
          <w:i/>
          <w:iCs/>
          <w:sz w:val="22"/>
          <w:szCs w:val="18"/>
        </w:rPr>
        <w:t>Public</w:t>
      </w:r>
      <w:r w:rsidR="0063123E" w:rsidRPr="00047C1C">
        <w:rPr>
          <w:rFonts w:ascii="Open Sans" w:hAnsi="Open Sans" w:cs="Open Sans"/>
          <w:i/>
          <w:iCs/>
          <w:sz w:val="22"/>
          <w:szCs w:val="18"/>
        </w:rPr>
        <w:t xml:space="preserve"> </w:t>
      </w:r>
      <w:r w:rsidR="007F7A03" w:rsidRPr="00047C1C">
        <w:rPr>
          <w:rFonts w:ascii="Open Sans" w:hAnsi="Open Sans" w:cs="Open Sans"/>
          <w:i/>
          <w:iCs/>
          <w:sz w:val="22"/>
          <w:szCs w:val="18"/>
        </w:rPr>
        <w:t>G</w:t>
      </w:r>
      <w:r w:rsidR="0063123E" w:rsidRPr="00047C1C">
        <w:rPr>
          <w:rFonts w:ascii="Open Sans" w:hAnsi="Open Sans" w:cs="Open Sans"/>
          <w:i/>
          <w:iCs/>
          <w:sz w:val="22"/>
          <w:szCs w:val="18"/>
        </w:rPr>
        <w:t>overnance</w:t>
      </w:r>
      <w:r w:rsidR="00047C1C" w:rsidRPr="00047C1C">
        <w:rPr>
          <w:rFonts w:ascii="Open Sans" w:hAnsi="Open Sans" w:cs="Open Sans"/>
          <w:i/>
          <w:iCs/>
          <w:sz w:val="22"/>
          <w:szCs w:val="18"/>
        </w:rPr>
        <w:t>,</w:t>
      </w:r>
      <w:r w:rsidR="0063123E" w:rsidRPr="00047C1C">
        <w:rPr>
          <w:rFonts w:ascii="Open Sans" w:hAnsi="Open Sans" w:cs="Open Sans"/>
          <w:i/>
          <w:iCs/>
          <w:sz w:val="22"/>
          <w:szCs w:val="18"/>
        </w:rPr>
        <w:t xml:space="preserve"> </w:t>
      </w:r>
      <w:r w:rsidR="007F7A03" w:rsidRPr="00047C1C">
        <w:rPr>
          <w:rFonts w:ascii="Open Sans" w:hAnsi="Open Sans" w:cs="Open Sans"/>
          <w:i/>
          <w:iCs/>
          <w:sz w:val="22"/>
          <w:szCs w:val="18"/>
        </w:rPr>
        <w:t>P</w:t>
      </w:r>
      <w:r w:rsidR="00047C1C" w:rsidRPr="00047C1C">
        <w:rPr>
          <w:rFonts w:ascii="Open Sans" w:hAnsi="Open Sans" w:cs="Open Sans"/>
          <w:i/>
          <w:iCs/>
          <w:sz w:val="22"/>
          <w:szCs w:val="18"/>
        </w:rPr>
        <w:t xml:space="preserve">erformance and </w:t>
      </w:r>
      <w:r w:rsidR="007F7A03" w:rsidRPr="00047C1C">
        <w:rPr>
          <w:rFonts w:ascii="Open Sans" w:hAnsi="Open Sans" w:cs="Open Sans"/>
          <w:i/>
          <w:iCs/>
          <w:sz w:val="22"/>
          <w:szCs w:val="18"/>
        </w:rPr>
        <w:t>A</w:t>
      </w:r>
      <w:r w:rsidR="00047C1C" w:rsidRPr="00047C1C">
        <w:rPr>
          <w:rFonts w:ascii="Open Sans" w:hAnsi="Open Sans" w:cs="Open Sans"/>
          <w:i/>
          <w:iCs/>
          <w:sz w:val="22"/>
          <w:szCs w:val="18"/>
        </w:rPr>
        <w:t>ccountability</w:t>
      </w:r>
      <w:r w:rsidR="007F7A03" w:rsidRPr="00047C1C">
        <w:rPr>
          <w:rFonts w:ascii="Open Sans" w:hAnsi="Open Sans" w:cs="Open Sans"/>
          <w:i/>
          <w:iCs/>
          <w:sz w:val="22"/>
          <w:szCs w:val="18"/>
        </w:rPr>
        <w:t xml:space="preserve"> Act </w:t>
      </w:r>
      <w:r w:rsidR="00047C1C" w:rsidRPr="00047C1C">
        <w:rPr>
          <w:rFonts w:ascii="Open Sans" w:hAnsi="Open Sans" w:cs="Open Sans"/>
          <w:i/>
          <w:iCs/>
          <w:sz w:val="22"/>
          <w:szCs w:val="18"/>
        </w:rPr>
        <w:t>2013</w:t>
      </w:r>
      <w:r w:rsidR="00047C1C">
        <w:rPr>
          <w:rFonts w:ascii="Open Sans" w:hAnsi="Open Sans" w:cs="Open Sans"/>
          <w:sz w:val="22"/>
          <w:szCs w:val="18"/>
        </w:rPr>
        <w:t xml:space="preserve"> </w:t>
      </w:r>
      <w:r w:rsidR="00035775">
        <w:rPr>
          <w:rFonts w:ascii="Open Sans" w:hAnsi="Open Sans" w:cs="Open Sans"/>
          <w:sz w:val="22"/>
          <w:szCs w:val="18"/>
        </w:rPr>
        <w:t>(</w:t>
      </w:r>
      <w:proofErr w:type="spellStart"/>
      <w:r w:rsidR="00035775" w:rsidRPr="00EA22EE">
        <w:rPr>
          <w:rFonts w:ascii="Open Sans" w:hAnsi="Open Sans" w:cs="Open Sans"/>
          <w:b/>
          <w:bCs/>
          <w:i/>
          <w:iCs/>
          <w:sz w:val="22"/>
          <w:szCs w:val="18"/>
        </w:rPr>
        <w:t>PGPA</w:t>
      </w:r>
      <w:proofErr w:type="spellEnd"/>
      <w:r w:rsidR="00035775" w:rsidRPr="00EA22EE">
        <w:rPr>
          <w:rFonts w:ascii="Open Sans" w:hAnsi="Open Sans" w:cs="Open Sans"/>
          <w:b/>
          <w:bCs/>
          <w:i/>
          <w:iCs/>
          <w:sz w:val="22"/>
          <w:szCs w:val="18"/>
        </w:rPr>
        <w:t xml:space="preserve"> Act</w:t>
      </w:r>
      <w:r w:rsidR="00035775">
        <w:rPr>
          <w:rFonts w:ascii="Open Sans" w:hAnsi="Open Sans" w:cs="Open Sans"/>
          <w:sz w:val="22"/>
          <w:szCs w:val="18"/>
        </w:rPr>
        <w:t xml:space="preserve">) </w:t>
      </w:r>
      <w:r w:rsidR="007F7A03" w:rsidRPr="006A7524">
        <w:rPr>
          <w:rFonts w:ascii="Open Sans" w:hAnsi="Open Sans" w:cs="Open Sans"/>
          <w:sz w:val="22"/>
          <w:szCs w:val="18"/>
        </w:rPr>
        <w:t xml:space="preserve">and the </w:t>
      </w:r>
      <w:r w:rsidR="007F7A03" w:rsidRPr="006A7524">
        <w:rPr>
          <w:rFonts w:ascii="Open Sans" w:hAnsi="Open Sans" w:cs="Open Sans"/>
          <w:i/>
          <w:iCs/>
          <w:sz w:val="22"/>
          <w:szCs w:val="18"/>
        </w:rPr>
        <w:t>Public Service Act</w:t>
      </w:r>
      <w:r w:rsidR="00455A13" w:rsidRPr="006A7524">
        <w:rPr>
          <w:rFonts w:ascii="Open Sans" w:hAnsi="Open Sans" w:cs="Open Sans"/>
          <w:i/>
          <w:iCs/>
          <w:sz w:val="22"/>
          <w:szCs w:val="18"/>
        </w:rPr>
        <w:t xml:space="preserve"> 1999</w:t>
      </w:r>
      <w:r w:rsidR="007F7A03" w:rsidRPr="006A7524">
        <w:rPr>
          <w:rFonts w:ascii="Open Sans" w:hAnsi="Open Sans" w:cs="Open Sans"/>
          <w:sz w:val="22"/>
          <w:szCs w:val="18"/>
        </w:rPr>
        <w:t>.</w:t>
      </w:r>
      <w:r w:rsidR="00F40F86" w:rsidRPr="006A7524">
        <w:rPr>
          <w:rFonts w:ascii="Open Sans" w:hAnsi="Open Sans" w:cs="Open Sans"/>
          <w:sz w:val="22"/>
          <w:szCs w:val="18"/>
        </w:rPr>
        <w:t xml:space="preserve"> See </w:t>
      </w:r>
      <w:hyperlink r:id="rId17" w:history="1">
        <w:r w:rsidR="00F40F86" w:rsidRPr="006A7524">
          <w:rPr>
            <w:rFonts w:ascii="Open Sans" w:hAnsi="Open Sans" w:cs="Open Sans"/>
            <w:sz w:val="22"/>
            <w:szCs w:val="18"/>
            <w:u w:val="single"/>
          </w:rPr>
          <w:t xml:space="preserve">Drafting </w:t>
        </w:r>
        <w:r w:rsidR="008E49ED">
          <w:rPr>
            <w:rFonts w:ascii="Open Sans" w:hAnsi="Open Sans" w:cs="Open Sans"/>
            <w:sz w:val="22"/>
            <w:szCs w:val="18"/>
            <w:u w:val="single"/>
          </w:rPr>
          <w:t>Direction 3</w:t>
        </w:r>
        <w:r w:rsidR="00F40F86" w:rsidRPr="006A7524">
          <w:rPr>
            <w:rFonts w:ascii="Open Sans" w:hAnsi="Open Sans" w:cs="Open Sans"/>
            <w:sz w:val="22"/>
            <w:szCs w:val="18"/>
            <w:u w:val="single"/>
          </w:rPr>
          <w:t>.6</w:t>
        </w:r>
      </w:hyperlink>
      <w:r w:rsidR="00F40F86" w:rsidRPr="006A7524">
        <w:rPr>
          <w:rFonts w:ascii="Open Sans" w:hAnsi="Open Sans" w:cs="Open Sans"/>
          <w:sz w:val="22"/>
          <w:szCs w:val="18"/>
        </w:rPr>
        <w:t xml:space="preserve"> for more information.</w:t>
      </w:r>
    </w:p>
    <w:p w14:paraId="4B86E5F2" w14:textId="4CE5D069" w:rsidR="00455A13" w:rsidRPr="006A7524" w:rsidRDefault="00607EEE"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Instructors intending to create a new statutory body should consult the Department of Finance. </w:t>
      </w:r>
      <w:r w:rsidR="000F1B0F">
        <w:rPr>
          <w:rFonts w:ascii="Open Sans" w:hAnsi="Open Sans" w:cs="Open Sans"/>
          <w:sz w:val="22"/>
          <w:szCs w:val="18"/>
        </w:rPr>
        <w:t xml:space="preserve">Instructors may also wish to consult the Department of Finance </w:t>
      </w:r>
      <w:r w:rsidR="000F1B0F">
        <w:rPr>
          <w:rFonts w:ascii="Open Sans" w:hAnsi="Open Sans" w:cs="Open Sans"/>
          <w:sz w:val="22"/>
          <w:szCs w:val="18"/>
        </w:rPr>
        <w:lastRenderedPageBreak/>
        <w:t>on amendments to an existing statutory body, particularly in relation to changes to financial or governance arrangements</w:t>
      </w:r>
      <w:r w:rsidR="00455A13" w:rsidRPr="006A7524">
        <w:rPr>
          <w:rFonts w:ascii="Open Sans" w:hAnsi="Open Sans" w:cs="Open Sans"/>
          <w:sz w:val="22"/>
          <w:szCs w:val="18"/>
        </w:rPr>
        <w:t>.</w:t>
      </w:r>
    </w:p>
    <w:p w14:paraId="45D3F7AD" w14:textId="5371F9AE" w:rsidR="00224107" w:rsidRPr="006A7524" w:rsidRDefault="00061439"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w:t>
      </w:r>
      <w:r w:rsidR="00224107" w:rsidRPr="006A7524">
        <w:rPr>
          <w:rFonts w:ascii="Open Sans" w:hAnsi="Open Sans" w:cs="Open Sans"/>
          <w:sz w:val="22"/>
          <w:szCs w:val="18"/>
        </w:rPr>
        <w:t xml:space="preserve">nstructors should </w:t>
      </w:r>
      <w:r w:rsidR="00B41625" w:rsidRPr="006A7524">
        <w:rPr>
          <w:rFonts w:ascii="Open Sans" w:hAnsi="Open Sans" w:cs="Open Sans"/>
          <w:sz w:val="22"/>
          <w:szCs w:val="18"/>
        </w:rPr>
        <w:t>consider</w:t>
      </w:r>
      <w:r w:rsidR="00860275" w:rsidRPr="006A7524">
        <w:rPr>
          <w:rFonts w:ascii="Open Sans" w:hAnsi="Open Sans" w:cs="Open Sans"/>
          <w:sz w:val="22"/>
          <w:szCs w:val="18"/>
        </w:rPr>
        <w:t xml:space="preserve"> and </w:t>
      </w:r>
      <w:r w:rsidR="001A2BA5" w:rsidRPr="006A7524">
        <w:rPr>
          <w:rFonts w:ascii="Open Sans" w:hAnsi="Open Sans" w:cs="Open Sans"/>
          <w:sz w:val="22"/>
          <w:szCs w:val="18"/>
        </w:rPr>
        <w:t>provide instructions</w:t>
      </w:r>
      <w:r w:rsidR="00860275" w:rsidRPr="006A7524">
        <w:rPr>
          <w:rFonts w:ascii="Open Sans" w:hAnsi="Open Sans" w:cs="Open Sans"/>
          <w:sz w:val="22"/>
          <w:szCs w:val="18"/>
        </w:rPr>
        <w:t xml:space="preserve"> on</w:t>
      </w:r>
      <w:r w:rsidR="00224107" w:rsidRPr="006A7524">
        <w:rPr>
          <w:rFonts w:ascii="Open Sans" w:hAnsi="Open Sans" w:cs="Open Sans"/>
          <w:sz w:val="22"/>
          <w:szCs w:val="18"/>
        </w:rPr>
        <w:t>:</w:t>
      </w:r>
    </w:p>
    <w:p w14:paraId="22B38AE5" w14:textId="588F8FFC" w:rsidR="00163856" w:rsidRDefault="00397D55" w:rsidP="00062852">
      <w:pPr>
        <w:pStyle w:val="BodyParaBullet"/>
        <w:numPr>
          <w:ilvl w:val="0"/>
          <w:numId w:val="4"/>
        </w:numPr>
        <w:rPr>
          <w:rFonts w:ascii="Open Sans" w:hAnsi="Open Sans" w:cs="Open Sans"/>
          <w:sz w:val="22"/>
          <w:szCs w:val="18"/>
        </w:rPr>
      </w:pPr>
      <w:r>
        <w:rPr>
          <w:rFonts w:ascii="Open Sans" w:hAnsi="Open Sans" w:cs="Open Sans"/>
          <w:sz w:val="22"/>
          <w:szCs w:val="18"/>
        </w:rPr>
        <w:t>for</w:t>
      </w:r>
      <w:r w:rsidR="00255661">
        <w:rPr>
          <w:rFonts w:ascii="Open Sans" w:hAnsi="Open Sans" w:cs="Open Sans"/>
          <w:sz w:val="22"/>
          <w:szCs w:val="18"/>
        </w:rPr>
        <w:t xml:space="preserve"> </w:t>
      </w:r>
      <w:r w:rsidR="009564E7">
        <w:rPr>
          <w:rFonts w:ascii="Open Sans" w:hAnsi="Open Sans" w:cs="Open Sans"/>
          <w:sz w:val="22"/>
          <w:szCs w:val="18"/>
        </w:rPr>
        <w:t xml:space="preserve">a new </w:t>
      </w:r>
      <w:r w:rsidR="00035775">
        <w:rPr>
          <w:rFonts w:ascii="Open Sans" w:hAnsi="Open Sans" w:cs="Open Sans"/>
          <w:sz w:val="22"/>
          <w:szCs w:val="18"/>
        </w:rPr>
        <w:t xml:space="preserve">statutory </w:t>
      </w:r>
      <w:r w:rsidR="009564E7">
        <w:rPr>
          <w:rFonts w:ascii="Open Sans" w:hAnsi="Open Sans" w:cs="Open Sans"/>
          <w:sz w:val="22"/>
          <w:szCs w:val="18"/>
        </w:rPr>
        <w:t>body</w:t>
      </w:r>
      <w:r w:rsidR="00704925">
        <w:rPr>
          <w:rFonts w:ascii="Open Sans" w:hAnsi="Open Sans" w:cs="Open Sans"/>
          <w:sz w:val="22"/>
          <w:szCs w:val="18"/>
        </w:rPr>
        <w:t>:</w:t>
      </w:r>
    </w:p>
    <w:p w14:paraId="6CC17047" w14:textId="75ED7586" w:rsidR="00035775" w:rsidRDefault="00FE482A" w:rsidP="00062852">
      <w:pPr>
        <w:pStyle w:val="BodyParaBullet"/>
        <w:numPr>
          <w:ilvl w:val="1"/>
          <w:numId w:val="4"/>
        </w:numPr>
        <w:rPr>
          <w:rFonts w:ascii="Open Sans" w:hAnsi="Open Sans" w:cs="Open Sans"/>
          <w:sz w:val="22"/>
          <w:szCs w:val="18"/>
        </w:rPr>
      </w:pPr>
      <w:r>
        <w:rPr>
          <w:rFonts w:ascii="Open Sans" w:hAnsi="Open Sans" w:cs="Open Sans"/>
          <w:sz w:val="22"/>
          <w:szCs w:val="18"/>
        </w:rPr>
        <w:t>w</w:t>
      </w:r>
      <w:r w:rsidR="00035775">
        <w:rPr>
          <w:rFonts w:ascii="Open Sans" w:hAnsi="Open Sans" w:cs="Open Sans"/>
          <w:sz w:val="22"/>
          <w:szCs w:val="18"/>
        </w:rPr>
        <w:t xml:space="preserve">hat kind of body will it be? </w:t>
      </w:r>
      <w:r>
        <w:rPr>
          <w:rFonts w:ascii="Open Sans" w:hAnsi="Open Sans" w:cs="Open Sans"/>
          <w:sz w:val="22"/>
          <w:szCs w:val="18"/>
        </w:rPr>
        <w:t>e</w:t>
      </w:r>
      <w:r w:rsidR="00035775">
        <w:rPr>
          <w:rFonts w:ascii="Open Sans" w:hAnsi="Open Sans" w:cs="Open Sans"/>
          <w:sz w:val="22"/>
          <w:szCs w:val="18"/>
        </w:rPr>
        <w:t>.g. a corporate Commonwealth entity or a listed entity</w:t>
      </w:r>
      <w:r w:rsidR="00704925">
        <w:rPr>
          <w:rFonts w:ascii="Open Sans" w:hAnsi="Open Sans" w:cs="Open Sans"/>
          <w:sz w:val="22"/>
          <w:szCs w:val="18"/>
        </w:rPr>
        <w:t>?</w:t>
      </w:r>
    </w:p>
    <w:p w14:paraId="2769BB37" w14:textId="18434B1F" w:rsidR="00035775" w:rsidRDefault="00FE482A" w:rsidP="00062852">
      <w:pPr>
        <w:pStyle w:val="BodyParaBullet"/>
        <w:numPr>
          <w:ilvl w:val="1"/>
          <w:numId w:val="4"/>
        </w:numPr>
        <w:rPr>
          <w:rFonts w:ascii="Open Sans" w:hAnsi="Open Sans" w:cs="Open Sans"/>
          <w:sz w:val="22"/>
          <w:szCs w:val="18"/>
        </w:rPr>
      </w:pPr>
      <w:r>
        <w:rPr>
          <w:rFonts w:ascii="Open Sans" w:hAnsi="Open Sans" w:cs="Open Sans"/>
          <w:sz w:val="22"/>
          <w:szCs w:val="18"/>
        </w:rPr>
        <w:t>w</w:t>
      </w:r>
      <w:r w:rsidR="00035775">
        <w:rPr>
          <w:rFonts w:ascii="Open Sans" w:hAnsi="Open Sans" w:cs="Open Sans"/>
          <w:sz w:val="22"/>
          <w:szCs w:val="18"/>
        </w:rPr>
        <w:t xml:space="preserve">ill the </w:t>
      </w:r>
      <w:r w:rsidR="00035775" w:rsidRPr="00035775">
        <w:rPr>
          <w:rFonts w:ascii="Open Sans" w:hAnsi="Open Sans" w:cs="Open Sans"/>
          <w:i/>
          <w:iCs/>
          <w:sz w:val="22"/>
          <w:szCs w:val="18"/>
        </w:rPr>
        <w:t>Public Service Act 1999</w:t>
      </w:r>
      <w:r w:rsidR="00035775">
        <w:rPr>
          <w:rFonts w:ascii="Open Sans" w:hAnsi="Open Sans" w:cs="Open Sans"/>
          <w:sz w:val="22"/>
          <w:szCs w:val="18"/>
        </w:rPr>
        <w:t xml:space="preserve"> apply to the body?</w:t>
      </w:r>
      <w:r>
        <w:rPr>
          <w:rFonts w:ascii="Open Sans" w:hAnsi="Open Sans" w:cs="Open Sans"/>
          <w:sz w:val="22"/>
          <w:szCs w:val="18"/>
        </w:rPr>
        <w:t xml:space="preserve"> e</w:t>
      </w:r>
      <w:r w:rsidR="00035775">
        <w:rPr>
          <w:rFonts w:ascii="Open Sans" w:hAnsi="Open Sans" w:cs="Open Sans"/>
          <w:sz w:val="22"/>
          <w:szCs w:val="18"/>
        </w:rPr>
        <w:t>.g. should a statutory agency be created?</w:t>
      </w:r>
    </w:p>
    <w:p w14:paraId="1F5B49B9" w14:textId="3E81801C" w:rsidR="00255661" w:rsidRDefault="00FE482A" w:rsidP="00062852">
      <w:pPr>
        <w:pStyle w:val="BodyParaBullet"/>
        <w:numPr>
          <w:ilvl w:val="1"/>
          <w:numId w:val="4"/>
        </w:numPr>
        <w:rPr>
          <w:rFonts w:ascii="Open Sans" w:hAnsi="Open Sans" w:cs="Open Sans"/>
          <w:sz w:val="22"/>
          <w:szCs w:val="18"/>
        </w:rPr>
      </w:pPr>
      <w:r>
        <w:rPr>
          <w:rFonts w:ascii="Open Sans" w:hAnsi="Open Sans" w:cs="Open Sans"/>
          <w:sz w:val="22"/>
          <w:szCs w:val="18"/>
        </w:rPr>
        <w:t>w</w:t>
      </w:r>
      <w:r w:rsidR="005E2043">
        <w:rPr>
          <w:rFonts w:ascii="Open Sans" w:hAnsi="Open Sans" w:cs="Open Sans"/>
          <w:sz w:val="22"/>
          <w:szCs w:val="18"/>
        </w:rPr>
        <w:t xml:space="preserve">hat other arrangements will apply to the new body? </w:t>
      </w:r>
      <w:r>
        <w:rPr>
          <w:rFonts w:ascii="Open Sans" w:hAnsi="Open Sans" w:cs="Open Sans"/>
          <w:sz w:val="22"/>
          <w:szCs w:val="18"/>
        </w:rPr>
        <w:t>e</w:t>
      </w:r>
      <w:r w:rsidR="005E2043">
        <w:rPr>
          <w:rFonts w:ascii="Open Sans" w:hAnsi="Open Sans" w:cs="Open Sans"/>
          <w:sz w:val="22"/>
          <w:szCs w:val="18"/>
        </w:rPr>
        <w:t>.g. functions, composition, remuneration for any office holders?</w:t>
      </w:r>
    </w:p>
    <w:p w14:paraId="6FC865B1" w14:textId="32940B0E" w:rsidR="004844C7" w:rsidRDefault="00397D55" w:rsidP="00062852">
      <w:pPr>
        <w:pStyle w:val="BodyParaBullet"/>
        <w:numPr>
          <w:ilvl w:val="0"/>
          <w:numId w:val="4"/>
        </w:numPr>
        <w:rPr>
          <w:rFonts w:ascii="Open Sans" w:hAnsi="Open Sans" w:cs="Open Sans"/>
          <w:sz w:val="22"/>
          <w:szCs w:val="18"/>
        </w:rPr>
      </w:pPr>
      <w:r>
        <w:rPr>
          <w:rFonts w:ascii="Open Sans" w:hAnsi="Open Sans" w:cs="Open Sans"/>
          <w:sz w:val="22"/>
          <w:szCs w:val="18"/>
        </w:rPr>
        <w:t>for</w:t>
      </w:r>
      <w:r w:rsidR="00255661">
        <w:rPr>
          <w:rFonts w:ascii="Open Sans" w:hAnsi="Open Sans" w:cs="Open Sans"/>
          <w:sz w:val="22"/>
          <w:szCs w:val="18"/>
        </w:rPr>
        <w:t xml:space="preserve"> amending</w:t>
      </w:r>
      <w:r w:rsidR="004844C7">
        <w:rPr>
          <w:rFonts w:ascii="Open Sans" w:hAnsi="Open Sans" w:cs="Open Sans"/>
          <w:sz w:val="22"/>
          <w:szCs w:val="18"/>
        </w:rPr>
        <w:t xml:space="preserve"> an existing body:</w:t>
      </w:r>
    </w:p>
    <w:p w14:paraId="3F1EA5FF" w14:textId="4E9131AB" w:rsidR="004844C7" w:rsidRDefault="00FE482A" w:rsidP="00062852">
      <w:pPr>
        <w:pStyle w:val="BodyParaBullet"/>
        <w:numPr>
          <w:ilvl w:val="1"/>
          <w:numId w:val="4"/>
        </w:numPr>
        <w:rPr>
          <w:rFonts w:ascii="Open Sans" w:hAnsi="Open Sans" w:cs="Open Sans"/>
          <w:sz w:val="22"/>
          <w:szCs w:val="18"/>
        </w:rPr>
      </w:pPr>
      <w:r>
        <w:rPr>
          <w:rFonts w:ascii="Open Sans" w:hAnsi="Open Sans" w:cs="Open Sans"/>
          <w:sz w:val="22"/>
          <w:szCs w:val="18"/>
        </w:rPr>
        <w:t>what changes are proposed to the existing arrangements?</w:t>
      </w:r>
    </w:p>
    <w:p w14:paraId="4583EA6A" w14:textId="5588AA34" w:rsidR="00FE482A" w:rsidRPr="006A7524" w:rsidRDefault="00FE482A" w:rsidP="00062852">
      <w:pPr>
        <w:pStyle w:val="BodyParaBullet"/>
        <w:numPr>
          <w:ilvl w:val="1"/>
          <w:numId w:val="4"/>
        </w:numPr>
        <w:rPr>
          <w:rFonts w:ascii="Open Sans" w:hAnsi="Open Sans" w:cs="Open Sans"/>
          <w:sz w:val="22"/>
          <w:szCs w:val="18"/>
        </w:rPr>
      </w:pPr>
      <w:r>
        <w:rPr>
          <w:rFonts w:ascii="Open Sans" w:hAnsi="Open Sans" w:cs="Open Sans"/>
          <w:sz w:val="22"/>
          <w:szCs w:val="18"/>
        </w:rPr>
        <w:t xml:space="preserve">what are the consequences of those changes under the </w:t>
      </w:r>
      <w:proofErr w:type="spellStart"/>
      <w:r>
        <w:rPr>
          <w:rFonts w:ascii="Open Sans" w:hAnsi="Open Sans" w:cs="Open Sans"/>
          <w:sz w:val="22"/>
          <w:szCs w:val="18"/>
        </w:rPr>
        <w:t>PGPA</w:t>
      </w:r>
      <w:proofErr w:type="spellEnd"/>
      <w:r>
        <w:rPr>
          <w:rFonts w:ascii="Open Sans" w:hAnsi="Open Sans" w:cs="Open Sans"/>
          <w:sz w:val="22"/>
          <w:szCs w:val="18"/>
        </w:rPr>
        <w:t xml:space="preserve"> Act, </w:t>
      </w:r>
      <w:r>
        <w:rPr>
          <w:rFonts w:ascii="Open Sans" w:hAnsi="Open Sans" w:cs="Open Sans"/>
          <w:i/>
          <w:iCs/>
          <w:sz w:val="22"/>
          <w:szCs w:val="18"/>
        </w:rPr>
        <w:t xml:space="preserve">Public Service Act 1999, </w:t>
      </w:r>
      <w:r>
        <w:rPr>
          <w:rFonts w:ascii="Open Sans" w:hAnsi="Open Sans" w:cs="Open Sans"/>
          <w:sz w:val="22"/>
          <w:szCs w:val="18"/>
        </w:rPr>
        <w:t>or other related legislation?</w:t>
      </w:r>
    </w:p>
    <w:p w14:paraId="4221C475" w14:textId="70F8A291" w:rsidR="00EC7078" w:rsidRPr="006A7524" w:rsidRDefault="00163856" w:rsidP="003D2A60">
      <w:pPr>
        <w:pStyle w:val="Heading2"/>
        <w:keepNext/>
        <w:rPr>
          <w:rFonts w:ascii="Open Sans ExtraBold" w:hAnsi="Open Sans ExtraBold" w:cs="Open Sans ExtraBold"/>
          <w:lang w:val="en-AU"/>
        </w:rPr>
      </w:pPr>
      <w:r w:rsidRPr="006A7524">
        <w:rPr>
          <w:rFonts w:ascii="Open Sans ExtraBold" w:hAnsi="Open Sans ExtraBold" w:cs="Open Sans ExtraBold"/>
          <w:lang w:val="en-AU"/>
        </w:rPr>
        <w:t>Appropriations, spending and contracting</w:t>
      </w:r>
    </w:p>
    <w:p w14:paraId="0571DF1F" w14:textId="74AFFF8F" w:rsidR="005E2043" w:rsidRDefault="00CC301B" w:rsidP="00062852">
      <w:pPr>
        <w:pStyle w:val="BodyNum"/>
        <w:numPr>
          <w:ilvl w:val="0"/>
          <w:numId w:val="2"/>
        </w:numPr>
        <w:rPr>
          <w:rFonts w:ascii="Open Sans" w:hAnsi="Open Sans" w:cs="Open Sans"/>
          <w:sz w:val="22"/>
          <w:szCs w:val="18"/>
        </w:rPr>
      </w:pPr>
      <w:r>
        <w:rPr>
          <w:rFonts w:ascii="Open Sans" w:hAnsi="Open Sans" w:cs="Open Sans"/>
          <w:sz w:val="22"/>
          <w:szCs w:val="18"/>
        </w:rPr>
        <w:t xml:space="preserve">In order to spend </w:t>
      </w:r>
      <w:r w:rsidR="00C4356A">
        <w:rPr>
          <w:rFonts w:ascii="Open Sans" w:hAnsi="Open Sans" w:cs="Open Sans"/>
          <w:sz w:val="22"/>
          <w:szCs w:val="18"/>
        </w:rPr>
        <w:t>Commonwealth</w:t>
      </w:r>
      <w:r>
        <w:rPr>
          <w:rFonts w:ascii="Open Sans" w:hAnsi="Open Sans" w:cs="Open Sans"/>
          <w:sz w:val="22"/>
          <w:szCs w:val="18"/>
        </w:rPr>
        <w:t xml:space="preserve"> money, there must be an appropriation and a power to spend.</w:t>
      </w:r>
    </w:p>
    <w:p w14:paraId="7AB86EBB" w14:textId="18B7DEE4" w:rsidR="00F44951" w:rsidRDefault="00067953" w:rsidP="00062852">
      <w:pPr>
        <w:pStyle w:val="BodyNum"/>
        <w:numPr>
          <w:ilvl w:val="0"/>
          <w:numId w:val="2"/>
        </w:numPr>
        <w:rPr>
          <w:rFonts w:ascii="Open Sans" w:hAnsi="Open Sans" w:cs="Open Sans"/>
          <w:sz w:val="22"/>
          <w:szCs w:val="18"/>
        </w:rPr>
      </w:pPr>
      <w:r>
        <w:rPr>
          <w:rFonts w:ascii="Open Sans" w:hAnsi="Open Sans" w:cs="Open Sans"/>
          <w:sz w:val="22"/>
          <w:szCs w:val="18"/>
        </w:rPr>
        <w:t>An appropriation authorises the drawing of money from the Consolidated Revenue Fund</w:t>
      </w:r>
      <w:r w:rsidR="005E2043">
        <w:rPr>
          <w:rFonts w:ascii="Open Sans" w:hAnsi="Open Sans" w:cs="Open Sans"/>
          <w:sz w:val="22"/>
          <w:szCs w:val="18"/>
        </w:rPr>
        <w:t>.</w:t>
      </w:r>
    </w:p>
    <w:p w14:paraId="0A6E9E6E" w14:textId="799D8A7D" w:rsidR="006E22E4" w:rsidRPr="006A7524" w:rsidRDefault="00066B83" w:rsidP="00062852">
      <w:pPr>
        <w:pStyle w:val="BodyNum"/>
        <w:numPr>
          <w:ilvl w:val="0"/>
          <w:numId w:val="2"/>
        </w:numPr>
        <w:rPr>
          <w:rFonts w:ascii="Open Sans" w:hAnsi="Open Sans" w:cs="Open Sans"/>
          <w:sz w:val="22"/>
          <w:szCs w:val="18"/>
        </w:rPr>
      </w:pPr>
      <w:r>
        <w:rPr>
          <w:rFonts w:ascii="Open Sans" w:hAnsi="Open Sans" w:cs="Open Sans"/>
          <w:sz w:val="22"/>
          <w:szCs w:val="18"/>
        </w:rPr>
        <w:t xml:space="preserve">Any expenditure associated with the instructions will need to be covered by an appropriation. </w:t>
      </w:r>
      <w:r w:rsidR="001231EF" w:rsidRPr="006A7524">
        <w:rPr>
          <w:rFonts w:ascii="Open Sans" w:hAnsi="Open Sans" w:cs="Open Sans"/>
          <w:sz w:val="22"/>
          <w:szCs w:val="18"/>
        </w:rPr>
        <w:t xml:space="preserve">There are </w:t>
      </w:r>
      <w:r w:rsidR="001D4185" w:rsidRPr="006A7524">
        <w:rPr>
          <w:rFonts w:ascii="Open Sans" w:hAnsi="Open Sans" w:cs="Open Sans"/>
          <w:sz w:val="22"/>
          <w:szCs w:val="18"/>
        </w:rPr>
        <w:t>two</w:t>
      </w:r>
      <w:r w:rsidR="001231EF" w:rsidRPr="006A7524">
        <w:rPr>
          <w:rFonts w:ascii="Open Sans" w:hAnsi="Open Sans" w:cs="Open Sans"/>
          <w:sz w:val="22"/>
          <w:szCs w:val="18"/>
        </w:rPr>
        <w:t xml:space="preserve"> main types of appropriations</w:t>
      </w:r>
      <w:r w:rsidR="00397D55">
        <w:rPr>
          <w:rFonts w:ascii="Open Sans" w:hAnsi="Open Sans" w:cs="Open Sans"/>
          <w:sz w:val="22"/>
          <w:szCs w:val="18"/>
        </w:rPr>
        <w:t>: standing appropriations and annual appropriations.</w:t>
      </w:r>
    </w:p>
    <w:p w14:paraId="780FCF71" w14:textId="5523BD89" w:rsidR="00397D55" w:rsidRDefault="001231EF"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A standing appropriation </w:t>
      </w:r>
      <w:r w:rsidR="00EB0188" w:rsidRPr="006A7524">
        <w:rPr>
          <w:rFonts w:ascii="Open Sans" w:hAnsi="Open Sans" w:cs="Open Sans"/>
          <w:sz w:val="22"/>
          <w:szCs w:val="18"/>
        </w:rPr>
        <w:t xml:space="preserve">(also sometimes known as a special appropriation) </w:t>
      </w:r>
      <w:r w:rsidR="005767AF" w:rsidRPr="006A7524">
        <w:rPr>
          <w:rFonts w:ascii="Open Sans" w:hAnsi="Open Sans" w:cs="Open Sans"/>
          <w:sz w:val="22"/>
          <w:szCs w:val="18"/>
        </w:rPr>
        <w:t xml:space="preserve">is a provision in an Act that </w:t>
      </w:r>
      <w:r w:rsidR="005C5ADC" w:rsidRPr="006A7524">
        <w:rPr>
          <w:rFonts w:ascii="Open Sans" w:hAnsi="Open Sans" w:cs="Open Sans"/>
          <w:sz w:val="22"/>
          <w:szCs w:val="18"/>
        </w:rPr>
        <w:t xml:space="preserve">enables spending from the Consolidated Revenue Fund on an ongoing basis. </w:t>
      </w:r>
      <w:r w:rsidR="003363B4">
        <w:rPr>
          <w:rFonts w:ascii="Open Sans" w:hAnsi="Open Sans" w:cs="Open Sans"/>
          <w:sz w:val="22"/>
          <w:szCs w:val="18"/>
        </w:rPr>
        <w:t xml:space="preserve">An example of a standing appropriation is </w:t>
      </w:r>
      <w:r w:rsidR="008E49ED">
        <w:rPr>
          <w:rFonts w:ascii="Open Sans" w:hAnsi="Open Sans" w:cs="Open Sans"/>
          <w:sz w:val="22"/>
          <w:szCs w:val="18"/>
        </w:rPr>
        <w:t>section 7</w:t>
      </w:r>
      <w:r w:rsidR="00117E6E">
        <w:rPr>
          <w:rFonts w:ascii="Open Sans" w:hAnsi="Open Sans" w:cs="Open Sans"/>
          <w:sz w:val="22"/>
          <w:szCs w:val="18"/>
        </w:rPr>
        <w:t>7</w:t>
      </w:r>
      <w:r w:rsidR="003363B4">
        <w:rPr>
          <w:rFonts w:ascii="Open Sans" w:hAnsi="Open Sans" w:cs="Open Sans"/>
          <w:sz w:val="22"/>
          <w:szCs w:val="18"/>
        </w:rPr>
        <w:t xml:space="preserve"> of the </w:t>
      </w:r>
      <w:proofErr w:type="spellStart"/>
      <w:r w:rsidR="00117E6E">
        <w:rPr>
          <w:rFonts w:ascii="Open Sans" w:hAnsi="Open Sans" w:cs="Open Sans"/>
          <w:sz w:val="22"/>
          <w:szCs w:val="18"/>
        </w:rPr>
        <w:t>PGPA</w:t>
      </w:r>
      <w:proofErr w:type="spellEnd"/>
      <w:r w:rsidR="00117E6E">
        <w:rPr>
          <w:rFonts w:ascii="Open Sans" w:hAnsi="Open Sans" w:cs="Open Sans"/>
          <w:sz w:val="22"/>
          <w:szCs w:val="18"/>
        </w:rPr>
        <w:t xml:space="preserve"> Act</w:t>
      </w:r>
      <w:r w:rsidR="003363B4">
        <w:rPr>
          <w:rFonts w:ascii="Open Sans" w:hAnsi="Open Sans" w:cs="Open Sans"/>
          <w:sz w:val="22"/>
          <w:szCs w:val="18"/>
        </w:rPr>
        <w:t xml:space="preserve">. </w:t>
      </w:r>
      <w:r w:rsidR="005C5ADC" w:rsidRPr="006A7524">
        <w:rPr>
          <w:rFonts w:ascii="Open Sans" w:hAnsi="Open Sans" w:cs="Open Sans"/>
          <w:sz w:val="22"/>
          <w:szCs w:val="18"/>
        </w:rPr>
        <w:t xml:space="preserve">New standing appropriations require consultation with the Department of Finance. </w:t>
      </w:r>
    </w:p>
    <w:p w14:paraId="72544B61" w14:textId="06CFCA5C" w:rsidR="001231EF" w:rsidRPr="00397D55" w:rsidRDefault="00397D55" w:rsidP="00062852">
      <w:pPr>
        <w:pStyle w:val="BodyNum"/>
        <w:numPr>
          <w:ilvl w:val="0"/>
          <w:numId w:val="2"/>
        </w:numPr>
        <w:rPr>
          <w:rFonts w:ascii="Open Sans" w:hAnsi="Open Sans" w:cs="Open Sans"/>
          <w:sz w:val="22"/>
          <w:szCs w:val="18"/>
        </w:rPr>
      </w:pPr>
      <w:r>
        <w:rPr>
          <w:rFonts w:ascii="Open Sans" w:hAnsi="Open Sans" w:cs="Open Sans"/>
          <w:sz w:val="22"/>
          <w:szCs w:val="18"/>
        </w:rPr>
        <w:t xml:space="preserve">New standing appropriations </w:t>
      </w:r>
      <w:r w:rsidR="005C5ADC" w:rsidRPr="00397D55">
        <w:rPr>
          <w:rFonts w:ascii="Open Sans" w:hAnsi="Open Sans" w:cs="Open Sans"/>
          <w:sz w:val="22"/>
          <w:szCs w:val="18"/>
        </w:rPr>
        <w:t xml:space="preserve">will also attract scrutiny from the </w:t>
      </w:r>
      <w:r w:rsidR="00E41FD0" w:rsidRPr="00397D55">
        <w:rPr>
          <w:rFonts w:ascii="Open Sans" w:hAnsi="Open Sans" w:cs="Open Sans"/>
          <w:sz w:val="22"/>
          <w:szCs w:val="18"/>
        </w:rPr>
        <w:t>Senate Standing Committee for the Scrutiny of Bills</w:t>
      </w:r>
      <w:r w:rsidR="005C5ADC" w:rsidRPr="00397D55">
        <w:rPr>
          <w:rFonts w:ascii="Open Sans" w:hAnsi="Open Sans" w:cs="Open Sans"/>
          <w:sz w:val="22"/>
          <w:szCs w:val="18"/>
        </w:rPr>
        <w:t xml:space="preserve"> because, once enacted, a standing appropriation does not require ongoing parliamentary approval</w:t>
      </w:r>
      <w:r>
        <w:rPr>
          <w:rFonts w:ascii="Open Sans" w:hAnsi="Open Sans" w:cs="Open Sans"/>
          <w:sz w:val="22"/>
          <w:szCs w:val="18"/>
        </w:rPr>
        <w:t>. S</w:t>
      </w:r>
      <w:r w:rsidR="005C5ADC" w:rsidRPr="00397D55">
        <w:rPr>
          <w:rFonts w:ascii="Open Sans" w:hAnsi="Open Sans" w:cs="Open Sans"/>
          <w:sz w:val="22"/>
          <w:szCs w:val="18"/>
        </w:rPr>
        <w:t>ee</w:t>
      </w:r>
      <w:r w:rsidR="006A7524" w:rsidRPr="00397D55">
        <w:rPr>
          <w:rFonts w:ascii="Open Sans" w:hAnsi="Open Sans" w:cs="Open Sans"/>
          <w:sz w:val="22"/>
          <w:szCs w:val="18"/>
        </w:rPr>
        <w:t xml:space="preserve"> the</w:t>
      </w:r>
      <w:r w:rsidR="005C5ADC" w:rsidRPr="00397D55">
        <w:rPr>
          <w:rFonts w:ascii="Open Sans" w:hAnsi="Open Sans" w:cs="Open Sans"/>
          <w:sz w:val="22"/>
          <w:szCs w:val="18"/>
        </w:rPr>
        <w:t xml:space="preserve"> </w:t>
      </w:r>
      <w:hyperlink r:id="rId18" w:history="1">
        <w:r w:rsidR="005C5ADC" w:rsidRPr="00397D55">
          <w:rPr>
            <w:rFonts w:ascii="Open Sans" w:hAnsi="Open Sans" w:cs="Open Sans"/>
            <w:sz w:val="22"/>
            <w:szCs w:val="18"/>
            <w:u w:val="single"/>
          </w:rPr>
          <w:t>Committee Guidelines</w:t>
        </w:r>
      </w:hyperlink>
      <w:r w:rsidR="005C5ADC" w:rsidRPr="00397D55">
        <w:rPr>
          <w:rFonts w:ascii="Open Sans" w:hAnsi="Open Sans" w:cs="Open Sans"/>
          <w:sz w:val="22"/>
          <w:szCs w:val="18"/>
        </w:rPr>
        <w:t>, Principle (v).</w:t>
      </w:r>
    </w:p>
    <w:p w14:paraId="5E9528F9" w14:textId="7132F561" w:rsidR="005C5ADC" w:rsidRPr="00577ED4" w:rsidRDefault="001D4185"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Annual appropriations are </w:t>
      </w:r>
      <w:r w:rsidR="003D4A35" w:rsidRPr="006A7524">
        <w:rPr>
          <w:rFonts w:ascii="Open Sans" w:hAnsi="Open Sans" w:cs="Open Sans"/>
          <w:sz w:val="22"/>
          <w:szCs w:val="18"/>
        </w:rPr>
        <w:t>done through</w:t>
      </w:r>
      <w:r w:rsidRPr="006A7524">
        <w:rPr>
          <w:rFonts w:ascii="Open Sans" w:hAnsi="Open Sans" w:cs="Open Sans"/>
          <w:sz w:val="22"/>
          <w:szCs w:val="18"/>
        </w:rPr>
        <w:t xml:space="preserve"> the annual appropriation Acts (such as </w:t>
      </w:r>
      <w:r w:rsidR="006E22E4" w:rsidRPr="006A7524">
        <w:rPr>
          <w:rFonts w:ascii="Open Sans" w:hAnsi="Open Sans" w:cs="Open Sans"/>
          <w:sz w:val="22"/>
          <w:szCs w:val="18"/>
        </w:rPr>
        <w:t xml:space="preserve">the </w:t>
      </w:r>
      <w:r w:rsidR="006E22E4" w:rsidRPr="006A7524">
        <w:rPr>
          <w:rFonts w:ascii="Open Sans" w:hAnsi="Open Sans" w:cs="Open Sans"/>
          <w:i/>
          <w:iCs/>
          <w:sz w:val="22"/>
          <w:szCs w:val="18"/>
        </w:rPr>
        <w:t>Appropriation Act (No. 3) 2024</w:t>
      </w:r>
      <w:r w:rsidR="008E49ED">
        <w:rPr>
          <w:rFonts w:ascii="Open Sans" w:hAnsi="Open Sans" w:cs="Open Sans"/>
          <w:i/>
          <w:iCs/>
          <w:sz w:val="22"/>
          <w:szCs w:val="18"/>
        </w:rPr>
        <w:noBreakHyphen/>
      </w:r>
      <w:r w:rsidR="006E22E4" w:rsidRPr="006A7524">
        <w:rPr>
          <w:rFonts w:ascii="Open Sans" w:hAnsi="Open Sans" w:cs="Open Sans"/>
          <w:i/>
          <w:iCs/>
          <w:sz w:val="22"/>
          <w:szCs w:val="18"/>
        </w:rPr>
        <w:t>2025</w:t>
      </w:r>
      <w:r w:rsidRPr="006A7524">
        <w:rPr>
          <w:rFonts w:ascii="Open Sans" w:hAnsi="Open Sans" w:cs="Open Sans"/>
          <w:sz w:val="22"/>
          <w:szCs w:val="18"/>
        </w:rPr>
        <w:t>) or supply Act</w:t>
      </w:r>
      <w:r w:rsidR="003D4A35" w:rsidRPr="006A7524">
        <w:rPr>
          <w:rFonts w:ascii="Open Sans" w:hAnsi="Open Sans" w:cs="Open Sans"/>
          <w:sz w:val="22"/>
          <w:szCs w:val="18"/>
        </w:rPr>
        <w:t>s</w:t>
      </w:r>
      <w:r w:rsidR="006E22E4" w:rsidRPr="006A7524">
        <w:rPr>
          <w:rFonts w:ascii="Open Sans" w:hAnsi="Open Sans" w:cs="Open Sans"/>
          <w:sz w:val="22"/>
          <w:szCs w:val="18"/>
        </w:rPr>
        <w:t xml:space="preserve"> (such as the </w:t>
      </w:r>
      <w:r w:rsidR="006E22E4" w:rsidRPr="006A7524">
        <w:rPr>
          <w:rFonts w:ascii="Open Sans" w:hAnsi="Open Sans" w:cs="Open Sans"/>
          <w:i/>
          <w:iCs/>
          <w:sz w:val="22"/>
          <w:szCs w:val="18"/>
        </w:rPr>
        <w:t>Supply Act (No. 1) 2025</w:t>
      </w:r>
      <w:r w:rsidR="008E49ED">
        <w:rPr>
          <w:rFonts w:ascii="Open Sans" w:hAnsi="Open Sans" w:cs="Open Sans"/>
          <w:i/>
          <w:iCs/>
          <w:sz w:val="22"/>
          <w:szCs w:val="18"/>
        </w:rPr>
        <w:noBreakHyphen/>
      </w:r>
      <w:r w:rsidR="006E22E4" w:rsidRPr="006A7524">
        <w:rPr>
          <w:rFonts w:ascii="Open Sans" w:hAnsi="Open Sans" w:cs="Open Sans"/>
          <w:i/>
          <w:iCs/>
          <w:sz w:val="22"/>
          <w:szCs w:val="18"/>
        </w:rPr>
        <w:t>2026</w:t>
      </w:r>
      <w:r w:rsidR="006E22E4" w:rsidRPr="006A7524">
        <w:rPr>
          <w:rFonts w:ascii="Open Sans" w:hAnsi="Open Sans" w:cs="Open Sans"/>
          <w:sz w:val="22"/>
          <w:szCs w:val="18"/>
        </w:rPr>
        <w:t>)</w:t>
      </w:r>
      <w:r w:rsidR="003D4A35" w:rsidRPr="006A7524">
        <w:rPr>
          <w:rFonts w:ascii="Open Sans" w:hAnsi="Open Sans" w:cs="Open Sans"/>
          <w:sz w:val="22"/>
          <w:szCs w:val="18"/>
        </w:rPr>
        <w:t xml:space="preserve">. </w:t>
      </w:r>
      <w:r w:rsidR="00577ED4">
        <w:rPr>
          <w:rFonts w:ascii="Open Sans" w:hAnsi="Open Sans" w:cs="Open Sans"/>
          <w:sz w:val="22"/>
          <w:szCs w:val="18"/>
        </w:rPr>
        <w:t xml:space="preserve">There are different types of appropriation </w:t>
      </w:r>
      <w:r w:rsidR="00D5474C">
        <w:rPr>
          <w:rFonts w:ascii="Open Sans" w:hAnsi="Open Sans" w:cs="Open Sans"/>
          <w:sz w:val="22"/>
          <w:szCs w:val="18"/>
        </w:rPr>
        <w:t>Acts</w:t>
      </w:r>
      <w:r w:rsidR="00577ED4">
        <w:rPr>
          <w:rFonts w:ascii="Open Sans" w:hAnsi="Open Sans" w:cs="Open Sans"/>
          <w:sz w:val="22"/>
          <w:szCs w:val="18"/>
        </w:rPr>
        <w:t>. The so</w:t>
      </w:r>
      <w:r w:rsidR="008E49ED">
        <w:rPr>
          <w:rFonts w:ascii="Open Sans" w:hAnsi="Open Sans" w:cs="Open Sans"/>
          <w:sz w:val="22"/>
          <w:szCs w:val="18"/>
        </w:rPr>
        <w:noBreakHyphen/>
      </w:r>
      <w:r w:rsidR="00577ED4">
        <w:rPr>
          <w:rFonts w:ascii="Open Sans" w:hAnsi="Open Sans" w:cs="Open Sans"/>
          <w:sz w:val="22"/>
          <w:szCs w:val="18"/>
        </w:rPr>
        <w:t>called ‘N</w:t>
      </w:r>
      <w:r w:rsidR="00995D6D">
        <w:rPr>
          <w:rFonts w:ascii="Open Sans" w:hAnsi="Open Sans" w:cs="Open Sans"/>
          <w:sz w:val="22"/>
          <w:szCs w:val="18"/>
        </w:rPr>
        <w:t xml:space="preserve">o. </w:t>
      </w:r>
      <w:r w:rsidR="00577ED4">
        <w:rPr>
          <w:rFonts w:ascii="Open Sans" w:hAnsi="Open Sans" w:cs="Open Sans"/>
          <w:sz w:val="22"/>
          <w:szCs w:val="18"/>
        </w:rPr>
        <w:t xml:space="preserve">1 </w:t>
      </w:r>
      <w:r w:rsidR="00D5474C">
        <w:rPr>
          <w:rFonts w:ascii="Open Sans" w:hAnsi="Open Sans" w:cs="Open Sans"/>
          <w:sz w:val="22"/>
          <w:szCs w:val="18"/>
        </w:rPr>
        <w:t>Acts</w:t>
      </w:r>
      <w:r w:rsidR="00577ED4">
        <w:rPr>
          <w:rFonts w:ascii="Open Sans" w:hAnsi="Open Sans" w:cs="Open Sans"/>
          <w:sz w:val="22"/>
          <w:szCs w:val="18"/>
        </w:rPr>
        <w:t>’ appropriate money for the</w:t>
      </w:r>
      <w:r w:rsidR="004046C0" w:rsidRPr="00577ED4">
        <w:rPr>
          <w:rFonts w:ascii="Open Sans" w:hAnsi="Open Sans" w:cs="Open Sans"/>
          <w:sz w:val="22"/>
          <w:szCs w:val="18"/>
        </w:rPr>
        <w:t xml:space="preserve"> annual </w:t>
      </w:r>
      <w:r w:rsidR="00577ED4" w:rsidRPr="00577ED4">
        <w:rPr>
          <w:rFonts w:ascii="Open Sans" w:hAnsi="Open Sans" w:cs="Open Sans"/>
          <w:sz w:val="22"/>
          <w:szCs w:val="18"/>
        </w:rPr>
        <w:t xml:space="preserve">ordinary </w:t>
      </w:r>
      <w:r w:rsidR="004046C0" w:rsidRPr="00577ED4">
        <w:rPr>
          <w:rFonts w:ascii="Open Sans" w:hAnsi="Open Sans" w:cs="Open Sans"/>
          <w:sz w:val="22"/>
          <w:szCs w:val="18"/>
        </w:rPr>
        <w:t>services of government</w:t>
      </w:r>
      <w:r w:rsidR="00577ED4">
        <w:rPr>
          <w:rFonts w:ascii="Open Sans" w:hAnsi="Open Sans" w:cs="Open Sans"/>
          <w:sz w:val="22"/>
          <w:szCs w:val="18"/>
        </w:rPr>
        <w:t>.</w:t>
      </w:r>
      <w:r w:rsidR="004046C0" w:rsidRPr="00577ED4">
        <w:rPr>
          <w:rFonts w:ascii="Open Sans" w:hAnsi="Open Sans" w:cs="Open Sans"/>
          <w:sz w:val="22"/>
          <w:szCs w:val="18"/>
        </w:rPr>
        <w:t xml:space="preserve"> </w:t>
      </w:r>
      <w:r w:rsidR="00577ED4">
        <w:rPr>
          <w:rFonts w:ascii="Open Sans" w:hAnsi="Open Sans" w:cs="Open Sans"/>
          <w:sz w:val="22"/>
          <w:szCs w:val="18"/>
        </w:rPr>
        <w:t xml:space="preserve">Other appropriation </w:t>
      </w:r>
      <w:r w:rsidR="00D5474C">
        <w:rPr>
          <w:rFonts w:ascii="Open Sans" w:hAnsi="Open Sans" w:cs="Open Sans"/>
          <w:sz w:val="22"/>
          <w:szCs w:val="18"/>
        </w:rPr>
        <w:t>Acts</w:t>
      </w:r>
      <w:r w:rsidR="00577ED4">
        <w:rPr>
          <w:rFonts w:ascii="Open Sans" w:hAnsi="Open Sans" w:cs="Open Sans"/>
          <w:sz w:val="22"/>
          <w:szCs w:val="18"/>
        </w:rPr>
        <w:t xml:space="preserve"> cover new spending measures and Parliamentary Departments.</w:t>
      </w:r>
    </w:p>
    <w:p w14:paraId="75FD3EF5" w14:textId="57D4825E" w:rsidR="004775AD" w:rsidRDefault="004775AD"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lastRenderedPageBreak/>
        <w:t xml:space="preserve">OPC will advise that </w:t>
      </w:r>
      <w:r w:rsidR="003D4A35" w:rsidRPr="006A7524">
        <w:rPr>
          <w:rFonts w:ascii="Open Sans" w:hAnsi="Open Sans" w:cs="Open Sans"/>
          <w:sz w:val="22"/>
          <w:szCs w:val="18"/>
        </w:rPr>
        <w:t xml:space="preserve">if </w:t>
      </w:r>
      <w:r w:rsidRPr="006A7524">
        <w:rPr>
          <w:rFonts w:ascii="Open Sans" w:hAnsi="Open Sans" w:cs="Open Sans"/>
          <w:sz w:val="22"/>
          <w:szCs w:val="18"/>
        </w:rPr>
        <w:t xml:space="preserve">a Bill that includes a new appropriation, an increase in an </w:t>
      </w:r>
      <w:r w:rsidR="00CD3CC2" w:rsidRPr="006A7524">
        <w:rPr>
          <w:rFonts w:ascii="Open Sans" w:hAnsi="Open Sans" w:cs="Open Sans"/>
          <w:sz w:val="22"/>
          <w:szCs w:val="18"/>
        </w:rPr>
        <w:t xml:space="preserve">existing </w:t>
      </w:r>
      <w:r w:rsidRPr="006A7524">
        <w:rPr>
          <w:rFonts w:ascii="Open Sans" w:hAnsi="Open Sans" w:cs="Open Sans"/>
          <w:sz w:val="22"/>
          <w:szCs w:val="18"/>
        </w:rPr>
        <w:t xml:space="preserve">appropriation, or a change in the </w:t>
      </w:r>
      <w:r w:rsidR="00D27297" w:rsidRPr="006A7524">
        <w:rPr>
          <w:rFonts w:ascii="Open Sans" w:hAnsi="Open Sans" w:cs="Open Sans"/>
          <w:sz w:val="22"/>
          <w:szCs w:val="18"/>
        </w:rPr>
        <w:t>destination</w:t>
      </w:r>
      <w:r w:rsidRPr="006A7524">
        <w:rPr>
          <w:rFonts w:ascii="Open Sans" w:hAnsi="Open Sans" w:cs="Open Sans"/>
          <w:sz w:val="22"/>
          <w:szCs w:val="18"/>
        </w:rPr>
        <w:t xml:space="preserve"> of an appropriation</w:t>
      </w:r>
      <w:r w:rsidR="00F22B47" w:rsidRPr="006A7524">
        <w:rPr>
          <w:rFonts w:ascii="Open Sans" w:hAnsi="Open Sans" w:cs="Open Sans"/>
          <w:sz w:val="22"/>
          <w:szCs w:val="18"/>
        </w:rPr>
        <w:t>,</w:t>
      </w:r>
      <w:r w:rsidRPr="006A7524">
        <w:rPr>
          <w:rFonts w:ascii="Open Sans" w:hAnsi="Open Sans" w:cs="Open Sans"/>
          <w:sz w:val="22"/>
          <w:szCs w:val="18"/>
        </w:rPr>
        <w:t xml:space="preserve"> </w:t>
      </w:r>
      <w:r w:rsidR="005767AF" w:rsidRPr="006A7524">
        <w:rPr>
          <w:rFonts w:ascii="Open Sans" w:hAnsi="Open Sans" w:cs="Open Sans"/>
          <w:sz w:val="22"/>
          <w:szCs w:val="18"/>
        </w:rPr>
        <w:t xml:space="preserve">it </w:t>
      </w:r>
      <w:r w:rsidR="0060139C" w:rsidRPr="006A7524">
        <w:rPr>
          <w:rFonts w:ascii="Open Sans" w:hAnsi="Open Sans" w:cs="Open Sans"/>
          <w:sz w:val="22"/>
          <w:szCs w:val="18"/>
        </w:rPr>
        <w:t xml:space="preserve">cannot be introduced in the Senate and </w:t>
      </w:r>
      <w:r w:rsidRPr="006A7524">
        <w:rPr>
          <w:rFonts w:ascii="Open Sans" w:hAnsi="Open Sans" w:cs="Open Sans"/>
          <w:sz w:val="22"/>
          <w:szCs w:val="18"/>
        </w:rPr>
        <w:t>requires a message from the Governor</w:t>
      </w:r>
      <w:r w:rsidR="008E49ED">
        <w:rPr>
          <w:rFonts w:ascii="Open Sans" w:hAnsi="Open Sans" w:cs="Open Sans"/>
          <w:sz w:val="22"/>
          <w:szCs w:val="18"/>
        </w:rPr>
        <w:noBreakHyphen/>
      </w:r>
      <w:r w:rsidRPr="006A7524">
        <w:rPr>
          <w:rFonts w:ascii="Open Sans" w:hAnsi="Open Sans" w:cs="Open Sans"/>
          <w:sz w:val="22"/>
          <w:szCs w:val="18"/>
        </w:rPr>
        <w:t xml:space="preserve">General in accordance with </w:t>
      </w:r>
      <w:r w:rsidR="008E49ED">
        <w:rPr>
          <w:rFonts w:ascii="Open Sans" w:hAnsi="Open Sans" w:cs="Open Sans"/>
          <w:sz w:val="22"/>
          <w:szCs w:val="18"/>
        </w:rPr>
        <w:t>sections 5</w:t>
      </w:r>
      <w:r w:rsidR="0060139C" w:rsidRPr="006A7524">
        <w:rPr>
          <w:rFonts w:ascii="Open Sans" w:hAnsi="Open Sans" w:cs="Open Sans"/>
          <w:sz w:val="22"/>
          <w:szCs w:val="18"/>
        </w:rPr>
        <w:t>3 and</w:t>
      </w:r>
      <w:r w:rsidRPr="006A7524">
        <w:rPr>
          <w:rFonts w:ascii="Open Sans" w:hAnsi="Open Sans" w:cs="Open Sans"/>
          <w:sz w:val="22"/>
          <w:szCs w:val="18"/>
        </w:rPr>
        <w:t xml:space="preserve"> 5</w:t>
      </w:r>
      <w:r w:rsidR="0060139C" w:rsidRPr="006A7524">
        <w:rPr>
          <w:rFonts w:ascii="Open Sans" w:hAnsi="Open Sans" w:cs="Open Sans"/>
          <w:sz w:val="22"/>
          <w:szCs w:val="18"/>
        </w:rPr>
        <w:t>6</w:t>
      </w:r>
      <w:r w:rsidRPr="006A7524">
        <w:rPr>
          <w:rFonts w:ascii="Open Sans" w:hAnsi="Open Sans" w:cs="Open Sans"/>
          <w:sz w:val="22"/>
          <w:szCs w:val="18"/>
        </w:rPr>
        <w:t xml:space="preserve"> of the Constitution.</w:t>
      </w:r>
      <w:r w:rsidR="00BC36FF" w:rsidRPr="006A7524">
        <w:rPr>
          <w:rFonts w:ascii="Open Sans" w:hAnsi="Open Sans" w:cs="Open Sans"/>
          <w:sz w:val="22"/>
          <w:szCs w:val="18"/>
        </w:rPr>
        <w:t xml:space="preserve"> </w:t>
      </w:r>
      <w:r w:rsidR="005E4DAC">
        <w:rPr>
          <w:rFonts w:ascii="Open Sans" w:hAnsi="Open Sans" w:cs="Open Sans"/>
          <w:sz w:val="22"/>
          <w:szCs w:val="18"/>
        </w:rPr>
        <w:t>OPC</w:t>
      </w:r>
      <w:r w:rsidR="00995D6D">
        <w:rPr>
          <w:rFonts w:ascii="Open Sans" w:hAnsi="Open Sans" w:cs="Open Sans"/>
          <w:sz w:val="22"/>
          <w:szCs w:val="18"/>
        </w:rPr>
        <w:t xml:space="preserve">, rather than the instructing agency, </w:t>
      </w:r>
      <w:r w:rsidR="005E4DAC">
        <w:rPr>
          <w:rFonts w:ascii="Open Sans" w:hAnsi="Open Sans" w:cs="Open Sans"/>
          <w:sz w:val="22"/>
          <w:szCs w:val="18"/>
        </w:rPr>
        <w:t xml:space="preserve">arranges the message. </w:t>
      </w:r>
      <w:r w:rsidR="00BC36FF" w:rsidRPr="006A7524">
        <w:rPr>
          <w:rFonts w:ascii="Open Sans" w:hAnsi="Open Sans" w:cs="Open Sans"/>
          <w:sz w:val="22"/>
          <w:szCs w:val="18"/>
        </w:rPr>
        <w:t xml:space="preserve">See </w:t>
      </w:r>
      <w:hyperlink r:id="rId19" w:history="1">
        <w:r w:rsidR="00BC36FF" w:rsidRPr="006A7524">
          <w:rPr>
            <w:rFonts w:ascii="Open Sans" w:hAnsi="Open Sans" w:cs="Open Sans"/>
            <w:sz w:val="22"/>
            <w:szCs w:val="18"/>
            <w:u w:val="single"/>
          </w:rPr>
          <w:t>Drafting Direction No 4.9</w:t>
        </w:r>
      </w:hyperlink>
      <w:r w:rsidR="00BC36FF" w:rsidRPr="006A7524">
        <w:rPr>
          <w:rFonts w:ascii="Open Sans" w:hAnsi="Open Sans" w:cs="Open Sans"/>
          <w:sz w:val="22"/>
          <w:szCs w:val="18"/>
        </w:rPr>
        <w:t xml:space="preserve"> for more information.</w:t>
      </w:r>
    </w:p>
    <w:p w14:paraId="695D5FBA" w14:textId="77777777" w:rsidR="00397D55" w:rsidRDefault="00397D55" w:rsidP="00062852">
      <w:pPr>
        <w:pStyle w:val="BodyNum"/>
        <w:numPr>
          <w:ilvl w:val="0"/>
          <w:numId w:val="2"/>
        </w:numPr>
        <w:rPr>
          <w:rFonts w:ascii="Open Sans" w:hAnsi="Open Sans" w:cs="Open Sans"/>
          <w:sz w:val="22"/>
          <w:szCs w:val="18"/>
        </w:rPr>
      </w:pPr>
      <w:r>
        <w:rPr>
          <w:rFonts w:ascii="Open Sans" w:hAnsi="Open Sans" w:cs="Open Sans"/>
          <w:sz w:val="22"/>
          <w:szCs w:val="18"/>
        </w:rPr>
        <w:t>Separate from an appropriation, the Commonwealth requires a power to spend money. In some circumstances, this power must be based in legislation, supported by a Constitutional head of power.</w:t>
      </w:r>
    </w:p>
    <w:p w14:paraId="3E2E5AFB" w14:textId="1C5CD98F" w:rsidR="00397D55" w:rsidRPr="006A7524" w:rsidRDefault="00397D55" w:rsidP="00062852">
      <w:pPr>
        <w:pStyle w:val="BodyNum"/>
        <w:numPr>
          <w:ilvl w:val="0"/>
          <w:numId w:val="2"/>
        </w:numPr>
        <w:rPr>
          <w:rFonts w:ascii="Open Sans" w:hAnsi="Open Sans" w:cs="Open Sans"/>
          <w:sz w:val="22"/>
          <w:szCs w:val="18"/>
        </w:rPr>
      </w:pPr>
      <w:r>
        <w:rPr>
          <w:rFonts w:ascii="Open Sans" w:hAnsi="Open Sans" w:cs="Open Sans"/>
          <w:sz w:val="22"/>
          <w:szCs w:val="18"/>
        </w:rPr>
        <w:t>For example, the</w:t>
      </w:r>
      <w:r w:rsidRPr="00A856FB">
        <w:rPr>
          <w:rFonts w:ascii="Open Sans" w:hAnsi="Open Sans" w:cs="Open Sans"/>
          <w:sz w:val="22"/>
          <w:szCs w:val="18"/>
        </w:rPr>
        <w:t xml:space="preserve"> </w:t>
      </w:r>
      <w:r w:rsidRPr="00A856FB">
        <w:rPr>
          <w:rFonts w:ascii="Open Sans" w:hAnsi="Open Sans" w:cs="Open Sans"/>
          <w:i/>
          <w:iCs/>
          <w:sz w:val="22"/>
          <w:szCs w:val="18"/>
        </w:rPr>
        <w:t xml:space="preserve">Financial Framework (Supplementary Powers) </w:t>
      </w:r>
      <w:r>
        <w:rPr>
          <w:rFonts w:ascii="Open Sans" w:hAnsi="Open Sans" w:cs="Open Sans"/>
          <w:i/>
          <w:iCs/>
          <w:sz w:val="22"/>
          <w:szCs w:val="18"/>
        </w:rPr>
        <w:t>Act</w:t>
      </w:r>
      <w:r w:rsidRPr="00A856FB">
        <w:rPr>
          <w:rFonts w:ascii="Open Sans" w:hAnsi="Open Sans" w:cs="Open Sans"/>
          <w:i/>
          <w:iCs/>
          <w:sz w:val="22"/>
          <w:szCs w:val="18"/>
        </w:rPr>
        <w:t xml:space="preserve"> 1997</w:t>
      </w:r>
      <w:r>
        <w:rPr>
          <w:rFonts w:ascii="Open Sans" w:hAnsi="Open Sans" w:cs="Open Sans"/>
          <w:sz w:val="22"/>
          <w:szCs w:val="18"/>
        </w:rPr>
        <w:t xml:space="preserve"> and </w:t>
      </w:r>
      <w:r w:rsidRPr="00A856FB">
        <w:rPr>
          <w:rFonts w:ascii="Open Sans" w:hAnsi="Open Sans" w:cs="Open Sans"/>
          <w:i/>
          <w:iCs/>
          <w:sz w:val="22"/>
          <w:szCs w:val="18"/>
        </w:rPr>
        <w:t xml:space="preserve">Financial Framework (Supplementary Powers) </w:t>
      </w:r>
      <w:r w:rsidR="008E49ED">
        <w:rPr>
          <w:rFonts w:ascii="Open Sans" w:hAnsi="Open Sans" w:cs="Open Sans"/>
          <w:i/>
          <w:iCs/>
          <w:sz w:val="22"/>
          <w:szCs w:val="18"/>
        </w:rPr>
        <w:t>Regulations 1</w:t>
      </w:r>
      <w:r w:rsidRPr="00A856FB">
        <w:rPr>
          <w:rFonts w:ascii="Open Sans" w:hAnsi="Open Sans" w:cs="Open Sans"/>
          <w:i/>
          <w:iCs/>
          <w:sz w:val="22"/>
          <w:szCs w:val="18"/>
        </w:rPr>
        <w:t>997</w:t>
      </w:r>
      <w:r w:rsidR="00935C65">
        <w:rPr>
          <w:rFonts w:ascii="Open Sans" w:hAnsi="Open Sans" w:cs="Open Sans"/>
          <w:sz w:val="22"/>
          <w:szCs w:val="18"/>
        </w:rPr>
        <w:t xml:space="preserve"> </w:t>
      </w:r>
      <w:r>
        <w:rPr>
          <w:rFonts w:ascii="Open Sans" w:hAnsi="Open Sans" w:cs="Open Sans"/>
          <w:sz w:val="22"/>
          <w:szCs w:val="18"/>
        </w:rPr>
        <w:t>provide legislative authority for spending for certain Commonwealth programs.</w:t>
      </w:r>
    </w:p>
    <w:p w14:paraId="6FC05111" w14:textId="7951EA46" w:rsidR="006E22E4" w:rsidRPr="006A7524" w:rsidRDefault="006E22E4"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Instructors should consider</w:t>
      </w:r>
      <w:r w:rsidR="00860275" w:rsidRPr="006A7524">
        <w:rPr>
          <w:rFonts w:ascii="Open Sans" w:hAnsi="Open Sans" w:cs="Open Sans"/>
          <w:sz w:val="22"/>
          <w:szCs w:val="18"/>
        </w:rPr>
        <w:t xml:space="preserve"> and </w:t>
      </w:r>
      <w:r w:rsidR="00066B83">
        <w:rPr>
          <w:rFonts w:ascii="Open Sans" w:hAnsi="Open Sans" w:cs="Open Sans"/>
          <w:sz w:val="22"/>
          <w:szCs w:val="18"/>
        </w:rPr>
        <w:t>provide instructions</w:t>
      </w:r>
      <w:r w:rsidR="00860275" w:rsidRPr="006A7524">
        <w:rPr>
          <w:rFonts w:ascii="Open Sans" w:hAnsi="Open Sans" w:cs="Open Sans"/>
          <w:sz w:val="22"/>
          <w:szCs w:val="18"/>
        </w:rPr>
        <w:t xml:space="preserve"> on</w:t>
      </w:r>
      <w:r w:rsidRPr="006A7524">
        <w:rPr>
          <w:rFonts w:ascii="Open Sans" w:hAnsi="Open Sans" w:cs="Open Sans"/>
          <w:sz w:val="22"/>
          <w:szCs w:val="18"/>
        </w:rPr>
        <w:t>:</w:t>
      </w:r>
    </w:p>
    <w:p w14:paraId="6DDF25CC" w14:textId="119EBE65" w:rsidR="006E22E4" w:rsidRPr="00090053" w:rsidRDefault="00824A93" w:rsidP="00062852">
      <w:pPr>
        <w:pStyle w:val="BodyParaBullet"/>
        <w:numPr>
          <w:ilvl w:val="0"/>
          <w:numId w:val="4"/>
        </w:numPr>
        <w:rPr>
          <w:rFonts w:ascii="Open Sans" w:hAnsi="Open Sans" w:cs="Open Sans"/>
          <w:sz w:val="22"/>
          <w:szCs w:val="18"/>
        </w:rPr>
      </w:pPr>
      <w:r>
        <w:rPr>
          <w:rFonts w:ascii="Open Sans" w:hAnsi="Open Sans" w:cs="Open Sans"/>
          <w:sz w:val="22"/>
          <w:szCs w:val="18"/>
        </w:rPr>
        <w:t>w</w:t>
      </w:r>
      <w:r w:rsidR="00163435" w:rsidRPr="006A7524">
        <w:rPr>
          <w:rFonts w:ascii="Open Sans" w:hAnsi="Open Sans" w:cs="Open Sans"/>
          <w:sz w:val="22"/>
          <w:szCs w:val="18"/>
        </w:rPr>
        <w:t>ill the Bill involve expenditure by the Commonwealth?</w:t>
      </w:r>
      <w:r w:rsidR="00090053">
        <w:rPr>
          <w:rFonts w:ascii="Open Sans" w:hAnsi="Open Sans" w:cs="Open Sans"/>
          <w:sz w:val="22"/>
          <w:szCs w:val="18"/>
        </w:rPr>
        <w:t xml:space="preserve"> </w:t>
      </w:r>
      <w:r w:rsidR="00B03665" w:rsidRPr="00090053">
        <w:rPr>
          <w:rFonts w:ascii="Open Sans" w:hAnsi="Open Sans" w:cs="Open Sans"/>
          <w:sz w:val="22"/>
          <w:szCs w:val="18"/>
        </w:rPr>
        <w:t>If so, has advice been sought from AGS on the constitutional risk of the proposed expenditure and on whether legislation is required to authorise the expenditure?</w:t>
      </w:r>
    </w:p>
    <w:p w14:paraId="4142C136" w14:textId="1C267515" w:rsidR="002D1FDB" w:rsidRDefault="00824A93" w:rsidP="00062852">
      <w:pPr>
        <w:pStyle w:val="BodyParaBullet"/>
        <w:numPr>
          <w:ilvl w:val="0"/>
          <w:numId w:val="4"/>
        </w:numPr>
        <w:rPr>
          <w:rFonts w:ascii="Open Sans" w:hAnsi="Open Sans" w:cs="Open Sans"/>
          <w:sz w:val="22"/>
          <w:szCs w:val="18"/>
        </w:rPr>
      </w:pPr>
      <w:r>
        <w:rPr>
          <w:rFonts w:ascii="Open Sans" w:hAnsi="Open Sans" w:cs="Open Sans"/>
          <w:sz w:val="22"/>
          <w:szCs w:val="18"/>
        </w:rPr>
        <w:t>i</w:t>
      </w:r>
      <w:r w:rsidR="002D1FDB">
        <w:rPr>
          <w:rFonts w:ascii="Open Sans" w:hAnsi="Open Sans" w:cs="Open Sans"/>
          <w:sz w:val="22"/>
          <w:szCs w:val="18"/>
        </w:rPr>
        <w:t>s a new standing appropriation</w:t>
      </w:r>
      <w:r w:rsidR="009C025D">
        <w:rPr>
          <w:rFonts w:ascii="Open Sans" w:hAnsi="Open Sans" w:cs="Open Sans"/>
          <w:sz w:val="22"/>
          <w:szCs w:val="18"/>
        </w:rPr>
        <w:t>,</w:t>
      </w:r>
      <w:r w:rsidR="002D1FDB">
        <w:rPr>
          <w:rFonts w:ascii="Open Sans" w:hAnsi="Open Sans" w:cs="Open Sans"/>
          <w:sz w:val="22"/>
          <w:szCs w:val="18"/>
        </w:rPr>
        <w:t xml:space="preserve"> or amendments to an existing standing appropriation</w:t>
      </w:r>
      <w:r w:rsidR="00F20FE6">
        <w:rPr>
          <w:rFonts w:ascii="Open Sans" w:hAnsi="Open Sans" w:cs="Open Sans"/>
          <w:sz w:val="22"/>
          <w:szCs w:val="18"/>
        </w:rPr>
        <w:t>,</w:t>
      </w:r>
      <w:r w:rsidR="002D1FDB">
        <w:rPr>
          <w:rFonts w:ascii="Open Sans" w:hAnsi="Open Sans" w:cs="Open Sans"/>
          <w:sz w:val="22"/>
          <w:szCs w:val="18"/>
        </w:rPr>
        <w:t xml:space="preserve"> required?</w:t>
      </w:r>
    </w:p>
    <w:p w14:paraId="0AC0A768" w14:textId="47059CFE" w:rsidR="00F20FE6" w:rsidRDefault="00824A93" w:rsidP="00062852">
      <w:pPr>
        <w:pStyle w:val="BodyParaBullet"/>
        <w:numPr>
          <w:ilvl w:val="0"/>
          <w:numId w:val="4"/>
        </w:numPr>
        <w:rPr>
          <w:rFonts w:ascii="Open Sans" w:hAnsi="Open Sans" w:cs="Open Sans"/>
          <w:sz w:val="22"/>
          <w:szCs w:val="18"/>
        </w:rPr>
      </w:pPr>
      <w:r>
        <w:rPr>
          <w:rFonts w:ascii="Open Sans" w:hAnsi="Open Sans" w:cs="Open Sans"/>
          <w:sz w:val="22"/>
          <w:szCs w:val="18"/>
        </w:rPr>
        <w:t>w</w:t>
      </w:r>
      <w:r w:rsidR="00F20FE6">
        <w:rPr>
          <w:rFonts w:ascii="Open Sans" w:hAnsi="Open Sans" w:cs="Open Sans"/>
          <w:sz w:val="22"/>
          <w:szCs w:val="18"/>
        </w:rPr>
        <w:t xml:space="preserve">ill the Bill need to provide legislative authority for spending and contracting? If so, what is the </w:t>
      </w:r>
      <w:r w:rsidR="009E334B">
        <w:rPr>
          <w:rFonts w:ascii="Open Sans" w:hAnsi="Open Sans" w:cs="Open Sans"/>
          <w:sz w:val="22"/>
          <w:szCs w:val="18"/>
        </w:rPr>
        <w:t xml:space="preserve">proposed scope of the </w:t>
      </w:r>
      <w:r w:rsidR="00995D6D">
        <w:rPr>
          <w:rFonts w:ascii="Open Sans" w:hAnsi="Open Sans" w:cs="Open Sans"/>
          <w:sz w:val="22"/>
          <w:szCs w:val="18"/>
        </w:rPr>
        <w:t xml:space="preserve">spending </w:t>
      </w:r>
      <w:r w:rsidR="009E334B">
        <w:rPr>
          <w:rFonts w:ascii="Open Sans" w:hAnsi="Open Sans" w:cs="Open Sans"/>
          <w:sz w:val="22"/>
          <w:szCs w:val="18"/>
        </w:rPr>
        <w:t>power?</w:t>
      </w:r>
    </w:p>
    <w:p w14:paraId="14B67287" w14:textId="77777777" w:rsidR="00163856" w:rsidRPr="006A7524" w:rsidRDefault="00163856" w:rsidP="003D2A60">
      <w:pPr>
        <w:pStyle w:val="Heading2"/>
        <w:keepNext/>
        <w:rPr>
          <w:rFonts w:ascii="Open Sans ExtraBold" w:hAnsi="Open Sans ExtraBold" w:cs="Open Sans ExtraBold"/>
          <w:lang w:val="en-AU"/>
        </w:rPr>
      </w:pPr>
      <w:r w:rsidRPr="006A7524">
        <w:rPr>
          <w:rFonts w:ascii="Open Sans ExtraBold" w:hAnsi="Open Sans ExtraBold" w:cs="Open Sans ExtraBold"/>
          <w:lang w:val="en-AU"/>
        </w:rPr>
        <w:t>Powers to make instruments</w:t>
      </w:r>
    </w:p>
    <w:p w14:paraId="36545AB1" w14:textId="524AEA8C" w:rsidR="00163856" w:rsidRPr="006A7524" w:rsidRDefault="00163856"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Not all matters are appropriate to be dealt with in instruments. Instruments do not have the same level of Parliamentary oversight as Bills. This means that significant matters should be dealt with </w:t>
      </w:r>
      <w:r w:rsidR="00BE204D" w:rsidRPr="006A7524">
        <w:rPr>
          <w:rFonts w:ascii="Open Sans" w:hAnsi="Open Sans" w:cs="Open Sans"/>
          <w:sz w:val="22"/>
          <w:szCs w:val="18"/>
        </w:rPr>
        <w:t>at the Act level rather than in rules, regulations or other instruments</w:t>
      </w:r>
      <w:r w:rsidRPr="006A7524">
        <w:rPr>
          <w:rFonts w:ascii="Open Sans" w:hAnsi="Open Sans" w:cs="Open Sans"/>
          <w:sz w:val="22"/>
          <w:szCs w:val="18"/>
        </w:rPr>
        <w:t>.</w:t>
      </w:r>
    </w:p>
    <w:p w14:paraId="5D28143D" w14:textId="4AA8A7D3" w:rsidR="00163856" w:rsidRPr="006A7524" w:rsidRDefault="00163856"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The Senate Standing Committee for the Scrutiny of Bills will comment on Bills which inappropriately delegate legislative power. See the </w:t>
      </w:r>
      <w:hyperlink r:id="rId20" w:history="1">
        <w:r w:rsidRPr="006A7524">
          <w:rPr>
            <w:rFonts w:ascii="Open Sans" w:hAnsi="Open Sans" w:cs="Open Sans"/>
            <w:sz w:val="22"/>
            <w:szCs w:val="18"/>
            <w:u w:val="single"/>
          </w:rPr>
          <w:t>Committee Guidelines</w:t>
        </w:r>
      </w:hyperlink>
      <w:r w:rsidR="006A7524" w:rsidRPr="006A7524">
        <w:rPr>
          <w:rFonts w:ascii="Open Sans" w:hAnsi="Open Sans" w:cs="Open Sans"/>
          <w:sz w:val="22"/>
          <w:szCs w:val="18"/>
        </w:rPr>
        <w:t>,</w:t>
      </w:r>
      <w:r w:rsidRPr="006A7524">
        <w:rPr>
          <w:rFonts w:ascii="Open Sans" w:hAnsi="Open Sans" w:cs="Open Sans"/>
          <w:sz w:val="22"/>
          <w:szCs w:val="18"/>
        </w:rPr>
        <w:t xml:space="preserve"> Principle (iv). As stated in the Guidelines, the </w:t>
      </w:r>
      <w:r w:rsidR="00E41FD0">
        <w:rPr>
          <w:rFonts w:ascii="Open Sans" w:hAnsi="Open Sans" w:cs="Open Sans"/>
          <w:sz w:val="22"/>
          <w:szCs w:val="18"/>
        </w:rPr>
        <w:t>C</w:t>
      </w:r>
      <w:r w:rsidRPr="006A7524">
        <w:rPr>
          <w:rFonts w:ascii="Open Sans" w:hAnsi="Open Sans" w:cs="Open Sans"/>
          <w:sz w:val="22"/>
          <w:szCs w:val="18"/>
        </w:rPr>
        <w:t>ommittee will typically be concerned with Bills which:</w:t>
      </w:r>
    </w:p>
    <w:p w14:paraId="5C3EF414" w14:textId="77777777" w:rsidR="00163856" w:rsidRPr="006A7524" w:rsidRDefault="00163856"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enable instruments to modify the operation of an Act or exempt persons or entities from the operation of an Act;</w:t>
      </w:r>
    </w:p>
    <w:p w14:paraId="76267BFA" w14:textId="77777777" w:rsidR="00163856" w:rsidRPr="006A7524" w:rsidRDefault="00163856"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include significant matters in an instrument;</w:t>
      </w:r>
    </w:p>
    <w:p w14:paraId="3D6F286C" w14:textId="77777777" w:rsidR="00163856" w:rsidRPr="006A7524" w:rsidRDefault="00163856"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allow an instrument to set the rate of a tax or fee; and</w:t>
      </w:r>
    </w:p>
    <w:p w14:paraId="6C6E81C9" w14:textId="77777777" w:rsidR="00163856" w:rsidRPr="006A7524" w:rsidRDefault="00163856"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allow an instrument to create offences or civil penalties.</w:t>
      </w:r>
    </w:p>
    <w:p w14:paraId="6675F1F4" w14:textId="4ED32A30" w:rsidR="00163856" w:rsidRPr="006A7524" w:rsidRDefault="00163856"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 xml:space="preserve">The Senate </w:t>
      </w:r>
      <w:r w:rsidR="00E41FD0">
        <w:rPr>
          <w:rFonts w:ascii="Open Sans" w:hAnsi="Open Sans" w:cs="Open Sans"/>
          <w:sz w:val="22"/>
          <w:szCs w:val="18"/>
        </w:rPr>
        <w:t xml:space="preserve">Standing Committee for the </w:t>
      </w:r>
      <w:r w:rsidRPr="006A7524">
        <w:rPr>
          <w:rFonts w:ascii="Open Sans" w:hAnsi="Open Sans" w:cs="Open Sans"/>
          <w:sz w:val="22"/>
          <w:szCs w:val="18"/>
        </w:rPr>
        <w:t xml:space="preserve">Scrutiny of Delegated Legislation will also comment on instruments that deal with matters more appropriate for </w:t>
      </w:r>
      <w:r w:rsidRPr="006A7524">
        <w:rPr>
          <w:rFonts w:ascii="Open Sans" w:hAnsi="Open Sans" w:cs="Open Sans"/>
          <w:sz w:val="22"/>
          <w:szCs w:val="18"/>
        </w:rPr>
        <w:lastRenderedPageBreak/>
        <w:t>p</w:t>
      </w:r>
      <w:r w:rsidR="00BE204D" w:rsidRPr="006A7524">
        <w:rPr>
          <w:rFonts w:ascii="Open Sans" w:hAnsi="Open Sans" w:cs="Open Sans"/>
          <w:sz w:val="22"/>
          <w:szCs w:val="18"/>
        </w:rPr>
        <w:t>arliamentary enactment</w:t>
      </w:r>
      <w:r w:rsidRPr="006A7524">
        <w:rPr>
          <w:rFonts w:ascii="Open Sans" w:hAnsi="Open Sans" w:cs="Open Sans"/>
          <w:sz w:val="22"/>
          <w:szCs w:val="18"/>
        </w:rPr>
        <w:t xml:space="preserve">. See the </w:t>
      </w:r>
      <w:hyperlink r:id="rId21" w:history="1">
        <w:r w:rsidRPr="006A7524">
          <w:rPr>
            <w:rFonts w:ascii="Open Sans" w:hAnsi="Open Sans" w:cs="Open Sans"/>
            <w:sz w:val="22"/>
            <w:szCs w:val="18"/>
            <w:u w:val="single"/>
          </w:rPr>
          <w:t>Committee Guidelines</w:t>
        </w:r>
      </w:hyperlink>
      <w:r w:rsidR="006A7524" w:rsidRPr="006A7524">
        <w:rPr>
          <w:rFonts w:ascii="Open Sans" w:hAnsi="Open Sans" w:cs="Open Sans"/>
          <w:sz w:val="22"/>
          <w:szCs w:val="18"/>
        </w:rPr>
        <w:t>,</w:t>
      </w:r>
      <w:r w:rsidRPr="006A7524">
        <w:rPr>
          <w:rFonts w:ascii="Open Sans" w:hAnsi="Open Sans" w:cs="Open Sans"/>
          <w:sz w:val="22"/>
          <w:szCs w:val="18"/>
        </w:rPr>
        <w:t xml:space="preserve"> Principle (j). As stated in the Guidelines, the </w:t>
      </w:r>
      <w:r w:rsidR="00E41FD0">
        <w:rPr>
          <w:rFonts w:ascii="Open Sans" w:hAnsi="Open Sans" w:cs="Open Sans"/>
          <w:sz w:val="22"/>
          <w:szCs w:val="18"/>
        </w:rPr>
        <w:t>C</w:t>
      </w:r>
      <w:r w:rsidRPr="006A7524">
        <w:rPr>
          <w:rFonts w:ascii="Open Sans" w:hAnsi="Open Sans" w:cs="Open Sans"/>
          <w:sz w:val="22"/>
          <w:szCs w:val="18"/>
        </w:rPr>
        <w:t>ommittee will typically be most concerned with delegated legislation that:</w:t>
      </w:r>
    </w:p>
    <w:p w14:paraId="55D01A3F" w14:textId="77777777" w:rsidR="00163856" w:rsidRPr="006A7524" w:rsidRDefault="00163856" w:rsidP="00062852">
      <w:pPr>
        <w:pStyle w:val="BodyParaBullet"/>
        <w:numPr>
          <w:ilvl w:val="0"/>
          <w:numId w:val="4"/>
        </w:numPr>
        <w:rPr>
          <w:rFonts w:ascii="Open Sans" w:hAnsi="Open Sans" w:cs="Open Sans"/>
          <w:sz w:val="22"/>
          <w:szCs w:val="18"/>
        </w:rPr>
      </w:pPr>
      <w:r w:rsidRPr="00824A93">
        <w:rPr>
          <w:rFonts w:ascii="Open Sans" w:hAnsi="Open Sans" w:cs="Open Sans"/>
          <w:sz w:val="22"/>
          <w:szCs w:val="18"/>
        </w:rPr>
        <w:t>e</w:t>
      </w:r>
      <w:r w:rsidRPr="006A7524">
        <w:rPr>
          <w:rFonts w:ascii="Open Sans" w:hAnsi="Open Sans" w:cs="Open Sans"/>
          <w:sz w:val="22"/>
          <w:szCs w:val="18"/>
        </w:rPr>
        <w:t>stablish significant elements of a program of national significance or of a regulatory scheme;</w:t>
      </w:r>
    </w:p>
    <w:p w14:paraId="2B8BBF5A" w14:textId="77777777" w:rsidR="00163856" w:rsidRPr="006A7524" w:rsidRDefault="00163856"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impose significant penalties; and</w:t>
      </w:r>
    </w:p>
    <w:p w14:paraId="2B3898B8" w14:textId="77777777" w:rsidR="00163856" w:rsidRPr="006A7524" w:rsidRDefault="00163856" w:rsidP="00062852">
      <w:pPr>
        <w:pStyle w:val="BodyParaBullet"/>
        <w:numPr>
          <w:ilvl w:val="0"/>
          <w:numId w:val="4"/>
        </w:numPr>
        <w:rPr>
          <w:rFonts w:ascii="Open Sans" w:hAnsi="Open Sans" w:cs="Open Sans"/>
          <w:sz w:val="22"/>
          <w:szCs w:val="18"/>
        </w:rPr>
      </w:pPr>
      <w:r w:rsidRPr="006A7524">
        <w:rPr>
          <w:rFonts w:ascii="Open Sans" w:hAnsi="Open Sans" w:cs="Open Sans"/>
          <w:sz w:val="22"/>
          <w:szCs w:val="18"/>
        </w:rPr>
        <w:t>impose taxes or levies.</w:t>
      </w:r>
    </w:p>
    <w:p w14:paraId="35478716" w14:textId="77777777" w:rsidR="00163856" w:rsidRPr="006A7524" w:rsidRDefault="00163856"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On the other hand, matters of detail and matters which may change frequently may be best dealt with by subordinate legislation. For example, the amounts of fees to be paid for various applications.</w:t>
      </w:r>
    </w:p>
    <w:p w14:paraId="14163255" w14:textId="0981FD78" w:rsidR="00163856" w:rsidRPr="006A7524" w:rsidRDefault="00163856" w:rsidP="00062852">
      <w:pPr>
        <w:pStyle w:val="BodyNum"/>
        <w:numPr>
          <w:ilvl w:val="0"/>
          <w:numId w:val="2"/>
        </w:numPr>
        <w:rPr>
          <w:rFonts w:ascii="Open Sans" w:hAnsi="Open Sans" w:cs="Open Sans"/>
          <w:sz w:val="22"/>
          <w:szCs w:val="18"/>
        </w:rPr>
      </w:pPr>
      <w:r w:rsidRPr="006A7524">
        <w:rPr>
          <w:rFonts w:ascii="Open Sans" w:hAnsi="Open Sans" w:cs="Open Sans"/>
          <w:sz w:val="22"/>
          <w:szCs w:val="18"/>
        </w:rPr>
        <w:t>See also the</w:t>
      </w:r>
      <w:hyperlink r:id="rId22" w:history="1">
        <w:r w:rsidRPr="006A7524">
          <w:rPr>
            <w:rFonts w:ascii="Open Sans" w:hAnsi="Open Sans" w:cs="Open Sans"/>
            <w:sz w:val="22"/>
            <w:szCs w:val="18"/>
          </w:rPr>
          <w:t xml:space="preserve"> </w:t>
        </w:r>
        <w:r w:rsidRPr="006A7524">
          <w:rPr>
            <w:rFonts w:ascii="Open Sans" w:hAnsi="Open Sans" w:cs="Open Sans"/>
            <w:sz w:val="22"/>
            <w:szCs w:val="18"/>
            <w:u w:val="single"/>
          </w:rPr>
          <w:t>Legislation Handbook</w:t>
        </w:r>
      </w:hyperlink>
      <w:r w:rsidRPr="006A7524">
        <w:rPr>
          <w:rFonts w:ascii="Open Sans" w:hAnsi="Open Sans" w:cs="Open Sans"/>
          <w:sz w:val="22"/>
          <w:szCs w:val="18"/>
        </w:rPr>
        <w:t xml:space="preserve"> at paragraphs 5.65 to 5.76.</w:t>
      </w:r>
    </w:p>
    <w:p w14:paraId="03E8B990" w14:textId="7720904E" w:rsidR="00EA22EE" w:rsidRPr="00062852" w:rsidRDefault="00163856" w:rsidP="00062852">
      <w:pPr>
        <w:pStyle w:val="BodyNum"/>
        <w:keepNext/>
        <w:numPr>
          <w:ilvl w:val="0"/>
          <w:numId w:val="2"/>
        </w:numPr>
        <w:rPr>
          <w:rFonts w:ascii="Open Sans" w:hAnsi="Open Sans" w:cs="Open Sans"/>
          <w:sz w:val="22"/>
          <w:szCs w:val="18"/>
        </w:rPr>
      </w:pPr>
      <w:r w:rsidRPr="006A7524">
        <w:rPr>
          <w:rFonts w:ascii="Open Sans" w:hAnsi="Open Sans" w:cs="Open Sans"/>
          <w:sz w:val="22"/>
          <w:szCs w:val="18"/>
        </w:rPr>
        <w:t xml:space="preserve">If </w:t>
      </w:r>
      <w:r w:rsidR="00A9033E" w:rsidRPr="006A7524">
        <w:rPr>
          <w:rFonts w:ascii="Open Sans" w:hAnsi="Open Sans" w:cs="Open Sans"/>
          <w:sz w:val="22"/>
          <w:szCs w:val="18"/>
        </w:rPr>
        <w:t>it is appropriate to use an instrument</w:t>
      </w:r>
      <w:r w:rsidRPr="006A7524">
        <w:rPr>
          <w:rFonts w:ascii="Open Sans" w:hAnsi="Open Sans" w:cs="Open Sans"/>
          <w:sz w:val="22"/>
          <w:szCs w:val="18"/>
        </w:rPr>
        <w:t xml:space="preserve">, </w:t>
      </w:r>
      <w:r w:rsidR="00FA35E3" w:rsidRPr="006A7524">
        <w:rPr>
          <w:rFonts w:ascii="Open Sans" w:hAnsi="Open Sans" w:cs="Open Sans"/>
          <w:sz w:val="22"/>
          <w:szCs w:val="18"/>
        </w:rPr>
        <w:t>then</w:t>
      </w:r>
      <w:r w:rsidR="00BE204D" w:rsidRPr="006A7524">
        <w:rPr>
          <w:rFonts w:ascii="Open Sans" w:hAnsi="Open Sans" w:cs="Open Sans"/>
          <w:sz w:val="22"/>
          <w:szCs w:val="18"/>
        </w:rPr>
        <w:t xml:space="preserve"> turn to</w:t>
      </w:r>
      <w:r w:rsidR="005B34C5">
        <w:rPr>
          <w:rFonts w:ascii="Open Sans" w:hAnsi="Open Sans" w:cs="Open Sans"/>
          <w:sz w:val="22"/>
          <w:szCs w:val="18"/>
        </w:rPr>
        <w:t xml:space="preserve"> the</w:t>
      </w:r>
      <w:r w:rsidRPr="006A7524">
        <w:rPr>
          <w:rFonts w:ascii="Open Sans" w:hAnsi="Open Sans" w:cs="Open Sans"/>
          <w:sz w:val="22"/>
          <w:szCs w:val="18"/>
        </w:rPr>
        <w:t xml:space="preserve"> </w:t>
      </w:r>
      <w:r w:rsidR="00935C65" w:rsidRPr="00935C65">
        <w:rPr>
          <w:rFonts w:ascii="Open Sans" w:hAnsi="Open Sans" w:cs="Open Sans"/>
          <w:i/>
          <w:iCs/>
          <w:sz w:val="22"/>
          <w:szCs w:val="18"/>
        </w:rPr>
        <w:t>I</w:t>
      </w:r>
      <w:r w:rsidR="001F5CB8" w:rsidRPr="00935C65">
        <w:rPr>
          <w:rFonts w:ascii="Open Sans" w:hAnsi="Open Sans" w:cs="Open Sans"/>
          <w:i/>
          <w:iCs/>
          <w:sz w:val="22"/>
          <w:szCs w:val="18"/>
        </w:rPr>
        <w:t xml:space="preserve">nstructor </w:t>
      </w:r>
      <w:r w:rsidR="00935C65" w:rsidRPr="00935C65">
        <w:rPr>
          <w:rFonts w:ascii="Open Sans" w:hAnsi="Open Sans" w:cs="Open Sans"/>
          <w:i/>
          <w:iCs/>
          <w:sz w:val="22"/>
          <w:szCs w:val="18"/>
        </w:rPr>
        <w:t>G</w:t>
      </w:r>
      <w:r w:rsidR="001F5CB8" w:rsidRPr="00935C65">
        <w:rPr>
          <w:rFonts w:ascii="Open Sans" w:hAnsi="Open Sans" w:cs="Open Sans"/>
          <w:i/>
          <w:iCs/>
          <w:sz w:val="22"/>
          <w:szCs w:val="18"/>
        </w:rPr>
        <w:t xml:space="preserve">uidance </w:t>
      </w:r>
      <w:r w:rsidR="00935C65" w:rsidRPr="00935C65">
        <w:rPr>
          <w:rFonts w:ascii="Open Sans" w:hAnsi="Open Sans" w:cs="Open Sans"/>
          <w:i/>
          <w:iCs/>
          <w:sz w:val="22"/>
          <w:szCs w:val="18"/>
        </w:rPr>
        <w:t>N</w:t>
      </w:r>
      <w:r w:rsidR="001F5CB8" w:rsidRPr="00935C65">
        <w:rPr>
          <w:rFonts w:ascii="Open Sans" w:hAnsi="Open Sans" w:cs="Open Sans"/>
          <w:i/>
          <w:iCs/>
          <w:sz w:val="22"/>
          <w:szCs w:val="18"/>
        </w:rPr>
        <w:t>ote</w:t>
      </w:r>
      <w:r w:rsidR="00935C65" w:rsidRPr="00935C65">
        <w:rPr>
          <w:rFonts w:ascii="Open Sans" w:hAnsi="Open Sans" w:cs="Open Sans"/>
          <w:i/>
          <w:iCs/>
          <w:sz w:val="22"/>
          <w:szCs w:val="18"/>
        </w:rPr>
        <w:t>—</w:t>
      </w:r>
      <w:r w:rsidR="005B34C5" w:rsidRPr="00935C65">
        <w:rPr>
          <w:rFonts w:ascii="Open Sans" w:hAnsi="Open Sans" w:cs="Open Sans"/>
          <w:i/>
          <w:iCs/>
          <w:sz w:val="22"/>
          <w:szCs w:val="18"/>
        </w:rPr>
        <w:t>I</w:t>
      </w:r>
      <w:r w:rsidRPr="00935C65">
        <w:rPr>
          <w:rFonts w:ascii="Open Sans" w:hAnsi="Open Sans" w:cs="Open Sans"/>
          <w:i/>
          <w:iCs/>
          <w:sz w:val="22"/>
          <w:szCs w:val="18"/>
        </w:rPr>
        <w:t>nstrument issues for Bills</w:t>
      </w:r>
      <w:r w:rsidRPr="006A7524">
        <w:rPr>
          <w:rFonts w:ascii="Open Sans" w:hAnsi="Open Sans" w:cs="Open Sans"/>
          <w:sz w:val="22"/>
          <w:szCs w:val="18"/>
        </w:rPr>
        <w:t xml:space="preserve"> </w:t>
      </w:r>
      <w:r w:rsidR="00BE204D" w:rsidRPr="006A7524">
        <w:rPr>
          <w:rFonts w:ascii="Open Sans" w:hAnsi="Open Sans" w:cs="Open Sans"/>
          <w:sz w:val="22"/>
          <w:szCs w:val="18"/>
        </w:rPr>
        <w:t>for further guidance in</w:t>
      </w:r>
      <w:r w:rsidRPr="006A7524">
        <w:rPr>
          <w:rFonts w:ascii="Open Sans" w:hAnsi="Open Sans" w:cs="Open Sans"/>
          <w:sz w:val="22"/>
          <w:szCs w:val="18"/>
        </w:rPr>
        <w:t xml:space="preserve"> developing your instructions.</w:t>
      </w:r>
      <w:r w:rsidR="00062852">
        <w:rPr>
          <w:rFonts w:ascii="Open Sans" w:hAnsi="Open Sans" w:cs="Open Sans"/>
          <w:sz w:val="22"/>
          <w:szCs w:val="18"/>
        </w:rPr>
        <w:br/>
      </w:r>
    </w:p>
    <w:tbl>
      <w:tblPr>
        <w:tblStyle w:val="TableGrid"/>
        <w:tblW w:w="0" w:type="auto"/>
        <w:tblLook w:val="04A0" w:firstRow="1" w:lastRow="0" w:firstColumn="1" w:lastColumn="0" w:noHBand="0" w:noVBand="1"/>
      </w:tblPr>
      <w:tblGrid>
        <w:gridCol w:w="9016"/>
      </w:tblGrid>
      <w:tr w:rsidR="00310241" w:rsidRPr="006A7524" w14:paraId="38EC8846" w14:textId="77777777" w:rsidTr="00E35D90">
        <w:tc>
          <w:tcPr>
            <w:tcW w:w="9016" w:type="dxa"/>
            <w:tcBorders>
              <w:top w:val="nil"/>
              <w:left w:val="nil"/>
              <w:bottom w:val="nil"/>
              <w:right w:val="nil"/>
            </w:tcBorders>
            <w:shd w:val="clear" w:color="auto" w:fill="A9D9DB"/>
          </w:tcPr>
          <w:p w14:paraId="10EB962A" w14:textId="25D4940C" w:rsidR="00310241" w:rsidRPr="006A7524" w:rsidRDefault="009F2F08" w:rsidP="00310241">
            <w:pPr>
              <w:spacing w:before="120" w:after="120" w:line="240" w:lineRule="auto"/>
              <w:rPr>
                <w:szCs w:val="22"/>
                <w:lang w:val="en-AU"/>
              </w:rPr>
            </w:pPr>
            <w:bookmarkStart w:id="0" w:name="_Hlk202188723"/>
            <w:r>
              <w:rPr>
                <w:rFonts w:ascii="Open Sans" w:hAnsi="Open Sans"/>
                <w:color w:val="084D5E"/>
                <w:szCs w:val="22"/>
                <w:lang w:val="en-AU"/>
              </w:rPr>
              <w:t>T</w:t>
            </w:r>
            <w:r w:rsidR="00310241" w:rsidRPr="006A7524">
              <w:rPr>
                <w:rFonts w:ascii="Open Sans" w:hAnsi="Open Sans"/>
                <w:color w:val="084D5E"/>
                <w:szCs w:val="22"/>
                <w:lang w:val="en-AU"/>
              </w:rPr>
              <w: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0"/>
    </w:tbl>
    <w:p w14:paraId="775B4D9D" w14:textId="77777777" w:rsidR="00310241" w:rsidRPr="006A7524" w:rsidRDefault="00310241" w:rsidP="00935C65">
      <w:pPr>
        <w:pStyle w:val="BodyNum"/>
        <w:numPr>
          <w:ilvl w:val="0"/>
          <w:numId w:val="0"/>
        </w:numPr>
      </w:pPr>
    </w:p>
    <w:sectPr w:rsidR="00310241" w:rsidRPr="006A7524" w:rsidSect="004B7D93">
      <w:headerReference w:type="even" r:id="rId23"/>
      <w:headerReference w:type="default" r:id="rId24"/>
      <w:footerReference w:type="even" r:id="rId25"/>
      <w:footerReference w:type="default" r:id="rId26"/>
      <w:headerReference w:type="first" r:id="rId27"/>
      <w:footerReference w:type="first" r:id="rId28"/>
      <w:pgSz w:w="11907" w:h="16839"/>
      <w:pgMar w:top="1145"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D92A" w14:textId="77777777" w:rsidR="00FF0F03" w:rsidRPr="006A7524" w:rsidRDefault="00FF0F03" w:rsidP="008E17F3">
      <w:pPr>
        <w:spacing w:line="240" w:lineRule="auto"/>
      </w:pPr>
      <w:r w:rsidRPr="006A7524">
        <w:separator/>
      </w:r>
    </w:p>
  </w:endnote>
  <w:endnote w:type="continuationSeparator" w:id="0">
    <w:p w14:paraId="22F4AA33" w14:textId="77777777" w:rsidR="00FF0F03" w:rsidRPr="006A7524" w:rsidRDefault="00FF0F03" w:rsidP="008E17F3">
      <w:pPr>
        <w:spacing w:line="240" w:lineRule="auto"/>
      </w:pPr>
      <w:r w:rsidRPr="006A75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207E0128-6008-45AF-B120-BA0E0A71C333}"/>
    <w:embedBold r:id="rId2" w:fontKey="{ACE810A9-EBB6-4D93-BCBA-D6CEC67522E5}"/>
    <w:embedItalic r:id="rId3" w:fontKey="{8881B1DE-59B9-429F-9475-9922BBCEBB77}"/>
    <w:embedBoldItalic r:id="rId4" w:fontKey="{241AAFDE-D40F-4E8E-B77A-67298F96A9D9}"/>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5" w:subsetted="1" w:fontKey="{01EB86C2-A7AC-47D7-89BA-0464D43B4798}"/>
    <w:embedBold r:id="rId6" w:fontKey="{0B8B0C73-C0D9-486F-B855-D5463803A1E4}"/>
  </w:font>
  <w:font w:name="Open Sans SemiBold">
    <w:charset w:val="00"/>
    <w:family w:val="swiss"/>
    <w:pitch w:val="variable"/>
    <w:sig w:usb0="E00002EF" w:usb1="4000205B" w:usb2="00000028" w:usb3="00000000" w:csb0="0000019F" w:csb1="00000000"/>
    <w:embedRegular r:id="rId7" w:subsetted="1" w:fontKey="{CADC849A-6454-4E80-B5A8-C8DB7CE0623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183E" w14:textId="202CF179" w:rsidR="008E17F3" w:rsidRPr="006A7524" w:rsidRDefault="006E2E9F" w:rsidP="008E17F3">
    <w:pPr>
      <w:pStyle w:val="Footer"/>
      <w:framePr w:wrap="around" w:vAnchor="text" w:hAnchor="margin" w:xAlign="right" w:y="1"/>
      <w:rPr>
        <w:rStyle w:val="PageNumber"/>
      </w:rPr>
    </w:pPr>
    <w:r w:rsidRPr="006A7524">
      <w:rPr>
        <w:rStyle w:val="PageNumber"/>
      </w:rPr>
      <w:fldChar w:fldCharType="begin"/>
    </w:r>
    <w:r w:rsidR="008E17F3" w:rsidRPr="006A7524">
      <w:rPr>
        <w:rStyle w:val="PageNumber"/>
      </w:rPr>
      <w:instrText xml:space="preserve">PAGE  </w:instrText>
    </w:r>
    <w:r w:rsidR="00281FE4">
      <w:rPr>
        <w:rStyle w:val="PageNumber"/>
      </w:rPr>
      <w:fldChar w:fldCharType="separate"/>
    </w:r>
    <w:r w:rsidR="00281FE4">
      <w:rPr>
        <w:rStyle w:val="PageNumber"/>
        <w:noProof/>
      </w:rPr>
      <w:t>7</w:t>
    </w:r>
    <w:r w:rsidRPr="006A7524">
      <w:rPr>
        <w:rStyle w:val="PageNumber"/>
      </w:rPr>
      <w:fldChar w:fldCharType="end"/>
    </w:r>
  </w:p>
  <w:p w14:paraId="1501F491" w14:textId="77777777" w:rsidR="008E17F3" w:rsidRPr="006A7524"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911988500"/>
      <w:docPartObj>
        <w:docPartGallery w:val="Page Numbers (Bottom of Page)"/>
        <w:docPartUnique/>
      </w:docPartObj>
    </w:sdtPr>
    <w:sdtEndPr/>
    <w:sdtContent>
      <w:p w14:paraId="3FE2C578" w14:textId="74AF6D39" w:rsidR="00FF4586" w:rsidRPr="00FF4586" w:rsidRDefault="00FF4586" w:rsidP="00FF4586">
        <w:pPr>
          <w:pStyle w:val="Footer"/>
          <w:ind w:left="-426" w:hanging="283"/>
          <w:jc w:val="right"/>
          <w:rPr>
            <w:rFonts w:ascii="Open Sans" w:hAnsi="Open Sans" w:cs="Open Sans"/>
            <w:sz w:val="20"/>
            <w:szCs w:val="20"/>
          </w:rPr>
        </w:pPr>
        <w:r w:rsidRPr="00FF4586">
          <w:rPr>
            <w:rFonts w:ascii="Open Sans" w:hAnsi="Open Sans" w:cs="Open Sans"/>
            <w:sz w:val="20"/>
            <w:szCs w:val="20"/>
          </w:rPr>
          <w:t>[s25an102.docx]</w:t>
        </w:r>
        <w:r w:rsidRPr="00FF4586">
          <w:rPr>
            <w:rFonts w:ascii="Open Sans" w:hAnsi="Open Sans" w:cs="Open Sans"/>
            <w:sz w:val="20"/>
            <w:szCs w:val="20"/>
          </w:rPr>
          <w:tab/>
        </w:r>
        <w:r w:rsidRPr="00FF4586">
          <w:rPr>
            <w:rFonts w:ascii="Open Sans" w:hAnsi="Open Sans" w:cs="Open Sans"/>
            <w:sz w:val="20"/>
            <w:szCs w:val="20"/>
          </w:rPr>
          <w:tab/>
          <w:t>Last updated: 13 October 2025</w:t>
        </w:r>
      </w:p>
      <w:p w14:paraId="5DB01495" w14:textId="27D56079" w:rsidR="00FF4586" w:rsidRPr="00FF4586" w:rsidRDefault="00FF4586">
        <w:pPr>
          <w:pStyle w:val="Footer"/>
          <w:jc w:val="right"/>
          <w:rPr>
            <w:rFonts w:ascii="Open Sans" w:hAnsi="Open Sans" w:cs="Open Sans"/>
            <w:sz w:val="20"/>
            <w:szCs w:val="20"/>
          </w:rPr>
        </w:pPr>
        <w:r w:rsidRPr="00FF4586">
          <w:rPr>
            <w:rFonts w:ascii="Open Sans" w:hAnsi="Open Sans" w:cs="Open Sans"/>
            <w:sz w:val="20"/>
            <w:szCs w:val="20"/>
          </w:rPr>
          <w:t xml:space="preserve">Page | </w:t>
        </w:r>
        <w:r w:rsidRPr="00FF4586">
          <w:rPr>
            <w:rFonts w:ascii="Open Sans" w:hAnsi="Open Sans" w:cs="Open Sans"/>
            <w:sz w:val="20"/>
            <w:szCs w:val="20"/>
          </w:rPr>
          <w:fldChar w:fldCharType="begin"/>
        </w:r>
        <w:r w:rsidRPr="00FF4586">
          <w:rPr>
            <w:rFonts w:ascii="Open Sans" w:hAnsi="Open Sans" w:cs="Open Sans"/>
            <w:sz w:val="20"/>
            <w:szCs w:val="20"/>
          </w:rPr>
          <w:instrText xml:space="preserve"> PAGE   \* MERGEFORMAT </w:instrText>
        </w:r>
        <w:r w:rsidRPr="00FF4586">
          <w:rPr>
            <w:rFonts w:ascii="Open Sans" w:hAnsi="Open Sans" w:cs="Open Sans"/>
            <w:sz w:val="20"/>
            <w:szCs w:val="20"/>
          </w:rPr>
          <w:fldChar w:fldCharType="separate"/>
        </w:r>
        <w:r w:rsidRPr="00FF4586">
          <w:rPr>
            <w:rFonts w:ascii="Open Sans" w:hAnsi="Open Sans" w:cs="Open Sans"/>
            <w:sz w:val="20"/>
            <w:szCs w:val="20"/>
          </w:rPr>
          <w:t>2</w:t>
        </w:r>
        <w:r w:rsidRPr="00FF4586">
          <w:rPr>
            <w:rFonts w:ascii="Open Sans" w:hAnsi="Open Sans" w:cs="Open Sans"/>
            <w:sz w:val="20"/>
            <w:szCs w:val="20"/>
          </w:rPr>
          <w:fldChar w:fldCharType="end"/>
        </w:r>
        <w:r w:rsidRPr="00FF4586">
          <w:rPr>
            <w:rFonts w:ascii="Open Sans" w:hAnsi="Open Sans" w:cs="Open Sans"/>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6974"/>
      <w:docPartObj>
        <w:docPartGallery w:val="Page Numbers (Bottom of Page)"/>
        <w:docPartUnique/>
      </w:docPartObj>
    </w:sdtPr>
    <w:sdtEndPr>
      <w:rPr>
        <w:rFonts w:ascii="Open Sans" w:hAnsi="Open Sans" w:cs="Open Sans"/>
        <w:sz w:val="20"/>
        <w:szCs w:val="20"/>
      </w:rPr>
    </w:sdtEndPr>
    <w:sdtContent>
      <w:p w14:paraId="0827911B" w14:textId="77777777" w:rsidR="00FF4586" w:rsidRDefault="00FF4586">
        <w:pPr>
          <w:pStyle w:val="Footer"/>
          <w:jc w:val="right"/>
        </w:pPr>
      </w:p>
      <w:p w14:paraId="243346F8" w14:textId="043E1B0E" w:rsidR="004B7D93" w:rsidRPr="00062852" w:rsidRDefault="00FF4586" w:rsidP="00062852">
        <w:pPr>
          <w:pStyle w:val="Footer"/>
          <w:ind w:left="-426" w:hanging="283"/>
          <w:jc w:val="right"/>
          <w:rPr>
            <w:rFonts w:ascii="Open Sans" w:hAnsi="Open Sans" w:cs="Open Sans"/>
            <w:sz w:val="20"/>
            <w:szCs w:val="20"/>
          </w:rPr>
        </w:pPr>
        <w:r w:rsidRPr="00FF4586">
          <w:rPr>
            <w:rFonts w:ascii="Open Sans" w:hAnsi="Open Sans" w:cs="Open Sans"/>
            <w:sz w:val="20"/>
            <w:szCs w:val="20"/>
          </w:rPr>
          <w:t>[s25an102.docx]</w:t>
        </w:r>
        <w:r>
          <w:rPr>
            <w:rFonts w:ascii="Open Sans" w:hAnsi="Open Sans" w:cs="Open Sans"/>
            <w:sz w:val="20"/>
            <w:szCs w:val="20"/>
          </w:rPr>
          <w:tab/>
        </w:r>
        <w:r>
          <w:rPr>
            <w:rFonts w:ascii="Open Sans" w:hAnsi="Open Sans" w:cs="Open Sans"/>
            <w:sz w:val="20"/>
            <w:szCs w:val="20"/>
          </w:rPr>
          <w:tab/>
        </w:r>
        <w:r w:rsidRPr="00FF4586">
          <w:rPr>
            <w:rFonts w:ascii="Open Sans" w:hAnsi="Open Sans" w:cs="Open Sans"/>
            <w:sz w:val="20"/>
            <w:szCs w:val="20"/>
          </w:rPr>
          <w:t>Last updated: 13 October 2025</w:t>
        </w:r>
        <w:r>
          <w:br/>
        </w:r>
        <w:r w:rsidR="004B7D93" w:rsidRPr="00FF4586">
          <w:rPr>
            <w:rFonts w:ascii="Open Sans" w:hAnsi="Open Sans" w:cs="Open Sans"/>
            <w:sz w:val="20"/>
            <w:szCs w:val="20"/>
          </w:rPr>
          <w:t xml:space="preserve">Page | </w:t>
        </w:r>
        <w:r w:rsidR="004B7D93" w:rsidRPr="00FF4586">
          <w:rPr>
            <w:rFonts w:ascii="Open Sans" w:hAnsi="Open Sans" w:cs="Open Sans"/>
            <w:sz w:val="20"/>
            <w:szCs w:val="20"/>
          </w:rPr>
          <w:fldChar w:fldCharType="begin"/>
        </w:r>
        <w:r w:rsidR="004B7D93" w:rsidRPr="00FF4586">
          <w:rPr>
            <w:rFonts w:ascii="Open Sans" w:hAnsi="Open Sans" w:cs="Open Sans"/>
            <w:sz w:val="20"/>
            <w:szCs w:val="20"/>
          </w:rPr>
          <w:instrText xml:space="preserve"> PAGE   \* MERGEFORMAT </w:instrText>
        </w:r>
        <w:r w:rsidR="004B7D93" w:rsidRPr="00FF4586">
          <w:rPr>
            <w:rFonts w:ascii="Open Sans" w:hAnsi="Open Sans" w:cs="Open Sans"/>
            <w:sz w:val="20"/>
            <w:szCs w:val="20"/>
          </w:rPr>
          <w:fldChar w:fldCharType="separate"/>
        </w:r>
        <w:r w:rsidR="004B7D93" w:rsidRPr="00FF4586">
          <w:rPr>
            <w:rFonts w:ascii="Open Sans" w:hAnsi="Open Sans" w:cs="Open Sans"/>
            <w:noProof/>
            <w:sz w:val="20"/>
            <w:szCs w:val="20"/>
          </w:rPr>
          <w:t>2</w:t>
        </w:r>
        <w:r w:rsidR="004B7D93" w:rsidRPr="00FF4586">
          <w:rPr>
            <w:rFonts w:ascii="Open Sans" w:hAnsi="Open Sans" w:cs="Open Sans"/>
            <w:noProof/>
            <w:sz w:val="20"/>
            <w:szCs w:val="20"/>
          </w:rPr>
          <w:fldChar w:fldCharType="end"/>
        </w:r>
        <w:r w:rsidR="004B7D93" w:rsidRPr="00FF4586">
          <w:rPr>
            <w:rFonts w:ascii="Open Sans" w:hAnsi="Open Sans" w:cs="Open Sans"/>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60BF" w14:textId="77777777" w:rsidR="00FF0F03" w:rsidRPr="006A7524" w:rsidRDefault="00FF0F03" w:rsidP="008E17F3">
      <w:pPr>
        <w:spacing w:line="240" w:lineRule="auto"/>
      </w:pPr>
      <w:r w:rsidRPr="006A7524">
        <w:separator/>
      </w:r>
    </w:p>
  </w:footnote>
  <w:footnote w:type="continuationSeparator" w:id="0">
    <w:p w14:paraId="654263B2" w14:textId="77777777" w:rsidR="00FF0F03" w:rsidRPr="006A7524" w:rsidRDefault="00FF0F03" w:rsidP="008E17F3">
      <w:pPr>
        <w:spacing w:line="240" w:lineRule="auto"/>
      </w:pPr>
      <w:r w:rsidRPr="006A75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F907" w14:textId="77777777" w:rsidR="00062852" w:rsidRDefault="00062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A29E" w14:textId="5AC7DA85" w:rsidR="00850CB4" w:rsidRPr="004B7D93" w:rsidRDefault="004B7D93" w:rsidP="004B7D93">
    <w:pPr>
      <w:pStyle w:val="ActHead9"/>
      <w:ind w:left="0" w:firstLine="0"/>
      <w:rPr>
        <w:rFonts w:ascii="Open Sans" w:hAnsi="Open Sans" w:cs="Open Sans"/>
        <w:i w:val="0"/>
        <w:iCs/>
        <w:color w:val="BFBFBF" w:themeColor="background1" w:themeShade="BF"/>
        <w:sz w:val="22"/>
        <w:szCs w:val="22"/>
      </w:rPr>
    </w:pPr>
    <w:r>
      <w:rPr>
        <w:rFonts w:ascii="Open Sans" w:hAnsi="Open Sans" w:cs="Open Sans"/>
        <w:i w:val="0"/>
        <w:iCs/>
        <w:color w:val="BFBFBF" w:themeColor="background1" w:themeShade="BF"/>
        <w:sz w:val="22"/>
        <w:szCs w:val="22"/>
      </w:rPr>
      <w:t>I</w:t>
    </w:r>
    <w:r w:rsidR="00850CB4" w:rsidRPr="004B7D93">
      <w:rPr>
        <w:rFonts w:ascii="Open Sans" w:hAnsi="Open Sans" w:cs="Open Sans"/>
        <w:i w:val="0"/>
        <w:iCs/>
        <w:color w:val="BFBFBF" w:themeColor="background1" w:themeShade="BF"/>
        <w:sz w:val="22"/>
        <w:szCs w:val="22"/>
      </w:rPr>
      <w:t>nstructor Guidance Note—Drafting instructions template (Bills) checklist topics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4787" w14:textId="01CF9026" w:rsidR="00850CB4" w:rsidRDefault="00850CB4">
    <w:pPr>
      <w:pStyle w:val="Header"/>
    </w:pPr>
    <w:r w:rsidRPr="00F951F6">
      <w:rPr>
        <w:rFonts w:cs="Open Sans"/>
        <w:noProof/>
      </w:rPr>
      <w:drawing>
        <wp:anchor distT="0" distB="0" distL="114300" distR="114300" simplePos="0" relativeHeight="251659264" behindDoc="0" locked="0" layoutInCell="1" allowOverlap="1" wp14:anchorId="690643DF" wp14:editId="0DA8F47E">
          <wp:simplePos x="0" y="0"/>
          <wp:positionH relativeFrom="margin">
            <wp:posOffset>478</wp:posOffset>
          </wp:positionH>
          <wp:positionV relativeFrom="paragraph">
            <wp:posOffset>-304800</wp:posOffset>
          </wp:positionV>
          <wp:extent cx="3229347" cy="748862"/>
          <wp:effectExtent l="0" t="0" r="0" b="0"/>
          <wp:wrapNone/>
          <wp:docPr id="1073482236"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CC4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B6D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A8D1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C6C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9036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7C9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28D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961F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846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B0A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E155EF2"/>
    <w:multiLevelType w:val="hybridMultilevel"/>
    <w:tmpl w:val="8D30FE9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54436268">
    <w:abstractNumId w:val="11"/>
  </w:num>
  <w:num w:numId="2" w16cid:durableId="443574823">
    <w:abstractNumId w:val="10"/>
    <w:lvlOverride w:ilvl="0">
      <w:lvl w:ilvl="0">
        <w:start w:val="1"/>
        <w:numFmt w:val="decimal"/>
        <w:pStyle w:val="BodyNum"/>
        <w:lvlText w:val="%1"/>
        <w:lvlJc w:val="left"/>
        <w:pPr>
          <w:tabs>
            <w:tab w:val="num" w:pos="720"/>
          </w:tabs>
          <w:ind w:left="0" w:firstLine="0"/>
        </w:pPr>
        <w:rPr>
          <w:rFonts w:hint="default"/>
          <w:b w:val="0"/>
          <w:bCs/>
          <w:i w:val="0"/>
          <w:iCs/>
        </w:rPr>
      </w:lvl>
    </w:lvlOverride>
  </w:num>
  <w:num w:numId="3" w16cid:durableId="637150292">
    <w:abstractNumId w:val="10"/>
  </w:num>
  <w:num w:numId="4" w16cid:durableId="949555250">
    <w:abstractNumId w:val="12"/>
  </w:num>
  <w:num w:numId="5" w16cid:durableId="685785347">
    <w:abstractNumId w:val="9"/>
  </w:num>
  <w:num w:numId="6" w16cid:durableId="2027360523">
    <w:abstractNumId w:val="7"/>
  </w:num>
  <w:num w:numId="7" w16cid:durableId="279070839">
    <w:abstractNumId w:val="6"/>
  </w:num>
  <w:num w:numId="8" w16cid:durableId="1520436874">
    <w:abstractNumId w:val="5"/>
  </w:num>
  <w:num w:numId="9" w16cid:durableId="1966540256">
    <w:abstractNumId w:val="4"/>
  </w:num>
  <w:num w:numId="10" w16cid:durableId="1011377327">
    <w:abstractNumId w:val="8"/>
  </w:num>
  <w:num w:numId="11" w16cid:durableId="1914394895">
    <w:abstractNumId w:val="3"/>
  </w:num>
  <w:num w:numId="12" w16cid:durableId="1245410099">
    <w:abstractNumId w:val="2"/>
  </w:num>
  <w:num w:numId="13" w16cid:durableId="890462389">
    <w:abstractNumId w:val="1"/>
  </w:num>
  <w:num w:numId="14" w16cid:durableId="721751846">
    <w:abstractNumId w:val="0"/>
  </w:num>
  <w:num w:numId="15" w16cid:durableId="1894656314">
    <w:abstractNumId w:val="8"/>
  </w:num>
  <w:num w:numId="16" w16cid:durableId="239682759">
    <w:abstractNumId w:val="3"/>
  </w:num>
  <w:num w:numId="17" w16cid:durableId="396244139">
    <w:abstractNumId w:val="2"/>
  </w:num>
  <w:num w:numId="18" w16cid:durableId="683357613">
    <w:abstractNumId w:val="1"/>
  </w:num>
  <w:num w:numId="19" w16cid:durableId="1271355794">
    <w:abstractNumId w:val="0"/>
  </w:num>
  <w:num w:numId="20" w16cid:durableId="1561986357">
    <w:abstractNumId w:val="8"/>
  </w:num>
  <w:num w:numId="21" w16cid:durableId="117260409">
    <w:abstractNumId w:val="3"/>
  </w:num>
  <w:num w:numId="22" w16cid:durableId="577246611">
    <w:abstractNumId w:val="2"/>
  </w:num>
  <w:num w:numId="23" w16cid:durableId="1662155726">
    <w:abstractNumId w:val="1"/>
  </w:num>
  <w:num w:numId="24" w16cid:durableId="1550534109">
    <w:abstractNumId w:val="0"/>
  </w:num>
  <w:num w:numId="25" w16cid:durableId="2109619784">
    <w:abstractNumId w:val="8"/>
  </w:num>
  <w:num w:numId="26" w16cid:durableId="1367829119">
    <w:abstractNumId w:val="3"/>
  </w:num>
  <w:num w:numId="27" w16cid:durableId="1947615330">
    <w:abstractNumId w:val="2"/>
  </w:num>
  <w:num w:numId="28" w16cid:durableId="480773721">
    <w:abstractNumId w:val="1"/>
  </w:num>
  <w:num w:numId="29" w16cid:durableId="2114158219">
    <w:abstractNumId w:val="0"/>
  </w:num>
  <w:num w:numId="30" w16cid:durableId="796723793">
    <w:abstractNumId w:val="8"/>
  </w:num>
  <w:num w:numId="31" w16cid:durableId="846020766">
    <w:abstractNumId w:val="3"/>
  </w:num>
  <w:num w:numId="32" w16cid:durableId="1743790732">
    <w:abstractNumId w:val="2"/>
  </w:num>
  <w:num w:numId="33" w16cid:durableId="1865366872">
    <w:abstractNumId w:val="1"/>
  </w:num>
  <w:num w:numId="34" w16cid:durableId="1200892892">
    <w:abstractNumId w:val="0"/>
  </w:num>
  <w:num w:numId="35" w16cid:durableId="1002394464">
    <w:abstractNumId w:val="8"/>
  </w:num>
  <w:num w:numId="36" w16cid:durableId="364524523">
    <w:abstractNumId w:val="3"/>
  </w:num>
  <w:num w:numId="37" w16cid:durableId="818038232">
    <w:abstractNumId w:val="2"/>
  </w:num>
  <w:num w:numId="38" w16cid:durableId="458452645">
    <w:abstractNumId w:val="1"/>
  </w:num>
  <w:num w:numId="39" w16cid:durableId="7711254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03"/>
    <w:rsid w:val="000000E7"/>
    <w:rsid w:val="00001607"/>
    <w:rsid w:val="000136AF"/>
    <w:rsid w:val="00022B7E"/>
    <w:rsid w:val="000315CE"/>
    <w:rsid w:val="00035775"/>
    <w:rsid w:val="00036B0B"/>
    <w:rsid w:val="00047C1C"/>
    <w:rsid w:val="00053447"/>
    <w:rsid w:val="00056743"/>
    <w:rsid w:val="00060705"/>
    <w:rsid w:val="00061439"/>
    <w:rsid w:val="000614BF"/>
    <w:rsid w:val="00062852"/>
    <w:rsid w:val="00066B83"/>
    <w:rsid w:val="00067953"/>
    <w:rsid w:val="00070FF9"/>
    <w:rsid w:val="000730DD"/>
    <w:rsid w:val="00077F41"/>
    <w:rsid w:val="00082E24"/>
    <w:rsid w:val="00090053"/>
    <w:rsid w:val="00093B5E"/>
    <w:rsid w:val="000A31E8"/>
    <w:rsid w:val="000C2788"/>
    <w:rsid w:val="000C604C"/>
    <w:rsid w:val="000D05EF"/>
    <w:rsid w:val="000D2294"/>
    <w:rsid w:val="000D5D52"/>
    <w:rsid w:val="000E075E"/>
    <w:rsid w:val="000E35C0"/>
    <w:rsid w:val="000F1B0F"/>
    <w:rsid w:val="00101A41"/>
    <w:rsid w:val="0010745C"/>
    <w:rsid w:val="00116747"/>
    <w:rsid w:val="00117E6E"/>
    <w:rsid w:val="001231EF"/>
    <w:rsid w:val="00127402"/>
    <w:rsid w:val="00150002"/>
    <w:rsid w:val="001603D6"/>
    <w:rsid w:val="001610E4"/>
    <w:rsid w:val="00163435"/>
    <w:rsid w:val="00163856"/>
    <w:rsid w:val="00166C2F"/>
    <w:rsid w:val="00174846"/>
    <w:rsid w:val="00185BA9"/>
    <w:rsid w:val="001939E1"/>
    <w:rsid w:val="00195382"/>
    <w:rsid w:val="001A0D8C"/>
    <w:rsid w:val="001A0FC4"/>
    <w:rsid w:val="001A2BA5"/>
    <w:rsid w:val="001A73F6"/>
    <w:rsid w:val="001C6013"/>
    <w:rsid w:val="001C69C4"/>
    <w:rsid w:val="001D4185"/>
    <w:rsid w:val="001E3590"/>
    <w:rsid w:val="001E5E26"/>
    <w:rsid w:val="001E7407"/>
    <w:rsid w:val="001F5CB8"/>
    <w:rsid w:val="001F750A"/>
    <w:rsid w:val="001F7EA2"/>
    <w:rsid w:val="00203849"/>
    <w:rsid w:val="00212737"/>
    <w:rsid w:val="00212FC6"/>
    <w:rsid w:val="002138AC"/>
    <w:rsid w:val="00224107"/>
    <w:rsid w:val="00225BBE"/>
    <w:rsid w:val="00235F90"/>
    <w:rsid w:val="00253D1B"/>
    <w:rsid w:val="00255661"/>
    <w:rsid w:val="00266938"/>
    <w:rsid w:val="00281FE4"/>
    <w:rsid w:val="00290B24"/>
    <w:rsid w:val="00290D50"/>
    <w:rsid w:val="002919D2"/>
    <w:rsid w:val="00295FBA"/>
    <w:rsid w:val="002970D7"/>
    <w:rsid w:val="00297ECB"/>
    <w:rsid w:val="002A5120"/>
    <w:rsid w:val="002B24B4"/>
    <w:rsid w:val="002B5413"/>
    <w:rsid w:val="002B5C69"/>
    <w:rsid w:val="002C3802"/>
    <w:rsid w:val="002D01A1"/>
    <w:rsid w:val="002D043A"/>
    <w:rsid w:val="002D1FDB"/>
    <w:rsid w:val="002D5D6D"/>
    <w:rsid w:val="002D6A8E"/>
    <w:rsid w:val="002F5574"/>
    <w:rsid w:val="00300828"/>
    <w:rsid w:val="00310241"/>
    <w:rsid w:val="00311448"/>
    <w:rsid w:val="003363B4"/>
    <w:rsid w:val="00340676"/>
    <w:rsid w:val="00343533"/>
    <w:rsid w:val="00345721"/>
    <w:rsid w:val="00347E16"/>
    <w:rsid w:val="00352B0F"/>
    <w:rsid w:val="00360FB0"/>
    <w:rsid w:val="00366AC2"/>
    <w:rsid w:val="003703BB"/>
    <w:rsid w:val="003731CC"/>
    <w:rsid w:val="0038111F"/>
    <w:rsid w:val="00386541"/>
    <w:rsid w:val="00397D55"/>
    <w:rsid w:val="003A236B"/>
    <w:rsid w:val="003B2564"/>
    <w:rsid w:val="003B40B0"/>
    <w:rsid w:val="003B5735"/>
    <w:rsid w:val="003B5F17"/>
    <w:rsid w:val="003C0DAA"/>
    <w:rsid w:val="003C23CF"/>
    <w:rsid w:val="003C7D5A"/>
    <w:rsid w:val="003D0BFE"/>
    <w:rsid w:val="003D2A60"/>
    <w:rsid w:val="003D4A35"/>
    <w:rsid w:val="003D5700"/>
    <w:rsid w:val="003D6F8A"/>
    <w:rsid w:val="003E4160"/>
    <w:rsid w:val="003F0724"/>
    <w:rsid w:val="004046C0"/>
    <w:rsid w:val="00410914"/>
    <w:rsid w:val="004116CD"/>
    <w:rsid w:val="0042468D"/>
    <w:rsid w:val="00424CA9"/>
    <w:rsid w:val="00430985"/>
    <w:rsid w:val="0044291A"/>
    <w:rsid w:val="00450A86"/>
    <w:rsid w:val="00455A13"/>
    <w:rsid w:val="00455D8B"/>
    <w:rsid w:val="004560FB"/>
    <w:rsid w:val="00457C8F"/>
    <w:rsid w:val="004632DE"/>
    <w:rsid w:val="004653F8"/>
    <w:rsid w:val="004775AD"/>
    <w:rsid w:val="00483644"/>
    <w:rsid w:val="004844C7"/>
    <w:rsid w:val="00490130"/>
    <w:rsid w:val="00496F97"/>
    <w:rsid w:val="004A0C8F"/>
    <w:rsid w:val="004A10AD"/>
    <w:rsid w:val="004A3CE7"/>
    <w:rsid w:val="004B0C7F"/>
    <w:rsid w:val="004B7D93"/>
    <w:rsid w:val="004C1B49"/>
    <w:rsid w:val="004C5263"/>
    <w:rsid w:val="004C76A0"/>
    <w:rsid w:val="004D1352"/>
    <w:rsid w:val="004D3818"/>
    <w:rsid w:val="004D3FE3"/>
    <w:rsid w:val="004D7690"/>
    <w:rsid w:val="004E5FC9"/>
    <w:rsid w:val="004E719E"/>
    <w:rsid w:val="00510620"/>
    <w:rsid w:val="00516B8D"/>
    <w:rsid w:val="00521B42"/>
    <w:rsid w:val="00521CA5"/>
    <w:rsid w:val="005327A0"/>
    <w:rsid w:val="00532F32"/>
    <w:rsid w:val="005375DA"/>
    <w:rsid w:val="00537FBC"/>
    <w:rsid w:val="00550FE9"/>
    <w:rsid w:val="00551A5C"/>
    <w:rsid w:val="005631E4"/>
    <w:rsid w:val="00565375"/>
    <w:rsid w:val="00572641"/>
    <w:rsid w:val="005767AF"/>
    <w:rsid w:val="00577ED4"/>
    <w:rsid w:val="005835A9"/>
    <w:rsid w:val="00584811"/>
    <w:rsid w:val="00584ED9"/>
    <w:rsid w:val="0059191B"/>
    <w:rsid w:val="00594161"/>
    <w:rsid w:val="00594749"/>
    <w:rsid w:val="005B34C5"/>
    <w:rsid w:val="005C5ADC"/>
    <w:rsid w:val="005E2043"/>
    <w:rsid w:val="005E2748"/>
    <w:rsid w:val="005E4DAC"/>
    <w:rsid w:val="005F1722"/>
    <w:rsid w:val="005F58FB"/>
    <w:rsid w:val="005F6A04"/>
    <w:rsid w:val="00600219"/>
    <w:rsid w:val="0060139C"/>
    <w:rsid w:val="0060178A"/>
    <w:rsid w:val="00607EEE"/>
    <w:rsid w:val="00613E08"/>
    <w:rsid w:val="006207A3"/>
    <w:rsid w:val="006279B8"/>
    <w:rsid w:val="0063123E"/>
    <w:rsid w:val="006374BB"/>
    <w:rsid w:val="00640DDD"/>
    <w:rsid w:val="006457CD"/>
    <w:rsid w:val="00655CAD"/>
    <w:rsid w:val="00664CED"/>
    <w:rsid w:val="00677CC2"/>
    <w:rsid w:val="00680F77"/>
    <w:rsid w:val="00691196"/>
    <w:rsid w:val="0069207B"/>
    <w:rsid w:val="00696B5B"/>
    <w:rsid w:val="006A1CD9"/>
    <w:rsid w:val="006A2C02"/>
    <w:rsid w:val="006A4482"/>
    <w:rsid w:val="006A7524"/>
    <w:rsid w:val="006B0CE7"/>
    <w:rsid w:val="006C7F8C"/>
    <w:rsid w:val="006D30D7"/>
    <w:rsid w:val="006D77BA"/>
    <w:rsid w:val="006E22E4"/>
    <w:rsid w:val="006E2E9F"/>
    <w:rsid w:val="006E5F9A"/>
    <w:rsid w:val="006F3302"/>
    <w:rsid w:val="0070098D"/>
    <w:rsid w:val="00703299"/>
    <w:rsid w:val="00704925"/>
    <w:rsid w:val="00704A73"/>
    <w:rsid w:val="007171FA"/>
    <w:rsid w:val="007276BC"/>
    <w:rsid w:val="00731E00"/>
    <w:rsid w:val="00733990"/>
    <w:rsid w:val="00746C25"/>
    <w:rsid w:val="00755B56"/>
    <w:rsid w:val="007605EE"/>
    <w:rsid w:val="00766393"/>
    <w:rsid w:val="007667A0"/>
    <w:rsid w:val="007715C9"/>
    <w:rsid w:val="00774EDD"/>
    <w:rsid w:val="00775577"/>
    <w:rsid w:val="007757EC"/>
    <w:rsid w:val="00782D40"/>
    <w:rsid w:val="007B365E"/>
    <w:rsid w:val="007D079F"/>
    <w:rsid w:val="007F5FD0"/>
    <w:rsid w:val="007F7A03"/>
    <w:rsid w:val="008006B2"/>
    <w:rsid w:val="00806600"/>
    <w:rsid w:val="0081057D"/>
    <w:rsid w:val="00824A93"/>
    <w:rsid w:val="0083112E"/>
    <w:rsid w:val="008401AB"/>
    <w:rsid w:val="00850CB4"/>
    <w:rsid w:val="00856A31"/>
    <w:rsid w:val="00860275"/>
    <w:rsid w:val="0086609D"/>
    <w:rsid w:val="0087309E"/>
    <w:rsid w:val="008754D0"/>
    <w:rsid w:val="008A3F70"/>
    <w:rsid w:val="008B14C9"/>
    <w:rsid w:val="008B289D"/>
    <w:rsid w:val="008C6136"/>
    <w:rsid w:val="008E17F3"/>
    <w:rsid w:val="008E3B8C"/>
    <w:rsid w:val="008E49ED"/>
    <w:rsid w:val="008F28E8"/>
    <w:rsid w:val="008F52CC"/>
    <w:rsid w:val="00912446"/>
    <w:rsid w:val="009314CD"/>
    <w:rsid w:val="00935C65"/>
    <w:rsid w:val="00936A1B"/>
    <w:rsid w:val="0094622F"/>
    <w:rsid w:val="00951E76"/>
    <w:rsid w:val="009564E7"/>
    <w:rsid w:val="00963E83"/>
    <w:rsid w:val="00973055"/>
    <w:rsid w:val="009764C8"/>
    <w:rsid w:val="0098638B"/>
    <w:rsid w:val="009907A9"/>
    <w:rsid w:val="0099496A"/>
    <w:rsid w:val="00995605"/>
    <w:rsid w:val="00995D6D"/>
    <w:rsid w:val="00997C5A"/>
    <w:rsid w:val="009C025D"/>
    <w:rsid w:val="009C7433"/>
    <w:rsid w:val="009E1102"/>
    <w:rsid w:val="009E1BA0"/>
    <w:rsid w:val="009E334B"/>
    <w:rsid w:val="009F1788"/>
    <w:rsid w:val="009F2F08"/>
    <w:rsid w:val="00A05FB8"/>
    <w:rsid w:val="00A06B0E"/>
    <w:rsid w:val="00A14923"/>
    <w:rsid w:val="00A20E4B"/>
    <w:rsid w:val="00A231E2"/>
    <w:rsid w:val="00A41615"/>
    <w:rsid w:val="00A45F02"/>
    <w:rsid w:val="00A64912"/>
    <w:rsid w:val="00A70A74"/>
    <w:rsid w:val="00A770ED"/>
    <w:rsid w:val="00A77A00"/>
    <w:rsid w:val="00A8471F"/>
    <w:rsid w:val="00A856FB"/>
    <w:rsid w:val="00A86CAC"/>
    <w:rsid w:val="00A9033E"/>
    <w:rsid w:val="00A91B5C"/>
    <w:rsid w:val="00AB2DF5"/>
    <w:rsid w:val="00AB3FBE"/>
    <w:rsid w:val="00AC67E5"/>
    <w:rsid w:val="00AD5641"/>
    <w:rsid w:val="00AD5FC7"/>
    <w:rsid w:val="00AE76B5"/>
    <w:rsid w:val="00AF26BD"/>
    <w:rsid w:val="00AF6864"/>
    <w:rsid w:val="00B03665"/>
    <w:rsid w:val="00B05E05"/>
    <w:rsid w:val="00B07FBB"/>
    <w:rsid w:val="00B11700"/>
    <w:rsid w:val="00B239C2"/>
    <w:rsid w:val="00B33B3C"/>
    <w:rsid w:val="00B353A5"/>
    <w:rsid w:val="00B41625"/>
    <w:rsid w:val="00B60271"/>
    <w:rsid w:val="00B65EDB"/>
    <w:rsid w:val="00B67FF5"/>
    <w:rsid w:val="00B8712A"/>
    <w:rsid w:val="00BA15D7"/>
    <w:rsid w:val="00BC36FF"/>
    <w:rsid w:val="00BD40CC"/>
    <w:rsid w:val="00BE204D"/>
    <w:rsid w:val="00BE23A7"/>
    <w:rsid w:val="00BE33C6"/>
    <w:rsid w:val="00BE719A"/>
    <w:rsid w:val="00BE720A"/>
    <w:rsid w:val="00BF4B1C"/>
    <w:rsid w:val="00BF6B83"/>
    <w:rsid w:val="00C23230"/>
    <w:rsid w:val="00C33979"/>
    <w:rsid w:val="00C42BF8"/>
    <w:rsid w:val="00C4356A"/>
    <w:rsid w:val="00C50043"/>
    <w:rsid w:val="00C61CDD"/>
    <w:rsid w:val="00C6510A"/>
    <w:rsid w:val="00C7573B"/>
    <w:rsid w:val="00C8105E"/>
    <w:rsid w:val="00C83868"/>
    <w:rsid w:val="00C84780"/>
    <w:rsid w:val="00C86C52"/>
    <w:rsid w:val="00C968A9"/>
    <w:rsid w:val="00CA2ED0"/>
    <w:rsid w:val="00CA3035"/>
    <w:rsid w:val="00CA5461"/>
    <w:rsid w:val="00CB3CDC"/>
    <w:rsid w:val="00CB3D6B"/>
    <w:rsid w:val="00CB45BE"/>
    <w:rsid w:val="00CB48D8"/>
    <w:rsid w:val="00CB5017"/>
    <w:rsid w:val="00CC301B"/>
    <w:rsid w:val="00CC475F"/>
    <w:rsid w:val="00CC53EB"/>
    <w:rsid w:val="00CD27DC"/>
    <w:rsid w:val="00CD3CC2"/>
    <w:rsid w:val="00CD4142"/>
    <w:rsid w:val="00CF0BB2"/>
    <w:rsid w:val="00CF161E"/>
    <w:rsid w:val="00CF5986"/>
    <w:rsid w:val="00CF6915"/>
    <w:rsid w:val="00D070E3"/>
    <w:rsid w:val="00D13441"/>
    <w:rsid w:val="00D214D0"/>
    <w:rsid w:val="00D27297"/>
    <w:rsid w:val="00D5474C"/>
    <w:rsid w:val="00D55620"/>
    <w:rsid w:val="00D62A29"/>
    <w:rsid w:val="00D62C04"/>
    <w:rsid w:val="00D702DF"/>
    <w:rsid w:val="00D7096E"/>
    <w:rsid w:val="00D70DFB"/>
    <w:rsid w:val="00D754C9"/>
    <w:rsid w:val="00D766DF"/>
    <w:rsid w:val="00D95245"/>
    <w:rsid w:val="00DA198D"/>
    <w:rsid w:val="00DA27F1"/>
    <w:rsid w:val="00DA703F"/>
    <w:rsid w:val="00DB3CFE"/>
    <w:rsid w:val="00DC53CF"/>
    <w:rsid w:val="00DE1288"/>
    <w:rsid w:val="00DE7073"/>
    <w:rsid w:val="00E16A69"/>
    <w:rsid w:val="00E20DFB"/>
    <w:rsid w:val="00E31EE1"/>
    <w:rsid w:val="00E36372"/>
    <w:rsid w:val="00E41FD0"/>
    <w:rsid w:val="00E43112"/>
    <w:rsid w:val="00E61E34"/>
    <w:rsid w:val="00E6477F"/>
    <w:rsid w:val="00E67874"/>
    <w:rsid w:val="00E74DC7"/>
    <w:rsid w:val="00E80CFC"/>
    <w:rsid w:val="00E832FB"/>
    <w:rsid w:val="00E910C7"/>
    <w:rsid w:val="00E92985"/>
    <w:rsid w:val="00EA22EE"/>
    <w:rsid w:val="00EA409D"/>
    <w:rsid w:val="00EA7F97"/>
    <w:rsid w:val="00EB0188"/>
    <w:rsid w:val="00EB16E9"/>
    <w:rsid w:val="00EB2651"/>
    <w:rsid w:val="00EC7078"/>
    <w:rsid w:val="00ED0C49"/>
    <w:rsid w:val="00EE0735"/>
    <w:rsid w:val="00EE2F12"/>
    <w:rsid w:val="00EF2E3A"/>
    <w:rsid w:val="00F04811"/>
    <w:rsid w:val="00F078DC"/>
    <w:rsid w:val="00F16366"/>
    <w:rsid w:val="00F20FE6"/>
    <w:rsid w:val="00F22B47"/>
    <w:rsid w:val="00F23E5F"/>
    <w:rsid w:val="00F2613D"/>
    <w:rsid w:val="00F26EEF"/>
    <w:rsid w:val="00F330D7"/>
    <w:rsid w:val="00F40F86"/>
    <w:rsid w:val="00F4180B"/>
    <w:rsid w:val="00F44951"/>
    <w:rsid w:val="00F51269"/>
    <w:rsid w:val="00F968DA"/>
    <w:rsid w:val="00F97242"/>
    <w:rsid w:val="00FA2FFF"/>
    <w:rsid w:val="00FA35E3"/>
    <w:rsid w:val="00FC4DDE"/>
    <w:rsid w:val="00FD456C"/>
    <w:rsid w:val="00FE482A"/>
    <w:rsid w:val="00FE495E"/>
    <w:rsid w:val="00FF0F03"/>
    <w:rsid w:val="00FF458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5F2232"/>
  <w15:docId w15:val="{B6D5BF5B-CEB3-4E2D-9A77-CD890504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49ED"/>
    <w:pPr>
      <w:spacing w:line="260" w:lineRule="atLeast"/>
    </w:pPr>
    <w:rPr>
      <w:sz w:val="22"/>
    </w:rPr>
  </w:style>
  <w:style w:type="paragraph" w:styleId="Heading2">
    <w:name w:val="heading 2"/>
    <w:basedOn w:val="Heading3"/>
    <w:next w:val="Normal"/>
    <w:link w:val="Heading2Char"/>
    <w:uiPriority w:val="9"/>
    <w:unhideWhenUsed/>
    <w:qFormat/>
    <w:rsid w:val="00782D40"/>
    <w:pPr>
      <w:keepNext w:val="0"/>
      <w:keepLines w:val="0"/>
      <w:spacing w:before="120" w:after="120" w:line="240" w:lineRule="auto"/>
      <w:outlineLvl w:val="1"/>
    </w:pPr>
    <w:rPr>
      <w:rFonts w:ascii="Open Sans" w:eastAsiaTheme="minorHAnsi" w:hAnsi="Open Sans" w:cs="Open Sans"/>
      <w:b/>
      <w:bCs/>
      <w:color w:val="084D5E"/>
      <w:kern w:val="2"/>
      <w:lang w:val="fr-CA" w:eastAsia="en-AU"/>
    </w:rPr>
  </w:style>
  <w:style w:type="paragraph" w:styleId="Heading3">
    <w:name w:val="heading 3"/>
    <w:basedOn w:val="Normal"/>
    <w:next w:val="Normal"/>
    <w:link w:val="Heading3Char"/>
    <w:uiPriority w:val="9"/>
    <w:unhideWhenUsed/>
    <w:qFormat/>
    <w:rsid w:val="00782D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49ED"/>
  </w:style>
  <w:style w:type="paragraph" w:customStyle="1" w:styleId="OPCParaBase">
    <w:name w:val="OPCParaBase"/>
    <w:qFormat/>
    <w:rsid w:val="008E49ED"/>
    <w:pPr>
      <w:spacing w:line="260" w:lineRule="atLeast"/>
    </w:pPr>
    <w:rPr>
      <w:rFonts w:eastAsia="Times New Roman" w:cs="Times New Roman"/>
      <w:sz w:val="22"/>
      <w:lang w:eastAsia="en-AU"/>
    </w:rPr>
  </w:style>
  <w:style w:type="paragraph" w:customStyle="1" w:styleId="ShortT">
    <w:name w:val="ShortT"/>
    <w:basedOn w:val="OPCParaBase"/>
    <w:next w:val="Normal"/>
    <w:qFormat/>
    <w:rsid w:val="008E49ED"/>
    <w:pPr>
      <w:spacing w:line="240" w:lineRule="auto"/>
    </w:pPr>
    <w:rPr>
      <w:b/>
      <w:sz w:val="40"/>
    </w:rPr>
  </w:style>
  <w:style w:type="paragraph" w:customStyle="1" w:styleId="ActHead1">
    <w:name w:val="ActHead 1"/>
    <w:aliases w:val="c"/>
    <w:basedOn w:val="OPCParaBase"/>
    <w:next w:val="Normal"/>
    <w:qFormat/>
    <w:rsid w:val="008E49E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49E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49E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49E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49E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49E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49E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49E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49E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49ED"/>
  </w:style>
  <w:style w:type="paragraph" w:customStyle="1" w:styleId="Blocks">
    <w:name w:val="Blocks"/>
    <w:aliases w:val="bb"/>
    <w:basedOn w:val="OPCParaBase"/>
    <w:qFormat/>
    <w:rsid w:val="008E49ED"/>
    <w:pPr>
      <w:spacing w:line="240" w:lineRule="auto"/>
    </w:pPr>
    <w:rPr>
      <w:sz w:val="24"/>
    </w:rPr>
  </w:style>
  <w:style w:type="paragraph" w:customStyle="1" w:styleId="BoxText">
    <w:name w:val="BoxText"/>
    <w:aliases w:val="bt"/>
    <w:basedOn w:val="OPCParaBase"/>
    <w:rsid w:val="008E49E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49ED"/>
    <w:rPr>
      <w:b/>
    </w:rPr>
  </w:style>
  <w:style w:type="paragraph" w:customStyle="1" w:styleId="BoxHeadItalic">
    <w:name w:val="BoxHeadItalic"/>
    <w:aliases w:val="bhi"/>
    <w:basedOn w:val="BoxText"/>
    <w:next w:val="Normal"/>
    <w:qFormat/>
    <w:rsid w:val="008E49ED"/>
    <w:rPr>
      <w:i/>
    </w:rPr>
  </w:style>
  <w:style w:type="paragraph" w:customStyle="1" w:styleId="BoxList">
    <w:name w:val="BoxList"/>
    <w:aliases w:val="bl"/>
    <w:basedOn w:val="BoxText"/>
    <w:qFormat/>
    <w:rsid w:val="008E49ED"/>
    <w:pPr>
      <w:ind w:left="1559" w:hanging="425"/>
    </w:pPr>
  </w:style>
  <w:style w:type="paragraph" w:customStyle="1" w:styleId="BoxNote">
    <w:name w:val="BoxNote"/>
    <w:aliases w:val="bn"/>
    <w:basedOn w:val="BoxText"/>
    <w:qFormat/>
    <w:rsid w:val="008E49ED"/>
    <w:pPr>
      <w:tabs>
        <w:tab w:val="left" w:pos="1985"/>
      </w:tabs>
      <w:spacing w:before="122" w:line="198" w:lineRule="exact"/>
      <w:ind w:left="2948" w:hanging="1814"/>
    </w:pPr>
    <w:rPr>
      <w:sz w:val="18"/>
    </w:rPr>
  </w:style>
  <w:style w:type="paragraph" w:customStyle="1" w:styleId="BoxPara">
    <w:name w:val="BoxPara"/>
    <w:aliases w:val="bp"/>
    <w:basedOn w:val="BoxText"/>
    <w:qFormat/>
    <w:rsid w:val="008E49ED"/>
    <w:pPr>
      <w:tabs>
        <w:tab w:val="right" w:pos="2268"/>
      </w:tabs>
      <w:ind w:left="2552" w:hanging="1418"/>
    </w:pPr>
  </w:style>
  <w:style w:type="paragraph" w:customStyle="1" w:styleId="BoxStep">
    <w:name w:val="BoxStep"/>
    <w:aliases w:val="bs"/>
    <w:basedOn w:val="BoxText"/>
    <w:qFormat/>
    <w:rsid w:val="008E49ED"/>
    <w:pPr>
      <w:ind w:left="1985" w:hanging="851"/>
    </w:pPr>
  </w:style>
  <w:style w:type="character" w:customStyle="1" w:styleId="CharAmPartNo">
    <w:name w:val="CharAmPartNo"/>
    <w:basedOn w:val="OPCCharBase"/>
    <w:uiPriority w:val="1"/>
    <w:qFormat/>
    <w:rsid w:val="008E49ED"/>
  </w:style>
  <w:style w:type="character" w:customStyle="1" w:styleId="CharAmPartText">
    <w:name w:val="CharAmPartText"/>
    <w:basedOn w:val="OPCCharBase"/>
    <w:uiPriority w:val="1"/>
    <w:qFormat/>
    <w:rsid w:val="008E49ED"/>
  </w:style>
  <w:style w:type="character" w:customStyle="1" w:styleId="CharAmSchNo">
    <w:name w:val="CharAmSchNo"/>
    <w:basedOn w:val="OPCCharBase"/>
    <w:uiPriority w:val="1"/>
    <w:qFormat/>
    <w:rsid w:val="008E49ED"/>
  </w:style>
  <w:style w:type="character" w:customStyle="1" w:styleId="CharAmSchText">
    <w:name w:val="CharAmSchText"/>
    <w:basedOn w:val="OPCCharBase"/>
    <w:uiPriority w:val="1"/>
    <w:qFormat/>
    <w:rsid w:val="008E49ED"/>
  </w:style>
  <w:style w:type="character" w:customStyle="1" w:styleId="CharBoldItalic">
    <w:name w:val="CharBoldItalic"/>
    <w:basedOn w:val="OPCCharBase"/>
    <w:uiPriority w:val="1"/>
    <w:qFormat/>
    <w:rsid w:val="008E49ED"/>
    <w:rPr>
      <w:b/>
      <w:i/>
    </w:rPr>
  </w:style>
  <w:style w:type="character" w:customStyle="1" w:styleId="CharChapNo">
    <w:name w:val="CharChapNo"/>
    <w:basedOn w:val="OPCCharBase"/>
    <w:uiPriority w:val="1"/>
    <w:qFormat/>
    <w:rsid w:val="008E49ED"/>
  </w:style>
  <w:style w:type="character" w:customStyle="1" w:styleId="CharChapText">
    <w:name w:val="CharChapText"/>
    <w:basedOn w:val="OPCCharBase"/>
    <w:uiPriority w:val="1"/>
    <w:qFormat/>
    <w:rsid w:val="008E49ED"/>
  </w:style>
  <w:style w:type="character" w:customStyle="1" w:styleId="CharDivNo">
    <w:name w:val="CharDivNo"/>
    <w:basedOn w:val="OPCCharBase"/>
    <w:uiPriority w:val="1"/>
    <w:qFormat/>
    <w:rsid w:val="008E49ED"/>
  </w:style>
  <w:style w:type="character" w:customStyle="1" w:styleId="CharDivText">
    <w:name w:val="CharDivText"/>
    <w:basedOn w:val="OPCCharBase"/>
    <w:uiPriority w:val="1"/>
    <w:qFormat/>
    <w:rsid w:val="008E49ED"/>
  </w:style>
  <w:style w:type="character" w:customStyle="1" w:styleId="CharItalic">
    <w:name w:val="CharItalic"/>
    <w:basedOn w:val="OPCCharBase"/>
    <w:uiPriority w:val="1"/>
    <w:qFormat/>
    <w:rsid w:val="008E49ED"/>
    <w:rPr>
      <w:i/>
    </w:rPr>
  </w:style>
  <w:style w:type="character" w:customStyle="1" w:styleId="CharPartNo">
    <w:name w:val="CharPartNo"/>
    <w:basedOn w:val="OPCCharBase"/>
    <w:uiPriority w:val="1"/>
    <w:qFormat/>
    <w:rsid w:val="008E49ED"/>
  </w:style>
  <w:style w:type="character" w:customStyle="1" w:styleId="CharPartText">
    <w:name w:val="CharPartText"/>
    <w:basedOn w:val="OPCCharBase"/>
    <w:uiPriority w:val="1"/>
    <w:qFormat/>
    <w:rsid w:val="008E49ED"/>
  </w:style>
  <w:style w:type="character" w:customStyle="1" w:styleId="CharSectno">
    <w:name w:val="CharSectno"/>
    <w:basedOn w:val="OPCCharBase"/>
    <w:uiPriority w:val="1"/>
    <w:qFormat/>
    <w:rsid w:val="008E49ED"/>
  </w:style>
  <w:style w:type="character" w:customStyle="1" w:styleId="CharSubdNo">
    <w:name w:val="CharSubdNo"/>
    <w:basedOn w:val="OPCCharBase"/>
    <w:uiPriority w:val="1"/>
    <w:qFormat/>
    <w:rsid w:val="008E49ED"/>
  </w:style>
  <w:style w:type="character" w:customStyle="1" w:styleId="CharSubdText">
    <w:name w:val="CharSubdText"/>
    <w:basedOn w:val="OPCCharBase"/>
    <w:uiPriority w:val="1"/>
    <w:qFormat/>
    <w:rsid w:val="008E49ED"/>
  </w:style>
  <w:style w:type="paragraph" w:customStyle="1" w:styleId="CTA--">
    <w:name w:val="CTA --"/>
    <w:basedOn w:val="OPCParaBase"/>
    <w:next w:val="Normal"/>
    <w:rsid w:val="008E49ED"/>
    <w:pPr>
      <w:spacing w:before="60" w:line="240" w:lineRule="atLeast"/>
      <w:ind w:left="142" w:hanging="142"/>
    </w:pPr>
    <w:rPr>
      <w:sz w:val="20"/>
    </w:rPr>
  </w:style>
  <w:style w:type="paragraph" w:customStyle="1" w:styleId="CTA-">
    <w:name w:val="CTA -"/>
    <w:basedOn w:val="OPCParaBase"/>
    <w:rsid w:val="008E49ED"/>
    <w:pPr>
      <w:spacing w:before="60" w:line="240" w:lineRule="atLeast"/>
      <w:ind w:left="85" w:hanging="85"/>
    </w:pPr>
    <w:rPr>
      <w:sz w:val="20"/>
    </w:rPr>
  </w:style>
  <w:style w:type="paragraph" w:customStyle="1" w:styleId="CTA---">
    <w:name w:val="CTA ---"/>
    <w:basedOn w:val="OPCParaBase"/>
    <w:next w:val="Normal"/>
    <w:rsid w:val="008E49ED"/>
    <w:pPr>
      <w:spacing w:before="60" w:line="240" w:lineRule="atLeast"/>
      <w:ind w:left="198" w:hanging="198"/>
    </w:pPr>
    <w:rPr>
      <w:sz w:val="20"/>
    </w:rPr>
  </w:style>
  <w:style w:type="paragraph" w:customStyle="1" w:styleId="CTA----">
    <w:name w:val="CTA ----"/>
    <w:basedOn w:val="OPCParaBase"/>
    <w:next w:val="Normal"/>
    <w:rsid w:val="008E49ED"/>
    <w:pPr>
      <w:spacing w:before="60" w:line="240" w:lineRule="atLeast"/>
      <w:ind w:left="255" w:hanging="255"/>
    </w:pPr>
    <w:rPr>
      <w:sz w:val="20"/>
    </w:rPr>
  </w:style>
  <w:style w:type="paragraph" w:customStyle="1" w:styleId="CTA1a">
    <w:name w:val="CTA 1(a)"/>
    <w:basedOn w:val="OPCParaBase"/>
    <w:rsid w:val="008E49ED"/>
    <w:pPr>
      <w:tabs>
        <w:tab w:val="right" w:pos="414"/>
      </w:tabs>
      <w:spacing w:before="40" w:line="240" w:lineRule="atLeast"/>
      <w:ind w:left="675" w:hanging="675"/>
    </w:pPr>
    <w:rPr>
      <w:sz w:val="20"/>
    </w:rPr>
  </w:style>
  <w:style w:type="paragraph" w:customStyle="1" w:styleId="CTA1ai">
    <w:name w:val="CTA 1(a)(i)"/>
    <w:basedOn w:val="OPCParaBase"/>
    <w:rsid w:val="008E49ED"/>
    <w:pPr>
      <w:tabs>
        <w:tab w:val="right" w:pos="1004"/>
      </w:tabs>
      <w:spacing w:before="40" w:line="240" w:lineRule="atLeast"/>
      <w:ind w:left="1253" w:hanging="1253"/>
    </w:pPr>
    <w:rPr>
      <w:sz w:val="20"/>
    </w:rPr>
  </w:style>
  <w:style w:type="paragraph" w:customStyle="1" w:styleId="CTA2a">
    <w:name w:val="CTA 2(a)"/>
    <w:basedOn w:val="OPCParaBase"/>
    <w:rsid w:val="008E49ED"/>
    <w:pPr>
      <w:tabs>
        <w:tab w:val="right" w:pos="482"/>
      </w:tabs>
      <w:spacing w:before="40" w:line="240" w:lineRule="atLeast"/>
      <w:ind w:left="748" w:hanging="748"/>
    </w:pPr>
    <w:rPr>
      <w:sz w:val="20"/>
    </w:rPr>
  </w:style>
  <w:style w:type="paragraph" w:customStyle="1" w:styleId="CTA2ai">
    <w:name w:val="CTA 2(a)(i)"/>
    <w:basedOn w:val="OPCParaBase"/>
    <w:rsid w:val="008E49ED"/>
    <w:pPr>
      <w:tabs>
        <w:tab w:val="right" w:pos="1089"/>
      </w:tabs>
      <w:spacing w:before="40" w:line="240" w:lineRule="atLeast"/>
      <w:ind w:left="1327" w:hanging="1327"/>
    </w:pPr>
    <w:rPr>
      <w:sz w:val="20"/>
    </w:rPr>
  </w:style>
  <w:style w:type="paragraph" w:customStyle="1" w:styleId="CTA3a">
    <w:name w:val="CTA 3(a)"/>
    <w:basedOn w:val="OPCParaBase"/>
    <w:rsid w:val="008E49ED"/>
    <w:pPr>
      <w:tabs>
        <w:tab w:val="right" w:pos="556"/>
      </w:tabs>
      <w:spacing w:before="40" w:line="240" w:lineRule="atLeast"/>
      <w:ind w:left="805" w:hanging="805"/>
    </w:pPr>
    <w:rPr>
      <w:sz w:val="20"/>
    </w:rPr>
  </w:style>
  <w:style w:type="paragraph" w:customStyle="1" w:styleId="CTA3ai">
    <w:name w:val="CTA 3(a)(i)"/>
    <w:basedOn w:val="OPCParaBase"/>
    <w:rsid w:val="008E49ED"/>
    <w:pPr>
      <w:tabs>
        <w:tab w:val="right" w:pos="1140"/>
      </w:tabs>
      <w:spacing w:before="40" w:line="240" w:lineRule="atLeast"/>
      <w:ind w:left="1361" w:hanging="1361"/>
    </w:pPr>
    <w:rPr>
      <w:sz w:val="20"/>
    </w:rPr>
  </w:style>
  <w:style w:type="paragraph" w:customStyle="1" w:styleId="CTA4a">
    <w:name w:val="CTA 4(a)"/>
    <w:basedOn w:val="OPCParaBase"/>
    <w:rsid w:val="008E49ED"/>
    <w:pPr>
      <w:tabs>
        <w:tab w:val="right" w:pos="624"/>
      </w:tabs>
      <w:spacing w:before="40" w:line="240" w:lineRule="atLeast"/>
      <w:ind w:left="873" w:hanging="873"/>
    </w:pPr>
    <w:rPr>
      <w:sz w:val="20"/>
    </w:rPr>
  </w:style>
  <w:style w:type="paragraph" w:customStyle="1" w:styleId="CTA4ai">
    <w:name w:val="CTA 4(a)(i)"/>
    <w:basedOn w:val="OPCParaBase"/>
    <w:rsid w:val="008E49ED"/>
    <w:pPr>
      <w:tabs>
        <w:tab w:val="right" w:pos="1213"/>
      </w:tabs>
      <w:spacing w:before="40" w:line="240" w:lineRule="atLeast"/>
      <w:ind w:left="1452" w:hanging="1452"/>
    </w:pPr>
    <w:rPr>
      <w:sz w:val="20"/>
    </w:rPr>
  </w:style>
  <w:style w:type="paragraph" w:customStyle="1" w:styleId="CTACAPS">
    <w:name w:val="CTA CAPS"/>
    <w:basedOn w:val="OPCParaBase"/>
    <w:rsid w:val="008E49ED"/>
    <w:pPr>
      <w:spacing w:before="60" w:line="240" w:lineRule="atLeast"/>
    </w:pPr>
    <w:rPr>
      <w:sz w:val="20"/>
    </w:rPr>
  </w:style>
  <w:style w:type="paragraph" w:customStyle="1" w:styleId="CTAright">
    <w:name w:val="CTA right"/>
    <w:basedOn w:val="OPCParaBase"/>
    <w:rsid w:val="008E49ED"/>
    <w:pPr>
      <w:spacing w:before="60" w:line="240" w:lineRule="auto"/>
      <w:jc w:val="right"/>
    </w:pPr>
    <w:rPr>
      <w:sz w:val="20"/>
    </w:rPr>
  </w:style>
  <w:style w:type="paragraph" w:customStyle="1" w:styleId="subsection">
    <w:name w:val="subsection"/>
    <w:aliases w:val="ss"/>
    <w:basedOn w:val="OPCParaBase"/>
    <w:rsid w:val="008E49ED"/>
    <w:pPr>
      <w:tabs>
        <w:tab w:val="right" w:pos="1021"/>
      </w:tabs>
      <w:spacing w:before="180" w:line="240" w:lineRule="auto"/>
      <w:ind w:left="1134" w:hanging="1134"/>
    </w:pPr>
  </w:style>
  <w:style w:type="paragraph" w:customStyle="1" w:styleId="Definition">
    <w:name w:val="Definition"/>
    <w:aliases w:val="dd"/>
    <w:basedOn w:val="OPCParaBase"/>
    <w:rsid w:val="008E49ED"/>
    <w:pPr>
      <w:spacing w:before="180" w:line="240" w:lineRule="auto"/>
      <w:ind w:left="1134"/>
    </w:pPr>
  </w:style>
  <w:style w:type="paragraph" w:customStyle="1" w:styleId="ETAsubitem">
    <w:name w:val="ETA(subitem)"/>
    <w:basedOn w:val="OPCParaBase"/>
    <w:rsid w:val="008E49ED"/>
    <w:pPr>
      <w:tabs>
        <w:tab w:val="right" w:pos="340"/>
      </w:tabs>
      <w:spacing w:before="60" w:line="240" w:lineRule="auto"/>
      <w:ind w:left="454" w:hanging="454"/>
    </w:pPr>
    <w:rPr>
      <w:sz w:val="20"/>
    </w:rPr>
  </w:style>
  <w:style w:type="paragraph" w:customStyle="1" w:styleId="ETApara">
    <w:name w:val="ETA(para)"/>
    <w:basedOn w:val="OPCParaBase"/>
    <w:rsid w:val="008E49ED"/>
    <w:pPr>
      <w:tabs>
        <w:tab w:val="right" w:pos="754"/>
      </w:tabs>
      <w:spacing w:before="60" w:line="240" w:lineRule="auto"/>
      <w:ind w:left="828" w:hanging="828"/>
    </w:pPr>
    <w:rPr>
      <w:sz w:val="20"/>
    </w:rPr>
  </w:style>
  <w:style w:type="paragraph" w:customStyle="1" w:styleId="ETAsubpara">
    <w:name w:val="ETA(subpara)"/>
    <w:basedOn w:val="OPCParaBase"/>
    <w:rsid w:val="008E49ED"/>
    <w:pPr>
      <w:tabs>
        <w:tab w:val="right" w:pos="1083"/>
      </w:tabs>
      <w:spacing w:before="60" w:line="240" w:lineRule="auto"/>
      <w:ind w:left="1191" w:hanging="1191"/>
    </w:pPr>
    <w:rPr>
      <w:sz w:val="20"/>
    </w:rPr>
  </w:style>
  <w:style w:type="paragraph" w:customStyle="1" w:styleId="ETAsub-subpara">
    <w:name w:val="ETA(sub-subpara)"/>
    <w:basedOn w:val="OPCParaBase"/>
    <w:rsid w:val="008E49ED"/>
    <w:pPr>
      <w:tabs>
        <w:tab w:val="right" w:pos="1412"/>
      </w:tabs>
      <w:spacing w:before="60" w:line="240" w:lineRule="auto"/>
      <w:ind w:left="1525" w:hanging="1525"/>
    </w:pPr>
    <w:rPr>
      <w:sz w:val="20"/>
    </w:rPr>
  </w:style>
  <w:style w:type="paragraph" w:customStyle="1" w:styleId="Formula">
    <w:name w:val="Formula"/>
    <w:basedOn w:val="OPCParaBase"/>
    <w:rsid w:val="008E49ED"/>
    <w:pPr>
      <w:spacing w:line="240" w:lineRule="auto"/>
      <w:ind w:left="1134"/>
    </w:pPr>
    <w:rPr>
      <w:sz w:val="20"/>
    </w:rPr>
  </w:style>
  <w:style w:type="paragraph" w:styleId="Header">
    <w:name w:val="header"/>
    <w:basedOn w:val="OPCParaBase"/>
    <w:link w:val="HeaderChar"/>
    <w:uiPriority w:val="99"/>
    <w:unhideWhenUsed/>
    <w:rsid w:val="008E49E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8E49ED"/>
    <w:rPr>
      <w:rFonts w:eastAsia="Times New Roman" w:cs="Times New Roman"/>
      <w:sz w:val="16"/>
      <w:lang w:eastAsia="en-AU"/>
    </w:rPr>
  </w:style>
  <w:style w:type="paragraph" w:customStyle="1" w:styleId="House">
    <w:name w:val="House"/>
    <w:basedOn w:val="OPCParaBase"/>
    <w:rsid w:val="008E49ED"/>
    <w:pPr>
      <w:spacing w:line="240" w:lineRule="auto"/>
    </w:pPr>
    <w:rPr>
      <w:sz w:val="28"/>
    </w:rPr>
  </w:style>
  <w:style w:type="paragraph" w:customStyle="1" w:styleId="Item">
    <w:name w:val="Item"/>
    <w:aliases w:val="i"/>
    <w:basedOn w:val="OPCParaBase"/>
    <w:next w:val="ItemHead"/>
    <w:rsid w:val="008E49ED"/>
    <w:pPr>
      <w:keepLines/>
      <w:spacing w:before="80" w:line="240" w:lineRule="auto"/>
      <w:ind w:left="709"/>
    </w:pPr>
  </w:style>
  <w:style w:type="paragraph" w:customStyle="1" w:styleId="ItemHead">
    <w:name w:val="ItemHead"/>
    <w:aliases w:val="ih"/>
    <w:basedOn w:val="OPCParaBase"/>
    <w:next w:val="Item"/>
    <w:rsid w:val="008E49ED"/>
    <w:pPr>
      <w:keepLines/>
      <w:spacing w:before="220" w:line="240" w:lineRule="auto"/>
      <w:ind w:left="709" w:hanging="709"/>
    </w:pPr>
    <w:rPr>
      <w:rFonts w:ascii="Arial" w:hAnsi="Arial"/>
      <w:b/>
      <w:kern w:val="28"/>
      <w:sz w:val="24"/>
    </w:rPr>
  </w:style>
  <w:style w:type="paragraph" w:customStyle="1" w:styleId="LongT">
    <w:name w:val="LongT"/>
    <w:basedOn w:val="OPCParaBase"/>
    <w:rsid w:val="008E49ED"/>
    <w:pPr>
      <w:spacing w:line="240" w:lineRule="auto"/>
    </w:pPr>
    <w:rPr>
      <w:b/>
      <w:sz w:val="32"/>
    </w:rPr>
  </w:style>
  <w:style w:type="paragraph" w:customStyle="1" w:styleId="notedraft">
    <w:name w:val="note(draft)"/>
    <w:aliases w:val="nd"/>
    <w:basedOn w:val="OPCParaBase"/>
    <w:rsid w:val="008E49ED"/>
    <w:pPr>
      <w:spacing w:before="240" w:line="240" w:lineRule="auto"/>
      <w:ind w:left="284" w:hanging="284"/>
    </w:pPr>
    <w:rPr>
      <w:i/>
      <w:sz w:val="24"/>
    </w:rPr>
  </w:style>
  <w:style w:type="paragraph" w:customStyle="1" w:styleId="notemargin">
    <w:name w:val="note(margin)"/>
    <w:aliases w:val="nm"/>
    <w:basedOn w:val="OPCParaBase"/>
    <w:rsid w:val="008E49ED"/>
    <w:pPr>
      <w:tabs>
        <w:tab w:val="left" w:pos="709"/>
      </w:tabs>
      <w:spacing w:before="122" w:line="198" w:lineRule="exact"/>
      <w:ind w:left="709" w:hanging="709"/>
    </w:pPr>
    <w:rPr>
      <w:sz w:val="18"/>
    </w:rPr>
  </w:style>
  <w:style w:type="paragraph" w:customStyle="1" w:styleId="notepara">
    <w:name w:val="note(para)"/>
    <w:aliases w:val="na"/>
    <w:basedOn w:val="OPCParaBase"/>
    <w:rsid w:val="008E49ED"/>
    <w:pPr>
      <w:spacing w:before="40" w:line="198" w:lineRule="exact"/>
      <w:ind w:left="2354" w:hanging="369"/>
    </w:pPr>
    <w:rPr>
      <w:sz w:val="18"/>
    </w:rPr>
  </w:style>
  <w:style w:type="paragraph" w:customStyle="1" w:styleId="noteParlAmend">
    <w:name w:val="note(ParlAmend)"/>
    <w:aliases w:val="npp"/>
    <w:basedOn w:val="OPCParaBase"/>
    <w:next w:val="ParlAmend"/>
    <w:rsid w:val="008E49ED"/>
    <w:pPr>
      <w:spacing w:line="240" w:lineRule="auto"/>
      <w:jc w:val="right"/>
    </w:pPr>
    <w:rPr>
      <w:rFonts w:ascii="Arial" w:hAnsi="Arial"/>
      <w:b/>
      <w:i/>
    </w:rPr>
  </w:style>
  <w:style w:type="paragraph" w:customStyle="1" w:styleId="Page1">
    <w:name w:val="Page1"/>
    <w:basedOn w:val="OPCParaBase"/>
    <w:rsid w:val="008E49ED"/>
    <w:pPr>
      <w:spacing w:before="5600" w:line="240" w:lineRule="auto"/>
    </w:pPr>
    <w:rPr>
      <w:b/>
      <w:sz w:val="32"/>
    </w:rPr>
  </w:style>
  <w:style w:type="paragraph" w:customStyle="1" w:styleId="PageBreak">
    <w:name w:val="PageBreak"/>
    <w:aliases w:val="pb"/>
    <w:basedOn w:val="OPCParaBase"/>
    <w:rsid w:val="008E49ED"/>
    <w:pPr>
      <w:spacing w:line="240" w:lineRule="auto"/>
    </w:pPr>
    <w:rPr>
      <w:sz w:val="10"/>
    </w:rPr>
  </w:style>
  <w:style w:type="paragraph" w:customStyle="1" w:styleId="paragraphsub">
    <w:name w:val="paragraph(sub)"/>
    <w:aliases w:val="aa"/>
    <w:basedOn w:val="OPCParaBase"/>
    <w:rsid w:val="008E49ED"/>
    <w:pPr>
      <w:tabs>
        <w:tab w:val="right" w:pos="1985"/>
      </w:tabs>
      <w:spacing w:before="40" w:line="240" w:lineRule="auto"/>
      <w:ind w:left="2098" w:hanging="2098"/>
    </w:pPr>
  </w:style>
  <w:style w:type="paragraph" w:customStyle="1" w:styleId="paragraphsub-sub">
    <w:name w:val="paragraph(sub-sub)"/>
    <w:aliases w:val="aaa"/>
    <w:basedOn w:val="OPCParaBase"/>
    <w:rsid w:val="008E49ED"/>
    <w:pPr>
      <w:tabs>
        <w:tab w:val="right" w:pos="2722"/>
      </w:tabs>
      <w:spacing w:before="40" w:line="240" w:lineRule="auto"/>
      <w:ind w:left="2835" w:hanging="2835"/>
    </w:pPr>
  </w:style>
  <w:style w:type="paragraph" w:customStyle="1" w:styleId="paragraph">
    <w:name w:val="paragraph"/>
    <w:aliases w:val="a"/>
    <w:basedOn w:val="OPCParaBase"/>
    <w:rsid w:val="008E49ED"/>
    <w:pPr>
      <w:tabs>
        <w:tab w:val="right" w:pos="1531"/>
      </w:tabs>
      <w:spacing w:before="40" w:line="240" w:lineRule="auto"/>
      <w:ind w:left="1644" w:hanging="1644"/>
    </w:pPr>
  </w:style>
  <w:style w:type="paragraph" w:customStyle="1" w:styleId="ParlAmend">
    <w:name w:val="ParlAmend"/>
    <w:aliases w:val="pp"/>
    <w:basedOn w:val="OPCParaBase"/>
    <w:rsid w:val="008E49ED"/>
    <w:pPr>
      <w:spacing w:before="240" w:line="240" w:lineRule="atLeast"/>
      <w:ind w:hanging="567"/>
    </w:pPr>
    <w:rPr>
      <w:sz w:val="24"/>
    </w:rPr>
  </w:style>
  <w:style w:type="paragraph" w:customStyle="1" w:styleId="Penalty">
    <w:name w:val="Penalty"/>
    <w:basedOn w:val="OPCParaBase"/>
    <w:rsid w:val="008E49ED"/>
    <w:pPr>
      <w:tabs>
        <w:tab w:val="left" w:pos="2977"/>
      </w:tabs>
      <w:spacing w:before="180" w:line="240" w:lineRule="auto"/>
      <w:ind w:left="1985" w:hanging="851"/>
    </w:pPr>
  </w:style>
  <w:style w:type="paragraph" w:customStyle="1" w:styleId="Portfolio">
    <w:name w:val="Portfolio"/>
    <w:basedOn w:val="OPCParaBase"/>
    <w:rsid w:val="008E49ED"/>
    <w:pPr>
      <w:spacing w:line="240" w:lineRule="auto"/>
    </w:pPr>
    <w:rPr>
      <w:i/>
      <w:sz w:val="20"/>
    </w:rPr>
  </w:style>
  <w:style w:type="paragraph" w:customStyle="1" w:styleId="Preamble">
    <w:name w:val="Preamble"/>
    <w:basedOn w:val="OPCParaBase"/>
    <w:next w:val="Normal"/>
    <w:rsid w:val="008E49E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49ED"/>
    <w:pPr>
      <w:spacing w:line="240" w:lineRule="auto"/>
    </w:pPr>
    <w:rPr>
      <w:i/>
      <w:sz w:val="20"/>
    </w:rPr>
  </w:style>
  <w:style w:type="paragraph" w:customStyle="1" w:styleId="Session">
    <w:name w:val="Session"/>
    <w:basedOn w:val="OPCParaBase"/>
    <w:rsid w:val="008E49ED"/>
    <w:pPr>
      <w:spacing w:line="240" w:lineRule="auto"/>
    </w:pPr>
    <w:rPr>
      <w:sz w:val="28"/>
    </w:rPr>
  </w:style>
  <w:style w:type="paragraph" w:customStyle="1" w:styleId="Sponsor">
    <w:name w:val="Sponsor"/>
    <w:basedOn w:val="OPCParaBase"/>
    <w:rsid w:val="008E49ED"/>
    <w:pPr>
      <w:spacing w:line="240" w:lineRule="auto"/>
    </w:pPr>
    <w:rPr>
      <w:i/>
    </w:rPr>
  </w:style>
  <w:style w:type="paragraph" w:customStyle="1" w:styleId="Subitem">
    <w:name w:val="Subitem"/>
    <w:aliases w:val="iss"/>
    <w:basedOn w:val="OPCParaBase"/>
    <w:rsid w:val="008E49ED"/>
    <w:pPr>
      <w:spacing w:before="180" w:line="240" w:lineRule="auto"/>
      <w:ind w:left="709" w:hanging="709"/>
    </w:pPr>
  </w:style>
  <w:style w:type="paragraph" w:customStyle="1" w:styleId="SubitemHead">
    <w:name w:val="SubitemHead"/>
    <w:aliases w:val="issh"/>
    <w:basedOn w:val="OPCParaBase"/>
    <w:rsid w:val="008E49E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49ED"/>
    <w:pPr>
      <w:spacing w:before="40" w:line="240" w:lineRule="auto"/>
      <w:ind w:left="1134"/>
    </w:pPr>
  </w:style>
  <w:style w:type="paragraph" w:customStyle="1" w:styleId="SubsectionHead">
    <w:name w:val="SubsectionHead"/>
    <w:aliases w:val="ssh"/>
    <w:basedOn w:val="OPCParaBase"/>
    <w:next w:val="subsection"/>
    <w:rsid w:val="008E49ED"/>
    <w:pPr>
      <w:keepNext/>
      <w:keepLines/>
      <w:spacing w:before="240" w:line="240" w:lineRule="auto"/>
      <w:ind w:left="1134"/>
    </w:pPr>
    <w:rPr>
      <w:i/>
    </w:rPr>
  </w:style>
  <w:style w:type="paragraph" w:customStyle="1" w:styleId="Tablea">
    <w:name w:val="Table(a)"/>
    <w:aliases w:val="ta"/>
    <w:basedOn w:val="OPCParaBase"/>
    <w:rsid w:val="008E49ED"/>
    <w:pPr>
      <w:spacing w:before="60" w:line="240" w:lineRule="auto"/>
      <w:ind w:left="284" w:hanging="284"/>
    </w:pPr>
    <w:rPr>
      <w:sz w:val="20"/>
    </w:rPr>
  </w:style>
  <w:style w:type="paragraph" w:customStyle="1" w:styleId="TableAA">
    <w:name w:val="Table(AA)"/>
    <w:aliases w:val="taaa"/>
    <w:basedOn w:val="OPCParaBase"/>
    <w:rsid w:val="008E49E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49E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49ED"/>
    <w:pPr>
      <w:spacing w:before="60" w:line="240" w:lineRule="atLeast"/>
    </w:pPr>
    <w:rPr>
      <w:sz w:val="20"/>
    </w:rPr>
  </w:style>
  <w:style w:type="paragraph" w:customStyle="1" w:styleId="TLPBoxTextnote">
    <w:name w:val="TLPBoxText(note"/>
    <w:aliases w:val="right)"/>
    <w:basedOn w:val="OPCParaBase"/>
    <w:rsid w:val="008E49E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49ED"/>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8E49ED"/>
    <w:pPr>
      <w:spacing w:before="122" w:line="198" w:lineRule="exact"/>
      <w:ind w:left="1985" w:hanging="851"/>
      <w:jc w:val="right"/>
    </w:pPr>
    <w:rPr>
      <w:sz w:val="18"/>
    </w:rPr>
  </w:style>
  <w:style w:type="paragraph" w:customStyle="1" w:styleId="TLPTableBullet">
    <w:name w:val="TLPTableBullet"/>
    <w:aliases w:val="ttb"/>
    <w:basedOn w:val="OPCParaBase"/>
    <w:rsid w:val="008E49ED"/>
    <w:pPr>
      <w:spacing w:line="240" w:lineRule="exact"/>
      <w:ind w:left="284" w:hanging="284"/>
    </w:pPr>
    <w:rPr>
      <w:sz w:val="20"/>
    </w:rPr>
  </w:style>
  <w:style w:type="paragraph" w:styleId="TOC1">
    <w:name w:val="toc 1"/>
    <w:basedOn w:val="OPCParaBase"/>
    <w:next w:val="Normal"/>
    <w:uiPriority w:val="39"/>
    <w:unhideWhenUsed/>
    <w:rsid w:val="008E49ED"/>
    <w:pPr>
      <w:spacing w:line="240" w:lineRule="auto"/>
    </w:pPr>
    <w:rPr>
      <w:sz w:val="24"/>
    </w:rPr>
  </w:style>
  <w:style w:type="paragraph" w:styleId="TOC2">
    <w:name w:val="toc 2"/>
    <w:basedOn w:val="OPCParaBase"/>
    <w:next w:val="Normal"/>
    <w:uiPriority w:val="39"/>
    <w:unhideWhenUsed/>
    <w:rsid w:val="008E49ED"/>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8E49ED"/>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8E49ED"/>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8E49ED"/>
    <w:pPr>
      <w:spacing w:line="240" w:lineRule="auto"/>
      <w:ind w:left="958"/>
    </w:pPr>
    <w:rPr>
      <w:sz w:val="24"/>
    </w:rPr>
  </w:style>
  <w:style w:type="paragraph" w:styleId="TOC6">
    <w:name w:val="toc 6"/>
    <w:basedOn w:val="OPCParaBase"/>
    <w:next w:val="Normal"/>
    <w:uiPriority w:val="39"/>
    <w:semiHidden/>
    <w:unhideWhenUsed/>
    <w:rsid w:val="008E49ED"/>
    <w:pPr>
      <w:spacing w:line="240" w:lineRule="auto"/>
      <w:ind w:left="1202"/>
    </w:pPr>
    <w:rPr>
      <w:sz w:val="24"/>
    </w:rPr>
  </w:style>
  <w:style w:type="paragraph" w:styleId="TOC7">
    <w:name w:val="toc 7"/>
    <w:basedOn w:val="OPCParaBase"/>
    <w:next w:val="Normal"/>
    <w:uiPriority w:val="39"/>
    <w:semiHidden/>
    <w:unhideWhenUsed/>
    <w:rsid w:val="008E49ED"/>
    <w:pPr>
      <w:spacing w:line="240" w:lineRule="auto"/>
      <w:ind w:left="1440"/>
    </w:pPr>
    <w:rPr>
      <w:sz w:val="24"/>
    </w:rPr>
  </w:style>
  <w:style w:type="paragraph" w:styleId="TOC8">
    <w:name w:val="toc 8"/>
    <w:basedOn w:val="OPCParaBase"/>
    <w:next w:val="Normal"/>
    <w:uiPriority w:val="39"/>
    <w:semiHidden/>
    <w:unhideWhenUsed/>
    <w:rsid w:val="008E49ED"/>
    <w:pPr>
      <w:spacing w:line="240" w:lineRule="auto"/>
      <w:ind w:left="1678"/>
    </w:pPr>
    <w:rPr>
      <w:sz w:val="24"/>
    </w:rPr>
  </w:style>
  <w:style w:type="paragraph" w:styleId="TOC9">
    <w:name w:val="toc 9"/>
    <w:basedOn w:val="OPCParaBase"/>
    <w:next w:val="Normal"/>
    <w:uiPriority w:val="39"/>
    <w:unhideWhenUsed/>
    <w:rsid w:val="008E49ED"/>
    <w:pPr>
      <w:spacing w:line="240" w:lineRule="auto"/>
      <w:ind w:left="1922"/>
    </w:pPr>
    <w:rPr>
      <w:sz w:val="24"/>
    </w:rPr>
  </w:style>
  <w:style w:type="paragraph" w:customStyle="1" w:styleId="TofSectsGroupHeading">
    <w:name w:val="TofSects(GroupHeading)"/>
    <w:basedOn w:val="OPCParaBase"/>
    <w:next w:val="TofSectsSection"/>
    <w:rsid w:val="008E49ED"/>
    <w:pPr>
      <w:keepLines/>
      <w:spacing w:before="240" w:after="120" w:line="240" w:lineRule="auto"/>
      <w:ind w:left="794"/>
    </w:pPr>
    <w:rPr>
      <w:b/>
      <w:kern w:val="28"/>
      <w:sz w:val="20"/>
    </w:rPr>
  </w:style>
  <w:style w:type="paragraph" w:customStyle="1" w:styleId="TofSectsHeading">
    <w:name w:val="TofSects(Heading)"/>
    <w:basedOn w:val="OPCParaBase"/>
    <w:rsid w:val="008E49ED"/>
    <w:pPr>
      <w:spacing w:before="240" w:after="120" w:line="240" w:lineRule="auto"/>
    </w:pPr>
    <w:rPr>
      <w:b/>
      <w:sz w:val="24"/>
    </w:rPr>
  </w:style>
  <w:style w:type="paragraph" w:customStyle="1" w:styleId="TofSectsSection">
    <w:name w:val="TofSects(Section)"/>
    <w:basedOn w:val="OPCParaBase"/>
    <w:rsid w:val="008E49ED"/>
    <w:pPr>
      <w:keepLines/>
      <w:spacing w:before="40" w:line="240" w:lineRule="auto"/>
      <w:ind w:left="1588" w:hanging="794"/>
    </w:pPr>
    <w:rPr>
      <w:kern w:val="28"/>
      <w:sz w:val="18"/>
    </w:rPr>
  </w:style>
  <w:style w:type="paragraph" w:customStyle="1" w:styleId="TofSectsSubdiv">
    <w:name w:val="TofSects(Subdiv)"/>
    <w:basedOn w:val="OPCParaBase"/>
    <w:rsid w:val="008E49ED"/>
    <w:pPr>
      <w:keepLines/>
      <w:spacing w:before="80" w:line="240" w:lineRule="auto"/>
      <w:ind w:left="1588" w:hanging="794"/>
    </w:pPr>
    <w:rPr>
      <w:kern w:val="28"/>
    </w:rPr>
  </w:style>
  <w:style w:type="paragraph" w:customStyle="1" w:styleId="WRStyle">
    <w:name w:val="WR Style"/>
    <w:aliases w:val="WR"/>
    <w:basedOn w:val="OPCParaBase"/>
    <w:rsid w:val="008E49ED"/>
    <w:pPr>
      <w:spacing w:before="240" w:line="240" w:lineRule="auto"/>
      <w:ind w:left="284" w:hanging="284"/>
    </w:pPr>
    <w:rPr>
      <w:b/>
      <w:i/>
      <w:kern w:val="28"/>
      <w:sz w:val="24"/>
    </w:rPr>
  </w:style>
  <w:style w:type="paragraph" w:customStyle="1" w:styleId="Body">
    <w:name w:val="Body"/>
    <w:aliases w:val="b"/>
    <w:basedOn w:val="OPCParaBase"/>
    <w:rsid w:val="008E49ED"/>
    <w:pPr>
      <w:spacing w:before="240" w:line="240" w:lineRule="auto"/>
    </w:pPr>
    <w:rPr>
      <w:sz w:val="24"/>
    </w:rPr>
  </w:style>
  <w:style w:type="paragraph" w:customStyle="1" w:styleId="BodyNum">
    <w:name w:val="BodyNum"/>
    <w:aliases w:val="b1"/>
    <w:basedOn w:val="OPCParaBase"/>
    <w:rsid w:val="008E49ED"/>
    <w:pPr>
      <w:numPr>
        <w:numId w:val="3"/>
      </w:numPr>
      <w:spacing w:before="240" w:line="240" w:lineRule="auto"/>
    </w:pPr>
    <w:rPr>
      <w:sz w:val="24"/>
    </w:rPr>
  </w:style>
  <w:style w:type="paragraph" w:customStyle="1" w:styleId="BodyPara">
    <w:name w:val="BodyPara"/>
    <w:aliases w:val="ba"/>
    <w:basedOn w:val="OPCParaBase"/>
    <w:rsid w:val="008E49ED"/>
    <w:pPr>
      <w:numPr>
        <w:ilvl w:val="1"/>
        <w:numId w:val="3"/>
      </w:numPr>
      <w:spacing w:before="240" w:line="240" w:lineRule="auto"/>
    </w:pPr>
    <w:rPr>
      <w:sz w:val="24"/>
    </w:rPr>
  </w:style>
  <w:style w:type="paragraph" w:customStyle="1" w:styleId="BodyParaBullet">
    <w:name w:val="BodyParaBullet"/>
    <w:aliases w:val="bpb"/>
    <w:basedOn w:val="OPCParaBase"/>
    <w:rsid w:val="008E49ED"/>
    <w:pPr>
      <w:numPr>
        <w:ilvl w:val="2"/>
        <w:numId w:val="3"/>
      </w:numPr>
      <w:tabs>
        <w:tab w:val="left" w:pos="2160"/>
      </w:tabs>
      <w:spacing w:before="240" w:line="240" w:lineRule="auto"/>
    </w:pPr>
    <w:rPr>
      <w:sz w:val="24"/>
    </w:rPr>
  </w:style>
  <w:style w:type="paragraph" w:customStyle="1" w:styleId="BodySubPara">
    <w:name w:val="BodySubPara"/>
    <w:aliases w:val="bi"/>
    <w:basedOn w:val="OPCParaBase"/>
    <w:rsid w:val="008E49ED"/>
    <w:pPr>
      <w:numPr>
        <w:ilvl w:val="3"/>
        <w:numId w:val="3"/>
      </w:numPr>
      <w:spacing w:before="240" w:line="240" w:lineRule="auto"/>
    </w:pPr>
    <w:rPr>
      <w:sz w:val="24"/>
    </w:rPr>
  </w:style>
  <w:style w:type="numbering" w:customStyle="1" w:styleId="OPCBodyList">
    <w:name w:val="OPCBodyList"/>
    <w:uiPriority w:val="99"/>
    <w:rsid w:val="008E49ED"/>
    <w:pPr>
      <w:numPr>
        <w:numId w:val="3"/>
      </w:numPr>
    </w:pPr>
  </w:style>
  <w:style w:type="paragraph" w:customStyle="1" w:styleId="Head1">
    <w:name w:val="Head 1"/>
    <w:aliases w:val="1"/>
    <w:basedOn w:val="OPCParaBase"/>
    <w:next w:val="BodyNum"/>
    <w:rsid w:val="008E49ED"/>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49ED"/>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49ED"/>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8E49ED"/>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8E49ED"/>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8E49ED"/>
    <w:pPr>
      <w:spacing w:before="122" w:line="198" w:lineRule="exact"/>
      <w:ind w:left="2353" w:hanging="709"/>
    </w:pPr>
    <w:rPr>
      <w:sz w:val="18"/>
    </w:rPr>
  </w:style>
  <w:style w:type="paragraph" w:styleId="Footer">
    <w:name w:val="footer"/>
    <w:link w:val="FooterChar"/>
    <w:uiPriority w:val="99"/>
    <w:rsid w:val="008E49E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49ED"/>
    <w:rPr>
      <w:rFonts w:eastAsia="Times New Roman" w:cs="Times New Roman"/>
      <w:sz w:val="22"/>
      <w:szCs w:val="24"/>
      <w:lang w:eastAsia="en-AU"/>
    </w:rPr>
  </w:style>
  <w:style w:type="character" w:styleId="PageNumber">
    <w:name w:val="page number"/>
    <w:basedOn w:val="DefaultParagraphFont"/>
    <w:rsid w:val="008E49ED"/>
  </w:style>
  <w:style w:type="paragraph" w:styleId="BalloonText">
    <w:name w:val="Balloon Text"/>
    <w:basedOn w:val="Normal"/>
    <w:link w:val="BalloonTextChar"/>
    <w:uiPriority w:val="99"/>
    <w:semiHidden/>
    <w:unhideWhenUsed/>
    <w:rsid w:val="008E49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ED"/>
    <w:rPr>
      <w:rFonts w:ascii="Tahoma" w:hAnsi="Tahoma" w:cs="Tahoma"/>
      <w:sz w:val="16"/>
      <w:szCs w:val="16"/>
    </w:rPr>
  </w:style>
  <w:style w:type="paragraph" w:customStyle="1" w:styleId="MessShortTitle">
    <w:name w:val="MessShortTitle"/>
    <w:basedOn w:val="Head2"/>
    <w:rsid w:val="008E49ED"/>
  </w:style>
  <w:style w:type="paragraph" w:customStyle="1" w:styleId="notetext">
    <w:name w:val="note(text)"/>
    <w:aliases w:val="n"/>
    <w:basedOn w:val="OPCParaBase"/>
    <w:rsid w:val="008E49ED"/>
    <w:pPr>
      <w:spacing w:before="122" w:line="240" w:lineRule="auto"/>
      <w:ind w:left="1985" w:hanging="851"/>
    </w:pPr>
    <w:rPr>
      <w:sz w:val="18"/>
    </w:rPr>
  </w:style>
  <w:style w:type="paragraph" w:customStyle="1" w:styleId="FreeForm">
    <w:name w:val="FreeForm"/>
    <w:rsid w:val="008E49ED"/>
    <w:rPr>
      <w:rFonts w:ascii="Arial" w:hAnsi="Arial"/>
      <w:sz w:val="22"/>
    </w:rPr>
  </w:style>
  <w:style w:type="paragraph" w:customStyle="1" w:styleId="SOTextNote">
    <w:name w:val="SO TextNote"/>
    <w:aliases w:val="sont"/>
    <w:basedOn w:val="Normal"/>
    <w:qFormat/>
    <w:rsid w:val="008E49ED"/>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8E49ED"/>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8E49ED"/>
    <w:rPr>
      <w:sz w:val="22"/>
    </w:rPr>
  </w:style>
  <w:style w:type="paragraph" w:customStyle="1" w:styleId="SOHeadItalic">
    <w:name w:val="SO HeadItalic"/>
    <w:aliases w:val="sohi"/>
    <w:basedOn w:val="Normal"/>
    <w:next w:val="Normal"/>
    <w:link w:val="SOHeadItalicChar"/>
    <w:qFormat/>
    <w:rsid w:val="008E49ED"/>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8E49ED"/>
    <w:rPr>
      <w:i/>
      <w:sz w:val="22"/>
    </w:rPr>
  </w:style>
  <w:style w:type="paragraph" w:customStyle="1" w:styleId="SOHeadBold">
    <w:name w:val="SO HeadBold"/>
    <w:aliases w:val="sohb"/>
    <w:basedOn w:val="Normal"/>
    <w:next w:val="Normal"/>
    <w:link w:val="SOHeadBoldChar"/>
    <w:qFormat/>
    <w:rsid w:val="008E49ED"/>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8E49ED"/>
    <w:rPr>
      <w:b/>
      <w:sz w:val="22"/>
    </w:rPr>
  </w:style>
  <w:style w:type="paragraph" w:customStyle="1" w:styleId="SOBulletNote">
    <w:name w:val="SO BulletNote"/>
    <w:aliases w:val="sonb"/>
    <w:basedOn w:val="SOTextNote"/>
    <w:link w:val="SOBulletNoteChar"/>
    <w:qFormat/>
    <w:rsid w:val="008E49ED"/>
    <w:pPr>
      <w:tabs>
        <w:tab w:val="left" w:pos="1560"/>
      </w:tabs>
      <w:ind w:left="2268" w:hanging="1134"/>
    </w:pPr>
  </w:style>
  <w:style w:type="character" w:customStyle="1" w:styleId="SOBulletNoteChar">
    <w:name w:val="SO BulletNote Char"/>
    <w:aliases w:val="sonb Char"/>
    <w:basedOn w:val="DefaultParagraphFont"/>
    <w:link w:val="SOBulletNote"/>
    <w:rsid w:val="008E49ED"/>
    <w:rPr>
      <w:sz w:val="18"/>
    </w:rPr>
  </w:style>
  <w:style w:type="paragraph" w:customStyle="1" w:styleId="SOBullet">
    <w:name w:val="SO Bullet"/>
    <w:aliases w:val="sotb"/>
    <w:basedOn w:val="Normal"/>
    <w:link w:val="SOBulletChar"/>
    <w:qFormat/>
    <w:rsid w:val="008E49ED"/>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8E49ED"/>
    <w:rPr>
      <w:sz w:val="22"/>
    </w:rPr>
  </w:style>
  <w:style w:type="paragraph" w:customStyle="1" w:styleId="TableHeading">
    <w:name w:val="TableHeading"/>
    <w:aliases w:val="th"/>
    <w:basedOn w:val="OPCParaBase"/>
    <w:next w:val="Tabletext"/>
    <w:rsid w:val="008E49ED"/>
    <w:pPr>
      <w:keepNext/>
      <w:spacing w:before="60" w:line="240" w:lineRule="atLeast"/>
    </w:pPr>
    <w:rPr>
      <w:b/>
      <w:sz w:val="20"/>
    </w:rPr>
  </w:style>
  <w:style w:type="paragraph" w:customStyle="1" w:styleId="SubPartCASA">
    <w:name w:val="SubPart(CASA)"/>
    <w:aliases w:val="csp"/>
    <w:basedOn w:val="OPCParaBase"/>
    <w:next w:val="ActHead3"/>
    <w:rsid w:val="008E49ED"/>
    <w:pPr>
      <w:keepNext/>
      <w:keepLines/>
      <w:spacing w:before="280"/>
      <w:ind w:left="1134" w:hanging="1134"/>
      <w:outlineLvl w:val="1"/>
    </w:pPr>
    <w:rPr>
      <w:b/>
      <w:kern w:val="28"/>
      <w:sz w:val="32"/>
    </w:rPr>
  </w:style>
  <w:style w:type="paragraph" w:customStyle="1" w:styleId="SundryBoxBullet">
    <w:name w:val="SundryBoxBullet"/>
    <w:aliases w:val="sbb"/>
    <w:basedOn w:val="Normal"/>
    <w:rsid w:val="008E49ED"/>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8E49ED"/>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Hyperlink">
    <w:name w:val="Hyperlink"/>
    <w:basedOn w:val="DefaultParagraphFont"/>
    <w:uiPriority w:val="99"/>
    <w:unhideWhenUsed/>
    <w:rsid w:val="00163856"/>
    <w:rPr>
      <w:color w:val="0000FF" w:themeColor="hyperlink"/>
      <w:u w:val="single"/>
    </w:rPr>
  </w:style>
  <w:style w:type="character" w:styleId="UnresolvedMention">
    <w:name w:val="Unresolved Mention"/>
    <w:basedOn w:val="DefaultParagraphFont"/>
    <w:uiPriority w:val="99"/>
    <w:semiHidden/>
    <w:unhideWhenUsed/>
    <w:rsid w:val="00E61E34"/>
    <w:rPr>
      <w:color w:val="605E5C"/>
      <w:shd w:val="clear" w:color="auto" w:fill="E1DFDD"/>
    </w:rPr>
  </w:style>
  <w:style w:type="character" w:styleId="FollowedHyperlink">
    <w:name w:val="FollowedHyperlink"/>
    <w:basedOn w:val="DefaultParagraphFont"/>
    <w:uiPriority w:val="99"/>
    <w:semiHidden/>
    <w:unhideWhenUsed/>
    <w:rsid w:val="00A770ED"/>
    <w:rPr>
      <w:color w:val="800080" w:themeColor="followedHyperlink"/>
      <w:u w:val="single"/>
    </w:rPr>
  </w:style>
  <w:style w:type="character" w:customStyle="1" w:styleId="Heading2Char">
    <w:name w:val="Heading 2 Char"/>
    <w:basedOn w:val="DefaultParagraphFont"/>
    <w:link w:val="Heading2"/>
    <w:uiPriority w:val="9"/>
    <w:rsid w:val="00782D40"/>
    <w:rPr>
      <w:rFonts w:ascii="Open Sans" w:hAnsi="Open Sans" w:cs="Open Sans"/>
      <w:b/>
      <w:bCs/>
      <w:color w:val="084D5E"/>
      <w:kern w:val="2"/>
      <w:sz w:val="24"/>
      <w:szCs w:val="24"/>
      <w:lang w:val="fr-CA" w:eastAsia="en-AU"/>
    </w:rPr>
  </w:style>
  <w:style w:type="character" w:customStyle="1" w:styleId="Heading3Char">
    <w:name w:val="Heading 3 Char"/>
    <w:basedOn w:val="DefaultParagraphFont"/>
    <w:link w:val="Heading3"/>
    <w:uiPriority w:val="9"/>
    <w:rsid w:val="00782D4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310241"/>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15020">
      <w:bodyDiv w:val="1"/>
      <w:marLeft w:val="0"/>
      <w:marRight w:val="0"/>
      <w:marTop w:val="0"/>
      <w:marBottom w:val="0"/>
      <w:divBdr>
        <w:top w:val="none" w:sz="0" w:space="0" w:color="auto"/>
        <w:left w:val="none" w:sz="0" w:space="0" w:color="auto"/>
        <w:bottom w:val="none" w:sz="0" w:space="0" w:color="auto"/>
        <w:right w:val="none" w:sz="0" w:space="0" w:color="auto"/>
      </w:divBdr>
    </w:div>
    <w:div w:id="657853545">
      <w:bodyDiv w:val="1"/>
      <w:marLeft w:val="0"/>
      <w:marRight w:val="0"/>
      <w:marTop w:val="0"/>
      <w:marBottom w:val="0"/>
      <w:divBdr>
        <w:top w:val="none" w:sz="0" w:space="0" w:color="auto"/>
        <w:left w:val="none" w:sz="0" w:space="0" w:color="auto"/>
        <w:bottom w:val="none" w:sz="0" w:space="0" w:color="auto"/>
        <w:right w:val="none" w:sz="0" w:space="0" w:color="auto"/>
      </w:divBdr>
    </w:div>
    <w:div w:id="683091226">
      <w:bodyDiv w:val="1"/>
      <w:marLeft w:val="0"/>
      <w:marRight w:val="0"/>
      <w:marTop w:val="0"/>
      <w:marBottom w:val="0"/>
      <w:divBdr>
        <w:top w:val="none" w:sz="0" w:space="0" w:color="auto"/>
        <w:left w:val="none" w:sz="0" w:space="0" w:color="auto"/>
        <w:bottom w:val="none" w:sz="0" w:space="0" w:color="auto"/>
        <w:right w:val="none" w:sz="0" w:space="0" w:color="auto"/>
      </w:divBdr>
    </w:div>
    <w:div w:id="15378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c.gov.au/sites/default/files/2023-01/s06rd386.v20.pdf" TargetMode="External"/><Relationship Id="rId13" Type="http://schemas.openxmlformats.org/officeDocument/2006/relationships/hyperlink" Target="https://www.opc.gov.au/sites/default/files/2023-01/s10bg244.v65.pdf" TargetMode="External"/><Relationship Id="rId18" Type="http://schemas.openxmlformats.org/officeDocument/2006/relationships/hyperlink" Target="https://www.aph.gov.au/Parliamentary_Business/Committees/Senate/Scrutiny_of_Bills/Committee_guidelin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aph.gov.au/Parliamentary_Business/Committees/Senate/Scrutiny_of_Delegated_Legislation/Committee_guidelines" TargetMode="External"/><Relationship Id="rId7" Type="http://schemas.openxmlformats.org/officeDocument/2006/relationships/hyperlink" Target="https://www.opc.gov.au/drafting-resources/bills-resources" TargetMode="External"/><Relationship Id="rId12" Type="http://schemas.openxmlformats.org/officeDocument/2006/relationships/hyperlink" Target="https://www.opc.gov.au/sites/default/files/2025-03/Drafting%20Direction%20No.%203.5.pdf" TargetMode="External"/><Relationship Id="rId17" Type="http://schemas.openxmlformats.org/officeDocument/2006/relationships/hyperlink" Target="https://www.opc.gov.au/sites/default/files/2025-03/Drafting%20Direction%203.6.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mc.gov.au/sites/default/files/resource/download/legislation-handbook-2017.pdf" TargetMode="External"/><Relationship Id="rId20" Type="http://schemas.openxmlformats.org/officeDocument/2006/relationships/hyperlink" Target="https://www.aph.gov.au/Parliamentary_Business/Committees/Senate/Scrutiny_of_Bills/Committee_guidelin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gov.au/sites/default/files/2024-05/Guide-Framing-Commonwealth-Offences.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ph.gov.au/Parliamentary_Business/Committees/Senate/Scrutiny_of_Delegated_Legislation/Committee_guidelin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opc.gov.au/sites/default/files/2023-05/S06RD383.V24.pdf" TargetMode="External"/><Relationship Id="rId19" Type="http://schemas.openxmlformats.org/officeDocument/2006/relationships/hyperlink" Target="https://www.opc.gov.au/sites/default/files/2025-03/Drafting%20Direction%204.9.pdf" TargetMode="External"/><Relationship Id="rId4" Type="http://schemas.openxmlformats.org/officeDocument/2006/relationships/webSettings" Target="webSettings.xml"/><Relationship Id="rId9" Type="http://schemas.openxmlformats.org/officeDocument/2006/relationships/hyperlink" Target="https://www.opc.gov.au/sites/default/files/2023-01/s06rd386.v20.pdf" TargetMode="External"/><Relationship Id="rId14" Type="http://schemas.openxmlformats.org/officeDocument/2006/relationships/hyperlink" Target="https://www.ag.gov.au/sites/default/files/2024-05/Guide-Framing-Commonwealth-Offences.pdf" TargetMode="External"/><Relationship Id="rId22" Type="http://schemas.openxmlformats.org/officeDocument/2006/relationships/hyperlink" Target="https://www.pmc.gov.au/resources/legislation-handbook" TargetMode="External"/><Relationship Id="rId27" Type="http://schemas.openxmlformats.org/officeDocument/2006/relationships/header" Target="header3.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2540</Words>
  <Characters>13824</Characters>
  <Application>Microsoft Office Word</Application>
  <DocSecurity>0</DocSecurity>
  <Lines>251</Lines>
  <Paragraphs>116</Paragraphs>
  <ScaleCrop>false</ScaleCrop>
  <HeadingPairs>
    <vt:vector size="2" baseType="variant">
      <vt:variant>
        <vt:lpstr>Title</vt:lpstr>
      </vt:variant>
      <vt:variant>
        <vt:i4>1</vt:i4>
      </vt:variant>
    </vt:vector>
  </HeadingPairs>
  <TitlesOfParts>
    <vt:vector size="1" baseType="lpstr">
      <vt:lpstr>Instructor Guidance Note—Drafting instructions template (Bills) checklist topics</vt:lpstr>
    </vt:vector>
  </TitlesOfParts>
  <Company>Office of Parliamentary Counsel</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Guidance Note—Drafting instructions template (Bills) checklist topics</dc:title>
  <dc:subject/>
  <dc:creator>LeeM</dc:creator>
  <cp:keywords/>
  <dc:description/>
  <cp:lastModifiedBy>Berryman, Elentari</cp:lastModifiedBy>
  <cp:revision>3</cp:revision>
  <cp:lastPrinted>2025-10-15T23:37:00Z</cp:lastPrinted>
  <dcterms:created xsi:type="dcterms:W3CDTF">2025-10-15T23:37:00Z</dcterms:created>
  <dcterms:modified xsi:type="dcterms:W3CDTF">2025-10-15T23:37:00Z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