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BBBB" w14:textId="658147DC" w:rsidR="00133C70" w:rsidRPr="00FC1281" w:rsidRDefault="00FC1281" w:rsidP="00FC1281">
      <w:pPr>
        <w:pStyle w:val="Heading1"/>
        <w:jc w:val="left"/>
        <w:rPr>
          <w:rFonts w:ascii="Open Sans ExtraBold" w:hAnsi="Open Sans ExtraBold" w:cs="Open Sans ExtraBold"/>
          <w:color w:val="084D5E"/>
          <w:lang w:val="en-AU"/>
        </w:rPr>
      </w:pPr>
      <w:bookmarkStart w:id="0" w:name="_Toc104390487"/>
      <w:r w:rsidRPr="00F951F6">
        <w:rPr>
          <w:rFonts w:ascii="Open Sans ExtraBold" w:hAnsi="Open Sans ExtraBold" w:cs="Open Sans ExtraBold"/>
          <w:color w:val="084D5E"/>
          <w:lang w:val="en-AU"/>
        </w:rPr>
        <w:t>Instructor Guidance Note</w:t>
      </w:r>
      <w:r w:rsidR="00C201A9">
        <w:rPr>
          <w:rFonts w:ascii="Open Sans ExtraBold" w:hAnsi="Open Sans ExtraBold" w:cs="Open Sans ExtraBold"/>
          <w:color w:val="084D5E"/>
          <w:lang w:val="en-AU"/>
        </w:rPr>
        <w:t xml:space="preserve"> </w:t>
      </w:r>
      <w:r>
        <w:rPr>
          <w:rFonts w:ascii="Open Sans ExtraBold" w:hAnsi="Open Sans ExtraBold" w:cs="Open Sans ExtraBold"/>
          <w:color w:val="084D5E"/>
          <w:lang w:val="en-AU"/>
        </w:rPr>
        <w:t>—</w:t>
      </w:r>
      <w:r w:rsidR="004515E4" w:rsidRPr="0003011C">
        <w:br/>
      </w:r>
      <w:r w:rsidR="00133C70" w:rsidRPr="00FC1281">
        <w:rPr>
          <w:rFonts w:ascii="Open Sans ExtraBold" w:hAnsi="Open Sans ExtraBold" w:cs="Open Sans ExtraBold"/>
          <w:color w:val="084D5E"/>
          <w:lang w:val="en-AU"/>
        </w:rPr>
        <w:t>Explanatory memorandums, explanatory statements and other supporting documents</w:t>
      </w:r>
      <w:bookmarkEnd w:id="0"/>
    </w:p>
    <w:p w14:paraId="7EF336A1" w14:textId="04CEE07F" w:rsidR="00133C70" w:rsidRPr="00927CEE" w:rsidRDefault="00B01A58" w:rsidP="00D80E32">
      <w:pPr>
        <w:pStyle w:val="BodyNum"/>
        <w:spacing w:after="240"/>
        <w:rPr>
          <w:rFonts w:ascii="Open Sans" w:hAnsi="Open Sans" w:cs="Open Sans"/>
          <w:sz w:val="22"/>
          <w:szCs w:val="18"/>
        </w:rPr>
      </w:pPr>
      <w:r w:rsidRPr="00927CEE">
        <w:rPr>
          <w:rFonts w:ascii="Open Sans" w:hAnsi="Open Sans" w:cs="Open Sans"/>
          <w:sz w:val="22"/>
          <w:szCs w:val="18"/>
        </w:rPr>
        <w:t xml:space="preserve">Each Bill must have </w:t>
      </w:r>
      <w:r w:rsidR="00133C70" w:rsidRPr="00927CEE">
        <w:rPr>
          <w:rFonts w:ascii="Open Sans" w:hAnsi="Open Sans" w:cs="Open Sans"/>
          <w:sz w:val="22"/>
          <w:szCs w:val="18"/>
        </w:rPr>
        <w:t>an explanatory memorandum</w:t>
      </w:r>
      <w:r w:rsidRPr="00927CEE">
        <w:rPr>
          <w:rFonts w:ascii="Open Sans" w:hAnsi="Open Sans" w:cs="Open Sans"/>
          <w:sz w:val="22"/>
          <w:szCs w:val="18"/>
        </w:rPr>
        <w:t xml:space="preserve">. Each </w:t>
      </w:r>
      <w:r w:rsidR="00133C70" w:rsidRPr="00927CEE">
        <w:rPr>
          <w:rFonts w:ascii="Open Sans" w:hAnsi="Open Sans" w:cs="Open Sans"/>
          <w:sz w:val="22"/>
          <w:szCs w:val="18"/>
        </w:rPr>
        <w:t>legislative instrument</w:t>
      </w:r>
      <w:r w:rsidRPr="00927CEE">
        <w:rPr>
          <w:rFonts w:ascii="Open Sans" w:hAnsi="Open Sans" w:cs="Open Sans"/>
          <w:sz w:val="22"/>
          <w:szCs w:val="18"/>
        </w:rPr>
        <w:t xml:space="preserve"> must have an explanatory statement</w:t>
      </w:r>
      <w:r w:rsidR="00133C70" w:rsidRPr="00927CEE">
        <w:rPr>
          <w:rFonts w:ascii="Open Sans" w:hAnsi="Open Sans" w:cs="Open Sans"/>
          <w:sz w:val="22"/>
          <w:szCs w:val="18"/>
        </w:rPr>
        <w:t xml:space="preserve">. </w:t>
      </w:r>
      <w:r w:rsidR="002913A3" w:rsidRPr="00927CEE">
        <w:rPr>
          <w:rFonts w:ascii="Open Sans" w:hAnsi="Open Sans" w:cs="Open Sans"/>
          <w:sz w:val="22"/>
          <w:szCs w:val="18"/>
        </w:rPr>
        <w:t xml:space="preserve">These are sometimes referred to as an EM or ES. They are companion documents </w:t>
      </w:r>
      <w:r w:rsidR="00133C70" w:rsidRPr="00927CEE">
        <w:rPr>
          <w:rFonts w:ascii="Open Sans" w:hAnsi="Open Sans" w:cs="Open Sans"/>
          <w:sz w:val="22"/>
          <w:szCs w:val="18"/>
        </w:rPr>
        <w:t xml:space="preserve">to the Bill or instrument. </w:t>
      </w:r>
      <w:r w:rsidR="002913A3" w:rsidRPr="00927CEE">
        <w:rPr>
          <w:rFonts w:ascii="Open Sans" w:hAnsi="Open Sans" w:cs="Open Sans"/>
          <w:sz w:val="22"/>
          <w:szCs w:val="18"/>
        </w:rPr>
        <w:t xml:space="preserve">Their </w:t>
      </w:r>
      <w:r w:rsidR="00133C70" w:rsidRPr="00927CEE">
        <w:rPr>
          <w:rFonts w:ascii="Open Sans" w:hAnsi="Open Sans" w:cs="Open Sans"/>
          <w:sz w:val="22"/>
          <w:szCs w:val="18"/>
        </w:rPr>
        <w:t xml:space="preserve">main purpose is to help people to understand the objectives and detailed operation of </w:t>
      </w:r>
      <w:r w:rsidR="008C66DC" w:rsidRPr="00927CEE">
        <w:rPr>
          <w:rFonts w:ascii="Open Sans" w:hAnsi="Open Sans" w:cs="Open Sans"/>
          <w:sz w:val="22"/>
          <w:szCs w:val="18"/>
        </w:rPr>
        <w:t xml:space="preserve">a </w:t>
      </w:r>
      <w:r w:rsidR="00133C70" w:rsidRPr="00927CEE">
        <w:rPr>
          <w:rFonts w:ascii="Open Sans" w:hAnsi="Open Sans" w:cs="Open Sans"/>
          <w:sz w:val="22"/>
          <w:szCs w:val="18"/>
        </w:rPr>
        <w:t>Bill or instrument.</w:t>
      </w:r>
      <w:r w:rsidR="001B1FA0" w:rsidRPr="00927CEE">
        <w:rPr>
          <w:rFonts w:ascii="Open Sans" w:hAnsi="Open Sans" w:cs="Open Sans"/>
          <w:sz w:val="22"/>
          <w:szCs w:val="18"/>
        </w:rPr>
        <w:t xml:space="preserve"> They can be considered </w:t>
      </w:r>
      <w:r w:rsidR="00F45DE0" w:rsidRPr="00927CEE">
        <w:rPr>
          <w:rFonts w:ascii="Open Sans" w:hAnsi="Open Sans" w:cs="Open Sans"/>
          <w:sz w:val="22"/>
          <w:szCs w:val="18"/>
        </w:rPr>
        <w:t xml:space="preserve">by a court </w:t>
      </w:r>
      <w:r w:rsidR="001B1FA0" w:rsidRPr="00927CEE">
        <w:rPr>
          <w:rFonts w:ascii="Open Sans" w:hAnsi="Open Sans" w:cs="Open Sans"/>
          <w:sz w:val="22"/>
          <w:szCs w:val="18"/>
        </w:rPr>
        <w:t>in interpreting the Bill or instrument.</w:t>
      </w:r>
    </w:p>
    <w:p w14:paraId="25EAC4C5" w14:textId="3B9FBC30" w:rsidR="0001301D" w:rsidRPr="00927CEE" w:rsidRDefault="0001301D" w:rsidP="00FC1281">
      <w:pPr>
        <w:pStyle w:val="Heading2"/>
        <w:rPr>
          <w:rFonts w:ascii="Open Sans ExtraBold" w:hAnsi="Open Sans ExtraBold" w:cs="Open Sans ExtraBold"/>
          <w:sz w:val="24"/>
          <w:szCs w:val="24"/>
        </w:rPr>
      </w:pPr>
      <w:r w:rsidRPr="00927CEE">
        <w:rPr>
          <w:rFonts w:ascii="Open Sans ExtraBold" w:hAnsi="Open Sans ExtraBold" w:cs="Open Sans ExtraBold"/>
          <w:color w:val="084D5E"/>
          <w:sz w:val="24"/>
          <w:szCs w:val="24"/>
        </w:rPr>
        <w:t xml:space="preserve">Instructing agency’s </w:t>
      </w:r>
      <w:r w:rsidR="00217EAB" w:rsidRPr="00927CEE">
        <w:rPr>
          <w:rFonts w:ascii="Open Sans ExtraBold" w:hAnsi="Open Sans ExtraBold" w:cs="Open Sans ExtraBold"/>
          <w:color w:val="084D5E"/>
          <w:sz w:val="24"/>
          <w:szCs w:val="24"/>
        </w:rPr>
        <w:t>responsibility</w:t>
      </w:r>
    </w:p>
    <w:p w14:paraId="55C8B6E6" w14:textId="430B8D3A" w:rsidR="0001301D" w:rsidRPr="00927CEE" w:rsidRDefault="00133C70" w:rsidP="00133C70">
      <w:pPr>
        <w:pStyle w:val="BodyNum"/>
        <w:rPr>
          <w:rFonts w:ascii="Open Sans" w:hAnsi="Open Sans" w:cs="Open Sans"/>
          <w:sz w:val="22"/>
          <w:szCs w:val="18"/>
        </w:rPr>
      </w:pPr>
      <w:r w:rsidRPr="00927CEE">
        <w:rPr>
          <w:rFonts w:ascii="Open Sans" w:hAnsi="Open Sans" w:cs="Open Sans"/>
          <w:sz w:val="22"/>
          <w:szCs w:val="18"/>
        </w:rPr>
        <w:t>The instructing agency is responsible for preparing the explanatory memorandum or explanatory statement.</w:t>
      </w:r>
      <w:bookmarkStart w:id="1" w:name="_Ref388522496"/>
    </w:p>
    <w:p w14:paraId="1A8FD468" w14:textId="5CBA21DC" w:rsidR="008C66DC" w:rsidRPr="00927CEE" w:rsidRDefault="0091487B" w:rsidP="008C66DC">
      <w:pPr>
        <w:pStyle w:val="BodyNum"/>
        <w:rPr>
          <w:rFonts w:ascii="Open Sans" w:hAnsi="Open Sans" w:cs="Open Sans"/>
          <w:sz w:val="22"/>
          <w:szCs w:val="18"/>
        </w:rPr>
      </w:pPr>
      <w:r w:rsidRPr="00927CEE">
        <w:rPr>
          <w:rFonts w:ascii="Open Sans" w:hAnsi="Open Sans" w:cs="Open Sans"/>
          <w:sz w:val="22"/>
          <w:szCs w:val="18"/>
        </w:rPr>
        <w:t xml:space="preserve">The process of preparing </w:t>
      </w:r>
      <w:r w:rsidR="008C66DC" w:rsidRPr="00927CEE">
        <w:rPr>
          <w:rFonts w:ascii="Open Sans" w:hAnsi="Open Sans" w:cs="Open Sans"/>
          <w:sz w:val="22"/>
          <w:szCs w:val="18"/>
        </w:rPr>
        <w:t xml:space="preserve">the explanatory memorandum or explanatory statement may reveal flaws or weaknesses in policy proposals, or errors in the draft legislation. It is therefore </w:t>
      </w:r>
      <w:r w:rsidR="0084538C" w:rsidRPr="00927CEE">
        <w:rPr>
          <w:rFonts w:ascii="Open Sans" w:hAnsi="Open Sans" w:cs="Open Sans"/>
          <w:sz w:val="22"/>
          <w:szCs w:val="18"/>
        </w:rPr>
        <w:t>a good idea</w:t>
      </w:r>
      <w:r w:rsidR="008C66DC" w:rsidRPr="00927CEE">
        <w:rPr>
          <w:rFonts w:ascii="Open Sans" w:hAnsi="Open Sans" w:cs="Open Sans"/>
          <w:sz w:val="22"/>
          <w:szCs w:val="18"/>
        </w:rPr>
        <w:t xml:space="preserve"> for the instructing agency to start preparing this document early in the drafting process.</w:t>
      </w:r>
    </w:p>
    <w:p w14:paraId="7FCA22F5" w14:textId="6D4045F5" w:rsidR="00133C70" w:rsidRPr="00927CEE" w:rsidRDefault="00133C70" w:rsidP="00133C70">
      <w:pPr>
        <w:pStyle w:val="BodyNum"/>
        <w:rPr>
          <w:rFonts w:ascii="Open Sans" w:hAnsi="Open Sans" w:cs="Open Sans"/>
          <w:sz w:val="22"/>
          <w:szCs w:val="18"/>
        </w:rPr>
      </w:pPr>
      <w:r w:rsidRPr="00927CEE">
        <w:rPr>
          <w:rFonts w:ascii="Open Sans" w:hAnsi="Open Sans" w:cs="Open Sans"/>
          <w:sz w:val="22"/>
          <w:szCs w:val="18"/>
        </w:rPr>
        <w:t xml:space="preserve">Information and guidance relating to the </w:t>
      </w:r>
      <w:r w:rsidR="00C019D5" w:rsidRPr="00927CEE">
        <w:rPr>
          <w:rFonts w:ascii="Open Sans" w:hAnsi="Open Sans" w:cs="Open Sans"/>
          <w:sz w:val="22"/>
          <w:szCs w:val="18"/>
        </w:rPr>
        <w:t xml:space="preserve">timing, </w:t>
      </w:r>
      <w:r w:rsidRPr="00927CEE">
        <w:rPr>
          <w:rFonts w:ascii="Open Sans" w:hAnsi="Open Sans" w:cs="Open Sans"/>
          <w:sz w:val="22"/>
          <w:szCs w:val="18"/>
        </w:rPr>
        <w:t xml:space="preserve">form and content of explanatory memorandums </w:t>
      </w:r>
      <w:r w:rsidR="00DD0AC3" w:rsidRPr="00927CEE">
        <w:rPr>
          <w:rFonts w:ascii="Open Sans" w:hAnsi="Open Sans" w:cs="Open Sans"/>
          <w:sz w:val="22"/>
          <w:szCs w:val="18"/>
        </w:rPr>
        <w:t xml:space="preserve">for Bills </w:t>
      </w:r>
      <w:r w:rsidRPr="00927CEE">
        <w:rPr>
          <w:rFonts w:ascii="Open Sans" w:hAnsi="Open Sans" w:cs="Open Sans"/>
          <w:sz w:val="22"/>
          <w:szCs w:val="18"/>
        </w:rPr>
        <w:t>is available from the following sources:</w:t>
      </w:r>
      <w:bookmarkEnd w:id="1"/>
    </w:p>
    <w:p w14:paraId="4D8FBF3E" w14:textId="11096A8B" w:rsidR="00133C70" w:rsidRPr="00927CEE" w:rsidRDefault="001C7ABC" w:rsidP="00DD0AC3">
      <w:pPr>
        <w:pStyle w:val="BodyPara"/>
        <w:numPr>
          <w:ilvl w:val="0"/>
          <w:numId w:val="15"/>
        </w:numPr>
        <w:rPr>
          <w:rFonts w:ascii="Open Sans" w:hAnsi="Open Sans" w:cs="Open Sans"/>
          <w:sz w:val="22"/>
          <w:szCs w:val="18"/>
        </w:rPr>
      </w:pPr>
      <w:r w:rsidRPr="00927CEE">
        <w:rPr>
          <w:rFonts w:ascii="Open Sans" w:hAnsi="Open Sans" w:cs="Open Sans"/>
          <w:sz w:val="22"/>
          <w:szCs w:val="18"/>
        </w:rPr>
        <w:t xml:space="preserve">the </w:t>
      </w:r>
      <w:r w:rsidR="00DD0AC3" w:rsidRPr="00927CEE">
        <w:rPr>
          <w:rFonts w:ascii="Open Sans" w:hAnsi="Open Sans" w:cs="Open Sans"/>
          <w:sz w:val="22"/>
          <w:szCs w:val="18"/>
        </w:rPr>
        <w:t>Legislation Handbook</w:t>
      </w:r>
      <w:r w:rsidR="00D50728" w:rsidRPr="00927CEE">
        <w:rPr>
          <w:rFonts w:ascii="Open Sans" w:hAnsi="Open Sans" w:cs="Open Sans"/>
          <w:sz w:val="22"/>
          <w:szCs w:val="18"/>
        </w:rPr>
        <w:t xml:space="preserve"> (available on </w:t>
      </w:r>
      <w:r w:rsidR="007079DB" w:rsidRPr="00927CEE">
        <w:rPr>
          <w:rFonts w:ascii="Open Sans" w:hAnsi="Open Sans" w:cs="Open Sans"/>
          <w:sz w:val="22"/>
          <w:szCs w:val="18"/>
        </w:rPr>
        <w:t>the website of the Department of the Prime Minister and Cabinet (</w:t>
      </w:r>
      <w:proofErr w:type="spellStart"/>
      <w:r w:rsidR="007079DB" w:rsidRPr="00927CEE">
        <w:rPr>
          <w:rFonts w:ascii="Open Sans" w:hAnsi="Open Sans" w:cs="Open Sans"/>
          <w:b/>
          <w:bCs/>
          <w:i/>
          <w:iCs/>
          <w:sz w:val="22"/>
          <w:szCs w:val="18"/>
        </w:rPr>
        <w:t>PM&amp;C</w:t>
      </w:r>
      <w:proofErr w:type="spellEnd"/>
      <w:r w:rsidR="007079DB" w:rsidRPr="00927CEE">
        <w:rPr>
          <w:rFonts w:ascii="Open Sans" w:hAnsi="Open Sans" w:cs="Open Sans"/>
          <w:sz w:val="22"/>
          <w:szCs w:val="18"/>
        </w:rPr>
        <w:t>)</w:t>
      </w:r>
      <w:r w:rsidR="00D50728" w:rsidRPr="00927CEE">
        <w:rPr>
          <w:rFonts w:ascii="Open Sans" w:hAnsi="Open Sans" w:cs="Open Sans"/>
          <w:sz w:val="22"/>
          <w:szCs w:val="18"/>
        </w:rPr>
        <w:t>);</w:t>
      </w:r>
    </w:p>
    <w:p w14:paraId="1EA88C63" w14:textId="22561236" w:rsidR="00133C70" w:rsidRPr="00927CEE" w:rsidRDefault="00133C70" w:rsidP="00DD0AC3">
      <w:pPr>
        <w:pStyle w:val="BodyPara"/>
        <w:numPr>
          <w:ilvl w:val="0"/>
          <w:numId w:val="15"/>
        </w:numPr>
        <w:rPr>
          <w:rFonts w:ascii="Open Sans" w:hAnsi="Open Sans" w:cs="Open Sans"/>
          <w:sz w:val="22"/>
          <w:szCs w:val="18"/>
        </w:rPr>
      </w:pPr>
      <w:r w:rsidRPr="00927CEE">
        <w:rPr>
          <w:rFonts w:ascii="Open Sans" w:hAnsi="Open Sans" w:cs="Open Sans"/>
          <w:sz w:val="22"/>
          <w:szCs w:val="18"/>
        </w:rPr>
        <w:t>guidelines published by the Senate Standing Committee for the Scrutiny of Bills</w:t>
      </w:r>
      <w:r w:rsidR="00D50728" w:rsidRPr="00927CEE">
        <w:rPr>
          <w:rFonts w:ascii="Open Sans" w:hAnsi="Open Sans" w:cs="Open Sans"/>
          <w:sz w:val="22"/>
          <w:szCs w:val="18"/>
        </w:rPr>
        <w:t xml:space="preserve"> (available on the Committee’s website)</w:t>
      </w:r>
      <w:r w:rsidR="00DD0AC3" w:rsidRPr="00927CEE">
        <w:rPr>
          <w:rFonts w:ascii="Open Sans" w:hAnsi="Open Sans" w:cs="Open Sans"/>
          <w:sz w:val="22"/>
          <w:szCs w:val="18"/>
        </w:rPr>
        <w:t>.</w:t>
      </w:r>
    </w:p>
    <w:p w14:paraId="2348555D" w14:textId="04915C87" w:rsidR="008C66DC" w:rsidRPr="00927CEE" w:rsidRDefault="008C66DC" w:rsidP="008C66DC">
      <w:pPr>
        <w:pStyle w:val="BodyNum"/>
        <w:rPr>
          <w:rFonts w:ascii="Open Sans" w:hAnsi="Open Sans" w:cs="Open Sans"/>
          <w:sz w:val="22"/>
          <w:szCs w:val="18"/>
        </w:rPr>
      </w:pPr>
      <w:r w:rsidRPr="00927CEE">
        <w:rPr>
          <w:rFonts w:ascii="Open Sans" w:hAnsi="Open Sans" w:cs="Open Sans"/>
          <w:sz w:val="22"/>
          <w:szCs w:val="18"/>
        </w:rPr>
        <w:t>For parliamentary amendments of a Bill, there should be a supplementary explanatory memorandum. Similar considerations apply as for an explanatory memorandum.</w:t>
      </w:r>
    </w:p>
    <w:p w14:paraId="4816B04C" w14:textId="7E295C01" w:rsidR="00E65E04" w:rsidRPr="00927CEE" w:rsidRDefault="00E65E04" w:rsidP="00E65E04">
      <w:pPr>
        <w:pStyle w:val="BodyNum"/>
        <w:rPr>
          <w:rFonts w:ascii="Open Sans" w:hAnsi="Open Sans" w:cs="Open Sans"/>
          <w:sz w:val="22"/>
          <w:szCs w:val="18"/>
        </w:rPr>
      </w:pPr>
      <w:r w:rsidRPr="00927CEE">
        <w:rPr>
          <w:rFonts w:ascii="Open Sans" w:hAnsi="Open Sans" w:cs="Open Sans"/>
          <w:sz w:val="22"/>
          <w:szCs w:val="18"/>
        </w:rPr>
        <w:t xml:space="preserve">Before a Bill can be introduced or parliamentary amendments </w:t>
      </w:r>
      <w:r w:rsidR="0084538C" w:rsidRPr="00927CEE">
        <w:rPr>
          <w:rFonts w:ascii="Open Sans" w:hAnsi="Open Sans" w:cs="Open Sans"/>
          <w:sz w:val="22"/>
          <w:szCs w:val="18"/>
        </w:rPr>
        <w:t>moved</w:t>
      </w:r>
      <w:r w:rsidRPr="00927CEE">
        <w:rPr>
          <w:rFonts w:ascii="Open Sans" w:hAnsi="Open Sans" w:cs="Open Sans"/>
          <w:sz w:val="22"/>
          <w:szCs w:val="18"/>
        </w:rPr>
        <w:t xml:space="preserve">, the instructing agency will need to submit the explanatory memorandum to </w:t>
      </w:r>
      <w:proofErr w:type="spellStart"/>
      <w:r w:rsidRPr="00927CEE">
        <w:rPr>
          <w:rFonts w:ascii="Open Sans" w:hAnsi="Open Sans" w:cs="Open Sans"/>
          <w:sz w:val="22"/>
          <w:szCs w:val="18"/>
        </w:rPr>
        <w:t>PM&amp;C</w:t>
      </w:r>
      <w:proofErr w:type="spellEnd"/>
      <w:r w:rsidRPr="00927CEE">
        <w:rPr>
          <w:rFonts w:ascii="Open Sans" w:hAnsi="Open Sans" w:cs="Open Sans"/>
          <w:sz w:val="22"/>
          <w:szCs w:val="18"/>
        </w:rPr>
        <w:t xml:space="preserve"> as part of the Legislation Approval Process.</w:t>
      </w:r>
    </w:p>
    <w:p w14:paraId="1E6FE535" w14:textId="73BE5362" w:rsidR="003B694D" w:rsidRPr="00927CEE" w:rsidRDefault="003B694D" w:rsidP="003B694D">
      <w:pPr>
        <w:pStyle w:val="BodyNum"/>
        <w:rPr>
          <w:rFonts w:ascii="Open Sans" w:hAnsi="Open Sans" w:cs="Open Sans"/>
          <w:sz w:val="22"/>
          <w:szCs w:val="18"/>
        </w:rPr>
      </w:pPr>
      <w:r w:rsidRPr="00927CEE">
        <w:rPr>
          <w:rFonts w:ascii="Open Sans" w:hAnsi="Open Sans" w:cs="Open Sans"/>
          <w:sz w:val="22"/>
          <w:szCs w:val="18"/>
        </w:rPr>
        <w:t>For explanatory memorandums for Bills and parliamentary amendments, instructing agencies are responsible for arranging for printing and delivery to Parliament.</w:t>
      </w:r>
    </w:p>
    <w:p w14:paraId="69828526" w14:textId="66FDE582" w:rsidR="00DD0AC3" w:rsidRPr="00927CEE" w:rsidRDefault="00DD0AC3" w:rsidP="00DD0AC3">
      <w:pPr>
        <w:pStyle w:val="BodyNum"/>
        <w:rPr>
          <w:rFonts w:ascii="Open Sans" w:hAnsi="Open Sans" w:cs="Open Sans"/>
          <w:sz w:val="22"/>
          <w:szCs w:val="18"/>
        </w:rPr>
      </w:pPr>
      <w:r w:rsidRPr="00927CEE">
        <w:rPr>
          <w:rFonts w:ascii="Open Sans" w:hAnsi="Open Sans" w:cs="Open Sans"/>
          <w:sz w:val="22"/>
          <w:szCs w:val="18"/>
        </w:rPr>
        <w:lastRenderedPageBreak/>
        <w:t xml:space="preserve">Information and guidance relating to the </w:t>
      </w:r>
      <w:r w:rsidR="00C019D5" w:rsidRPr="00927CEE">
        <w:rPr>
          <w:rFonts w:ascii="Open Sans" w:hAnsi="Open Sans" w:cs="Open Sans"/>
          <w:sz w:val="22"/>
          <w:szCs w:val="18"/>
        </w:rPr>
        <w:t xml:space="preserve">timing, </w:t>
      </w:r>
      <w:r w:rsidRPr="00927CEE">
        <w:rPr>
          <w:rFonts w:ascii="Open Sans" w:hAnsi="Open Sans" w:cs="Open Sans"/>
          <w:sz w:val="22"/>
          <w:szCs w:val="18"/>
        </w:rPr>
        <w:t xml:space="preserve">form and content of explanatory </w:t>
      </w:r>
      <w:r w:rsidR="00D50728" w:rsidRPr="00927CEE">
        <w:rPr>
          <w:rFonts w:ascii="Open Sans" w:hAnsi="Open Sans" w:cs="Open Sans"/>
          <w:sz w:val="22"/>
          <w:szCs w:val="18"/>
        </w:rPr>
        <w:t>statements</w:t>
      </w:r>
      <w:r w:rsidRPr="00927CEE">
        <w:rPr>
          <w:rFonts w:ascii="Open Sans" w:hAnsi="Open Sans" w:cs="Open Sans"/>
          <w:sz w:val="22"/>
          <w:szCs w:val="18"/>
        </w:rPr>
        <w:t xml:space="preserve"> for </w:t>
      </w:r>
      <w:r w:rsidR="00D50728" w:rsidRPr="00927CEE">
        <w:rPr>
          <w:rFonts w:ascii="Open Sans" w:hAnsi="Open Sans" w:cs="Open Sans"/>
          <w:sz w:val="22"/>
          <w:szCs w:val="18"/>
        </w:rPr>
        <w:t xml:space="preserve">instruments </w:t>
      </w:r>
      <w:r w:rsidRPr="00927CEE">
        <w:rPr>
          <w:rFonts w:ascii="Open Sans" w:hAnsi="Open Sans" w:cs="Open Sans"/>
          <w:sz w:val="22"/>
          <w:szCs w:val="18"/>
        </w:rPr>
        <w:t>is available from the following sources:</w:t>
      </w:r>
    </w:p>
    <w:p w14:paraId="7DA57849" w14:textId="7B219FAB" w:rsidR="00D50728" w:rsidRPr="00927CEE" w:rsidRDefault="00133C70" w:rsidP="00133C70">
      <w:pPr>
        <w:pStyle w:val="BodyPara"/>
        <w:numPr>
          <w:ilvl w:val="0"/>
          <w:numId w:val="15"/>
        </w:numPr>
        <w:rPr>
          <w:rFonts w:ascii="Open Sans" w:hAnsi="Open Sans" w:cs="Open Sans"/>
          <w:sz w:val="22"/>
          <w:szCs w:val="18"/>
        </w:rPr>
      </w:pPr>
      <w:r w:rsidRPr="00927CEE">
        <w:rPr>
          <w:rFonts w:ascii="Open Sans" w:hAnsi="Open Sans" w:cs="Open Sans"/>
          <w:sz w:val="22"/>
          <w:szCs w:val="18"/>
        </w:rPr>
        <w:t xml:space="preserve">section 15J of the </w:t>
      </w:r>
      <w:r w:rsidRPr="00927CEE">
        <w:rPr>
          <w:rFonts w:ascii="Open Sans" w:hAnsi="Open Sans" w:cs="Open Sans"/>
          <w:i/>
          <w:sz w:val="22"/>
          <w:szCs w:val="18"/>
        </w:rPr>
        <w:t xml:space="preserve">Legislation Act 2003 </w:t>
      </w:r>
      <w:r w:rsidRPr="00927CEE">
        <w:rPr>
          <w:rFonts w:ascii="Open Sans" w:hAnsi="Open Sans" w:cs="Open Sans"/>
          <w:sz w:val="22"/>
          <w:szCs w:val="18"/>
        </w:rPr>
        <w:t xml:space="preserve">(available </w:t>
      </w:r>
      <w:r w:rsidR="00F14D0F" w:rsidRPr="00927CEE">
        <w:rPr>
          <w:rFonts w:ascii="Open Sans" w:hAnsi="Open Sans" w:cs="Open Sans"/>
          <w:sz w:val="22"/>
          <w:szCs w:val="18"/>
        </w:rPr>
        <w:t>at www.legislation.gov.au</w:t>
      </w:r>
      <w:r w:rsidRPr="00927CEE">
        <w:rPr>
          <w:rFonts w:ascii="Open Sans" w:hAnsi="Open Sans" w:cs="Open Sans"/>
          <w:sz w:val="22"/>
          <w:szCs w:val="18"/>
        </w:rPr>
        <w:t>);</w:t>
      </w:r>
    </w:p>
    <w:p w14:paraId="158A4B7C" w14:textId="3969B437" w:rsidR="00D50728" w:rsidRPr="00927CEE" w:rsidRDefault="001C7ABC" w:rsidP="00133C70">
      <w:pPr>
        <w:pStyle w:val="BodyPara"/>
        <w:numPr>
          <w:ilvl w:val="0"/>
          <w:numId w:val="15"/>
        </w:numPr>
        <w:rPr>
          <w:rFonts w:ascii="Open Sans" w:hAnsi="Open Sans" w:cs="Open Sans"/>
          <w:sz w:val="22"/>
          <w:szCs w:val="18"/>
        </w:rPr>
      </w:pPr>
      <w:r w:rsidRPr="00927CEE">
        <w:rPr>
          <w:rFonts w:ascii="Open Sans" w:hAnsi="Open Sans" w:cs="Open Sans"/>
          <w:sz w:val="22"/>
          <w:szCs w:val="18"/>
        </w:rPr>
        <w:t xml:space="preserve">the </w:t>
      </w:r>
      <w:r w:rsidR="00F14D0F" w:rsidRPr="00927CEE">
        <w:rPr>
          <w:rFonts w:ascii="Open Sans" w:hAnsi="Open Sans" w:cs="Open Sans"/>
          <w:sz w:val="22"/>
          <w:szCs w:val="18"/>
        </w:rPr>
        <w:t xml:space="preserve">Federal Executive Council Handbook (available on </w:t>
      </w:r>
      <w:proofErr w:type="spellStart"/>
      <w:r w:rsidR="00F14D0F" w:rsidRPr="00927CEE">
        <w:rPr>
          <w:rFonts w:ascii="Open Sans" w:hAnsi="Open Sans" w:cs="Open Sans"/>
          <w:sz w:val="22"/>
          <w:szCs w:val="18"/>
        </w:rPr>
        <w:t>PM&amp;C’s</w:t>
      </w:r>
      <w:proofErr w:type="spellEnd"/>
      <w:r w:rsidR="00F14D0F" w:rsidRPr="00927CEE">
        <w:rPr>
          <w:rFonts w:ascii="Open Sans" w:hAnsi="Open Sans" w:cs="Open Sans"/>
          <w:sz w:val="22"/>
          <w:szCs w:val="18"/>
        </w:rPr>
        <w:t xml:space="preserve"> website);</w:t>
      </w:r>
    </w:p>
    <w:p w14:paraId="14E2FD2D" w14:textId="2D979484" w:rsidR="00D50728" w:rsidRPr="00927CEE" w:rsidRDefault="001C7ABC" w:rsidP="00133C70">
      <w:pPr>
        <w:pStyle w:val="BodyPara"/>
        <w:numPr>
          <w:ilvl w:val="0"/>
          <w:numId w:val="15"/>
        </w:numPr>
        <w:rPr>
          <w:rFonts w:ascii="Open Sans" w:hAnsi="Open Sans" w:cs="Open Sans"/>
          <w:sz w:val="22"/>
          <w:szCs w:val="18"/>
        </w:rPr>
      </w:pPr>
      <w:r w:rsidRPr="00927CEE">
        <w:rPr>
          <w:rFonts w:ascii="Open Sans" w:hAnsi="Open Sans" w:cs="Open Sans"/>
          <w:sz w:val="22"/>
          <w:szCs w:val="18"/>
        </w:rPr>
        <w:t xml:space="preserve">the </w:t>
      </w:r>
      <w:r w:rsidR="00F14D0F" w:rsidRPr="00927CEE">
        <w:rPr>
          <w:rFonts w:ascii="Open Sans" w:hAnsi="Open Sans" w:cs="Open Sans"/>
          <w:sz w:val="22"/>
          <w:szCs w:val="18"/>
        </w:rPr>
        <w:t xml:space="preserve">Instruments Handbook (available on </w:t>
      </w:r>
      <w:proofErr w:type="spellStart"/>
      <w:r w:rsidR="00133C70" w:rsidRPr="00927CEE">
        <w:rPr>
          <w:rFonts w:ascii="Open Sans" w:hAnsi="Open Sans" w:cs="Open Sans"/>
          <w:sz w:val="22"/>
          <w:szCs w:val="18"/>
        </w:rPr>
        <w:t>OPC</w:t>
      </w:r>
      <w:r w:rsidR="00F14D0F" w:rsidRPr="00927CEE">
        <w:rPr>
          <w:rFonts w:ascii="Open Sans" w:hAnsi="Open Sans" w:cs="Open Sans"/>
          <w:sz w:val="22"/>
          <w:szCs w:val="18"/>
        </w:rPr>
        <w:t>’s</w:t>
      </w:r>
      <w:proofErr w:type="spellEnd"/>
      <w:r w:rsidR="00F14D0F" w:rsidRPr="00927CEE">
        <w:rPr>
          <w:rFonts w:ascii="Open Sans" w:hAnsi="Open Sans" w:cs="Open Sans"/>
          <w:sz w:val="22"/>
          <w:szCs w:val="18"/>
        </w:rPr>
        <w:t xml:space="preserve"> website);</w:t>
      </w:r>
    </w:p>
    <w:p w14:paraId="13C5F4B5" w14:textId="576E4E42" w:rsidR="00133C70" w:rsidRPr="00927CEE" w:rsidRDefault="00F14D0F" w:rsidP="00133C70">
      <w:pPr>
        <w:pStyle w:val="BodyPara"/>
        <w:numPr>
          <w:ilvl w:val="0"/>
          <w:numId w:val="15"/>
        </w:numPr>
        <w:rPr>
          <w:rFonts w:ascii="Open Sans" w:hAnsi="Open Sans" w:cs="Open Sans"/>
          <w:sz w:val="22"/>
          <w:szCs w:val="18"/>
        </w:rPr>
      </w:pPr>
      <w:r w:rsidRPr="00927CEE">
        <w:rPr>
          <w:rFonts w:ascii="Open Sans" w:hAnsi="Open Sans" w:cs="Open Sans"/>
          <w:sz w:val="22"/>
          <w:szCs w:val="18"/>
        </w:rPr>
        <w:t xml:space="preserve">guidelines </w:t>
      </w:r>
      <w:r w:rsidR="00133C70" w:rsidRPr="00927CEE">
        <w:rPr>
          <w:rFonts w:ascii="Open Sans" w:hAnsi="Open Sans" w:cs="Open Sans"/>
          <w:sz w:val="22"/>
          <w:szCs w:val="18"/>
        </w:rPr>
        <w:t>published by the Senate Standing Committee for the Scrutiny of Delegated Legislation</w:t>
      </w:r>
      <w:r w:rsidRPr="00927CEE">
        <w:rPr>
          <w:rFonts w:ascii="Open Sans" w:hAnsi="Open Sans" w:cs="Open Sans"/>
          <w:sz w:val="22"/>
          <w:szCs w:val="18"/>
        </w:rPr>
        <w:t xml:space="preserve"> (available on the Committee’s website).</w:t>
      </w:r>
    </w:p>
    <w:p w14:paraId="19F446FF" w14:textId="6D5E8DE6" w:rsidR="00FC1281" w:rsidRPr="00927CEE" w:rsidRDefault="00FF106D" w:rsidP="00D80E32">
      <w:pPr>
        <w:pStyle w:val="BodyNum"/>
        <w:spacing w:after="240"/>
        <w:rPr>
          <w:rFonts w:ascii="Open Sans" w:hAnsi="Open Sans" w:cs="Open Sans"/>
          <w:sz w:val="22"/>
          <w:szCs w:val="18"/>
        </w:rPr>
      </w:pPr>
      <w:r w:rsidRPr="00927CEE">
        <w:rPr>
          <w:rFonts w:ascii="Open Sans" w:hAnsi="Open Sans" w:cs="Open Sans"/>
          <w:sz w:val="22"/>
          <w:szCs w:val="18"/>
        </w:rPr>
        <w:t>Instructing agencies are required to lodge explanatory statements for legislative instruments with OPC (</w:t>
      </w:r>
      <w:r w:rsidR="001C7ABC" w:rsidRPr="00927CEE">
        <w:rPr>
          <w:rFonts w:ascii="Open Sans" w:hAnsi="Open Sans" w:cs="Open Sans"/>
          <w:sz w:val="22"/>
          <w:szCs w:val="18"/>
        </w:rPr>
        <w:t xml:space="preserve">see </w:t>
      </w:r>
      <w:r w:rsidRPr="00927CEE">
        <w:rPr>
          <w:rFonts w:ascii="Open Sans" w:hAnsi="Open Sans" w:cs="Open Sans"/>
          <w:sz w:val="22"/>
          <w:szCs w:val="18"/>
        </w:rPr>
        <w:t xml:space="preserve">section 15G of the </w:t>
      </w:r>
      <w:r w:rsidRPr="00927CEE">
        <w:rPr>
          <w:rFonts w:ascii="Open Sans" w:hAnsi="Open Sans" w:cs="Open Sans"/>
          <w:i/>
          <w:iCs/>
          <w:sz w:val="22"/>
          <w:szCs w:val="18"/>
        </w:rPr>
        <w:t>Legislation Act 2003</w:t>
      </w:r>
      <w:r w:rsidRPr="00927CEE">
        <w:rPr>
          <w:rFonts w:ascii="Open Sans" w:hAnsi="Open Sans" w:cs="Open Sans"/>
          <w:sz w:val="22"/>
          <w:szCs w:val="18"/>
        </w:rPr>
        <w:t>).</w:t>
      </w:r>
    </w:p>
    <w:p w14:paraId="1AC41A53" w14:textId="31E42F38" w:rsidR="0001301D" w:rsidRPr="00927CEE" w:rsidRDefault="0001301D" w:rsidP="00FC1281">
      <w:pPr>
        <w:pStyle w:val="Heading2"/>
        <w:rPr>
          <w:rFonts w:ascii="Open Sans ExtraBold" w:hAnsi="Open Sans ExtraBold" w:cs="Open Sans ExtraBold"/>
          <w:color w:val="084D5E"/>
          <w:sz w:val="24"/>
          <w:szCs w:val="24"/>
        </w:rPr>
      </w:pPr>
      <w:proofErr w:type="spellStart"/>
      <w:r w:rsidRPr="00927CEE">
        <w:rPr>
          <w:rFonts w:ascii="Open Sans ExtraBold" w:hAnsi="Open Sans ExtraBold" w:cs="Open Sans ExtraBold"/>
          <w:color w:val="084D5E"/>
          <w:sz w:val="24"/>
          <w:szCs w:val="24"/>
        </w:rPr>
        <w:t>OPC’s</w:t>
      </w:r>
      <w:proofErr w:type="spellEnd"/>
      <w:r w:rsidRPr="00927CEE">
        <w:rPr>
          <w:rFonts w:ascii="Open Sans ExtraBold" w:hAnsi="Open Sans ExtraBold" w:cs="Open Sans ExtraBold"/>
          <w:color w:val="084D5E"/>
          <w:sz w:val="24"/>
          <w:szCs w:val="24"/>
        </w:rPr>
        <w:t xml:space="preserve"> role</w:t>
      </w:r>
    </w:p>
    <w:p w14:paraId="6EDC1C2D" w14:textId="76873353" w:rsidR="0001301D" w:rsidRPr="00927CEE" w:rsidRDefault="0001301D" w:rsidP="0001301D">
      <w:pPr>
        <w:pStyle w:val="BodyNum"/>
        <w:rPr>
          <w:rFonts w:ascii="Open Sans" w:hAnsi="Open Sans" w:cs="Open Sans"/>
          <w:sz w:val="22"/>
          <w:szCs w:val="18"/>
        </w:rPr>
      </w:pPr>
      <w:r w:rsidRPr="00927CEE">
        <w:rPr>
          <w:rFonts w:ascii="Open Sans" w:hAnsi="Open Sans" w:cs="Open Sans"/>
          <w:sz w:val="22"/>
          <w:szCs w:val="18"/>
        </w:rPr>
        <w:t>OPC is not involved in preparing</w:t>
      </w:r>
      <w:r w:rsidR="00E65E04" w:rsidRPr="00927CEE">
        <w:rPr>
          <w:rFonts w:ascii="Open Sans" w:hAnsi="Open Sans" w:cs="Open Sans"/>
          <w:sz w:val="22"/>
          <w:szCs w:val="18"/>
        </w:rPr>
        <w:t>, reviewing</w:t>
      </w:r>
      <w:r w:rsidRPr="00927CEE">
        <w:rPr>
          <w:rFonts w:ascii="Open Sans" w:hAnsi="Open Sans" w:cs="Open Sans"/>
          <w:sz w:val="22"/>
          <w:szCs w:val="18"/>
        </w:rPr>
        <w:t xml:space="preserve"> or settling explanatory memorandums or explanatory statements.</w:t>
      </w:r>
    </w:p>
    <w:p w14:paraId="1B6F8D17" w14:textId="1D2E1545" w:rsidR="00133C70" w:rsidRPr="00927CEE" w:rsidRDefault="00566C31" w:rsidP="00D80E32">
      <w:pPr>
        <w:pStyle w:val="BodyNum"/>
        <w:spacing w:after="240"/>
        <w:rPr>
          <w:rFonts w:ascii="Open Sans" w:hAnsi="Open Sans" w:cs="Open Sans"/>
          <w:sz w:val="22"/>
          <w:szCs w:val="18"/>
        </w:rPr>
      </w:pPr>
      <w:r w:rsidRPr="00927CEE">
        <w:rPr>
          <w:rFonts w:ascii="Open Sans" w:hAnsi="Open Sans" w:cs="Open Sans"/>
          <w:sz w:val="22"/>
          <w:szCs w:val="18"/>
        </w:rPr>
        <w:t xml:space="preserve">The content of the </w:t>
      </w:r>
      <w:r w:rsidR="00133C70" w:rsidRPr="00927CEE">
        <w:rPr>
          <w:rFonts w:ascii="Open Sans" w:hAnsi="Open Sans" w:cs="Open Sans"/>
          <w:sz w:val="22"/>
          <w:szCs w:val="18"/>
        </w:rPr>
        <w:t>explanatory memorandum or explanatory statement is the responsibility of the instructing agency</w:t>
      </w:r>
      <w:r w:rsidRPr="00927CEE">
        <w:rPr>
          <w:rFonts w:ascii="Open Sans" w:hAnsi="Open Sans" w:cs="Open Sans"/>
          <w:sz w:val="22"/>
          <w:szCs w:val="18"/>
        </w:rPr>
        <w:t>. However</w:t>
      </w:r>
      <w:r w:rsidR="00133C70" w:rsidRPr="00927CEE">
        <w:rPr>
          <w:rFonts w:ascii="Open Sans" w:hAnsi="Open Sans" w:cs="Open Sans"/>
          <w:sz w:val="22"/>
          <w:szCs w:val="18"/>
        </w:rPr>
        <w:t xml:space="preserve">, </w:t>
      </w:r>
      <w:r w:rsidRPr="00927CEE">
        <w:rPr>
          <w:rFonts w:ascii="Open Sans" w:hAnsi="Open Sans" w:cs="Open Sans"/>
          <w:sz w:val="22"/>
          <w:szCs w:val="18"/>
        </w:rPr>
        <w:t xml:space="preserve">legislative </w:t>
      </w:r>
      <w:r w:rsidR="00133C70" w:rsidRPr="00927CEE">
        <w:rPr>
          <w:rFonts w:ascii="Open Sans" w:hAnsi="Open Sans" w:cs="Open Sans"/>
          <w:sz w:val="22"/>
          <w:szCs w:val="18"/>
        </w:rPr>
        <w:t xml:space="preserve">drafters </w:t>
      </w:r>
      <w:r w:rsidR="00C65358" w:rsidRPr="00927CEE">
        <w:rPr>
          <w:rFonts w:ascii="Open Sans" w:hAnsi="Open Sans" w:cs="Open Sans"/>
          <w:sz w:val="22"/>
          <w:szCs w:val="18"/>
        </w:rPr>
        <w:t xml:space="preserve">assist by including </w:t>
      </w:r>
      <w:r w:rsidR="00BA1479" w:rsidRPr="00927CEE">
        <w:rPr>
          <w:rFonts w:ascii="Open Sans" w:hAnsi="Open Sans" w:cs="Open Sans"/>
          <w:sz w:val="22"/>
          <w:szCs w:val="18"/>
        </w:rPr>
        <w:t xml:space="preserve">notes in draft legislation identifying </w:t>
      </w:r>
      <w:r w:rsidR="00133C70" w:rsidRPr="00927CEE">
        <w:rPr>
          <w:rFonts w:ascii="Open Sans" w:hAnsi="Open Sans" w:cs="Open Sans"/>
          <w:sz w:val="22"/>
          <w:szCs w:val="18"/>
        </w:rPr>
        <w:t xml:space="preserve">particular matters that should be explained in the </w:t>
      </w:r>
      <w:r w:rsidRPr="00927CEE">
        <w:rPr>
          <w:rFonts w:ascii="Open Sans" w:hAnsi="Open Sans" w:cs="Open Sans"/>
          <w:sz w:val="22"/>
          <w:szCs w:val="18"/>
        </w:rPr>
        <w:t>explanatory memorandum or explanatory statement</w:t>
      </w:r>
      <w:r w:rsidR="003B694D" w:rsidRPr="00927CEE">
        <w:rPr>
          <w:rFonts w:ascii="Open Sans" w:hAnsi="Open Sans" w:cs="Open Sans"/>
          <w:sz w:val="22"/>
          <w:szCs w:val="18"/>
        </w:rPr>
        <w:t xml:space="preserve">, particularly </w:t>
      </w:r>
      <w:r w:rsidR="00E62118" w:rsidRPr="00927CEE">
        <w:rPr>
          <w:rFonts w:ascii="Open Sans" w:hAnsi="Open Sans" w:cs="Open Sans"/>
          <w:sz w:val="22"/>
          <w:szCs w:val="18"/>
        </w:rPr>
        <w:t xml:space="preserve">on matters of </w:t>
      </w:r>
      <w:r w:rsidR="00133C70" w:rsidRPr="00927CEE">
        <w:rPr>
          <w:rFonts w:ascii="Open Sans" w:hAnsi="Open Sans" w:cs="Open Sans"/>
          <w:sz w:val="22"/>
          <w:szCs w:val="18"/>
        </w:rPr>
        <w:t>possible concern</w:t>
      </w:r>
      <w:r w:rsidR="00E62118" w:rsidRPr="00927CEE">
        <w:rPr>
          <w:rFonts w:ascii="Open Sans" w:hAnsi="Open Sans" w:cs="Open Sans"/>
          <w:sz w:val="22"/>
          <w:szCs w:val="18"/>
        </w:rPr>
        <w:t xml:space="preserve"> to </w:t>
      </w:r>
      <w:r w:rsidR="00133C70" w:rsidRPr="00927CEE">
        <w:rPr>
          <w:rFonts w:ascii="Open Sans" w:hAnsi="Open Sans" w:cs="Open Sans"/>
          <w:sz w:val="22"/>
          <w:szCs w:val="18"/>
        </w:rPr>
        <w:t xml:space="preserve">the Senate Standing Committee for </w:t>
      </w:r>
      <w:r w:rsidR="006504EF" w:rsidRPr="00927CEE">
        <w:rPr>
          <w:rFonts w:ascii="Open Sans" w:hAnsi="Open Sans" w:cs="Open Sans"/>
          <w:sz w:val="22"/>
          <w:szCs w:val="18"/>
        </w:rPr>
        <w:t xml:space="preserve">the </w:t>
      </w:r>
      <w:r w:rsidR="00133C70" w:rsidRPr="00927CEE">
        <w:rPr>
          <w:rFonts w:ascii="Open Sans" w:hAnsi="Open Sans" w:cs="Open Sans"/>
          <w:sz w:val="22"/>
          <w:szCs w:val="18"/>
        </w:rPr>
        <w:t>Scrutiny of Bills or the Senate Standing Committee for the Scrutiny of Delegated Legislation.</w:t>
      </w:r>
      <w:r w:rsidR="00C65358" w:rsidRPr="00927CEE">
        <w:rPr>
          <w:rFonts w:ascii="Open Sans" w:hAnsi="Open Sans" w:cs="Open Sans"/>
          <w:sz w:val="22"/>
          <w:szCs w:val="18"/>
        </w:rPr>
        <w:t xml:space="preserve"> These notes will be retained until a near final version of the draft legislation</w:t>
      </w:r>
      <w:r w:rsidR="00907D12" w:rsidRPr="00927CEE">
        <w:rPr>
          <w:rFonts w:ascii="Open Sans" w:hAnsi="Open Sans" w:cs="Open Sans"/>
          <w:sz w:val="22"/>
          <w:szCs w:val="18"/>
        </w:rPr>
        <w:t xml:space="preserve">, </w:t>
      </w:r>
      <w:r w:rsidR="006504EF" w:rsidRPr="00927CEE">
        <w:rPr>
          <w:rFonts w:ascii="Open Sans" w:hAnsi="Open Sans" w:cs="Open Sans"/>
          <w:sz w:val="22"/>
          <w:szCs w:val="18"/>
        </w:rPr>
        <w:t xml:space="preserve">and will be </w:t>
      </w:r>
      <w:r w:rsidR="00907D12" w:rsidRPr="00927CEE">
        <w:rPr>
          <w:rFonts w:ascii="Open Sans" w:hAnsi="Open Sans" w:cs="Open Sans"/>
          <w:sz w:val="22"/>
          <w:szCs w:val="18"/>
        </w:rPr>
        <w:t xml:space="preserve">removed before </w:t>
      </w:r>
      <w:r w:rsidR="00AD2136" w:rsidRPr="00927CEE">
        <w:rPr>
          <w:rFonts w:ascii="Open Sans" w:hAnsi="Open Sans" w:cs="Open Sans"/>
          <w:sz w:val="22"/>
          <w:szCs w:val="18"/>
        </w:rPr>
        <w:t>the Bill is introduced or the instrument is signed</w:t>
      </w:r>
      <w:r w:rsidR="00C65358" w:rsidRPr="00927CEE">
        <w:rPr>
          <w:rFonts w:ascii="Open Sans" w:hAnsi="Open Sans" w:cs="Open Sans"/>
          <w:sz w:val="22"/>
          <w:szCs w:val="18"/>
        </w:rPr>
        <w:t>.</w:t>
      </w:r>
    </w:p>
    <w:p w14:paraId="6D736BD8" w14:textId="77777777" w:rsidR="00133C70" w:rsidRPr="00927CEE" w:rsidRDefault="00133C70" w:rsidP="00FC1281">
      <w:pPr>
        <w:pStyle w:val="Heading2"/>
        <w:rPr>
          <w:rFonts w:ascii="Open Sans ExtraBold" w:hAnsi="Open Sans ExtraBold" w:cs="Open Sans ExtraBold"/>
          <w:color w:val="084D5E"/>
          <w:sz w:val="24"/>
          <w:szCs w:val="24"/>
        </w:rPr>
      </w:pPr>
      <w:bookmarkStart w:id="2" w:name="_Toc104390489"/>
      <w:r w:rsidRPr="00927CEE">
        <w:rPr>
          <w:rFonts w:ascii="Open Sans ExtraBold" w:hAnsi="Open Sans ExtraBold" w:cs="Open Sans ExtraBold"/>
          <w:color w:val="084D5E"/>
          <w:sz w:val="24"/>
          <w:szCs w:val="24"/>
        </w:rPr>
        <w:t>Statements of compatibility with human rights</w:t>
      </w:r>
      <w:bookmarkEnd w:id="2"/>
    </w:p>
    <w:p w14:paraId="7FFD228B" w14:textId="77777777" w:rsidR="00133C70" w:rsidRPr="00927CEE" w:rsidRDefault="00133C70" w:rsidP="00133C70">
      <w:pPr>
        <w:pStyle w:val="BodyNum"/>
        <w:rPr>
          <w:rFonts w:ascii="Open Sans" w:hAnsi="Open Sans" w:cs="Open Sans"/>
          <w:sz w:val="22"/>
          <w:szCs w:val="18"/>
        </w:rPr>
      </w:pPr>
      <w:r w:rsidRPr="00927CEE">
        <w:rPr>
          <w:rFonts w:ascii="Open Sans" w:hAnsi="Open Sans" w:cs="Open Sans"/>
          <w:sz w:val="22"/>
          <w:szCs w:val="18"/>
        </w:rPr>
        <w:t xml:space="preserve">The </w:t>
      </w:r>
      <w:r w:rsidRPr="00927CEE">
        <w:rPr>
          <w:rFonts w:ascii="Open Sans" w:hAnsi="Open Sans" w:cs="Open Sans"/>
          <w:i/>
          <w:sz w:val="22"/>
          <w:szCs w:val="18"/>
        </w:rPr>
        <w:t>Human Rights (Parliamentary Scrutiny) Act 2011</w:t>
      </w:r>
      <w:r w:rsidRPr="00927CEE">
        <w:rPr>
          <w:rFonts w:ascii="Open Sans" w:hAnsi="Open Sans" w:cs="Open Sans"/>
          <w:sz w:val="22"/>
          <w:szCs w:val="18"/>
        </w:rPr>
        <w:t xml:space="preserve"> requires a statement of compatibility to accompany all Bills when they are introduced into Parliament (this is usually done by incorporating the statement into the explanatory memorandum for the Bill), and to be included in the explanatory statement for all disallowable legislative instruments. A statement of compatibility is an assessment of whether the Bill or instrument is compatible with Australia’s human rights obligations under 7 core international human rights treaties to which Australia is a party.</w:t>
      </w:r>
    </w:p>
    <w:p w14:paraId="611500B7" w14:textId="2B56E20A" w:rsidR="00907D12" w:rsidRPr="00927CEE" w:rsidRDefault="00133C70" w:rsidP="00133C70">
      <w:pPr>
        <w:pStyle w:val="BodyNum"/>
        <w:rPr>
          <w:rFonts w:ascii="Open Sans" w:hAnsi="Open Sans" w:cs="Open Sans"/>
          <w:sz w:val="22"/>
          <w:szCs w:val="18"/>
        </w:rPr>
      </w:pPr>
      <w:r w:rsidRPr="00927CEE">
        <w:rPr>
          <w:rFonts w:ascii="Open Sans" w:hAnsi="Open Sans" w:cs="Open Sans"/>
          <w:sz w:val="22"/>
          <w:szCs w:val="18"/>
        </w:rPr>
        <w:t>The instructing agency is responsible for preparing the statement of compatibility. OPC is not involved in preparing</w:t>
      </w:r>
      <w:r w:rsidR="00E65E04" w:rsidRPr="00927CEE">
        <w:rPr>
          <w:rFonts w:ascii="Open Sans" w:hAnsi="Open Sans" w:cs="Open Sans"/>
          <w:sz w:val="22"/>
          <w:szCs w:val="18"/>
        </w:rPr>
        <w:t>, reviewing</w:t>
      </w:r>
      <w:r w:rsidRPr="00927CEE">
        <w:rPr>
          <w:rFonts w:ascii="Open Sans" w:hAnsi="Open Sans" w:cs="Open Sans"/>
          <w:sz w:val="22"/>
          <w:szCs w:val="18"/>
        </w:rPr>
        <w:t xml:space="preserve"> or settling it.</w:t>
      </w:r>
    </w:p>
    <w:p w14:paraId="35ECBE43" w14:textId="60958EF2" w:rsidR="00B90771" w:rsidRPr="00927CEE" w:rsidRDefault="00B90771" w:rsidP="00B90771">
      <w:pPr>
        <w:pStyle w:val="BodyNum"/>
        <w:rPr>
          <w:rFonts w:ascii="Open Sans" w:hAnsi="Open Sans" w:cs="Open Sans"/>
          <w:sz w:val="22"/>
          <w:szCs w:val="18"/>
        </w:rPr>
      </w:pPr>
      <w:r w:rsidRPr="00927CEE">
        <w:rPr>
          <w:rFonts w:ascii="Open Sans" w:hAnsi="Open Sans" w:cs="Open Sans"/>
          <w:sz w:val="22"/>
          <w:szCs w:val="18"/>
        </w:rPr>
        <w:t>Information and guidance relating to statements of compatibility with human rights is available from the following sources:</w:t>
      </w:r>
    </w:p>
    <w:p w14:paraId="6948B098" w14:textId="2A73C481" w:rsidR="003027DC" w:rsidRPr="00927CEE" w:rsidRDefault="003027DC" w:rsidP="003027DC">
      <w:pPr>
        <w:pStyle w:val="BodyPara"/>
        <w:numPr>
          <w:ilvl w:val="0"/>
          <w:numId w:val="15"/>
        </w:numPr>
        <w:rPr>
          <w:rFonts w:ascii="Open Sans" w:hAnsi="Open Sans" w:cs="Open Sans"/>
          <w:sz w:val="22"/>
          <w:szCs w:val="18"/>
        </w:rPr>
      </w:pPr>
      <w:r w:rsidRPr="00927CEE">
        <w:rPr>
          <w:rFonts w:ascii="Open Sans" w:hAnsi="Open Sans" w:cs="Open Sans"/>
          <w:sz w:val="22"/>
          <w:szCs w:val="18"/>
        </w:rPr>
        <w:t>tools for assessing compatibility with human rights provided by the Attorney</w:t>
      </w:r>
      <w:r w:rsidR="0003011C" w:rsidRPr="00927CEE">
        <w:rPr>
          <w:rFonts w:ascii="Open Sans" w:hAnsi="Open Sans" w:cs="Open Sans"/>
          <w:sz w:val="22"/>
          <w:szCs w:val="18"/>
        </w:rPr>
        <w:noBreakHyphen/>
      </w:r>
      <w:r w:rsidRPr="00927CEE">
        <w:rPr>
          <w:rFonts w:ascii="Open Sans" w:hAnsi="Open Sans" w:cs="Open Sans"/>
          <w:sz w:val="22"/>
          <w:szCs w:val="18"/>
        </w:rPr>
        <w:t>General’s Department (available on the Department’s website);</w:t>
      </w:r>
    </w:p>
    <w:p w14:paraId="2D23300C" w14:textId="73E8A907" w:rsidR="00133C70" w:rsidRPr="00927CEE" w:rsidRDefault="00B90771" w:rsidP="00D80E32">
      <w:pPr>
        <w:pStyle w:val="BodyPara"/>
        <w:numPr>
          <w:ilvl w:val="0"/>
          <w:numId w:val="15"/>
        </w:numPr>
        <w:spacing w:after="240"/>
        <w:rPr>
          <w:rFonts w:ascii="Open Sans" w:hAnsi="Open Sans" w:cs="Open Sans"/>
          <w:sz w:val="22"/>
          <w:szCs w:val="18"/>
        </w:rPr>
      </w:pPr>
      <w:r w:rsidRPr="00927CEE">
        <w:rPr>
          <w:rFonts w:ascii="Open Sans" w:hAnsi="Open Sans" w:cs="Open Sans"/>
          <w:sz w:val="22"/>
          <w:szCs w:val="18"/>
        </w:rPr>
        <w:lastRenderedPageBreak/>
        <w:t>material issued by t</w:t>
      </w:r>
      <w:r w:rsidR="00133C70" w:rsidRPr="00927CEE">
        <w:rPr>
          <w:rFonts w:ascii="Open Sans" w:hAnsi="Open Sans" w:cs="Open Sans"/>
          <w:sz w:val="22"/>
          <w:szCs w:val="18"/>
        </w:rPr>
        <w:t xml:space="preserve">he Parliamentary Joint Committee on Human Rights (available on the </w:t>
      </w:r>
      <w:r w:rsidR="00907D12" w:rsidRPr="00927CEE">
        <w:rPr>
          <w:rFonts w:ascii="Open Sans" w:hAnsi="Open Sans" w:cs="Open Sans"/>
          <w:sz w:val="22"/>
          <w:szCs w:val="18"/>
        </w:rPr>
        <w:t>Committee’s website</w:t>
      </w:r>
      <w:r w:rsidR="00133C70" w:rsidRPr="00927CEE">
        <w:rPr>
          <w:rFonts w:ascii="Open Sans" w:hAnsi="Open Sans" w:cs="Open Sans"/>
          <w:sz w:val="22"/>
          <w:szCs w:val="18"/>
        </w:rPr>
        <w:t>)</w:t>
      </w:r>
      <w:r w:rsidR="003027DC" w:rsidRPr="00927CEE">
        <w:rPr>
          <w:rFonts w:ascii="Open Sans" w:hAnsi="Open Sans" w:cs="Open Sans"/>
          <w:sz w:val="22"/>
          <w:szCs w:val="18"/>
        </w:rPr>
        <w:t>.</w:t>
      </w:r>
    </w:p>
    <w:p w14:paraId="4BB53067" w14:textId="77777777" w:rsidR="00133C70" w:rsidRPr="00927CEE" w:rsidRDefault="00133C70" w:rsidP="00FC1281">
      <w:pPr>
        <w:pStyle w:val="Heading2"/>
        <w:rPr>
          <w:rFonts w:ascii="Open Sans ExtraBold" w:hAnsi="Open Sans ExtraBold" w:cs="Open Sans ExtraBold"/>
          <w:color w:val="084D5E"/>
          <w:sz w:val="24"/>
          <w:szCs w:val="24"/>
        </w:rPr>
      </w:pPr>
      <w:bookmarkStart w:id="3" w:name="_Toc104390490"/>
      <w:r w:rsidRPr="00927CEE">
        <w:rPr>
          <w:rFonts w:ascii="Open Sans ExtraBold" w:hAnsi="Open Sans ExtraBold" w:cs="Open Sans ExtraBold"/>
          <w:color w:val="084D5E"/>
          <w:sz w:val="24"/>
          <w:szCs w:val="24"/>
        </w:rPr>
        <w:t>Other documents</w:t>
      </w:r>
      <w:bookmarkEnd w:id="3"/>
    </w:p>
    <w:p w14:paraId="010ECD6B" w14:textId="24FBB045" w:rsidR="00133C70" w:rsidRPr="00927CEE" w:rsidRDefault="00133C70" w:rsidP="00133C70">
      <w:pPr>
        <w:pStyle w:val="BodyNum"/>
        <w:rPr>
          <w:rFonts w:ascii="Open Sans" w:hAnsi="Open Sans" w:cs="Open Sans"/>
          <w:sz w:val="22"/>
          <w:szCs w:val="22"/>
        </w:rPr>
      </w:pPr>
      <w:r w:rsidRPr="00927CEE">
        <w:rPr>
          <w:rFonts w:ascii="Open Sans" w:hAnsi="Open Sans" w:cs="Open Sans"/>
          <w:sz w:val="22"/>
          <w:szCs w:val="22"/>
        </w:rPr>
        <w:t xml:space="preserve">Various other documents are required to be prepared in relation to Bills (and parliamentary amendments), and </w:t>
      </w:r>
      <w:r w:rsidR="0003011C" w:rsidRPr="00927CEE">
        <w:rPr>
          <w:rFonts w:ascii="Open Sans" w:hAnsi="Open Sans" w:cs="Open Sans"/>
          <w:sz w:val="22"/>
          <w:szCs w:val="22"/>
        </w:rPr>
        <w:t>Executive Council</w:t>
      </w:r>
      <w:r w:rsidRPr="00927CEE">
        <w:rPr>
          <w:rFonts w:ascii="Open Sans" w:hAnsi="Open Sans" w:cs="Open Sans"/>
          <w:sz w:val="22"/>
          <w:szCs w:val="22"/>
        </w:rPr>
        <w:t xml:space="preserve"> instruments. For more information, see</w:t>
      </w:r>
      <w:r w:rsidR="005A3023" w:rsidRPr="00927CEE">
        <w:rPr>
          <w:rFonts w:ascii="Open Sans" w:hAnsi="Open Sans" w:cs="Open Sans"/>
          <w:sz w:val="22"/>
          <w:szCs w:val="22"/>
        </w:rPr>
        <w:t xml:space="preserve"> the following documents (available on </w:t>
      </w:r>
      <w:proofErr w:type="spellStart"/>
      <w:r w:rsidR="005A3023" w:rsidRPr="00927CEE">
        <w:rPr>
          <w:rFonts w:ascii="Open Sans" w:hAnsi="Open Sans" w:cs="Open Sans"/>
          <w:sz w:val="22"/>
          <w:szCs w:val="22"/>
        </w:rPr>
        <w:t>PM&amp;C’s</w:t>
      </w:r>
      <w:proofErr w:type="spellEnd"/>
      <w:r w:rsidR="005A3023" w:rsidRPr="00927CEE">
        <w:rPr>
          <w:rFonts w:ascii="Open Sans" w:hAnsi="Open Sans" w:cs="Open Sans"/>
          <w:sz w:val="22"/>
          <w:szCs w:val="22"/>
        </w:rPr>
        <w:t xml:space="preserve"> website)</w:t>
      </w:r>
      <w:r w:rsidRPr="00927CEE">
        <w:rPr>
          <w:rFonts w:ascii="Open Sans" w:hAnsi="Open Sans" w:cs="Open Sans"/>
          <w:sz w:val="22"/>
          <w:szCs w:val="22"/>
        </w:rPr>
        <w:t>:</w:t>
      </w:r>
    </w:p>
    <w:p w14:paraId="2FEB27DC" w14:textId="2F081CE2" w:rsidR="00133C70" w:rsidRPr="00927CEE" w:rsidRDefault="00133C70" w:rsidP="00133C70">
      <w:pPr>
        <w:pStyle w:val="BodyPara"/>
        <w:rPr>
          <w:rFonts w:ascii="Open Sans" w:hAnsi="Open Sans" w:cs="Open Sans"/>
          <w:sz w:val="22"/>
          <w:szCs w:val="22"/>
        </w:rPr>
      </w:pPr>
      <w:r w:rsidRPr="00927CEE">
        <w:rPr>
          <w:rFonts w:ascii="Open Sans" w:hAnsi="Open Sans" w:cs="Open Sans"/>
          <w:sz w:val="22"/>
          <w:szCs w:val="22"/>
        </w:rPr>
        <w:t xml:space="preserve">for Bills—the </w:t>
      </w:r>
      <w:r w:rsidR="005A3023" w:rsidRPr="00927CEE">
        <w:rPr>
          <w:rFonts w:ascii="Open Sans" w:hAnsi="Open Sans" w:cs="Open Sans"/>
          <w:sz w:val="22"/>
          <w:szCs w:val="22"/>
        </w:rPr>
        <w:t>Legislation Handbook</w:t>
      </w:r>
      <w:r w:rsidRPr="00927CEE">
        <w:rPr>
          <w:rFonts w:ascii="Open Sans" w:hAnsi="Open Sans" w:cs="Open Sans"/>
          <w:sz w:val="22"/>
          <w:szCs w:val="22"/>
        </w:rPr>
        <w:t xml:space="preserve">; </w:t>
      </w:r>
    </w:p>
    <w:p w14:paraId="6B650048" w14:textId="48D8244E" w:rsidR="00133C70" w:rsidRPr="00927CEE" w:rsidRDefault="00133C70" w:rsidP="00133C70">
      <w:pPr>
        <w:pStyle w:val="BodyPara"/>
        <w:rPr>
          <w:rFonts w:ascii="Open Sans" w:hAnsi="Open Sans" w:cs="Open Sans"/>
          <w:sz w:val="22"/>
          <w:szCs w:val="22"/>
        </w:rPr>
      </w:pPr>
      <w:r w:rsidRPr="00927CEE">
        <w:rPr>
          <w:rFonts w:ascii="Open Sans" w:hAnsi="Open Sans" w:cs="Open Sans"/>
          <w:sz w:val="22"/>
          <w:szCs w:val="22"/>
        </w:rPr>
        <w:t xml:space="preserve">for </w:t>
      </w:r>
      <w:r w:rsidR="0003011C" w:rsidRPr="00927CEE">
        <w:rPr>
          <w:rFonts w:ascii="Open Sans" w:hAnsi="Open Sans" w:cs="Open Sans"/>
          <w:sz w:val="22"/>
          <w:szCs w:val="22"/>
        </w:rPr>
        <w:t xml:space="preserve">Executive Council </w:t>
      </w:r>
      <w:r w:rsidRPr="00927CEE">
        <w:rPr>
          <w:rFonts w:ascii="Open Sans" w:hAnsi="Open Sans" w:cs="Open Sans"/>
          <w:sz w:val="22"/>
          <w:szCs w:val="22"/>
        </w:rPr>
        <w:t xml:space="preserve">instruments—the </w:t>
      </w:r>
      <w:r w:rsidR="00AA01E4" w:rsidRPr="00927CEE">
        <w:rPr>
          <w:rFonts w:ascii="Open Sans" w:hAnsi="Open Sans" w:cs="Open Sans"/>
          <w:sz w:val="22"/>
          <w:szCs w:val="22"/>
        </w:rPr>
        <w:t>Federal</w:t>
      </w:r>
      <w:r w:rsidR="005A3023" w:rsidRPr="00927CEE">
        <w:rPr>
          <w:rFonts w:ascii="Open Sans" w:hAnsi="Open Sans" w:cs="Open Sans"/>
          <w:sz w:val="22"/>
          <w:szCs w:val="22"/>
        </w:rPr>
        <w:t xml:space="preserve"> Executive Council Handbook</w:t>
      </w:r>
      <w:r w:rsidRPr="00927CEE">
        <w:rPr>
          <w:rFonts w:ascii="Open Sans" w:hAnsi="Open Sans" w:cs="Open Sans"/>
          <w:sz w:val="22"/>
          <w:szCs w:val="22"/>
        </w:rPr>
        <w:t>.</w:t>
      </w:r>
    </w:p>
    <w:p w14:paraId="79383064" w14:textId="66D61C65" w:rsidR="00FC1281" w:rsidRPr="00FC1281" w:rsidRDefault="00133C70" w:rsidP="00FC1281">
      <w:pPr>
        <w:pStyle w:val="BodyNum"/>
        <w:rPr>
          <w:rFonts w:ascii="Open Sans" w:hAnsi="Open Sans" w:cs="Open Sans"/>
        </w:rPr>
      </w:pPr>
      <w:r w:rsidRPr="00927CEE">
        <w:rPr>
          <w:rFonts w:ascii="Open Sans" w:hAnsi="Open Sans" w:cs="Open Sans"/>
          <w:sz w:val="22"/>
          <w:szCs w:val="22"/>
        </w:rPr>
        <w:t xml:space="preserve">If, after looking at the material in the relevant Handbook, instructors still have questions about these requirements, the Legislation Section in </w:t>
      </w:r>
      <w:proofErr w:type="spellStart"/>
      <w:r w:rsidRPr="00927CEE">
        <w:rPr>
          <w:rFonts w:ascii="Open Sans" w:hAnsi="Open Sans" w:cs="Open Sans"/>
          <w:sz w:val="22"/>
          <w:szCs w:val="22"/>
        </w:rPr>
        <w:t>PM&amp;C</w:t>
      </w:r>
      <w:proofErr w:type="spellEnd"/>
      <w:r w:rsidRPr="00927CEE">
        <w:rPr>
          <w:rFonts w:ascii="Open Sans" w:hAnsi="Open Sans" w:cs="Open Sans"/>
          <w:sz w:val="22"/>
          <w:szCs w:val="22"/>
        </w:rPr>
        <w:t xml:space="preserve"> may be consulted about the requirements for Bills, and the </w:t>
      </w:r>
      <w:r w:rsidR="0003011C" w:rsidRPr="00927CEE">
        <w:rPr>
          <w:rFonts w:ascii="Open Sans" w:hAnsi="Open Sans" w:cs="Open Sans"/>
          <w:sz w:val="22"/>
          <w:szCs w:val="22"/>
        </w:rPr>
        <w:t xml:space="preserve">Executive Council </w:t>
      </w:r>
      <w:r w:rsidRPr="00927CEE">
        <w:rPr>
          <w:rFonts w:ascii="Open Sans" w:hAnsi="Open Sans" w:cs="Open Sans"/>
          <w:sz w:val="22"/>
          <w:szCs w:val="22"/>
        </w:rPr>
        <w:t xml:space="preserve">Secretariat in </w:t>
      </w:r>
      <w:proofErr w:type="spellStart"/>
      <w:r w:rsidRPr="00927CEE">
        <w:rPr>
          <w:rFonts w:ascii="Open Sans" w:hAnsi="Open Sans" w:cs="Open Sans"/>
          <w:sz w:val="22"/>
          <w:szCs w:val="22"/>
        </w:rPr>
        <w:t>PM&amp;C</w:t>
      </w:r>
      <w:proofErr w:type="spellEnd"/>
      <w:r w:rsidRPr="00927CEE">
        <w:rPr>
          <w:rFonts w:ascii="Open Sans" w:hAnsi="Open Sans" w:cs="Open Sans"/>
          <w:sz w:val="22"/>
          <w:szCs w:val="22"/>
        </w:rPr>
        <w:t xml:space="preserve"> may be consulted about the requirements for instruments.</w:t>
      </w:r>
      <w:r w:rsidR="00FC1281">
        <w:rPr>
          <w:rFonts w:ascii="Open Sans" w:hAnsi="Open Sans" w:cs="Open Sans"/>
        </w:rPr>
        <w:br/>
      </w:r>
    </w:p>
    <w:tbl>
      <w:tblPr>
        <w:tblStyle w:val="TableGrid"/>
        <w:tblW w:w="0" w:type="auto"/>
        <w:tblLook w:val="04A0" w:firstRow="1" w:lastRow="0" w:firstColumn="1" w:lastColumn="0" w:noHBand="0" w:noVBand="1"/>
      </w:tblPr>
      <w:tblGrid>
        <w:gridCol w:w="9016"/>
      </w:tblGrid>
      <w:tr w:rsidR="00FC1281" w:rsidRPr="00FC1281" w14:paraId="4493915D" w14:textId="77777777" w:rsidTr="00443596">
        <w:tc>
          <w:tcPr>
            <w:tcW w:w="9016" w:type="dxa"/>
            <w:tcBorders>
              <w:top w:val="nil"/>
              <w:left w:val="nil"/>
              <w:bottom w:val="nil"/>
              <w:right w:val="nil"/>
            </w:tcBorders>
            <w:shd w:val="clear" w:color="auto" w:fill="A9D9DB"/>
          </w:tcPr>
          <w:p w14:paraId="05B324B3" w14:textId="77777777" w:rsidR="00FC1281" w:rsidRPr="00FC1281" w:rsidRDefault="00FC1281" w:rsidP="00443596">
            <w:pPr>
              <w:spacing w:before="120" w:after="120"/>
              <w:rPr>
                <w:rFonts w:ascii="Open Sans" w:hAnsi="Open Sans" w:cs="Open Sans"/>
                <w:szCs w:val="22"/>
              </w:rPr>
            </w:pPr>
            <w:bookmarkStart w:id="4" w:name="_Hlk202188723"/>
            <w:r w:rsidRPr="00FC1281">
              <w:rPr>
                <w:rFonts w:ascii="Open Sans" w:hAnsi="Open Sans" w:cs="Open Sans"/>
                <w:color w:val="084D5E"/>
                <w:szCs w:val="22"/>
              </w:rPr>
              <w:t>The purpose of Instructor Guidance Notes is to assist agencies with general legislative drafting issues and preparing drafting instructions for Bills and instruments. The series is intended to be a starting point for instructors' own engagement with the matters covered. Instructor Guidance Notes are not statements of official policy and are not intended to be a comprehensive statement of the law. This Instructor Guidance Note should not be relied on as a substitute for legal advice.</w:t>
            </w:r>
          </w:p>
        </w:tc>
      </w:tr>
      <w:bookmarkEnd w:id="4"/>
    </w:tbl>
    <w:p w14:paraId="4AC1E759" w14:textId="77777777" w:rsidR="00FC1281" w:rsidRPr="00FC1281" w:rsidRDefault="00FC1281" w:rsidP="00FC1281">
      <w:pPr>
        <w:pStyle w:val="BodyNum"/>
        <w:numPr>
          <w:ilvl w:val="0"/>
          <w:numId w:val="0"/>
        </w:numPr>
        <w:rPr>
          <w:rFonts w:ascii="Open Sans" w:hAnsi="Open Sans" w:cs="Open Sans"/>
        </w:rPr>
      </w:pPr>
    </w:p>
    <w:sectPr w:rsidR="00FC1281" w:rsidRPr="00FC1281" w:rsidSect="00FC128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D6D1" w14:textId="77777777" w:rsidR="00133C70" w:rsidRDefault="00133C70" w:rsidP="008E17F3">
      <w:pPr>
        <w:spacing w:line="240" w:lineRule="auto"/>
      </w:pPr>
      <w:r>
        <w:separator/>
      </w:r>
    </w:p>
  </w:endnote>
  <w:endnote w:type="continuationSeparator" w:id="0">
    <w:p w14:paraId="3B69AE8F" w14:textId="77777777" w:rsidR="00133C70" w:rsidRDefault="00133C70"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embedRegular r:id="rId1" w:fontKey="{13B6575A-86BD-42ED-A6E1-8BC2280594ED}"/>
    <w:embedBold r:id="rId2" w:fontKey="{A9FD4239-9538-4FF9-B3F7-9E526907496E}"/>
    <w:embedItalic r:id="rId3" w:fontKey="{345E8F18-F3F6-4A33-B1C6-83980973A48D}"/>
    <w:embedBoldItalic r:id="rId4" w:fontKey="{056E6830-BDD4-46A2-B0EB-EB0C1EC31B37}"/>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 Garamond">
    <w:altName w:val="Calibri"/>
    <w:charset w:val="00"/>
    <w:family w:val="auto"/>
    <w:pitch w:val="variable"/>
    <w:sig w:usb0="E00002FF" w:usb1="02000413" w:usb2="00000000" w:usb3="00000000" w:csb0="0000019F" w:csb1="00000000"/>
  </w:font>
  <w:font w:name="Open Sans ExtraBold">
    <w:charset w:val="00"/>
    <w:family w:val="swiss"/>
    <w:pitch w:val="variable"/>
    <w:sig w:usb0="E00002EF" w:usb1="4000205B" w:usb2="00000028" w:usb3="00000000" w:csb0="0000019F" w:csb1="00000000"/>
    <w:embedRegular r:id="rId5" w:fontKey="{0E77882F-889E-4D22-AE3A-6E19AB9577D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2A13" w14:textId="794CD029"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separate"/>
    </w:r>
    <w:r w:rsidR="00E32E1B">
      <w:rPr>
        <w:rStyle w:val="PageNumber"/>
        <w:noProof/>
      </w:rPr>
      <w:t>3</w:t>
    </w:r>
    <w:r>
      <w:rPr>
        <w:rStyle w:val="PageNumber"/>
      </w:rPr>
      <w:fldChar w:fldCharType="end"/>
    </w:r>
  </w:p>
  <w:p w14:paraId="5237C3E3" w14:textId="77777777" w:rsidR="008E17F3" w:rsidRDefault="008E17F3" w:rsidP="008E1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060838704"/>
      <w:docPartObj>
        <w:docPartGallery w:val="Page Numbers (Bottom of Page)"/>
        <w:docPartUnique/>
      </w:docPartObj>
    </w:sdtPr>
    <w:sdtEndPr>
      <w:rPr>
        <w:sz w:val="20"/>
        <w:szCs w:val="20"/>
      </w:rPr>
    </w:sdtEndPr>
    <w:sdtContent>
      <w:p w14:paraId="78595BDE" w14:textId="01215BA2" w:rsidR="00FC1281" w:rsidRPr="00BF6153" w:rsidRDefault="00FC1281" w:rsidP="00BF6153">
        <w:pPr>
          <w:pStyle w:val="Footer"/>
          <w:ind w:left="-709" w:hanging="567"/>
          <w:jc w:val="right"/>
          <w:rPr>
            <w:rFonts w:ascii="Open Sans" w:hAnsi="Open Sans" w:cs="Open Sans"/>
            <w:sz w:val="20"/>
            <w:szCs w:val="20"/>
          </w:rPr>
        </w:pPr>
        <w:r w:rsidRPr="00BF6153">
          <w:rPr>
            <w:rFonts w:ascii="Open Sans" w:hAnsi="Open Sans" w:cs="Open Sans"/>
          </w:rPr>
          <w:br/>
        </w:r>
        <w:r w:rsidRPr="00BF6153">
          <w:rPr>
            <w:rFonts w:ascii="Open Sans" w:hAnsi="Open Sans" w:cs="Open Sans"/>
            <w:sz w:val="20"/>
            <w:szCs w:val="20"/>
          </w:rPr>
          <w:t>[S25gv114.docx]</w:t>
        </w:r>
        <w:r w:rsidR="00BF6153" w:rsidRPr="00BF6153">
          <w:rPr>
            <w:rFonts w:ascii="Open Sans" w:hAnsi="Open Sans" w:cs="Open Sans"/>
            <w:sz w:val="20"/>
            <w:szCs w:val="20"/>
          </w:rPr>
          <w:tab/>
        </w:r>
        <w:r w:rsidRPr="00BF6153">
          <w:rPr>
            <w:rFonts w:ascii="Open Sans" w:hAnsi="Open Sans" w:cs="Open Sans"/>
            <w:sz w:val="20"/>
            <w:szCs w:val="20"/>
          </w:rPr>
          <w:tab/>
        </w:r>
        <w:r w:rsidR="00BF6153" w:rsidRPr="00BF6153">
          <w:rPr>
            <w:rFonts w:ascii="Open Sans" w:hAnsi="Open Sans" w:cs="Open Sans"/>
            <w:sz w:val="20"/>
            <w:szCs w:val="20"/>
          </w:rPr>
          <w:t>Last updated: 13 October 2025</w:t>
        </w:r>
      </w:p>
      <w:p w14:paraId="655C9294" w14:textId="2288E22B" w:rsidR="00FC1281" w:rsidRPr="00BF6153" w:rsidRDefault="00FC1281">
        <w:pPr>
          <w:pStyle w:val="Footer"/>
          <w:jc w:val="right"/>
          <w:rPr>
            <w:rFonts w:ascii="Open Sans" w:hAnsi="Open Sans" w:cs="Open Sans"/>
            <w:sz w:val="20"/>
            <w:szCs w:val="20"/>
          </w:rPr>
        </w:pPr>
        <w:r w:rsidRPr="00BF6153">
          <w:rPr>
            <w:rFonts w:ascii="Open Sans" w:hAnsi="Open Sans" w:cs="Open Sans"/>
            <w:sz w:val="20"/>
            <w:szCs w:val="20"/>
          </w:rPr>
          <w:t xml:space="preserve">Page | </w:t>
        </w:r>
        <w:r w:rsidRPr="00BF6153">
          <w:rPr>
            <w:rFonts w:ascii="Open Sans" w:hAnsi="Open Sans" w:cs="Open Sans"/>
            <w:sz w:val="20"/>
            <w:szCs w:val="20"/>
          </w:rPr>
          <w:fldChar w:fldCharType="begin"/>
        </w:r>
        <w:r w:rsidRPr="00BF6153">
          <w:rPr>
            <w:rFonts w:ascii="Open Sans" w:hAnsi="Open Sans" w:cs="Open Sans"/>
            <w:sz w:val="20"/>
            <w:szCs w:val="20"/>
          </w:rPr>
          <w:instrText xml:space="preserve"> PAGE   \* MERGEFORMAT </w:instrText>
        </w:r>
        <w:r w:rsidRPr="00BF6153">
          <w:rPr>
            <w:rFonts w:ascii="Open Sans" w:hAnsi="Open Sans" w:cs="Open Sans"/>
            <w:sz w:val="20"/>
            <w:szCs w:val="20"/>
          </w:rPr>
          <w:fldChar w:fldCharType="separate"/>
        </w:r>
        <w:r w:rsidRPr="00BF6153">
          <w:rPr>
            <w:rFonts w:ascii="Open Sans" w:hAnsi="Open Sans" w:cs="Open Sans"/>
            <w:noProof/>
            <w:sz w:val="20"/>
            <w:szCs w:val="20"/>
          </w:rPr>
          <w:t>2</w:t>
        </w:r>
        <w:r w:rsidRPr="00BF6153">
          <w:rPr>
            <w:rFonts w:ascii="Open Sans" w:hAnsi="Open Sans" w:cs="Open Sans"/>
            <w:noProof/>
            <w:sz w:val="20"/>
            <w:szCs w:val="20"/>
          </w:rPr>
          <w:fldChar w:fldCharType="end"/>
        </w:r>
        <w:r w:rsidRPr="00BF6153">
          <w:rPr>
            <w:rFonts w:ascii="Open Sans" w:hAnsi="Open Sans" w:cs="Open Sans"/>
            <w:sz w:val="20"/>
            <w:szCs w:val="20"/>
          </w:rPr>
          <w:t xml:space="preserve"> </w:t>
        </w:r>
      </w:p>
    </w:sdtContent>
  </w:sdt>
  <w:p w14:paraId="27E04B58" w14:textId="54E4B765" w:rsidR="008E17F3" w:rsidRPr="00BF6153" w:rsidRDefault="008E17F3" w:rsidP="008E17F3">
    <w:pPr>
      <w:pStyle w:val="Footer"/>
      <w:tabs>
        <w:tab w:val="clear" w:pos="4153"/>
        <w:tab w:val="clear" w:pos="8306"/>
        <w:tab w:val="left" w:pos="7680"/>
      </w:tabs>
      <w:ind w:right="27"/>
      <w:rPr>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B76F" w14:textId="77777777" w:rsidR="00BF6153" w:rsidRPr="00BF6153" w:rsidRDefault="00BF6153" w:rsidP="00BF6153">
    <w:pPr>
      <w:pStyle w:val="Footer"/>
      <w:ind w:left="-142" w:hanging="567"/>
      <w:jc w:val="right"/>
      <w:rPr>
        <w:rFonts w:ascii="Open Sans" w:hAnsi="Open Sans" w:cs="Open Sans"/>
        <w:sz w:val="20"/>
        <w:szCs w:val="20"/>
      </w:rPr>
    </w:pPr>
    <w:r w:rsidRPr="00BF6153">
      <w:rPr>
        <w:rFonts w:ascii="Open Sans" w:hAnsi="Open Sans" w:cs="Open Sans"/>
        <w:sz w:val="20"/>
        <w:szCs w:val="20"/>
      </w:rPr>
      <w:t>[S25gv114.docx]</w:t>
    </w:r>
    <w:r w:rsidRPr="00BF6153">
      <w:rPr>
        <w:rFonts w:ascii="Open Sans" w:hAnsi="Open Sans" w:cs="Open Sans"/>
        <w:sz w:val="20"/>
        <w:szCs w:val="20"/>
      </w:rPr>
      <w:tab/>
    </w:r>
    <w:r w:rsidRPr="00BF6153">
      <w:rPr>
        <w:rFonts w:ascii="Open Sans" w:hAnsi="Open Sans" w:cs="Open Sans"/>
        <w:sz w:val="20"/>
        <w:szCs w:val="20"/>
      </w:rPr>
      <w:tab/>
      <w:t>Last updated: 13 October 2025</w:t>
    </w:r>
  </w:p>
  <w:p w14:paraId="68990CE7" w14:textId="1E34FF40" w:rsidR="00BF6153" w:rsidRPr="00BF6153" w:rsidRDefault="00BF6153" w:rsidP="00BF6153">
    <w:pPr>
      <w:pStyle w:val="Footer"/>
      <w:jc w:val="right"/>
      <w:rPr>
        <w:rFonts w:ascii="Open Sans" w:hAnsi="Open Sans" w:cs="Open Sans"/>
        <w:sz w:val="20"/>
        <w:szCs w:val="20"/>
      </w:rPr>
    </w:pPr>
    <w:r w:rsidRPr="00BF6153">
      <w:rPr>
        <w:rFonts w:ascii="Open Sans" w:hAnsi="Open Sans" w:cs="Open Sans"/>
        <w:sz w:val="20"/>
        <w:szCs w:val="20"/>
      </w:rPr>
      <w:t xml:space="preserve">Page | </w:t>
    </w:r>
    <w:r w:rsidRPr="00BF6153">
      <w:rPr>
        <w:rFonts w:ascii="Open Sans" w:hAnsi="Open Sans" w:cs="Open Sans"/>
        <w:sz w:val="20"/>
        <w:szCs w:val="20"/>
      </w:rPr>
      <w:fldChar w:fldCharType="begin"/>
    </w:r>
    <w:r w:rsidRPr="00BF6153">
      <w:rPr>
        <w:rFonts w:ascii="Open Sans" w:hAnsi="Open Sans" w:cs="Open Sans"/>
        <w:sz w:val="20"/>
        <w:szCs w:val="20"/>
      </w:rPr>
      <w:instrText xml:space="preserve"> PAGE   \* MERGEFORMAT </w:instrText>
    </w:r>
    <w:r w:rsidRPr="00BF6153">
      <w:rPr>
        <w:rFonts w:ascii="Open Sans" w:hAnsi="Open Sans" w:cs="Open Sans"/>
        <w:sz w:val="20"/>
        <w:szCs w:val="20"/>
      </w:rPr>
      <w:fldChar w:fldCharType="separate"/>
    </w:r>
    <w:r w:rsidRPr="00BF6153">
      <w:rPr>
        <w:rFonts w:ascii="Open Sans" w:hAnsi="Open Sans" w:cs="Open Sans"/>
        <w:sz w:val="20"/>
        <w:szCs w:val="20"/>
      </w:rPr>
      <w:t>2</w:t>
    </w:r>
    <w:r w:rsidRPr="00BF6153">
      <w:rPr>
        <w:rFonts w:ascii="Open Sans" w:hAnsi="Open Sans" w:cs="Open Sans"/>
        <w:noProof/>
        <w:sz w:val="20"/>
        <w:szCs w:val="20"/>
      </w:rPr>
      <w:fldChar w:fldCharType="end"/>
    </w:r>
    <w:r w:rsidRPr="00BF6153">
      <w:rPr>
        <w:rFonts w:ascii="Open Sans" w:hAnsi="Open Sans" w:cs="Open San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A953" w14:textId="77777777" w:rsidR="00133C70" w:rsidRDefault="00133C70" w:rsidP="008E17F3">
      <w:pPr>
        <w:spacing w:line="240" w:lineRule="auto"/>
      </w:pPr>
      <w:r>
        <w:separator/>
      </w:r>
    </w:p>
  </w:footnote>
  <w:footnote w:type="continuationSeparator" w:id="0">
    <w:p w14:paraId="6433C1E7" w14:textId="77777777" w:rsidR="00133C70" w:rsidRDefault="00133C70"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9F00" w14:textId="77777777" w:rsidR="00927CEE" w:rsidRDefault="0092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016A" w14:textId="73334E31" w:rsidR="00FC1281" w:rsidRPr="00FC1281" w:rsidRDefault="00FC1281" w:rsidP="00FC1281">
    <w:pPr>
      <w:pStyle w:val="Actno"/>
      <w:rPr>
        <w:rFonts w:ascii="Open Sans" w:hAnsi="Open Sans" w:cs="Open Sans"/>
        <w:color w:val="A6A6A6" w:themeColor="background1" w:themeShade="A6"/>
        <w:sz w:val="20"/>
      </w:rPr>
    </w:pPr>
    <w:r w:rsidRPr="00FC1281">
      <w:rPr>
        <w:rFonts w:ascii="Open Sans" w:hAnsi="Open Sans" w:cs="Open Sans"/>
        <w:color w:val="A6A6A6" w:themeColor="background1" w:themeShade="A6"/>
        <w:sz w:val="20"/>
      </w:rPr>
      <w:t>Instructor Guidance Note—Explanatory memorandums, explanatory statements and other supporting documents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3B44" w14:textId="5FEBA6A7" w:rsidR="00FC1281" w:rsidRDefault="00FC1281">
    <w:pPr>
      <w:pStyle w:val="Header"/>
    </w:pPr>
    <w:r w:rsidRPr="00F951F6">
      <w:rPr>
        <w:rFonts w:cs="Open Sans"/>
        <w:noProof/>
      </w:rPr>
      <w:drawing>
        <wp:anchor distT="0" distB="0" distL="114300" distR="114300" simplePos="0" relativeHeight="251659264" behindDoc="0" locked="0" layoutInCell="1" allowOverlap="1" wp14:anchorId="1E84DB39" wp14:editId="63991CAE">
          <wp:simplePos x="0" y="0"/>
          <wp:positionH relativeFrom="margin">
            <wp:posOffset>23854</wp:posOffset>
          </wp:positionH>
          <wp:positionV relativeFrom="paragraph">
            <wp:posOffset>-345881</wp:posOffset>
          </wp:positionV>
          <wp:extent cx="3077155" cy="713570"/>
          <wp:effectExtent l="0" t="0" r="0" b="0"/>
          <wp:wrapNone/>
          <wp:docPr id="635747286" name="Picture 4" descr="Australian Government Office of Parliamentary Couns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47286" name="Picture 4" descr="Australian Government Office of Parliamentary Counse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89112" cy="7163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C265A"/>
    <w:multiLevelType w:val="hybridMultilevel"/>
    <w:tmpl w:val="2C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1434CE1"/>
    <w:multiLevelType w:val="hybridMultilevel"/>
    <w:tmpl w:val="2C2AB8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21566100">
    <w:abstractNumId w:val="9"/>
  </w:num>
  <w:num w:numId="2" w16cid:durableId="1589999061">
    <w:abstractNumId w:val="7"/>
  </w:num>
  <w:num w:numId="3" w16cid:durableId="1955286467">
    <w:abstractNumId w:val="6"/>
  </w:num>
  <w:num w:numId="4" w16cid:durableId="758797179">
    <w:abstractNumId w:val="5"/>
  </w:num>
  <w:num w:numId="5" w16cid:durableId="467670612">
    <w:abstractNumId w:val="4"/>
  </w:num>
  <w:num w:numId="6" w16cid:durableId="322585423">
    <w:abstractNumId w:val="8"/>
  </w:num>
  <w:num w:numId="7" w16cid:durableId="1328630357">
    <w:abstractNumId w:val="3"/>
  </w:num>
  <w:num w:numId="8" w16cid:durableId="883954761">
    <w:abstractNumId w:val="2"/>
  </w:num>
  <w:num w:numId="9" w16cid:durableId="1309047994">
    <w:abstractNumId w:val="1"/>
  </w:num>
  <w:num w:numId="10" w16cid:durableId="1165704306">
    <w:abstractNumId w:val="0"/>
  </w:num>
  <w:num w:numId="11" w16cid:durableId="1187402026">
    <w:abstractNumId w:val="12"/>
  </w:num>
  <w:num w:numId="12" w16cid:durableId="444547833">
    <w:abstractNumId w:val="14"/>
  </w:num>
  <w:num w:numId="13" w16cid:durableId="1743021194">
    <w:abstractNumId w:val="11"/>
  </w:num>
  <w:num w:numId="14" w16cid:durableId="148131518">
    <w:abstractNumId w:val="10"/>
  </w:num>
  <w:num w:numId="15" w16cid:durableId="716853798">
    <w:abstractNumId w:val="13"/>
  </w:num>
  <w:num w:numId="16" w16cid:durableId="467666606">
    <w:abstractNumId w:val="11"/>
  </w:num>
  <w:num w:numId="17" w16cid:durableId="315380251">
    <w:abstractNumId w:val="11"/>
  </w:num>
  <w:num w:numId="18" w16cid:durableId="1483548766">
    <w:abstractNumId w:val="11"/>
  </w:num>
  <w:num w:numId="19" w16cid:durableId="1704017255">
    <w:abstractNumId w:val="11"/>
  </w:num>
  <w:num w:numId="20" w16cid:durableId="1257055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70"/>
    <w:rsid w:val="0001301D"/>
    <w:rsid w:val="000136AF"/>
    <w:rsid w:val="00022B7E"/>
    <w:rsid w:val="0003011C"/>
    <w:rsid w:val="00036B0B"/>
    <w:rsid w:val="00056743"/>
    <w:rsid w:val="000614BF"/>
    <w:rsid w:val="000A44B9"/>
    <w:rsid w:val="000B352F"/>
    <w:rsid w:val="000C604C"/>
    <w:rsid w:val="000D05EF"/>
    <w:rsid w:val="000F4877"/>
    <w:rsid w:val="00103C58"/>
    <w:rsid w:val="0010745C"/>
    <w:rsid w:val="00133C70"/>
    <w:rsid w:val="00166C2F"/>
    <w:rsid w:val="00174846"/>
    <w:rsid w:val="001936E0"/>
    <w:rsid w:val="001939E1"/>
    <w:rsid w:val="00195382"/>
    <w:rsid w:val="001B1FA0"/>
    <w:rsid w:val="001C69C4"/>
    <w:rsid w:val="001C7ABC"/>
    <w:rsid w:val="001E3590"/>
    <w:rsid w:val="001E7407"/>
    <w:rsid w:val="00217EAB"/>
    <w:rsid w:val="00253D1B"/>
    <w:rsid w:val="002913A3"/>
    <w:rsid w:val="00295FBA"/>
    <w:rsid w:val="002970D7"/>
    <w:rsid w:val="00297ECB"/>
    <w:rsid w:val="002C0237"/>
    <w:rsid w:val="002D043A"/>
    <w:rsid w:val="002D6A8E"/>
    <w:rsid w:val="003027DC"/>
    <w:rsid w:val="00311448"/>
    <w:rsid w:val="00312E0E"/>
    <w:rsid w:val="00352B0F"/>
    <w:rsid w:val="00360FB0"/>
    <w:rsid w:val="003B5735"/>
    <w:rsid w:val="003B694D"/>
    <w:rsid w:val="003C5AA8"/>
    <w:rsid w:val="003D0BFE"/>
    <w:rsid w:val="003D5700"/>
    <w:rsid w:val="003D6F8A"/>
    <w:rsid w:val="003E4160"/>
    <w:rsid w:val="004116CD"/>
    <w:rsid w:val="00424CA9"/>
    <w:rsid w:val="0044291A"/>
    <w:rsid w:val="00450A86"/>
    <w:rsid w:val="004515E4"/>
    <w:rsid w:val="004560FB"/>
    <w:rsid w:val="004653F8"/>
    <w:rsid w:val="00496F97"/>
    <w:rsid w:val="004B0C7F"/>
    <w:rsid w:val="00516B8D"/>
    <w:rsid w:val="00530BC4"/>
    <w:rsid w:val="005327A0"/>
    <w:rsid w:val="00537FBC"/>
    <w:rsid w:val="00566C31"/>
    <w:rsid w:val="005711FF"/>
    <w:rsid w:val="005715E2"/>
    <w:rsid w:val="00584811"/>
    <w:rsid w:val="00594161"/>
    <w:rsid w:val="00594749"/>
    <w:rsid w:val="005A3023"/>
    <w:rsid w:val="005B4C51"/>
    <w:rsid w:val="005F257D"/>
    <w:rsid w:val="00600219"/>
    <w:rsid w:val="006207A3"/>
    <w:rsid w:val="006279B8"/>
    <w:rsid w:val="006504EF"/>
    <w:rsid w:val="00677CC2"/>
    <w:rsid w:val="00680F77"/>
    <w:rsid w:val="0069207B"/>
    <w:rsid w:val="006C7F8C"/>
    <w:rsid w:val="006D77BA"/>
    <w:rsid w:val="006E17E0"/>
    <w:rsid w:val="006E2E9F"/>
    <w:rsid w:val="00704A73"/>
    <w:rsid w:val="007079DB"/>
    <w:rsid w:val="007276BC"/>
    <w:rsid w:val="00731E00"/>
    <w:rsid w:val="00733990"/>
    <w:rsid w:val="00766393"/>
    <w:rsid w:val="007715C9"/>
    <w:rsid w:val="00774EDD"/>
    <w:rsid w:val="00775577"/>
    <w:rsid w:val="007757EC"/>
    <w:rsid w:val="008006B2"/>
    <w:rsid w:val="0084538C"/>
    <w:rsid w:val="00856A31"/>
    <w:rsid w:val="00863620"/>
    <w:rsid w:val="00864425"/>
    <w:rsid w:val="008754D0"/>
    <w:rsid w:val="008C66DC"/>
    <w:rsid w:val="008C7441"/>
    <w:rsid w:val="008E17F3"/>
    <w:rsid w:val="008E3B8C"/>
    <w:rsid w:val="008F582B"/>
    <w:rsid w:val="00907D12"/>
    <w:rsid w:val="0091487B"/>
    <w:rsid w:val="00927CEE"/>
    <w:rsid w:val="00940036"/>
    <w:rsid w:val="0094622F"/>
    <w:rsid w:val="0098638B"/>
    <w:rsid w:val="00A231E2"/>
    <w:rsid w:val="00A64912"/>
    <w:rsid w:val="00A70A74"/>
    <w:rsid w:val="00A81D50"/>
    <w:rsid w:val="00A91B5C"/>
    <w:rsid w:val="00A9709F"/>
    <w:rsid w:val="00AA01E4"/>
    <w:rsid w:val="00AD2136"/>
    <w:rsid w:val="00AD5641"/>
    <w:rsid w:val="00B01A58"/>
    <w:rsid w:val="00B33B3C"/>
    <w:rsid w:val="00B90771"/>
    <w:rsid w:val="00BA1479"/>
    <w:rsid w:val="00BE719A"/>
    <w:rsid w:val="00BE720A"/>
    <w:rsid w:val="00BF6153"/>
    <w:rsid w:val="00C019D5"/>
    <w:rsid w:val="00C201A9"/>
    <w:rsid w:val="00C33979"/>
    <w:rsid w:val="00C42BF8"/>
    <w:rsid w:val="00C50043"/>
    <w:rsid w:val="00C61CDD"/>
    <w:rsid w:val="00C65358"/>
    <w:rsid w:val="00C7573B"/>
    <w:rsid w:val="00C83868"/>
    <w:rsid w:val="00CB3D6B"/>
    <w:rsid w:val="00CB48D8"/>
    <w:rsid w:val="00CF0BB2"/>
    <w:rsid w:val="00D13441"/>
    <w:rsid w:val="00D50728"/>
    <w:rsid w:val="00D70DFB"/>
    <w:rsid w:val="00D766DF"/>
    <w:rsid w:val="00D80E32"/>
    <w:rsid w:val="00DB3CFE"/>
    <w:rsid w:val="00DD0AC3"/>
    <w:rsid w:val="00DE7073"/>
    <w:rsid w:val="00E060F1"/>
    <w:rsid w:val="00E32E1B"/>
    <w:rsid w:val="00E62118"/>
    <w:rsid w:val="00E65E04"/>
    <w:rsid w:val="00E74DC7"/>
    <w:rsid w:val="00EB74E0"/>
    <w:rsid w:val="00ED0C49"/>
    <w:rsid w:val="00EF2E3A"/>
    <w:rsid w:val="00F04811"/>
    <w:rsid w:val="00F078DC"/>
    <w:rsid w:val="00F1137E"/>
    <w:rsid w:val="00F14D0F"/>
    <w:rsid w:val="00F23E5F"/>
    <w:rsid w:val="00F45DE0"/>
    <w:rsid w:val="00F51269"/>
    <w:rsid w:val="00F84E94"/>
    <w:rsid w:val="00FC1281"/>
    <w:rsid w:val="00FD456C"/>
    <w:rsid w:val="00FE495E"/>
    <w:rsid w:val="00FF106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217920"/>
  <w15:docId w15:val="{98EBCFEB-1A0E-4729-9DB8-C9C5438C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69C4"/>
    <w:pPr>
      <w:spacing w:line="260" w:lineRule="atLeast"/>
    </w:pPr>
    <w:rPr>
      <w:sz w:val="22"/>
    </w:rPr>
  </w:style>
  <w:style w:type="paragraph" w:styleId="Heading1">
    <w:name w:val="heading 1"/>
    <w:next w:val="Heading2"/>
    <w:link w:val="Heading1Char"/>
    <w:uiPriority w:val="9"/>
    <w:qFormat/>
    <w:rsid w:val="00FC1281"/>
    <w:pPr>
      <w:keepNext/>
      <w:pageBreakBefore/>
      <w:autoSpaceDE w:val="0"/>
      <w:autoSpaceDN w:val="0"/>
      <w:adjustRightInd w:val="0"/>
      <w:spacing w:before="160" w:after="300"/>
      <w:jc w:val="center"/>
      <w:outlineLvl w:val="0"/>
    </w:pPr>
    <w:rPr>
      <w:rFonts w:ascii="Open Sans" w:hAnsi="Open Sans" w:cs="Open Sans"/>
      <w:color w:val="000000" w:themeColor="text1"/>
      <w:kern w:val="28"/>
      <w:sz w:val="56"/>
      <w:szCs w:val="56"/>
      <w:lang w:val="en-GB" w:eastAsia="en-AU"/>
    </w:rPr>
  </w:style>
  <w:style w:type="paragraph" w:styleId="Heading2">
    <w:name w:val="heading 2"/>
    <w:basedOn w:val="Normal"/>
    <w:next w:val="Normal"/>
    <w:link w:val="Heading2Char"/>
    <w:uiPriority w:val="9"/>
    <w:unhideWhenUsed/>
    <w:qFormat/>
    <w:rsid w:val="00FC12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uiPriority w:val="99"/>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 w:type="character" w:styleId="Hyperlink">
    <w:name w:val="Hyperlink"/>
    <w:basedOn w:val="DefaultParagraphFont"/>
    <w:uiPriority w:val="99"/>
    <w:unhideWhenUsed/>
    <w:rsid w:val="00133C70"/>
    <w:rPr>
      <w:color w:val="003399"/>
      <w:u w:val="single"/>
    </w:rPr>
  </w:style>
  <w:style w:type="character" w:customStyle="1" w:styleId="Heading1Char">
    <w:name w:val="Heading 1 Char"/>
    <w:basedOn w:val="DefaultParagraphFont"/>
    <w:link w:val="Heading1"/>
    <w:uiPriority w:val="9"/>
    <w:rsid w:val="00FC1281"/>
    <w:rPr>
      <w:rFonts w:ascii="Open Sans" w:hAnsi="Open Sans" w:cs="Open Sans"/>
      <w:color w:val="000000" w:themeColor="text1"/>
      <w:kern w:val="28"/>
      <w:sz w:val="56"/>
      <w:szCs w:val="56"/>
      <w:lang w:val="en-GB" w:eastAsia="en-AU"/>
    </w:rPr>
  </w:style>
  <w:style w:type="character" w:customStyle="1" w:styleId="Heading2Char">
    <w:name w:val="Heading 2 Char"/>
    <w:basedOn w:val="DefaultParagraphFont"/>
    <w:link w:val="Heading2"/>
    <w:uiPriority w:val="9"/>
    <w:rsid w:val="00FC128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FC1281"/>
    <w:rPr>
      <w:rFonts w:ascii="EB Garamond" w:hAnsi="EB Garamond" w:cs="EB Garamond"/>
      <w:color w:val="000000" w:themeColor="text1"/>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4695</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Explanatory memorandums, explanatory statements and other supporting documents</vt:lpstr>
    </vt:vector>
  </TitlesOfParts>
  <Company>Office of Parliamentary Counsel</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memorandums, explanatory statements and other supporting documents</dc:title>
  <dc:subject/>
  <dc:creator>BurmesterG</dc:creator>
  <cp:keywords/>
  <dc:description/>
  <cp:lastModifiedBy>Berryman, Elentari</cp:lastModifiedBy>
  <cp:revision>3</cp:revision>
  <cp:lastPrinted>2025-10-15T23:34:00Z</cp:lastPrinted>
  <dcterms:created xsi:type="dcterms:W3CDTF">2025-10-15T23:34:00Z</dcterms:created>
  <dcterms:modified xsi:type="dcterms:W3CDTF">2025-10-15T23:34:00Z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ies>
</file>