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07D9" w14:textId="1C0CCC6F" w:rsidR="0008513E" w:rsidRPr="00696E71" w:rsidRDefault="00696E71" w:rsidP="00696E71">
      <w:pPr>
        <w:pStyle w:val="Heading1"/>
        <w:jc w:val="left"/>
        <w:rPr>
          <w:rFonts w:ascii="Open Sans ExtraBold" w:hAnsi="Open Sans ExtraBold" w:cs="Open Sans ExtraBold"/>
          <w:color w:val="084D5E"/>
          <w:lang w:val="en-AU"/>
        </w:rPr>
      </w:pPr>
      <w:bookmarkStart w:id="0" w:name="_Hlk211263534"/>
      <w:bookmarkStart w:id="1" w:name="_Toc104390454"/>
      <w:r w:rsidRPr="00F951F6">
        <w:rPr>
          <w:rFonts w:ascii="Open Sans ExtraBold" w:hAnsi="Open Sans ExtraBold" w:cs="Open Sans ExtraBold"/>
          <w:color w:val="084D5E"/>
          <w:lang w:val="en-AU"/>
        </w:rPr>
        <w:t>Instructor Guidance Note</w:t>
      </w:r>
      <w:r w:rsidR="00C4489D">
        <w:rPr>
          <w:rFonts w:ascii="Open Sans ExtraBold" w:hAnsi="Open Sans ExtraBold" w:cs="Open Sans ExtraBold"/>
          <w:color w:val="084D5E"/>
          <w:lang w:val="en-AU"/>
        </w:rPr>
        <w:t xml:space="preserve"> </w:t>
      </w:r>
      <w:r>
        <w:rPr>
          <w:rFonts w:ascii="Open Sans ExtraBold" w:hAnsi="Open Sans ExtraBold" w:cs="Open Sans ExtraBold"/>
          <w:color w:val="084D5E"/>
          <w:lang w:val="en-AU"/>
        </w:rPr>
        <w:t>—</w:t>
      </w:r>
      <w:bookmarkEnd w:id="0"/>
      <w:r w:rsidR="0008513E" w:rsidRPr="00696E71">
        <w:rPr>
          <w:rFonts w:ascii="Open Sans ExtraBold" w:hAnsi="Open Sans ExtraBold" w:cs="Open Sans ExtraBold"/>
          <w:color w:val="084D5E"/>
          <w:lang w:val="en-AU"/>
        </w:rPr>
        <w:t>Exposure drafts</w:t>
      </w:r>
    </w:p>
    <w:p w14:paraId="04B2EA18" w14:textId="1262570B" w:rsidR="00081337" w:rsidRPr="00CC553B" w:rsidRDefault="00AE0D2B" w:rsidP="00081337">
      <w:pPr>
        <w:pStyle w:val="BodyNum"/>
        <w:rPr>
          <w:rFonts w:ascii="Open Sans" w:hAnsi="Open Sans" w:cs="Open Sans"/>
          <w:sz w:val="22"/>
          <w:szCs w:val="22"/>
        </w:rPr>
      </w:pPr>
      <w:r w:rsidRPr="00CC553B">
        <w:rPr>
          <w:rFonts w:ascii="Open Sans" w:hAnsi="Open Sans" w:cs="Open Sans"/>
          <w:sz w:val="22"/>
          <w:szCs w:val="22"/>
        </w:rPr>
        <w:t xml:space="preserve">An exposure draft is a version of a draft Bill or instrument </w:t>
      </w:r>
      <w:r w:rsidR="00CC3FF3" w:rsidRPr="00CC553B">
        <w:rPr>
          <w:rFonts w:ascii="Open Sans" w:hAnsi="Open Sans" w:cs="Open Sans"/>
          <w:sz w:val="22"/>
          <w:szCs w:val="22"/>
        </w:rPr>
        <w:t xml:space="preserve">prepared for the purposes of </w:t>
      </w:r>
      <w:r w:rsidR="00081337" w:rsidRPr="00CC553B">
        <w:rPr>
          <w:rFonts w:ascii="Open Sans" w:hAnsi="Open Sans" w:cs="Open Sans"/>
          <w:sz w:val="22"/>
          <w:szCs w:val="22"/>
        </w:rPr>
        <w:t xml:space="preserve">consultation. Exposure drafts can be </w:t>
      </w:r>
      <w:r w:rsidR="00120058" w:rsidRPr="00CC553B">
        <w:rPr>
          <w:rFonts w:ascii="Open Sans" w:hAnsi="Open Sans" w:cs="Open Sans"/>
          <w:sz w:val="22"/>
          <w:szCs w:val="22"/>
        </w:rPr>
        <w:t xml:space="preserve">used </w:t>
      </w:r>
      <w:r w:rsidR="00081337" w:rsidRPr="00CC553B">
        <w:rPr>
          <w:rFonts w:ascii="Open Sans" w:hAnsi="Open Sans" w:cs="Open Sans"/>
          <w:sz w:val="22"/>
          <w:szCs w:val="22"/>
        </w:rPr>
        <w:t>for public or limited consultation.</w:t>
      </w:r>
    </w:p>
    <w:p w14:paraId="508C28FE" w14:textId="06D952D3" w:rsidR="00CB5028" w:rsidRPr="00CC553B" w:rsidRDefault="00CB5028" w:rsidP="00081337">
      <w:pPr>
        <w:pStyle w:val="BodyNum"/>
        <w:rPr>
          <w:rFonts w:ascii="Open Sans" w:hAnsi="Open Sans" w:cs="Open Sans"/>
          <w:sz w:val="22"/>
          <w:szCs w:val="22"/>
        </w:rPr>
      </w:pPr>
      <w:r w:rsidRPr="00CC553B">
        <w:rPr>
          <w:rFonts w:ascii="Open Sans" w:hAnsi="Open Sans" w:cs="Open Sans"/>
          <w:sz w:val="22"/>
          <w:szCs w:val="22"/>
        </w:rPr>
        <w:t xml:space="preserve">Intergovernmental agreements relating to particular legislative schemes may require exposure drafts </w:t>
      </w:r>
      <w:r w:rsidR="00FA50BC" w:rsidRPr="00CC553B">
        <w:rPr>
          <w:rFonts w:ascii="Open Sans" w:hAnsi="Open Sans" w:cs="Open Sans"/>
          <w:sz w:val="22"/>
          <w:szCs w:val="22"/>
        </w:rPr>
        <w:t xml:space="preserve">of </w:t>
      </w:r>
      <w:r w:rsidR="00E055DF" w:rsidRPr="00CC553B">
        <w:rPr>
          <w:rFonts w:ascii="Open Sans" w:hAnsi="Open Sans" w:cs="Open Sans"/>
          <w:sz w:val="22"/>
          <w:szCs w:val="22"/>
        </w:rPr>
        <w:t>amendments of the legislation</w:t>
      </w:r>
      <w:r w:rsidR="00AE0D2B" w:rsidRPr="00CC553B">
        <w:rPr>
          <w:rFonts w:ascii="Open Sans" w:hAnsi="Open Sans" w:cs="Open Sans"/>
          <w:sz w:val="22"/>
          <w:szCs w:val="22"/>
        </w:rPr>
        <w:t xml:space="preserve"> to be </w:t>
      </w:r>
      <w:r w:rsidR="00673D41" w:rsidRPr="00CC553B">
        <w:rPr>
          <w:rFonts w:ascii="Open Sans" w:hAnsi="Open Sans" w:cs="Open Sans"/>
          <w:sz w:val="22"/>
          <w:szCs w:val="22"/>
        </w:rPr>
        <w:t>circulated publicly, to State and Territory governments, or to particular groups</w:t>
      </w:r>
      <w:r w:rsidR="00CE0779" w:rsidRPr="00CC553B">
        <w:rPr>
          <w:rFonts w:ascii="Open Sans" w:hAnsi="Open Sans" w:cs="Open Sans"/>
          <w:sz w:val="22"/>
          <w:szCs w:val="22"/>
        </w:rPr>
        <w:t xml:space="preserve"> or stakeholders</w:t>
      </w:r>
      <w:r w:rsidR="00E055DF" w:rsidRPr="00CC553B">
        <w:rPr>
          <w:rFonts w:ascii="Open Sans" w:hAnsi="Open Sans" w:cs="Open Sans"/>
          <w:sz w:val="22"/>
          <w:szCs w:val="22"/>
        </w:rPr>
        <w:t xml:space="preserve">. </w:t>
      </w:r>
      <w:r w:rsidRPr="00CC553B">
        <w:rPr>
          <w:rFonts w:ascii="Open Sans" w:hAnsi="Open Sans" w:cs="Open Sans"/>
          <w:sz w:val="22"/>
          <w:szCs w:val="22"/>
        </w:rPr>
        <w:t xml:space="preserve">Instructing agencies </w:t>
      </w:r>
      <w:r w:rsidR="00673D41" w:rsidRPr="00CC553B">
        <w:rPr>
          <w:rFonts w:ascii="Open Sans" w:hAnsi="Open Sans" w:cs="Open Sans"/>
          <w:sz w:val="22"/>
          <w:szCs w:val="22"/>
        </w:rPr>
        <w:t xml:space="preserve">will need to be </w:t>
      </w:r>
      <w:r w:rsidR="00E055DF" w:rsidRPr="00CC553B">
        <w:rPr>
          <w:rFonts w:ascii="Open Sans" w:hAnsi="Open Sans" w:cs="Open Sans"/>
          <w:sz w:val="22"/>
          <w:szCs w:val="22"/>
        </w:rPr>
        <w:t>aware of consultation requirements that apply to their legislation.</w:t>
      </w:r>
    </w:p>
    <w:p w14:paraId="039E3A22" w14:textId="1527DE97" w:rsidR="00081337" w:rsidRPr="00CC553B" w:rsidRDefault="00081337" w:rsidP="00CC553B">
      <w:pPr>
        <w:pStyle w:val="BodyNum"/>
        <w:spacing w:after="240"/>
        <w:rPr>
          <w:rFonts w:ascii="Open Sans" w:hAnsi="Open Sans" w:cs="Open Sans"/>
          <w:sz w:val="22"/>
          <w:szCs w:val="22"/>
        </w:rPr>
      </w:pPr>
      <w:r w:rsidRPr="00CC553B">
        <w:rPr>
          <w:rFonts w:ascii="Open Sans" w:hAnsi="Open Sans" w:cs="Open Sans"/>
          <w:sz w:val="22"/>
          <w:szCs w:val="22"/>
        </w:rPr>
        <w:t xml:space="preserve">Consultation periods affect timeframes. </w:t>
      </w:r>
      <w:r w:rsidR="00762488" w:rsidRPr="00CC553B">
        <w:rPr>
          <w:rFonts w:ascii="Open Sans" w:hAnsi="Open Sans" w:cs="Open Sans"/>
          <w:sz w:val="22"/>
          <w:szCs w:val="22"/>
        </w:rPr>
        <w:t>First, t</w:t>
      </w:r>
      <w:r w:rsidR="00FB5931" w:rsidRPr="00CC553B">
        <w:rPr>
          <w:rFonts w:ascii="Open Sans" w:hAnsi="Open Sans" w:cs="Open Sans"/>
          <w:sz w:val="22"/>
          <w:szCs w:val="22"/>
        </w:rPr>
        <w:t xml:space="preserve">he need for an exposure draft effectively brings forward the date for </w:t>
      </w:r>
      <w:r w:rsidR="00B72FFE" w:rsidRPr="00CC553B">
        <w:rPr>
          <w:rFonts w:ascii="Open Sans" w:hAnsi="Open Sans" w:cs="Open Sans"/>
          <w:sz w:val="22"/>
          <w:szCs w:val="22"/>
        </w:rPr>
        <w:t xml:space="preserve">drafting the </w:t>
      </w:r>
      <w:r w:rsidR="008F6D30" w:rsidRPr="00CC553B">
        <w:rPr>
          <w:rFonts w:ascii="Open Sans" w:hAnsi="Open Sans" w:cs="Open Sans"/>
          <w:sz w:val="22"/>
          <w:szCs w:val="22"/>
        </w:rPr>
        <w:t xml:space="preserve">legislation. </w:t>
      </w:r>
      <w:r w:rsidR="00762488" w:rsidRPr="00CC553B">
        <w:rPr>
          <w:rFonts w:ascii="Open Sans" w:hAnsi="Open Sans" w:cs="Open Sans"/>
          <w:sz w:val="22"/>
          <w:szCs w:val="22"/>
        </w:rPr>
        <w:t xml:space="preserve">Second, instructors need to allow time </w:t>
      </w:r>
      <w:r w:rsidR="00B72FFE" w:rsidRPr="00CC553B">
        <w:rPr>
          <w:rFonts w:ascii="Open Sans" w:hAnsi="Open Sans" w:cs="Open Sans"/>
          <w:sz w:val="22"/>
          <w:szCs w:val="22"/>
        </w:rPr>
        <w:t xml:space="preserve">for preparation of </w:t>
      </w:r>
      <w:r w:rsidR="00762488" w:rsidRPr="00CC553B">
        <w:rPr>
          <w:rFonts w:ascii="Open Sans" w:hAnsi="Open Sans" w:cs="Open Sans"/>
          <w:sz w:val="22"/>
          <w:szCs w:val="22"/>
        </w:rPr>
        <w:t>instructions, and draft</w:t>
      </w:r>
      <w:r w:rsidR="00B72FFE" w:rsidRPr="00CC553B">
        <w:rPr>
          <w:rFonts w:ascii="Open Sans" w:hAnsi="Open Sans" w:cs="Open Sans"/>
          <w:sz w:val="22"/>
          <w:szCs w:val="22"/>
        </w:rPr>
        <w:t>ing of</w:t>
      </w:r>
      <w:r w:rsidR="00762488" w:rsidRPr="00CC553B">
        <w:rPr>
          <w:rFonts w:ascii="Open Sans" w:hAnsi="Open Sans" w:cs="Open Sans"/>
          <w:sz w:val="22"/>
          <w:szCs w:val="22"/>
        </w:rPr>
        <w:t xml:space="preserve"> amendments, addressing issues raised in consultation. </w:t>
      </w:r>
      <w:r w:rsidR="00E248BC" w:rsidRPr="00CC553B">
        <w:rPr>
          <w:rFonts w:ascii="Open Sans" w:hAnsi="Open Sans" w:cs="Open Sans"/>
          <w:sz w:val="22"/>
          <w:szCs w:val="22"/>
        </w:rPr>
        <w:t xml:space="preserve">Accordingly, </w:t>
      </w:r>
      <w:r w:rsidRPr="00CC553B">
        <w:rPr>
          <w:rFonts w:ascii="Open Sans" w:hAnsi="Open Sans" w:cs="Open Sans"/>
          <w:sz w:val="22"/>
          <w:szCs w:val="22"/>
        </w:rPr>
        <w:t xml:space="preserve">instructors </w:t>
      </w:r>
      <w:r w:rsidR="00E248BC" w:rsidRPr="00CC553B">
        <w:rPr>
          <w:rFonts w:ascii="Open Sans" w:hAnsi="Open Sans" w:cs="Open Sans"/>
          <w:sz w:val="22"/>
          <w:szCs w:val="22"/>
        </w:rPr>
        <w:t xml:space="preserve">should notify OPC </w:t>
      </w:r>
      <w:r w:rsidRPr="00CC553B">
        <w:rPr>
          <w:rFonts w:ascii="Open Sans" w:hAnsi="Open Sans" w:cs="Open Sans"/>
          <w:sz w:val="22"/>
          <w:szCs w:val="22"/>
        </w:rPr>
        <w:t>early in the drafting process</w:t>
      </w:r>
      <w:r w:rsidR="00CE0779" w:rsidRPr="00CC553B">
        <w:rPr>
          <w:rFonts w:ascii="Open Sans" w:hAnsi="Open Sans" w:cs="Open Sans"/>
          <w:sz w:val="22"/>
          <w:szCs w:val="22"/>
        </w:rPr>
        <w:t xml:space="preserve"> if an exposure draft may be required</w:t>
      </w:r>
      <w:r w:rsidR="00E248BC" w:rsidRPr="00CC553B">
        <w:rPr>
          <w:rFonts w:ascii="Open Sans" w:hAnsi="Open Sans" w:cs="Open Sans"/>
          <w:sz w:val="22"/>
          <w:szCs w:val="22"/>
        </w:rPr>
        <w:t>, preferably in the initial drafting instructions</w:t>
      </w:r>
      <w:r w:rsidRPr="00CC553B">
        <w:rPr>
          <w:rFonts w:ascii="Open Sans" w:hAnsi="Open Sans" w:cs="Open Sans"/>
          <w:sz w:val="22"/>
          <w:szCs w:val="22"/>
        </w:rPr>
        <w:t>.</w:t>
      </w:r>
    </w:p>
    <w:bookmarkEnd w:id="1"/>
    <w:p w14:paraId="3E4BA84B" w14:textId="438D9E50" w:rsidR="0008513E" w:rsidRPr="00CC553B" w:rsidRDefault="00696E71" w:rsidP="00696E71">
      <w:pPr>
        <w:pStyle w:val="Heading2"/>
        <w:rPr>
          <w:rFonts w:ascii="Open Sans ExtraBold" w:hAnsi="Open Sans ExtraBold" w:cs="Open Sans ExtraBold"/>
          <w:b/>
          <w:bCs/>
          <w:color w:val="084D5E"/>
          <w:sz w:val="24"/>
          <w:szCs w:val="24"/>
        </w:rPr>
      </w:pPr>
      <w:r w:rsidRPr="00CC553B">
        <w:rPr>
          <w:rFonts w:ascii="Open Sans ExtraBold" w:hAnsi="Open Sans ExtraBold" w:cs="Open Sans ExtraBold"/>
          <w:b/>
          <w:bCs/>
          <w:color w:val="084D5E"/>
          <w:sz w:val="24"/>
          <w:szCs w:val="24"/>
        </w:rPr>
        <w:t>Bill exposure drafts</w:t>
      </w:r>
    </w:p>
    <w:p w14:paraId="778410D8" w14:textId="14A8DD4A" w:rsidR="0008513E" w:rsidRPr="00CC553B" w:rsidRDefault="0008513E" w:rsidP="0008513E">
      <w:pPr>
        <w:pStyle w:val="BodyNum"/>
        <w:rPr>
          <w:rFonts w:ascii="Open Sans" w:hAnsi="Open Sans" w:cs="Open Sans"/>
          <w:sz w:val="22"/>
          <w:szCs w:val="22"/>
        </w:rPr>
      </w:pPr>
      <w:bookmarkStart w:id="2" w:name="_Ref369762724"/>
      <w:r w:rsidRPr="00CC553B">
        <w:rPr>
          <w:rFonts w:ascii="Open Sans" w:hAnsi="Open Sans" w:cs="Open Sans"/>
          <w:sz w:val="22"/>
          <w:szCs w:val="22"/>
        </w:rPr>
        <w:t>Generally, a Bill is required to have the following approvals before being released as an exposure draft:</w:t>
      </w:r>
      <w:bookmarkEnd w:id="2"/>
    </w:p>
    <w:p w14:paraId="310519C2" w14:textId="1E3EEE7B" w:rsidR="00B15F44" w:rsidRPr="00CC553B" w:rsidRDefault="00B15F44" w:rsidP="00B15F44">
      <w:pPr>
        <w:pStyle w:val="BodyPara"/>
        <w:rPr>
          <w:rFonts w:ascii="Open Sans" w:hAnsi="Open Sans" w:cs="Open Sans"/>
          <w:sz w:val="22"/>
          <w:szCs w:val="22"/>
        </w:rPr>
      </w:pPr>
      <w:r w:rsidRPr="00CC553B">
        <w:rPr>
          <w:rFonts w:ascii="Open Sans" w:hAnsi="Open Sans" w:cs="Open Sans"/>
          <w:sz w:val="22"/>
          <w:szCs w:val="22"/>
        </w:rPr>
        <w:t>policy authority for the measures contained in the Bill;</w:t>
      </w:r>
    </w:p>
    <w:p w14:paraId="2087393D" w14:textId="63CCC183" w:rsidR="0008513E" w:rsidRPr="00CC553B" w:rsidRDefault="0008513E" w:rsidP="0008513E">
      <w:pPr>
        <w:pStyle w:val="BodyPara"/>
        <w:rPr>
          <w:rFonts w:ascii="Open Sans" w:hAnsi="Open Sans" w:cs="Open Sans"/>
          <w:sz w:val="22"/>
          <w:szCs w:val="22"/>
        </w:rPr>
      </w:pPr>
      <w:r w:rsidRPr="00CC553B">
        <w:rPr>
          <w:rFonts w:ascii="Open Sans" w:hAnsi="Open Sans" w:cs="Open Sans"/>
          <w:sz w:val="22"/>
          <w:szCs w:val="22"/>
        </w:rPr>
        <w:t>approval from the Prime Minister or the Cabinet for exposure of the draft</w:t>
      </w:r>
      <w:r w:rsidR="00B15F44" w:rsidRPr="00CC553B">
        <w:rPr>
          <w:rFonts w:ascii="Open Sans" w:hAnsi="Open Sans" w:cs="Open Sans"/>
          <w:sz w:val="22"/>
          <w:szCs w:val="22"/>
        </w:rPr>
        <w:t>.</w:t>
      </w:r>
    </w:p>
    <w:p w14:paraId="49C6EB70" w14:textId="0D0E255B" w:rsidR="0071523F" w:rsidRPr="00CC553B" w:rsidRDefault="0071523F" w:rsidP="0008513E">
      <w:pPr>
        <w:pStyle w:val="BodyNum"/>
        <w:rPr>
          <w:rFonts w:ascii="Open Sans" w:hAnsi="Open Sans" w:cs="Open Sans"/>
          <w:sz w:val="22"/>
          <w:szCs w:val="22"/>
        </w:rPr>
      </w:pPr>
      <w:r w:rsidRPr="00CC553B">
        <w:rPr>
          <w:rFonts w:ascii="Open Sans" w:hAnsi="Open Sans" w:cs="Open Sans"/>
          <w:sz w:val="22"/>
          <w:szCs w:val="22"/>
        </w:rPr>
        <w:t xml:space="preserve">This applies in relation to </w:t>
      </w:r>
      <w:r w:rsidR="00FB5931" w:rsidRPr="00CC553B">
        <w:rPr>
          <w:rFonts w:ascii="Open Sans" w:hAnsi="Open Sans" w:cs="Open Sans"/>
          <w:sz w:val="22"/>
          <w:szCs w:val="22"/>
        </w:rPr>
        <w:t xml:space="preserve">the limited </w:t>
      </w:r>
      <w:r w:rsidR="00894F93" w:rsidRPr="00CC553B">
        <w:rPr>
          <w:rFonts w:ascii="Open Sans" w:hAnsi="Open Sans" w:cs="Open Sans"/>
          <w:sz w:val="22"/>
          <w:szCs w:val="22"/>
        </w:rPr>
        <w:t xml:space="preserve">release of an exposure draft Bill to anyone outside the Commonwealth, as well as general </w:t>
      </w:r>
      <w:r w:rsidRPr="00CC553B">
        <w:rPr>
          <w:rFonts w:ascii="Open Sans" w:hAnsi="Open Sans" w:cs="Open Sans"/>
          <w:sz w:val="22"/>
          <w:szCs w:val="22"/>
        </w:rPr>
        <w:t>public exposure.</w:t>
      </w:r>
    </w:p>
    <w:p w14:paraId="18898082" w14:textId="1F2117D5" w:rsidR="0008513E" w:rsidRPr="00CC553B" w:rsidRDefault="008A70E4" w:rsidP="0008513E">
      <w:pPr>
        <w:pStyle w:val="BodyNum"/>
        <w:rPr>
          <w:rFonts w:ascii="Open Sans" w:hAnsi="Open Sans" w:cs="Open Sans"/>
          <w:sz w:val="22"/>
          <w:szCs w:val="22"/>
        </w:rPr>
      </w:pPr>
      <w:r w:rsidRPr="00CC553B">
        <w:rPr>
          <w:rFonts w:ascii="Open Sans" w:hAnsi="Open Sans" w:cs="Open Sans"/>
          <w:sz w:val="22"/>
          <w:szCs w:val="22"/>
        </w:rPr>
        <w:t xml:space="preserve">For more information, see the Legislation Handbook (available on </w:t>
      </w:r>
      <w:r w:rsidR="006D43EC" w:rsidRPr="00CC553B">
        <w:rPr>
          <w:rFonts w:ascii="Open Sans" w:hAnsi="Open Sans" w:cs="Open Sans"/>
          <w:sz w:val="22"/>
          <w:szCs w:val="22"/>
        </w:rPr>
        <w:t xml:space="preserve">the </w:t>
      </w:r>
      <w:r w:rsidRPr="00CC553B">
        <w:rPr>
          <w:rFonts w:ascii="Open Sans" w:hAnsi="Open Sans" w:cs="Open Sans"/>
          <w:sz w:val="22"/>
          <w:szCs w:val="22"/>
        </w:rPr>
        <w:t>website</w:t>
      </w:r>
      <w:r w:rsidR="006D43EC" w:rsidRPr="00CC553B">
        <w:rPr>
          <w:rFonts w:ascii="Open Sans" w:hAnsi="Open Sans" w:cs="Open Sans"/>
          <w:sz w:val="22"/>
          <w:szCs w:val="22"/>
        </w:rPr>
        <w:t xml:space="preserve"> of the Department of the Prime Minister and Cabinet (</w:t>
      </w:r>
      <w:proofErr w:type="spellStart"/>
      <w:r w:rsidR="006D43EC" w:rsidRPr="00CC553B">
        <w:rPr>
          <w:rFonts w:ascii="Open Sans" w:hAnsi="Open Sans" w:cs="Open Sans"/>
          <w:b/>
          <w:bCs/>
          <w:i/>
          <w:iCs/>
          <w:sz w:val="22"/>
          <w:szCs w:val="22"/>
        </w:rPr>
        <w:t>PM&amp;C</w:t>
      </w:r>
      <w:proofErr w:type="spellEnd"/>
      <w:r w:rsidR="006D43EC" w:rsidRPr="00CC553B">
        <w:rPr>
          <w:rFonts w:ascii="Open Sans" w:hAnsi="Open Sans" w:cs="Open Sans"/>
          <w:sz w:val="22"/>
          <w:szCs w:val="22"/>
        </w:rPr>
        <w:t>)</w:t>
      </w:r>
      <w:r w:rsidRPr="00CC553B">
        <w:rPr>
          <w:rFonts w:ascii="Open Sans" w:hAnsi="Open Sans" w:cs="Open Sans"/>
          <w:sz w:val="22"/>
          <w:szCs w:val="22"/>
        </w:rPr>
        <w:t xml:space="preserve">). </w:t>
      </w:r>
      <w:r w:rsidR="0008513E" w:rsidRPr="00CC553B">
        <w:rPr>
          <w:rFonts w:ascii="Open Sans" w:hAnsi="Open Sans" w:cs="Open Sans"/>
          <w:sz w:val="22"/>
          <w:szCs w:val="22"/>
        </w:rPr>
        <w:t xml:space="preserve">If in doubt, instructors should contact the Legislation Section of </w:t>
      </w:r>
      <w:proofErr w:type="spellStart"/>
      <w:r w:rsidR="0008513E" w:rsidRPr="00CC553B">
        <w:rPr>
          <w:rFonts w:ascii="Open Sans" w:hAnsi="Open Sans" w:cs="Open Sans"/>
          <w:sz w:val="22"/>
          <w:szCs w:val="22"/>
        </w:rPr>
        <w:t>PM&amp;C</w:t>
      </w:r>
      <w:proofErr w:type="spellEnd"/>
      <w:r w:rsidR="0008513E" w:rsidRPr="00CC553B">
        <w:rPr>
          <w:rFonts w:ascii="Open Sans" w:hAnsi="Open Sans" w:cs="Open Sans"/>
          <w:sz w:val="22"/>
          <w:szCs w:val="22"/>
        </w:rPr>
        <w:t xml:space="preserve"> about the approvals that are needed.</w:t>
      </w:r>
    </w:p>
    <w:p w14:paraId="6322D639" w14:textId="582AB5CB" w:rsidR="00E248BC" w:rsidRPr="00CC553B" w:rsidRDefault="00F06A82" w:rsidP="00CC553B">
      <w:pPr>
        <w:pStyle w:val="BodyNum"/>
        <w:spacing w:after="240"/>
        <w:rPr>
          <w:rFonts w:ascii="Open Sans" w:hAnsi="Open Sans" w:cs="Open Sans"/>
          <w:sz w:val="22"/>
          <w:szCs w:val="22"/>
        </w:rPr>
      </w:pPr>
      <w:r w:rsidRPr="00CC553B">
        <w:rPr>
          <w:rFonts w:ascii="Open Sans" w:hAnsi="Open Sans" w:cs="Open Sans"/>
          <w:sz w:val="22"/>
          <w:szCs w:val="22"/>
        </w:rPr>
        <w:t xml:space="preserve">The Legislation Approval Process does not apply at the exposure draft stage. It is the instructing agency’s responsibility to ensure the necessary authority </w:t>
      </w:r>
      <w:r w:rsidR="00FB5931" w:rsidRPr="00CC553B">
        <w:rPr>
          <w:rFonts w:ascii="Open Sans" w:hAnsi="Open Sans" w:cs="Open Sans"/>
          <w:sz w:val="22"/>
          <w:szCs w:val="22"/>
        </w:rPr>
        <w:t xml:space="preserve">and approval </w:t>
      </w:r>
      <w:r w:rsidRPr="00CC553B">
        <w:rPr>
          <w:rFonts w:ascii="Open Sans" w:hAnsi="Open Sans" w:cs="Open Sans"/>
          <w:sz w:val="22"/>
          <w:szCs w:val="22"/>
        </w:rPr>
        <w:t>have been obtained.</w:t>
      </w:r>
    </w:p>
    <w:p w14:paraId="7B2B1815" w14:textId="25BC09EC" w:rsidR="0008513E" w:rsidRPr="00CC553B" w:rsidRDefault="00074329" w:rsidP="00CC553B">
      <w:pPr>
        <w:pStyle w:val="Heading2"/>
        <w:rPr>
          <w:rFonts w:ascii="Open Sans ExtraBold" w:hAnsi="Open Sans ExtraBold" w:cs="Open Sans ExtraBold"/>
          <w:b/>
          <w:bCs/>
          <w:color w:val="084D5E"/>
          <w:sz w:val="24"/>
          <w:szCs w:val="24"/>
        </w:rPr>
      </w:pPr>
      <w:bookmarkStart w:id="3" w:name="_Toc104390458"/>
      <w:r w:rsidRPr="00CC553B">
        <w:rPr>
          <w:rFonts w:ascii="Open Sans ExtraBold" w:hAnsi="Open Sans ExtraBold" w:cs="Open Sans ExtraBold"/>
          <w:b/>
          <w:bCs/>
          <w:color w:val="084D5E"/>
          <w:sz w:val="24"/>
          <w:szCs w:val="24"/>
        </w:rPr>
        <w:t>Instrument e</w:t>
      </w:r>
      <w:r w:rsidR="0008513E" w:rsidRPr="00CC553B">
        <w:rPr>
          <w:rFonts w:ascii="Open Sans ExtraBold" w:hAnsi="Open Sans ExtraBold" w:cs="Open Sans ExtraBold"/>
          <w:b/>
          <w:bCs/>
          <w:color w:val="084D5E"/>
          <w:sz w:val="24"/>
          <w:szCs w:val="24"/>
        </w:rPr>
        <w:t>xposure drafts</w:t>
      </w:r>
      <w:bookmarkEnd w:id="3"/>
    </w:p>
    <w:p w14:paraId="3F47C614" w14:textId="77777777" w:rsidR="0008513E" w:rsidRPr="00CC553B" w:rsidRDefault="0008513E" w:rsidP="0008513E">
      <w:pPr>
        <w:pStyle w:val="BodyNum"/>
        <w:rPr>
          <w:rFonts w:ascii="Open Sans" w:eastAsiaTheme="minorHAnsi" w:hAnsi="Open Sans" w:cs="Open Sans"/>
          <w:sz w:val="22"/>
          <w:szCs w:val="22"/>
          <w:lang w:eastAsia="en-US"/>
        </w:rPr>
      </w:pPr>
      <w:r w:rsidRPr="00CC553B">
        <w:rPr>
          <w:rFonts w:ascii="Open Sans" w:eastAsiaTheme="minorHAnsi" w:hAnsi="Open Sans" w:cs="Open Sans"/>
          <w:sz w:val="22"/>
          <w:szCs w:val="22"/>
          <w:lang w:eastAsia="en-US"/>
        </w:rPr>
        <w:t>For instruments, there is no requirement to have specific authority or approval for release of an exposure draft.</w:t>
      </w:r>
    </w:p>
    <w:p w14:paraId="3F86CF32" w14:textId="52286A70" w:rsidR="0008513E" w:rsidRPr="00CC553B" w:rsidRDefault="0008513E" w:rsidP="00CC553B">
      <w:pPr>
        <w:pStyle w:val="BodyNum"/>
        <w:spacing w:after="240"/>
        <w:rPr>
          <w:rFonts w:eastAsiaTheme="minorHAnsi"/>
          <w:sz w:val="22"/>
          <w:szCs w:val="22"/>
          <w:lang w:eastAsia="en-US"/>
        </w:rPr>
      </w:pPr>
      <w:r w:rsidRPr="00CC553B">
        <w:rPr>
          <w:rFonts w:ascii="Open Sans" w:eastAsiaTheme="minorHAnsi" w:hAnsi="Open Sans" w:cs="Open Sans"/>
          <w:sz w:val="22"/>
          <w:szCs w:val="22"/>
          <w:lang w:eastAsia="en-US"/>
        </w:rPr>
        <w:lastRenderedPageBreak/>
        <w:t>However,</w:t>
      </w:r>
      <w:r w:rsidR="00894F93" w:rsidRPr="00CC553B">
        <w:rPr>
          <w:rFonts w:ascii="Open Sans" w:eastAsiaTheme="minorHAnsi" w:hAnsi="Open Sans" w:cs="Open Sans"/>
          <w:sz w:val="22"/>
          <w:szCs w:val="22"/>
          <w:lang w:eastAsia="en-US"/>
        </w:rPr>
        <w:t xml:space="preserve"> an additional requirement applies in relation to </w:t>
      </w:r>
      <w:r w:rsidR="00BB5435" w:rsidRPr="00CC553B">
        <w:rPr>
          <w:rFonts w:ascii="Open Sans" w:eastAsiaTheme="minorHAnsi" w:hAnsi="Open Sans" w:cs="Open Sans"/>
          <w:sz w:val="22"/>
          <w:szCs w:val="22"/>
          <w:lang w:eastAsia="en-US"/>
        </w:rPr>
        <w:t>instrument</w:t>
      </w:r>
      <w:r w:rsidR="00894F93" w:rsidRPr="00CC553B">
        <w:rPr>
          <w:rFonts w:ascii="Open Sans" w:eastAsiaTheme="minorHAnsi" w:hAnsi="Open Sans" w:cs="Open Sans"/>
          <w:sz w:val="22"/>
          <w:szCs w:val="22"/>
          <w:lang w:eastAsia="en-US"/>
        </w:rPr>
        <w:t>s</w:t>
      </w:r>
      <w:r w:rsidR="00BB5435" w:rsidRPr="00CC553B">
        <w:rPr>
          <w:rFonts w:ascii="Open Sans" w:eastAsiaTheme="minorHAnsi" w:hAnsi="Open Sans" w:cs="Open Sans"/>
          <w:sz w:val="22"/>
          <w:szCs w:val="22"/>
          <w:lang w:eastAsia="en-US"/>
        </w:rPr>
        <w:t xml:space="preserve"> that will be made by the </w:t>
      </w:r>
      <w:r w:rsidR="003359DC" w:rsidRPr="00CC553B">
        <w:rPr>
          <w:rFonts w:ascii="Open Sans" w:eastAsiaTheme="minorHAnsi" w:hAnsi="Open Sans" w:cs="Open Sans"/>
          <w:sz w:val="22"/>
          <w:szCs w:val="22"/>
          <w:lang w:eastAsia="en-US"/>
        </w:rPr>
        <w:t>Executive Council (</w:t>
      </w:r>
      <w:r w:rsidR="00BB5435" w:rsidRPr="00CC553B">
        <w:rPr>
          <w:rFonts w:ascii="Open Sans" w:eastAsiaTheme="minorHAnsi" w:hAnsi="Open Sans" w:cs="Open Sans"/>
          <w:sz w:val="22"/>
          <w:szCs w:val="22"/>
          <w:lang w:eastAsia="en-US"/>
        </w:rPr>
        <w:t xml:space="preserve">such as </w:t>
      </w:r>
      <w:r w:rsidR="003359DC" w:rsidRPr="00CC553B">
        <w:rPr>
          <w:rFonts w:ascii="Open Sans" w:eastAsiaTheme="minorHAnsi" w:hAnsi="Open Sans" w:cs="Open Sans"/>
          <w:sz w:val="22"/>
          <w:szCs w:val="22"/>
          <w:lang w:eastAsia="en-US"/>
        </w:rPr>
        <w:t>regulations, proclamations and other instruments to be signed by the Governor-General)</w:t>
      </w:r>
      <w:r w:rsidR="00894F93" w:rsidRPr="00CC553B">
        <w:rPr>
          <w:rFonts w:ascii="Open Sans" w:eastAsiaTheme="minorHAnsi" w:hAnsi="Open Sans" w:cs="Open Sans"/>
          <w:sz w:val="22"/>
          <w:szCs w:val="22"/>
          <w:lang w:eastAsia="en-US"/>
        </w:rPr>
        <w:t>. If proposing to release an exposure draft</w:t>
      </w:r>
      <w:r w:rsidR="003359DC" w:rsidRPr="00CC553B">
        <w:rPr>
          <w:rFonts w:ascii="Open Sans" w:eastAsiaTheme="minorHAnsi" w:hAnsi="Open Sans" w:cs="Open Sans"/>
          <w:sz w:val="22"/>
          <w:szCs w:val="22"/>
          <w:lang w:eastAsia="en-US"/>
        </w:rPr>
        <w:t xml:space="preserve"> </w:t>
      </w:r>
      <w:r w:rsidR="00894F93" w:rsidRPr="00CC553B">
        <w:rPr>
          <w:rFonts w:ascii="Open Sans" w:eastAsiaTheme="minorHAnsi" w:hAnsi="Open Sans" w:cs="Open Sans"/>
          <w:sz w:val="22"/>
          <w:szCs w:val="22"/>
          <w:lang w:eastAsia="en-US"/>
        </w:rPr>
        <w:t xml:space="preserve">of an Executive Council instrument </w:t>
      </w:r>
      <w:r w:rsidRPr="00CC553B">
        <w:rPr>
          <w:rFonts w:ascii="Open Sans" w:hAnsi="Open Sans" w:cs="Open Sans"/>
          <w:sz w:val="22"/>
          <w:szCs w:val="22"/>
        </w:rPr>
        <w:t>to any entity that is not a Commonwealth agency</w:t>
      </w:r>
      <w:r w:rsidRPr="00CC553B">
        <w:rPr>
          <w:rFonts w:ascii="Open Sans" w:eastAsiaTheme="minorHAnsi" w:hAnsi="Open Sans" w:cs="Open Sans"/>
          <w:sz w:val="22"/>
          <w:szCs w:val="22"/>
          <w:lang w:eastAsia="en-US"/>
        </w:rPr>
        <w:t xml:space="preserve">, the instructors should </w:t>
      </w:r>
      <w:r w:rsidR="00BB5435" w:rsidRPr="00CC553B">
        <w:rPr>
          <w:rFonts w:ascii="Open Sans" w:eastAsiaTheme="minorHAnsi" w:hAnsi="Open Sans" w:cs="Open Sans"/>
          <w:sz w:val="22"/>
          <w:szCs w:val="22"/>
          <w:lang w:eastAsia="en-US"/>
        </w:rPr>
        <w:t xml:space="preserve">notify </w:t>
      </w:r>
      <w:r w:rsidRPr="00CC553B">
        <w:rPr>
          <w:rFonts w:ascii="Open Sans" w:eastAsiaTheme="minorHAnsi" w:hAnsi="Open Sans" w:cs="Open Sans"/>
          <w:sz w:val="22"/>
          <w:szCs w:val="22"/>
          <w:lang w:eastAsia="en-US"/>
        </w:rPr>
        <w:t xml:space="preserve">the </w:t>
      </w:r>
      <w:r w:rsidR="00894F93" w:rsidRPr="00CC553B">
        <w:rPr>
          <w:rFonts w:ascii="Open Sans" w:eastAsiaTheme="minorHAnsi" w:hAnsi="Open Sans" w:cs="Open Sans"/>
          <w:sz w:val="22"/>
          <w:szCs w:val="22"/>
          <w:lang w:eastAsia="en-US"/>
        </w:rPr>
        <w:t xml:space="preserve">Executive Council </w:t>
      </w:r>
      <w:r w:rsidRPr="00CC553B">
        <w:rPr>
          <w:rFonts w:ascii="Open Sans" w:eastAsiaTheme="minorHAnsi" w:hAnsi="Open Sans" w:cs="Open Sans"/>
          <w:sz w:val="22"/>
          <w:szCs w:val="22"/>
          <w:lang w:eastAsia="en-US"/>
        </w:rPr>
        <w:t xml:space="preserve">Secretariat in </w:t>
      </w:r>
      <w:proofErr w:type="spellStart"/>
      <w:r w:rsidRPr="00CC553B">
        <w:rPr>
          <w:rFonts w:ascii="Open Sans" w:eastAsiaTheme="minorHAnsi" w:hAnsi="Open Sans" w:cs="Open Sans"/>
          <w:sz w:val="22"/>
          <w:szCs w:val="22"/>
          <w:lang w:eastAsia="en-US"/>
        </w:rPr>
        <w:t>PM&amp;C</w:t>
      </w:r>
      <w:proofErr w:type="spellEnd"/>
      <w:r w:rsidR="00BB5435" w:rsidRPr="00CC553B">
        <w:rPr>
          <w:rFonts w:ascii="Open Sans" w:eastAsiaTheme="minorHAnsi" w:hAnsi="Open Sans" w:cs="Open Sans"/>
          <w:sz w:val="22"/>
          <w:szCs w:val="22"/>
          <w:lang w:eastAsia="en-US"/>
        </w:rPr>
        <w:t xml:space="preserve">. The instructors should provide </w:t>
      </w:r>
      <w:r w:rsidRPr="00CC553B">
        <w:rPr>
          <w:rFonts w:ascii="Open Sans" w:eastAsiaTheme="minorHAnsi" w:hAnsi="Open Sans" w:cs="Open Sans"/>
          <w:sz w:val="22"/>
          <w:szCs w:val="22"/>
          <w:lang w:eastAsia="en-US"/>
        </w:rPr>
        <w:t xml:space="preserve">a </w:t>
      </w:r>
      <w:r w:rsidRPr="00CC553B">
        <w:rPr>
          <w:rFonts w:ascii="Open Sans" w:eastAsiaTheme="minorHAnsi" w:hAnsi="Open Sans" w:cs="Open Sans"/>
          <w:bCs/>
          <w:sz w:val="22"/>
          <w:szCs w:val="22"/>
          <w:lang w:eastAsia="en-US"/>
        </w:rPr>
        <w:t>brief</w:t>
      </w:r>
      <w:r w:rsidRPr="00CC553B">
        <w:rPr>
          <w:rFonts w:ascii="Open Sans" w:eastAsiaTheme="minorHAnsi" w:hAnsi="Open Sans" w:cs="Open Sans"/>
          <w:sz w:val="22"/>
          <w:szCs w:val="22"/>
          <w:lang w:eastAsia="en-US"/>
        </w:rPr>
        <w:t xml:space="preserve"> description of what the instrument does and who the draft is being released to. The information will then be forwarded to Government House for information. The Secretariat does not formally approve the release of exposure drafts. </w:t>
      </w:r>
      <w:r w:rsidR="00BB5435" w:rsidRPr="00CC553B">
        <w:rPr>
          <w:rFonts w:ascii="Open Sans" w:eastAsiaTheme="minorHAnsi" w:hAnsi="Open Sans" w:cs="Open Sans"/>
          <w:sz w:val="22"/>
          <w:szCs w:val="22"/>
          <w:lang w:eastAsia="en-US"/>
        </w:rPr>
        <w:t xml:space="preserve">The information is provided </w:t>
      </w:r>
      <w:r w:rsidRPr="00CC553B">
        <w:rPr>
          <w:rFonts w:ascii="Open Sans" w:eastAsiaTheme="minorHAnsi" w:hAnsi="Open Sans" w:cs="Open Sans"/>
          <w:sz w:val="22"/>
          <w:szCs w:val="22"/>
          <w:lang w:eastAsia="en-US"/>
        </w:rPr>
        <w:t xml:space="preserve">to the Secretariat (and Government House) </w:t>
      </w:r>
      <w:r w:rsidR="00BB5435" w:rsidRPr="00CC553B">
        <w:rPr>
          <w:rFonts w:ascii="Open Sans" w:eastAsiaTheme="minorHAnsi" w:hAnsi="Open Sans" w:cs="Open Sans"/>
          <w:sz w:val="22"/>
          <w:szCs w:val="22"/>
          <w:lang w:eastAsia="en-US"/>
        </w:rPr>
        <w:t>a</w:t>
      </w:r>
      <w:r w:rsidRPr="00CC553B">
        <w:rPr>
          <w:rFonts w:ascii="Open Sans" w:eastAsiaTheme="minorHAnsi" w:hAnsi="Open Sans" w:cs="Open Sans"/>
          <w:sz w:val="22"/>
          <w:szCs w:val="22"/>
          <w:lang w:eastAsia="en-US"/>
        </w:rPr>
        <w:t xml:space="preserve">s a courtesy, and agencies do not need to wait for a response from the Secretariat before releasing </w:t>
      </w:r>
      <w:r w:rsidR="00A16055" w:rsidRPr="00CC553B">
        <w:rPr>
          <w:rFonts w:ascii="Open Sans" w:eastAsiaTheme="minorHAnsi" w:hAnsi="Open Sans" w:cs="Open Sans"/>
          <w:sz w:val="22"/>
          <w:szCs w:val="22"/>
          <w:lang w:eastAsia="en-US"/>
        </w:rPr>
        <w:t xml:space="preserve">the </w:t>
      </w:r>
      <w:r w:rsidRPr="00CC553B">
        <w:rPr>
          <w:rFonts w:ascii="Open Sans" w:eastAsiaTheme="minorHAnsi" w:hAnsi="Open Sans" w:cs="Open Sans"/>
          <w:sz w:val="22"/>
          <w:szCs w:val="22"/>
          <w:lang w:eastAsia="en-US"/>
        </w:rPr>
        <w:t>exposure draft.</w:t>
      </w:r>
    </w:p>
    <w:tbl>
      <w:tblPr>
        <w:tblStyle w:val="TableGrid"/>
        <w:tblW w:w="0" w:type="auto"/>
        <w:tblLook w:val="04A0" w:firstRow="1" w:lastRow="0" w:firstColumn="1" w:lastColumn="0" w:noHBand="0" w:noVBand="1"/>
      </w:tblPr>
      <w:tblGrid>
        <w:gridCol w:w="9016"/>
      </w:tblGrid>
      <w:tr w:rsidR="00CC553B" w:rsidRPr="00CC553B" w14:paraId="4630D614" w14:textId="77777777" w:rsidTr="00443596">
        <w:tc>
          <w:tcPr>
            <w:tcW w:w="9016" w:type="dxa"/>
            <w:tcBorders>
              <w:top w:val="nil"/>
              <w:left w:val="nil"/>
              <w:bottom w:val="nil"/>
              <w:right w:val="nil"/>
            </w:tcBorders>
            <w:shd w:val="clear" w:color="auto" w:fill="A9D9DB"/>
          </w:tcPr>
          <w:p w14:paraId="5B361E2F" w14:textId="77777777" w:rsidR="00CC553B" w:rsidRPr="00CC553B" w:rsidRDefault="00CC553B" w:rsidP="00443596">
            <w:pPr>
              <w:spacing w:before="120" w:after="120"/>
              <w:rPr>
                <w:rFonts w:ascii="Open Sans" w:hAnsi="Open Sans" w:cs="Open Sans"/>
                <w:szCs w:val="22"/>
              </w:rPr>
            </w:pPr>
            <w:bookmarkStart w:id="4" w:name="_Hlk202188723"/>
            <w:r w:rsidRPr="00CC553B">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4"/>
    </w:tbl>
    <w:p w14:paraId="771DDC87" w14:textId="77777777" w:rsidR="00CC553B" w:rsidRPr="00CC553B" w:rsidRDefault="00CC553B" w:rsidP="00CC553B">
      <w:pPr>
        <w:pStyle w:val="BodyNum"/>
        <w:numPr>
          <w:ilvl w:val="0"/>
          <w:numId w:val="0"/>
        </w:numPr>
        <w:rPr>
          <w:rFonts w:eastAsiaTheme="minorHAnsi"/>
          <w:sz w:val="22"/>
          <w:szCs w:val="22"/>
          <w:lang w:eastAsia="en-US"/>
        </w:rPr>
      </w:pPr>
    </w:p>
    <w:sectPr w:rsidR="00CC553B" w:rsidRPr="00CC553B" w:rsidSect="00696E7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D75D3" w14:textId="77777777" w:rsidR="0008513E" w:rsidRDefault="0008513E" w:rsidP="008E17F3">
      <w:pPr>
        <w:spacing w:line="240" w:lineRule="auto"/>
      </w:pPr>
      <w:r>
        <w:separator/>
      </w:r>
    </w:p>
  </w:endnote>
  <w:endnote w:type="continuationSeparator" w:id="0">
    <w:p w14:paraId="76CE1BFF" w14:textId="77777777" w:rsidR="0008513E" w:rsidRDefault="0008513E"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D0E78CE5-6254-4BEC-A913-3395D419C15C}"/>
    <w:embedBold r:id="rId2" w:fontKey="{44804418-4266-4460-91B8-1A3AAA82F535}"/>
    <w:embedBoldItalic r:id="rId3" w:fontKey="{E0EF13C4-853B-4296-9B62-A6B4E3FD0F1A}"/>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 w:name="Open Sans ExtraBold">
    <w:charset w:val="00"/>
    <w:family w:val="swiss"/>
    <w:pitch w:val="variable"/>
    <w:sig w:usb0="E00002EF" w:usb1="4000205B" w:usb2="00000028" w:usb3="00000000" w:csb0="0000019F" w:csb1="00000000"/>
    <w:embedRegular r:id="rId4" w:subsetted="1" w:fontKey="{7557224C-2F86-486B-AB7A-D2A95DF3A8D3}"/>
    <w:embedBold r:id="rId5" w:subsetted="1" w:fontKey="{1EA433F2-EC64-4F79-8B48-B11DA6E01A0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B57A" w14:textId="5E8D990C"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B66F1F">
      <w:rPr>
        <w:rStyle w:val="PageNumber"/>
        <w:noProof/>
      </w:rPr>
      <w:t>2</w:t>
    </w:r>
    <w:r>
      <w:rPr>
        <w:rStyle w:val="PageNumber"/>
      </w:rPr>
      <w:fldChar w:fldCharType="end"/>
    </w:r>
  </w:p>
  <w:p w14:paraId="5F55D333"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2063680569"/>
      <w:docPartObj>
        <w:docPartGallery w:val="Page Numbers (Bottom of Page)"/>
        <w:docPartUnique/>
      </w:docPartObj>
    </w:sdtPr>
    <w:sdtEndPr/>
    <w:sdtContent>
      <w:p w14:paraId="76569FDE" w14:textId="77777777" w:rsidR="00CC553B" w:rsidRPr="00ED6490" w:rsidRDefault="00CC553B">
        <w:pPr>
          <w:pStyle w:val="Footer"/>
          <w:jc w:val="right"/>
          <w:rPr>
            <w:rFonts w:ascii="Open Sans" w:hAnsi="Open Sans" w:cs="Open Sans"/>
            <w:sz w:val="20"/>
            <w:szCs w:val="20"/>
          </w:rPr>
        </w:pPr>
      </w:p>
      <w:p w14:paraId="244EA2CF" w14:textId="21B3B636" w:rsidR="00CC553B" w:rsidRPr="00ED6490" w:rsidRDefault="00CC553B" w:rsidP="00ED6490">
        <w:pPr>
          <w:pStyle w:val="Footer"/>
          <w:tabs>
            <w:tab w:val="left" w:pos="0"/>
          </w:tabs>
          <w:ind w:hanging="709"/>
          <w:jc w:val="right"/>
          <w:rPr>
            <w:rFonts w:ascii="Open Sans" w:hAnsi="Open Sans" w:cs="Open Sans"/>
            <w:sz w:val="20"/>
            <w:szCs w:val="20"/>
          </w:rPr>
        </w:pPr>
        <w:r w:rsidRPr="00ED6490">
          <w:rPr>
            <w:rFonts w:ascii="Open Sans" w:hAnsi="Open Sans" w:cs="Open Sans"/>
            <w:sz w:val="20"/>
            <w:szCs w:val="20"/>
          </w:rPr>
          <w:t>[S25gv115</w:t>
        </w:r>
        <w:r w:rsidR="00ED6490" w:rsidRPr="00ED6490">
          <w:rPr>
            <w:rFonts w:ascii="Open Sans" w:hAnsi="Open Sans" w:cs="Open Sans"/>
            <w:sz w:val="20"/>
            <w:szCs w:val="20"/>
          </w:rPr>
          <w:t>.docx</w:t>
        </w:r>
        <w:r w:rsidRPr="00ED6490">
          <w:rPr>
            <w:rFonts w:ascii="Open Sans" w:hAnsi="Open Sans" w:cs="Open Sans"/>
            <w:sz w:val="20"/>
            <w:szCs w:val="20"/>
          </w:rPr>
          <w:t>]</w:t>
        </w:r>
        <w:r w:rsidRPr="00ED6490">
          <w:rPr>
            <w:rFonts w:ascii="Open Sans" w:hAnsi="Open Sans" w:cs="Open Sans"/>
            <w:sz w:val="20"/>
            <w:szCs w:val="20"/>
          </w:rPr>
          <w:tab/>
        </w:r>
        <w:r w:rsidRPr="00ED6490">
          <w:rPr>
            <w:rFonts w:ascii="Open Sans" w:hAnsi="Open Sans" w:cs="Open Sans"/>
            <w:sz w:val="20"/>
            <w:szCs w:val="20"/>
          </w:rPr>
          <w:tab/>
        </w:r>
        <w:r w:rsidR="00ED6490" w:rsidRPr="00ED6490">
          <w:rPr>
            <w:rFonts w:ascii="Open Sans" w:hAnsi="Open Sans" w:cs="Open Sans"/>
            <w:sz w:val="20"/>
            <w:szCs w:val="20"/>
          </w:rPr>
          <w:t>Last updated: 13 October 2025</w:t>
        </w:r>
      </w:p>
      <w:p w14:paraId="20FA125B" w14:textId="178A84FB" w:rsidR="008E17F3" w:rsidRPr="00ED6490" w:rsidRDefault="00CC553B" w:rsidP="00ED6490">
        <w:pPr>
          <w:pStyle w:val="Footer"/>
          <w:jc w:val="right"/>
          <w:rPr>
            <w:rFonts w:ascii="Open Sans" w:hAnsi="Open Sans" w:cs="Open Sans"/>
            <w:sz w:val="20"/>
            <w:szCs w:val="20"/>
          </w:rPr>
        </w:pPr>
        <w:r w:rsidRPr="00ED6490">
          <w:rPr>
            <w:rFonts w:ascii="Open Sans" w:hAnsi="Open Sans" w:cs="Open Sans"/>
            <w:sz w:val="20"/>
            <w:szCs w:val="20"/>
          </w:rPr>
          <w:t xml:space="preserve">Page | </w:t>
        </w:r>
        <w:r w:rsidRPr="00ED6490">
          <w:rPr>
            <w:rFonts w:ascii="Open Sans" w:hAnsi="Open Sans" w:cs="Open Sans"/>
            <w:sz w:val="20"/>
            <w:szCs w:val="20"/>
          </w:rPr>
          <w:fldChar w:fldCharType="begin"/>
        </w:r>
        <w:r w:rsidRPr="00ED6490">
          <w:rPr>
            <w:rFonts w:ascii="Open Sans" w:hAnsi="Open Sans" w:cs="Open Sans"/>
            <w:sz w:val="20"/>
            <w:szCs w:val="20"/>
          </w:rPr>
          <w:instrText xml:space="preserve"> PAGE   \* MERGEFORMAT </w:instrText>
        </w:r>
        <w:r w:rsidRPr="00ED6490">
          <w:rPr>
            <w:rFonts w:ascii="Open Sans" w:hAnsi="Open Sans" w:cs="Open Sans"/>
            <w:sz w:val="20"/>
            <w:szCs w:val="20"/>
          </w:rPr>
          <w:fldChar w:fldCharType="separate"/>
        </w:r>
        <w:r w:rsidRPr="00ED6490">
          <w:rPr>
            <w:rFonts w:ascii="Open Sans" w:hAnsi="Open Sans" w:cs="Open Sans"/>
            <w:noProof/>
            <w:sz w:val="20"/>
            <w:szCs w:val="20"/>
          </w:rPr>
          <w:t>2</w:t>
        </w:r>
        <w:r w:rsidRPr="00ED6490">
          <w:rPr>
            <w:rFonts w:ascii="Open Sans" w:hAnsi="Open Sans" w:cs="Open Sans"/>
            <w:noProof/>
            <w:sz w:val="20"/>
            <w:szCs w:val="20"/>
          </w:rPr>
          <w:fldChar w:fldCharType="end"/>
        </w:r>
        <w:r w:rsidRPr="00ED6490">
          <w:rPr>
            <w:rFonts w:ascii="Open Sans" w:hAnsi="Open Sans" w:cs="Open Sans"/>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1408191634"/>
      <w:docPartObj>
        <w:docPartGallery w:val="Page Numbers (Bottom of Page)"/>
        <w:docPartUnique/>
      </w:docPartObj>
    </w:sdtPr>
    <w:sdtEndPr/>
    <w:sdtContent>
      <w:p w14:paraId="6605360D" w14:textId="77777777" w:rsidR="00ED6490" w:rsidRPr="00ED6490" w:rsidRDefault="00ED6490" w:rsidP="00ED6490">
        <w:pPr>
          <w:pStyle w:val="Footer"/>
          <w:jc w:val="right"/>
          <w:rPr>
            <w:rFonts w:ascii="Open Sans" w:hAnsi="Open Sans" w:cs="Open Sans"/>
            <w:sz w:val="20"/>
            <w:szCs w:val="20"/>
          </w:rPr>
        </w:pPr>
      </w:p>
      <w:p w14:paraId="70F7805D" w14:textId="77777777" w:rsidR="00ED6490" w:rsidRPr="00ED6490" w:rsidRDefault="00ED6490" w:rsidP="00ED6490">
        <w:pPr>
          <w:pStyle w:val="Footer"/>
          <w:tabs>
            <w:tab w:val="left" w:pos="0"/>
          </w:tabs>
          <w:ind w:hanging="709"/>
          <w:jc w:val="right"/>
          <w:rPr>
            <w:rFonts w:ascii="Open Sans" w:hAnsi="Open Sans" w:cs="Open Sans"/>
            <w:sz w:val="20"/>
            <w:szCs w:val="20"/>
          </w:rPr>
        </w:pPr>
        <w:r w:rsidRPr="00ED6490">
          <w:rPr>
            <w:rFonts w:ascii="Open Sans" w:hAnsi="Open Sans" w:cs="Open Sans"/>
            <w:sz w:val="20"/>
            <w:szCs w:val="20"/>
          </w:rPr>
          <w:t>[S25gv115.docx]</w:t>
        </w:r>
        <w:r w:rsidRPr="00ED6490">
          <w:rPr>
            <w:rFonts w:ascii="Open Sans" w:hAnsi="Open Sans" w:cs="Open Sans"/>
            <w:sz w:val="20"/>
            <w:szCs w:val="20"/>
          </w:rPr>
          <w:tab/>
        </w:r>
        <w:r w:rsidRPr="00ED6490">
          <w:rPr>
            <w:rFonts w:ascii="Open Sans" w:hAnsi="Open Sans" w:cs="Open Sans"/>
            <w:sz w:val="20"/>
            <w:szCs w:val="20"/>
          </w:rPr>
          <w:tab/>
          <w:t>Last updated: 13 October 2025</w:t>
        </w:r>
      </w:p>
      <w:p w14:paraId="75428DF3" w14:textId="4698B4C6" w:rsidR="00CC553B" w:rsidRPr="00ED6490" w:rsidRDefault="00ED6490" w:rsidP="00ED6490">
        <w:pPr>
          <w:pStyle w:val="Footer"/>
          <w:jc w:val="right"/>
          <w:rPr>
            <w:rFonts w:ascii="Open Sans" w:hAnsi="Open Sans" w:cs="Open Sans"/>
            <w:sz w:val="20"/>
            <w:szCs w:val="20"/>
          </w:rPr>
        </w:pPr>
        <w:r w:rsidRPr="00ED6490">
          <w:rPr>
            <w:rFonts w:ascii="Open Sans" w:hAnsi="Open Sans" w:cs="Open Sans"/>
            <w:sz w:val="20"/>
            <w:szCs w:val="20"/>
          </w:rPr>
          <w:t xml:space="preserve">Page | </w:t>
        </w:r>
        <w:r w:rsidRPr="00ED6490">
          <w:rPr>
            <w:rFonts w:ascii="Open Sans" w:hAnsi="Open Sans" w:cs="Open Sans"/>
            <w:sz w:val="20"/>
            <w:szCs w:val="20"/>
          </w:rPr>
          <w:fldChar w:fldCharType="begin"/>
        </w:r>
        <w:r w:rsidRPr="00ED6490">
          <w:rPr>
            <w:rFonts w:ascii="Open Sans" w:hAnsi="Open Sans" w:cs="Open Sans"/>
            <w:sz w:val="20"/>
            <w:szCs w:val="20"/>
          </w:rPr>
          <w:instrText xml:space="preserve"> PAGE   \* MERGEFORMAT </w:instrText>
        </w:r>
        <w:r w:rsidRPr="00ED6490">
          <w:rPr>
            <w:rFonts w:ascii="Open Sans" w:hAnsi="Open Sans" w:cs="Open Sans"/>
            <w:sz w:val="20"/>
            <w:szCs w:val="20"/>
          </w:rPr>
          <w:fldChar w:fldCharType="separate"/>
        </w:r>
        <w:r w:rsidRPr="00ED6490">
          <w:rPr>
            <w:rFonts w:ascii="Open Sans" w:hAnsi="Open Sans" w:cs="Open Sans"/>
            <w:sz w:val="20"/>
            <w:szCs w:val="20"/>
          </w:rPr>
          <w:t>2</w:t>
        </w:r>
        <w:r w:rsidRPr="00ED6490">
          <w:rPr>
            <w:rFonts w:ascii="Open Sans" w:hAnsi="Open Sans" w:cs="Open Sans"/>
            <w:noProof/>
            <w:sz w:val="20"/>
            <w:szCs w:val="20"/>
          </w:rPr>
          <w:fldChar w:fldCharType="end"/>
        </w:r>
        <w:r w:rsidRPr="00ED6490">
          <w:rPr>
            <w:rFonts w:ascii="Open Sans" w:hAnsi="Open Sans" w:cs="Open Sans"/>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4DCD" w14:textId="77777777" w:rsidR="0008513E" w:rsidRDefault="0008513E" w:rsidP="008E17F3">
      <w:pPr>
        <w:spacing w:line="240" w:lineRule="auto"/>
      </w:pPr>
      <w:r>
        <w:separator/>
      </w:r>
    </w:p>
  </w:footnote>
  <w:footnote w:type="continuationSeparator" w:id="0">
    <w:p w14:paraId="524D7844" w14:textId="77777777" w:rsidR="0008513E" w:rsidRDefault="0008513E"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7A89" w14:textId="77777777" w:rsidR="00ED6490" w:rsidRDefault="00ED6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F326" w14:textId="16AE5754" w:rsidR="00696E71" w:rsidRPr="00696E71" w:rsidRDefault="00CC553B" w:rsidP="00CC553B">
    <w:pPr>
      <w:pStyle w:val="ActHead6"/>
      <w:ind w:left="0"/>
      <w:rPr>
        <w:rFonts w:ascii="Open Sans" w:hAnsi="Open Sans" w:cs="Open Sans"/>
        <w:sz w:val="20"/>
      </w:rPr>
    </w:pPr>
    <w:bookmarkStart w:id="5" w:name="_Hlk211263768"/>
    <w:bookmarkStart w:id="6" w:name="_Hlk211263769"/>
    <w:r>
      <w:rPr>
        <w:rFonts w:ascii="Open Sans" w:hAnsi="Open Sans" w:cs="Open Sans"/>
        <w:color w:val="BFBFBF" w:themeColor="background1" w:themeShade="BF"/>
        <w:sz w:val="20"/>
      </w:rPr>
      <w:br/>
    </w:r>
    <w:r w:rsidR="00696E71" w:rsidRPr="00696E71">
      <w:rPr>
        <w:rFonts w:ascii="Open Sans" w:hAnsi="Open Sans" w:cs="Open Sans"/>
        <w:color w:val="BFBFBF" w:themeColor="background1" w:themeShade="BF"/>
        <w:sz w:val="20"/>
      </w:rPr>
      <w:t>Instructor Guidance Note—</w:t>
    </w:r>
    <w:bookmarkEnd w:id="5"/>
    <w:bookmarkEnd w:id="6"/>
    <w:r w:rsidR="00696E71" w:rsidRPr="00696E71">
      <w:rPr>
        <w:rFonts w:ascii="Open Sans" w:hAnsi="Open Sans" w:cs="Open Sans"/>
        <w:color w:val="BFBFBF" w:themeColor="background1" w:themeShade="BF"/>
        <w:sz w:val="20"/>
      </w:rPr>
      <w:t>Exposure drafts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5808" w14:textId="1672E91C" w:rsidR="00696E71" w:rsidRDefault="00696E71">
    <w:pPr>
      <w:pStyle w:val="Header"/>
    </w:pPr>
    <w:r w:rsidRPr="00F951F6">
      <w:rPr>
        <w:rFonts w:cs="Open Sans"/>
        <w:noProof/>
      </w:rPr>
      <w:drawing>
        <wp:anchor distT="0" distB="0" distL="114300" distR="114300" simplePos="0" relativeHeight="251659264" behindDoc="0" locked="0" layoutInCell="1" allowOverlap="1" wp14:anchorId="7644F50C" wp14:editId="15074C33">
          <wp:simplePos x="0" y="0"/>
          <wp:positionH relativeFrom="margin">
            <wp:posOffset>-159026</wp:posOffset>
          </wp:positionH>
          <wp:positionV relativeFrom="paragraph">
            <wp:posOffset>-318052</wp:posOffset>
          </wp:positionV>
          <wp:extent cx="3229347" cy="748862"/>
          <wp:effectExtent l="0" t="0" r="0" b="0"/>
          <wp:wrapNone/>
          <wp:docPr id="635747286"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2C265A"/>
    <w:multiLevelType w:val="hybridMultilevel"/>
    <w:tmpl w:val="2C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21566100">
    <w:abstractNumId w:val="9"/>
  </w:num>
  <w:num w:numId="2" w16cid:durableId="1589999061">
    <w:abstractNumId w:val="7"/>
  </w:num>
  <w:num w:numId="3" w16cid:durableId="1955286467">
    <w:abstractNumId w:val="6"/>
  </w:num>
  <w:num w:numId="4" w16cid:durableId="758797179">
    <w:abstractNumId w:val="5"/>
  </w:num>
  <w:num w:numId="5" w16cid:durableId="467670612">
    <w:abstractNumId w:val="4"/>
  </w:num>
  <w:num w:numId="6" w16cid:durableId="322585423">
    <w:abstractNumId w:val="8"/>
  </w:num>
  <w:num w:numId="7" w16cid:durableId="1328630357">
    <w:abstractNumId w:val="3"/>
  </w:num>
  <w:num w:numId="8" w16cid:durableId="883954761">
    <w:abstractNumId w:val="2"/>
  </w:num>
  <w:num w:numId="9" w16cid:durableId="1309047994">
    <w:abstractNumId w:val="1"/>
  </w:num>
  <w:num w:numId="10" w16cid:durableId="1165704306">
    <w:abstractNumId w:val="0"/>
  </w:num>
  <w:num w:numId="11" w16cid:durableId="1187402026">
    <w:abstractNumId w:val="12"/>
  </w:num>
  <w:num w:numId="12" w16cid:durableId="444547833">
    <w:abstractNumId w:val="13"/>
  </w:num>
  <w:num w:numId="13" w16cid:durableId="1743021194">
    <w:abstractNumId w:val="11"/>
  </w:num>
  <w:num w:numId="14" w16cid:durableId="148131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3E"/>
    <w:rsid w:val="000136AF"/>
    <w:rsid w:val="00022B7E"/>
    <w:rsid w:val="00036B0B"/>
    <w:rsid w:val="00056743"/>
    <w:rsid w:val="000614BF"/>
    <w:rsid w:val="00074329"/>
    <w:rsid w:val="00081337"/>
    <w:rsid w:val="0008513E"/>
    <w:rsid w:val="000C604C"/>
    <w:rsid w:val="000D05EF"/>
    <w:rsid w:val="000E4DE4"/>
    <w:rsid w:val="0010745C"/>
    <w:rsid w:val="00120058"/>
    <w:rsid w:val="00166C2F"/>
    <w:rsid w:val="00174846"/>
    <w:rsid w:val="001939E1"/>
    <w:rsid w:val="00195382"/>
    <w:rsid w:val="001A1822"/>
    <w:rsid w:val="001C69C4"/>
    <w:rsid w:val="001E3590"/>
    <w:rsid w:val="001E7407"/>
    <w:rsid w:val="00253D1B"/>
    <w:rsid w:val="00295FBA"/>
    <w:rsid w:val="002970D7"/>
    <w:rsid w:val="00297ECB"/>
    <w:rsid w:val="002C3AD6"/>
    <w:rsid w:val="002D043A"/>
    <w:rsid w:val="002D6A8E"/>
    <w:rsid w:val="00311448"/>
    <w:rsid w:val="003359DC"/>
    <w:rsid w:val="00352B0F"/>
    <w:rsid w:val="00360FB0"/>
    <w:rsid w:val="003B5735"/>
    <w:rsid w:val="003D0BFE"/>
    <w:rsid w:val="003D5700"/>
    <w:rsid w:val="003D6F8A"/>
    <w:rsid w:val="003E4160"/>
    <w:rsid w:val="004116CD"/>
    <w:rsid w:val="00416F7D"/>
    <w:rsid w:val="00424CA9"/>
    <w:rsid w:val="0044291A"/>
    <w:rsid w:val="00450A86"/>
    <w:rsid w:val="004560FB"/>
    <w:rsid w:val="004653F8"/>
    <w:rsid w:val="004766D5"/>
    <w:rsid w:val="00496F97"/>
    <w:rsid w:val="004B0C7F"/>
    <w:rsid w:val="00516B8D"/>
    <w:rsid w:val="005327A0"/>
    <w:rsid w:val="00537FBC"/>
    <w:rsid w:val="00571E70"/>
    <w:rsid w:val="00584811"/>
    <w:rsid w:val="00594161"/>
    <w:rsid w:val="00594749"/>
    <w:rsid w:val="005F257D"/>
    <w:rsid w:val="00600219"/>
    <w:rsid w:val="006207A3"/>
    <w:rsid w:val="006279B8"/>
    <w:rsid w:val="00673D41"/>
    <w:rsid w:val="00677CC2"/>
    <w:rsid w:val="00680F77"/>
    <w:rsid w:val="0069207B"/>
    <w:rsid w:val="00696E71"/>
    <w:rsid w:val="006C7F8C"/>
    <w:rsid w:val="006D43EC"/>
    <w:rsid w:val="006D77BA"/>
    <w:rsid w:val="006E2E9F"/>
    <w:rsid w:val="00704A73"/>
    <w:rsid w:val="0071523F"/>
    <w:rsid w:val="007276BC"/>
    <w:rsid w:val="00731E00"/>
    <w:rsid w:val="00733990"/>
    <w:rsid w:val="00762488"/>
    <w:rsid w:val="00766393"/>
    <w:rsid w:val="007715C9"/>
    <w:rsid w:val="00774EDD"/>
    <w:rsid w:val="00775577"/>
    <w:rsid w:val="007757EC"/>
    <w:rsid w:val="007E7FA1"/>
    <w:rsid w:val="008006B2"/>
    <w:rsid w:val="0083091F"/>
    <w:rsid w:val="00856A31"/>
    <w:rsid w:val="00864425"/>
    <w:rsid w:val="008754D0"/>
    <w:rsid w:val="00894F93"/>
    <w:rsid w:val="008A70E4"/>
    <w:rsid w:val="008B5502"/>
    <w:rsid w:val="008E17F3"/>
    <w:rsid w:val="008E3B8C"/>
    <w:rsid w:val="008F582B"/>
    <w:rsid w:val="008F6D30"/>
    <w:rsid w:val="0094197F"/>
    <w:rsid w:val="0094622F"/>
    <w:rsid w:val="0098638B"/>
    <w:rsid w:val="0099395A"/>
    <w:rsid w:val="009B40F9"/>
    <w:rsid w:val="00A16055"/>
    <w:rsid w:val="00A231E2"/>
    <w:rsid w:val="00A3326C"/>
    <w:rsid w:val="00A64912"/>
    <w:rsid w:val="00A70A74"/>
    <w:rsid w:val="00A81D50"/>
    <w:rsid w:val="00A91B5C"/>
    <w:rsid w:val="00AD5641"/>
    <w:rsid w:val="00AE0D2B"/>
    <w:rsid w:val="00B15F44"/>
    <w:rsid w:val="00B33B3C"/>
    <w:rsid w:val="00B66F1F"/>
    <w:rsid w:val="00B72FFE"/>
    <w:rsid w:val="00BB5435"/>
    <w:rsid w:val="00BE719A"/>
    <w:rsid w:val="00BE720A"/>
    <w:rsid w:val="00C33979"/>
    <w:rsid w:val="00C358F5"/>
    <w:rsid w:val="00C42BF8"/>
    <w:rsid w:val="00C4489D"/>
    <w:rsid w:val="00C50043"/>
    <w:rsid w:val="00C61CDD"/>
    <w:rsid w:val="00C70E7C"/>
    <w:rsid w:val="00C7573B"/>
    <w:rsid w:val="00C83868"/>
    <w:rsid w:val="00C86F15"/>
    <w:rsid w:val="00CB3D6B"/>
    <w:rsid w:val="00CB48D8"/>
    <w:rsid w:val="00CB5028"/>
    <w:rsid w:val="00CC3FF3"/>
    <w:rsid w:val="00CC553B"/>
    <w:rsid w:val="00CE0779"/>
    <w:rsid w:val="00CF0BB2"/>
    <w:rsid w:val="00D13441"/>
    <w:rsid w:val="00D70DFB"/>
    <w:rsid w:val="00D766DF"/>
    <w:rsid w:val="00DB3CFE"/>
    <w:rsid w:val="00DE7073"/>
    <w:rsid w:val="00E055DF"/>
    <w:rsid w:val="00E1008F"/>
    <w:rsid w:val="00E248BC"/>
    <w:rsid w:val="00E36739"/>
    <w:rsid w:val="00E74DC7"/>
    <w:rsid w:val="00ED0C49"/>
    <w:rsid w:val="00ED6490"/>
    <w:rsid w:val="00EF2E3A"/>
    <w:rsid w:val="00EF54D4"/>
    <w:rsid w:val="00F04811"/>
    <w:rsid w:val="00F06A82"/>
    <w:rsid w:val="00F078DC"/>
    <w:rsid w:val="00F23E5F"/>
    <w:rsid w:val="00F51269"/>
    <w:rsid w:val="00FA50BC"/>
    <w:rsid w:val="00FB5931"/>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8A9626"/>
  <w15:docId w15:val="{33111FA2-F466-4956-851A-0F347FE6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696E71"/>
    <w:pPr>
      <w:keepNext/>
      <w:pageBreakBefore/>
      <w:autoSpaceDE w:val="0"/>
      <w:autoSpaceDN w:val="0"/>
      <w:adjustRightInd w:val="0"/>
      <w:spacing w:before="160" w:after="300"/>
      <w:jc w:val="center"/>
      <w:outlineLvl w:val="0"/>
    </w:pPr>
    <w:rPr>
      <w:rFonts w:ascii="Open Sans" w:hAnsi="Open Sans" w:cs="Open Sans"/>
      <w:color w:val="000000" w:themeColor="text1"/>
      <w:kern w:val="28"/>
      <w:sz w:val="56"/>
      <w:szCs w:val="56"/>
      <w:lang w:val="en-GB" w:eastAsia="en-AU"/>
    </w:rPr>
  </w:style>
  <w:style w:type="paragraph" w:styleId="Heading2">
    <w:name w:val="heading 2"/>
    <w:basedOn w:val="Normal"/>
    <w:next w:val="Normal"/>
    <w:link w:val="Heading2Char"/>
    <w:uiPriority w:val="9"/>
    <w:unhideWhenUsed/>
    <w:qFormat/>
    <w:rsid w:val="00696E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Heading1Char">
    <w:name w:val="Heading 1 Char"/>
    <w:basedOn w:val="DefaultParagraphFont"/>
    <w:link w:val="Heading1"/>
    <w:uiPriority w:val="9"/>
    <w:rsid w:val="00696E71"/>
    <w:rPr>
      <w:rFonts w:ascii="Open Sans" w:hAnsi="Open Sans" w:cs="Open Sans"/>
      <w:color w:val="000000" w:themeColor="text1"/>
      <w:kern w:val="28"/>
      <w:sz w:val="56"/>
      <w:szCs w:val="56"/>
      <w:lang w:val="en-GB" w:eastAsia="en-AU"/>
    </w:rPr>
  </w:style>
  <w:style w:type="character" w:customStyle="1" w:styleId="Heading2Char">
    <w:name w:val="Heading 2 Char"/>
    <w:basedOn w:val="DefaultParagraphFont"/>
    <w:link w:val="Heading2"/>
    <w:uiPriority w:val="9"/>
    <w:rsid w:val="00696E7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CC553B"/>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2849</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Exposure drafts</vt:lpstr>
    </vt:vector>
  </TitlesOfParts>
  <Company>Office of Parliamentary Counsel</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drafts</dc:title>
  <dc:subject/>
  <dc:creator>BurmesterG</dc:creator>
  <cp:keywords/>
  <dc:description/>
  <cp:lastModifiedBy>Berryman, Elentari</cp:lastModifiedBy>
  <cp:revision>3</cp:revision>
  <cp:lastPrinted>2025-10-15T23:33:00Z</cp:lastPrinted>
  <dcterms:created xsi:type="dcterms:W3CDTF">2025-10-15T23:33:00Z</dcterms:created>
  <dcterms:modified xsi:type="dcterms:W3CDTF">2025-10-15T23:33:00Z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ies>
</file>