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48F6D" w14:textId="77777777" w:rsidR="00F60232" w:rsidRPr="00F951F6" w:rsidRDefault="00F60232" w:rsidP="00F60232">
      <w:pPr>
        <w:pStyle w:val="Heading1"/>
        <w:jc w:val="left"/>
        <w:rPr>
          <w:rFonts w:ascii="Open Sans ExtraBold" w:hAnsi="Open Sans ExtraBold" w:cs="Open Sans ExtraBold"/>
          <w:color w:val="084D5E"/>
          <w:lang w:val="en-AU"/>
        </w:rPr>
      </w:pPr>
      <w:r w:rsidRPr="00F951F6">
        <w:rPr>
          <w:rFonts w:ascii="Open Sans ExtraBold" w:hAnsi="Open Sans ExtraBold" w:cs="Open Sans ExtraBold"/>
          <w:color w:val="084D5E"/>
          <w:lang w:val="en-AU"/>
        </w:rPr>
        <w:t>Instructor Guidance Note</w:t>
      </w:r>
      <w:r>
        <w:rPr>
          <w:rFonts w:ascii="Open Sans ExtraBold" w:hAnsi="Open Sans ExtraBold" w:cs="Open Sans ExtraBold"/>
          <w:color w:val="084D5E"/>
          <w:lang w:val="en-AU"/>
        </w:rPr>
        <w:t>—</w:t>
      </w:r>
      <w:r w:rsidRPr="00713E26">
        <w:rPr>
          <w:rFonts w:ascii="Open Sans ExtraBold" w:hAnsi="Open Sans ExtraBold" w:cs="Open Sans ExtraBold"/>
          <w:color w:val="084D5E"/>
          <w:lang w:val="en-AU"/>
        </w:rPr>
        <w:t>Instrument program and policy authority</w:t>
      </w:r>
    </w:p>
    <w:p w14:paraId="126EF87B" w14:textId="77777777" w:rsidR="00F60232" w:rsidRDefault="00F60232" w:rsidP="00F60232">
      <w:pPr>
        <w:pStyle w:val="Heading2"/>
        <w:rPr>
          <w:rFonts w:ascii="Open Sans ExtraBold" w:hAnsi="Open Sans ExtraBold" w:cs="Open Sans ExtraBold"/>
          <w:lang w:val="en-AU"/>
        </w:rPr>
      </w:pPr>
      <w:r w:rsidRPr="00713E26">
        <w:rPr>
          <w:rFonts w:ascii="Open Sans ExtraBold" w:hAnsi="Open Sans ExtraBold" w:cs="Open Sans ExtraBold"/>
          <w:lang w:val="en-AU"/>
        </w:rPr>
        <w:t>Drafting resources for ExCo legislative instruments</w:t>
      </w:r>
    </w:p>
    <w:p w14:paraId="463F3CC9" w14:textId="77777777" w:rsidR="00F60232" w:rsidRPr="00713E26" w:rsidRDefault="00F60232" w:rsidP="00F60232">
      <w:pPr>
        <w:pStyle w:val="BodyNum"/>
        <w:rPr>
          <w:rFonts w:ascii="Open Sans" w:hAnsi="Open Sans" w:cs="Open Sans"/>
          <w:sz w:val="22"/>
          <w:szCs w:val="22"/>
        </w:rPr>
      </w:pPr>
      <w:r w:rsidRPr="00713E26">
        <w:rPr>
          <w:rFonts w:ascii="Open Sans" w:hAnsi="Open Sans" w:cs="Open Sans"/>
          <w:sz w:val="22"/>
          <w:szCs w:val="22"/>
        </w:rPr>
        <w:t xml:space="preserve">To obtain OPC drafting resources for a legislative instrument made or approved by the Governor General (an </w:t>
      </w:r>
      <w:r w:rsidRPr="009D50C3">
        <w:rPr>
          <w:rFonts w:ascii="Open Sans" w:hAnsi="Open Sans" w:cs="Open Sans"/>
          <w:b/>
          <w:bCs/>
          <w:i/>
          <w:iCs/>
          <w:sz w:val="22"/>
          <w:szCs w:val="22"/>
        </w:rPr>
        <w:t>ExCo legislative instrument</w:t>
      </w:r>
      <w:r w:rsidRPr="00713E26">
        <w:rPr>
          <w:rFonts w:ascii="Open Sans" w:hAnsi="Open Sans" w:cs="Open Sans"/>
          <w:sz w:val="22"/>
          <w:szCs w:val="22"/>
        </w:rPr>
        <w:t>), a Department must:</w:t>
      </w:r>
    </w:p>
    <w:p w14:paraId="030BBB0C" w14:textId="5A2401F9" w:rsidR="00F60232" w:rsidRPr="00713E26" w:rsidRDefault="008B0AF4" w:rsidP="00F60232">
      <w:pPr>
        <w:pStyle w:val="BodyParaBullet"/>
        <w:rPr>
          <w:rFonts w:ascii="Open Sans" w:hAnsi="Open Sans" w:cs="Open Sans"/>
          <w:sz w:val="22"/>
          <w:szCs w:val="22"/>
        </w:rPr>
      </w:pPr>
      <w:r>
        <w:rPr>
          <w:rFonts w:ascii="Open Sans" w:hAnsi="Open Sans" w:cs="Open Sans"/>
          <w:sz w:val="22"/>
          <w:szCs w:val="22"/>
        </w:rPr>
        <w:t>a</w:t>
      </w:r>
      <w:r w:rsidR="00F60232" w:rsidRPr="00713E26">
        <w:rPr>
          <w:rFonts w:ascii="Open Sans" w:hAnsi="Open Sans" w:cs="Open Sans"/>
          <w:sz w:val="22"/>
          <w:szCs w:val="22"/>
        </w:rPr>
        <w:t>rrange for the instrument to be included in the Department’s bid for the relevant period; and</w:t>
      </w:r>
    </w:p>
    <w:p w14:paraId="74136E88" w14:textId="77777777" w:rsidR="00F60232" w:rsidRPr="00713E26" w:rsidRDefault="00F60232" w:rsidP="00F60232">
      <w:pPr>
        <w:pStyle w:val="BodyParaBullet"/>
        <w:rPr>
          <w:rFonts w:ascii="Open Sans" w:hAnsi="Open Sans" w:cs="Open Sans"/>
          <w:sz w:val="22"/>
          <w:szCs w:val="22"/>
        </w:rPr>
      </w:pPr>
      <w:r w:rsidRPr="00713E26">
        <w:rPr>
          <w:rFonts w:ascii="Open Sans" w:hAnsi="Open Sans" w:cs="Open Sans"/>
          <w:sz w:val="22"/>
          <w:szCs w:val="22"/>
        </w:rPr>
        <w:t>obtain general policy authority for the instrument.</w:t>
      </w:r>
    </w:p>
    <w:p w14:paraId="288459EF" w14:textId="77777777" w:rsidR="00F60232" w:rsidRPr="00713E26" w:rsidRDefault="00F60232" w:rsidP="00F60232">
      <w:pPr>
        <w:pStyle w:val="BodyNum"/>
        <w:rPr>
          <w:rFonts w:ascii="Open Sans" w:hAnsi="Open Sans" w:cs="Open Sans"/>
          <w:sz w:val="22"/>
          <w:szCs w:val="22"/>
        </w:rPr>
      </w:pPr>
      <w:r w:rsidRPr="00713E26">
        <w:rPr>
          <w:rFonts w:ascii="Open Sans" w:hAnsi="Open Sans" w:cs="Open Sans"/>
          <w:sz w:val="22"/>
          <w:szCs w:val="22"/>
        </w:rPr>
        <w:t xml:space="preserve">These requirements do not apply to legislative instruments the drafting of which is not tied to OPC, such as Ministerial rules. </w:t>
      </w:r>
      <w:proofErr w:type="spellStart"/>
      <w:r w:rsidRPr="00713E26">
        <w:rPr>
          <w:rFonts w:ascii="Open Sans" w:hAnsi="Open Sans" w:cs="Open Sans"/>
          <w:sz w:val="22"/>
          <w:szCs w:val="22"/>
        </w:rPr>
        <w:t>OPC’s</w:t>
      </w:r>
      <w:proofErr w:type="spellEnd"/>
      <w:r w:rsidRPr="00713E26">
        <w:rPr>
          <w:rFonts w:ascii="Open Sans" w:hAnsi="Open Sans" w:cs="Open Sans"/>
          <w:sz w:val="22"/>
          <w:szCs w:val="22"/>
        </w:rPr>
        <w:t xml:space="preserve"> drafting of such non</w:t>
      </w:r>
      <w:r w:rsidRPr="00713E26">
        <w:rPr>
          <w:rFonts w:ascii="Open Sans" w:hAnsi="Open Sans" w:cs="Open Sans"/>
          <w:sz w:val="22"/>
          <w:szCs w:val="22"/>
        </w:rPr>
        <w:noBreakHyphen/>
        <w:t xml:space="preserve">tied instruments is subject to capacity, and whether one or more of the matters specified in </w:t>
      </w:r>
      <w:r w:rsidRPr="00713E26">
        <w:rPr>
          <w:rFonts w:ascii="Open Sans" w:hAnsi="Open Sans" w:cs="Open Sans"/>
          <w:i/>
          <w:iCs/>
          <w:sz w:val="22"/>
          <w:szCs w:val="22"/>
        </w:rPr>
        <w:t>Instruments Drafting Guidance Note 1.1—Deciding if a non-tied instrument should be drafted by OPC</w:t>
      </w:r>
      <w:r w:rsidRPr="00713E26">
        <w:rPr>
          <w:rFonts w:ascii="Open Sans" w:hAnsi="Open Sans" w:cs="Open Sans"/>
          <w:sz w:val="22"/>
          <w:szCs w:val="22"/>
        </w:rPr>
        <w:t xml:space="preserve"> (available on </w:t>
      </w:r>
      <w:proofErr w:type="spellStart"/>
      <w:r w:rsidRPr="00713E26">
        <w:rPr>
          <w:rFonts w:ascii="Open Sans" w:hAnsi="Open Sans" w:cs="Open Sans"/>
          <w:sz w:val="22"/>
          <w:szCs w:val="22"/>
        </w:rPr>
        <w:t>OPC’s</w:t>
      </w:r>
      <w:proofErr w:type="spellEnd"/>
      <w:r w:rsidRPr="00713E26">
        <w:rPr>
          <w:rFonts w:ascii="Open Sans" w:hAnsi="Open Sans" w:cs="Open Sans"/>
          <w:sz w:val="22"/>
          <w:szCs w:val="22"/>
        </w:rPr>
        <w:t xml:space="preserve"> website) applies to the instrument. There is no formal priority system for non</w:t>
      </w:r>
      <w:r w:rsidRPr="00713E26">
        <w:rPr>
          <w:rFonts w:ascii="Open Sans" w:hAnsi="Open Sans" w:cs="Open Sans"/>
          <w:sz w:val="22"/>
          <w:szCs w:val="22"/>
        </w:rPr>
        <w:noBreakHyphen/>
        <w:t>tied instruments.</w:t>
      </w:r>
    </w:p>
    <w:p w14:paraId="787B0069" w14:textId="77777777" w:rsidR="00F60232" w:rsidRPr="00713E26" w:rsidRDefault="00F60232" w:rsidP="00F60232">
      <w:pPr>
        <w:pStyle w:val="Heading2"/>
        <w:rPr>
          <w:rFonts w:ascii="Open Sans ExtraBold" w:hAnsi="Open Sans ExtraBold" w:cs="Open Sans ExtraBold"/>
          <w:lang w:val="en-AU"/>
        </w:rPr>
      </w:pPr>
      <w:r w:rsidRPr="00713E26">
        <w:rPr>
          <w:rFonts w:ascii="Open Sans ExtraBold" w:hAnsi="Open Sans ExtraBold" w:cs="Open Sans ExtraBold"/>
          <w:lang w:val="en-AU"/>
        </w:rPr>
        <w:t>Priority process for ExCo legislative instruments</w:t>
      </w:r>
    </w:p>
    <w:p w14:paraId="21CBAD23" w14:textId="77777777" w:rsidR="00F60232" w:rsidRPr="00534599" w:rsidRDefault="00F60232" w:rsidP="00F60232">
      <w:pPr>
        <w:pStyle w:val="BodyNum"/>
        <w:rPr>
          <w:rFonts w:ascii="Open Sans" w:hAnsi="Open Sans" w:cs="Open Sans"/>
          <w:sz w:val="22"/>
          <w:szCs w:val="22"/>
        </w:rPr>
      </w:pPr>
      <w:proofErr w:type="spellStart"/>
      <w:r w:rsidRPr="00534599">
        <w:rPr>
          <w:rFonts w:ascii="Open Sans" w:hAnsi="Open Sans" w:cs="Open Sans"/>
          <w:sz w:val="22"/>
          <w:szCs w:val="22"/>
        </w:rPr>
        <w:t>OPC’s</w:t>
      </w:r>
      <w:proofErr w:type="spellEnd"/>
      <w:r w:rsidRPr="00534599">
        <w:rPr>
          <w:rFonts w:ascii="Open Sans" w:hAnsi="Open Sans" w:cs="Open Sans"/>
          <w:sz w:val="22"/>
          <w:szCs w:val="22"/>
        </w:rPr>
        <w:t xml:space="preserve"> priority categories for ExCo legislative instruments are as follows:</w:t>
      </w:r>
    </w:p>
    <w:p w14:paraId="1DBDEE42" w14:textId="77777777" w:rsidR="00F60232" w:rsidRPr="00534599" w:rsidRDefault="00F60232" w:rsidP="00F60232">
      <w:pPr>
        <w:pStyle w:val="BodyParaBullet"/>
        <w:rPr>
          <w:rFonts w:ascii="Open Sans" w:hAnsi="Open Sans" w:cs="Open Sans"/>
          <w:sz w:val="22"/>
          <w:szCs w:val="22"/>
        </w:rPr>
      </w:pPr>
      <w:r w:rsidRPr="00534599">
        <w:rPr>
          <w:rFonts w:ascii="Open Sans" w:hAnsi="Open Sans" w:cs="Open Sans"/>
          <w:sz w:val="22"/>
          <w:szCs w:val="22"/>
        </w:rPr>
        <w:t>priority 1 (critical): these are examples of priority 1 instruments—</w:t>
      </w:r>
    </w:p>
    <w:p w14:paraId="1A6A2BF3" w14:textId="77777777" w:rsidR="00F60232" w:rsidRPr="00534599" w:rsidRDefault="00F60232" w:rsidP="00F60232">
      <w:pPr>
        <w:pStyle w:val="BodySubPara"/>
        <w:rPr>
          <w:rFonts w:ascii="Open Sans" w:hAnsi="Open Sans" w:cs="Open Sans"/>
          <w:sz w:val="22"/>
          <w:szCs w:val="22"/>
        </w:rPr>
      </w:pPr>
      <w:r w:rsidRPr="00534599">
        <w:rPr>
          <w:rFonts w:ascii="Open Sans" w:hAnsi="Open Sans" w:cs="Open Sans"/>
          <w:sz w:val="22"/>
          <w:szCs w:val="22"/>
        </w:rPr>
        <w:t>it is critical that the instrument be made during this bidding cycle; or</w:t>
      </w:r>
    </w:p>
    <w:p w14:paraId="7624D82D" w14:textId="77777777" w:rsidR="00F60232" w:rsidRPr="00534599" w:rsidRDefault="00F60232" w:rsidP="00F60232">
      <w:pPr>
        <w:pStyle w:val="BodySubPara"/>
        <w:rPr>
          <w:rFonts w:ascii="Open Sans" w:hAnsi="Open Sans" w:cs="Open Sans"/>
          <w:sz w:val="22"/>
          <w:szCs w:val="22"/>
        </w:rPr>
      </w:pPr>
      <w:r w:rsidRPr="00534599">
        <w:rPr>
          <w:rFonts w:ascii="Open Sans" w:hAnsi="Open Sans" w:cs="Open Sans"/>
          <w:sz w:val="22"/>
          <w:szCs w:val="22"/>
        </w:rPr>
        <w:t>the instrument will be made in a later bidding cycle but it is critical that drafting resources be allocated during the current bidding cycle as a top priority (e.g. an instrument for which an exposure draft must be ready during the current bidding cycle, or an instrument that is so large that drafting must begin during the current bidding cycle);</w:t>
      </w:r>
    </w:p>
    <w:p w14:paraId="7E861A73" w14:textId="77777777" w:rsidR="00F60232" w:rsidRPr="00534599" w:rsidRDefault="00F60232" w:rsidP="00F60232">
      <w:pPr>
        <w:pStyle w:val="BodyParaBullet"/>
        <w:rPr>
          <w:rFonts w:ascii="Open Sans" w:hAnsi="Open Sans" w:cs="Open Sans"/>
          <w:sz w:val="22"/>
          <w:szCs w:val="22"/>
        </w:rPr>
      </w:pPr>
      <w:r w:rsidRPr="00534599">
        <w:rPr>
          <w:rFonts w:ascii="Open Sans" w:hAnsi="Open Sans" w:cs="Open Sans"/>
          <w:sz w:val="22"/>
          <w:szCs w:val="22"/>
        </w:rPr>
        <w:t>priority 2 (high priority): an instrument assessed by a Department as a high priority but not priority 1;</w:t>
      </w:r>
    </w:p>
    <w:p w14:paraId="79B1A163" w14:textId="77777777" w:rsidR="00F60232" w:rsidRPr="00534599" w:rsidRDefault="00F60232" w:rsidP="00F60232">
      <w:pPr>
        <w:pStyle w:val="BodyParaBullet"/>
        <w:rPr>
          <w:rFonts w:ascii="Open Sans" w:hAnsi="Open Sans" w:cs="Open Sans"/>
          <w:sz w:val="22"/>
          <w:szCs w:val="22"/>
        </w:rPr>
      </w:pPr>
      <w:r w:rsidRPr="00534599">
        <w:rPr>
          <w:rFonts w:ascii="Open Sans" w:hAnsi="Open Sans" w:cs="Open Sans"/>
          <w:sz w:val="22"/>
          <w:szCs w:val="22"/>
        </w:rPr>
        <w:t>priority 3 (medium priority);</w:t>
      </w:r>
    </w:p>
    <w:p w14:paraId="2E895DA9" w14:textId="77777777" w:rsidR="00F60232" w:rsidRDefault="00F60232" w:rsidP="00F60232">
      <w:pPr>
        <w:pStyle w:val="BodyParaBullet"/>
        <w:rPr>
          <w:rFonts w:ascii="Open Sans" w:hAnsi="Open Sans" w:cs="Open Sans"/>
          <w:sz w:val="22"/>
          <w:szCs w:val="18"/>
        </w:rPr>
      </w:pPr>
      <w:r w:rsidRPr="00534599">
        <w:rPr>
          <w:rFonts w:ascii="Open Sans" w:hAnsi="Open Sans" w:cs="Open Sans"/>
          <w:sz w:val="22"/>
          <w:szCs w:val="18"/>
        </w:rPr>
        <w:t>priority 4 (low priority).</w:t>
      </w:r>
    </w:p>
    <w:p w14:paraId="66DAD843" w14:textId="77777777" w:rsidR="00F60232" w:rsidRPr="00905152" w:rsidRDefault="00F60232" w:rsidP="00F60232">
      <w:pPr>
        <w:pStyle w:val="BodyNum"/>
        <w:rPr>
          <w:rFonts w:ascii="Open Sans" w:hAnsi="Open Sans" w:cs="Open Sans"/>
          <w:sz w:val="22"/>
          <w:szCs w:val="22"/>
        </w:rPr>
      </w:pPr>
      <w:r w:rsidRPr="00905152">
        <w:rPr>
          <w:rFonts w:ascii="Open Sans" w:hAnsi="Open Sans" w:cs="Open Sans"/>
          <w:sz w:val="22"/>
          <w:szCs w:val="22"/>
        </w:rPr>
        <w:lastRenderedPageBreak/>
        <w:t>Before each Parliamentary sittings period, First Parliamentary Counsel seeks bids from Departments for ExCo legislative instruments to be drafted in that period. The ExCo Secretariat also sends out an Executive Council Circular advising Departmental Legislation Liaison Officers (</w:t>
      </w:r>
      <w:proofErr w:type="spellStart"/>
      <w:r w:rsidRPr="00905152">
        <w:rPr>
          <w:rFonts w:ascii="Open Sans" w:hAnsi="Open Sans" w:cs="Open Sans"/>
          <w:b/>
          <w:bCs/>
          <w:i/>
          <w:iCs/>
          <w:sz w:val="22"/>
          <w:szCs w:val="22"/>
        </w:rPr>
        <w:t>LLOs</w:t>
      </w:r>
      <w:proofErr w:type="spellEnd"/>
      <w:r w:rsidRPr="00905152">
        <w:rPr>
          <w:rFonts w:ascii="Open Sans" w:hAnsi="Open Sans" w:cs="Open Sans"/>
          <w:sz w:val="22"/>
          <w:szCs w:val="22"/>
        </w:rPr>
        <w:t>) and Executive Council Liaison Officers of the deadlines for submitting bids.</w:t>
      </w:r>
    </w:p>
    <w:p w14:paraId="74A76132" w14:textId="77777777" w:rsidR="00F60232" w:rsidRPr="00905152" w:rsidRDefault="00F60232" w:rsidP="00F60232">
      <w:pPr>
        <w:pStyle w:val="BodyNum"/>
        <w:rPr>
          <w:rFonts w:ascii="Open Sans" w:hAnsi="Open Sans" w:cs="Open Sans"/>
          <w:sz w:val="22"/>
          <w:szCs w:val="22"/>
        </w:rPr>
      </w:pPr>
      <w:r w:rsidRPr="00905152">
        <w:rPr>
          <w:rFonts w:ascii="Open Sans" w:hAnsi="Open Sans" w:cs="Open Sans"/>
          <w:sz w:val="22"/>
          <w:szCs w:val="22"/>
        </w:rPr>
        <w:t>Bids can only be made by portfolio Departments. They cannot be made by other agencies within a portfolio, even if such an agency may ultimately instruct OPC on the drafting of an instrument covered by a bid. Also, bids are made on a whole</w:t>
      </w:r>
      <w:r w:rsidRPr="00905152">
        <w:rPr>
          <w:rFonts w:ascii="Open Sans" w:hAnsi="Open Sans" w:cs="Open Sans"/>
          <w:sz w:val="22"/>
          <w:szCs w:val="22"/>
        </w:rPr>
        <w:noBreakHyphen/>
        <w:t>of</w:t>
      </w:r>
      <w:r w:rsidRPr="00905152">
        <w:rPr>
          <w:rFonts w:ascii="Open Sans" w:hAnsi="Open Sans" w:cs="Open Sans"/>
          <w:sz w:val="22"/>
          <w:szCs w:val="22"/>
        </w:rPr>
        <w:noBreakHyphen/>
        <w:t>Department basis, not by individual policy areas. Please contact your Department’s LLO to find out your Department’s process.</w:t>
      </w:r>
    </w:p>
    <w:p w14:paraId="5448B9B8" w14:textId="77777777" w:rsidR="00F60232" w:rsidRPr="00905152" w:rsidRDefault="00F60232" w:rsidP="00F60232">
      <w:pPr>
        <w:pStyle w:val="BodyNum"/>
        <w:rPr>
          <w:rFonts w:ascii="Open Sans" w:hAnsi="Open Sans" w:cs="Open Sans"/>
          <w:sz w:val="22"/>
          <w:szCs w:val="22"/>
        </w:rPr>
      </w:pPr>
      <w:r w:rsidRPr="00905152">
        <w:rPr>
          <w:rFonts w:ascii="Open Sans" w:hAnsi="Open Sans" w:cs="Open Sans"/>
          <w:sz w:val="22"/>
          <w:szCs w:val="22"/>
        </w:rPr>
        <w:t xml:space="preserve">Bids should cover </w:t>
      </w:r>
      <w:r w:rsidRPr="00905152">
        <w:rPr>
          <w:rFonts w:ascii="Open Sans" w:hAnsi="Open Sans" w:cs="Open Sans"/>
          <w:i/>
          <w:iCs/>
          <w:sz w:val="22"/>
          <w:szCs w:val="22"/>
        </w:rPr>
        <w:t>all</w:t>
      </w:r>
      <w:r w:rsidRPr="00905152">
        <w:rPr>
          <w:rFonts w:ascii="Open Sans" w:hAnsi="Open Sans" w:cs="Open Sans"/>
          <w:sz w:val="22"/>
          <w:szCs w:val="22"/>
        </w:rPr>
        <w:t xml:space="preserve"> ExCo legislative instruments that are expected to need drafting resources during the drafting period. This is the case even if the instruments are needed because of a Bill drafted, or being drafted, by OPC, and even if the need for the instruments has already been mentioned in a bid for that Bill.</w:t>
      </w:r>
    </w:p>
    <w:p w14:paraId="050999BF" w14:textId="77777777" w:rsidR="00F60232" w:rsidRPr="00905152" w:rsidRDefault="00F60232" w:rsidP="00F60232">
      <w:pPr>
        <w:pStyle w:val="BodyNum"/>
        <w:rPr>
          <w:rFonts w:ascii="Open Sans" w:hAnsi="Open Sans" w:cs="Open Sans"/>
          <w:sz w:val="22"/>
          <w:szCs w:val="22"/>
        </w:rPr>
      </w:pPr>
      <w:r w:rsidRPr="00905152">
        <w:rPr>
          <w:rFonts w:ascii="Open Sans" w:hAnsi="Open Sans" w:cs="Open Sans"/>
          <w:sz w:val="22"/>
          <w:szCs w:val="22"/>
        </w:rPr>
        <w:t xml:space="preserve"> In addition to the priority sought, bids should list the instruments in their relative order of priority within each priority category.</w:t>
      </w:r>
    </w:p>
    <w:p w14:paraId="5C5BD5F4" w14:textId="77777777" w:rsidR="00F60232" w:rsidRPr="00905152" w:rsidRDefault="00F60232" w:rsidP="00F60232">
      <w:pPr>
        <w:pStyle w:val="BodyNum"/>
        <w:rPr>
          <w:rFonts w:ascii="Open Sans" w:hAnsi="Open Sans" w:cs="Open Sans"/>
          <w:sz w:val="22"/>
          <w:szCs w:val="22"/>
        </w:rPr>
      </w:pPr>
      <w:r w:rsidRPr="00905152">
        <w:rPr>
          <w:rFonts w:ascii="Open Sans" w:hAnsi="Open Sans" w:cs="Open Sans"/>
          <w:sz w:val="22"/>
          <w:szCs w:val="22"/>
        </w:rPr>
        <w:t>OPC then develops a legislative program for the drafting of ExCo legislative instruments, based on the information in the bids.</w:t>
      </w:r>
    </w:p>
    <w:p w14:paraId="4A2BD9DE" w14:textId="77777777" w:rsidR="00F60232" w:rsidRPr="003C508C" w:rsidRDefault="00F60232" w:rsidP="00F60232">
      <w:pPr>
        <w:pStyle w:val="Heading2"/>
        <w:rPr>
          <w:rFonts w:ascii="Open Sans ExtraBold" w:hAnsi="Open Sans ExtraBold" w:cs="Open Sans ExtraBold"/>
          <w:lang w:val="en-AU"/>
        </w:rPr>
      </w:pPr>
      <w:r w:rsidRPr="003C508C">
        <w:rPr>
          <w:rFonts w:ascii="Open Sans ExtraBold" w:hAnsi="Open Sans ExtraBold" w:cs="Open Sans ExtraBold"/>
          <w:lang w:val="en-AU"/>
        </w:rPr>
        <w:t>Changing priority or adding instruments</w:t>
      </w:r>
    </w:p>
    <w:p w14:paraId="0F51E687" w14:textId="77777777" w:rsidR="00F60232" w:rsidRPr="00905152" w:rsidRDefault="00F60232" w:rsidP="00F60232">
      <w:pPr>
        <w:pStyle w:val="BodyNum"/>
        <w:rPr>
          <w:rFonts w:ascii="Open Sans" w:hAnsi="Open Sans" w:cs="Open Sans"/>
          <w:sz w:val="22"/>
          <w:szCs w:val="18"/>
        </w:rPr>
      </w:pPr>
      <w:r w:rsidRPr="00905152">
        <w:rPr>
          <w:rFonts w:ascii="Open Sans" w:hAnsi="Open Sans" w:cs="Open Sans"/>
          <w:sz w:val="22"/>
          <w:szCs w:val="18"/>
        </w:rPr>
        <w:t>If a Department wants to change the priority that has been allocated to a particular instrument, or to add new instruments to the program with a particular priority, the Department needs to lodge a variation form with OPC. Variations are managed at a whole</w:t>
      </w:r>
      <w:r w:rsidRPr="00905152">
        <w:rPr>
          <w:rFonts w:ascii="Open Sans" w:hAnsi="Open Sans" w:cs="Open Sans"/>
          <w:sz w:val="22"/>
          <w:szCs w:val="18"/>
        </w:rPr>
        <w:noBreakHyphen/>
        <w:t>of</w:t>
      </w:r>
      <w:r w:rsidRPr="00905152">
        <w:rPr>
          <w:rFonts w:ascii="Open Sans" w:hAnsi="Open Sans" w:cs="Open Sans"/>
          <w:sz w:val="22"/>
          <w:szCs w:val="18"/>
        </w:rPr>
        <w:noBreakHyphen/>
        <w:t>Department level. Please contact your LLO to find out your Department’s process for variations.</w:t>
      </w:r>
    </w:p>
    <w:p w14:paraId="54058A74" w14:textId="77777777" w:rsidR="00F60232" w:rsidRPr="003C508C" w:rsidRDefault="00F60232" w:rsidP="00F60232">
      <w:pPr>
        <w:pStyle w:val="Heading2"/>
        <w:rPr>
          <w:rFonts w:ascii="Open Sans ExtraBold" w:hAnsi="Open Sans ExtraBold" w:cs="Open Sans ExtraBold"/>
          <w:lang w:val="en-AU"/>
        </w:rPr>
      </w:pPr>
      <w:r w:rsidRPr="003C508C">
        <w:rPr>
          <w:rFonts w:ascii="Open Sans ExtraBold" w:hAnsi="Open Sans ExtraBold" w:cs="Open Sans ExtraBold"/>
          <w:lang w:val="en-AU"/>
        </w:rPr>
        <w:t>Carrying over instrument drafting projects</w:t>
      </w:r>
    </w:p>
    <w:p w14:paraId="739D73EE" w14:textId="77777777" w:rsidR="00F60232" w:rsidRPr="00905152" w:rsidRDefault="00F60232" w:rsidP="00F60232">
      <w:pPr>
        <w:pStyle w:val="BodyNum"/>
        <w:rPr>
          <w:rFonts w:ascii="Open Sans" w:hAnsi="Open Sans" w:cs="Open Sans"/>
          <w:sz w:val="22"/>
          <w:szCs w:val="18"/>
        </w:rPr>
      </w:pPr>
      <w:r w:rsidRPr="00905152">
        <w:rPr>
          <w:rFonts w:ascii="Open Sans" w:hAnsi="Open Sans" w:cs="Open Sans"/>
          <w:sz w:val="22"/>
          <w:szCs w:val="18"/>
        </w:rPr>
        <w:t>Sometimes, the drafting of an instrument is not completed in the drafting period for which it has been given a priority. If this happens, then, in order for drafting work to continue and be completed in a later drafting period, the Department will need to again bid for the instrument for that later drafting period. The previously allocated priority does not carry over to the later drafting period.</w:t>
      </w:r>
    </w:p>
    <w:p w14:paraId="7A7571F6" w14:textId="77777777" w:rsidR="00F60232" w:rsidRPr="003C508C" w:rsidRDefault="00F60232" w:rsidP="00F60232">
      <w:pPr>
        <w:pStyle w:val="Heading2"/>
        <w:rPr>
          <w:rFonts w:ascii="Open Sans ExtraBold" w:hAnsi="Open Sans ExtraBold" w:cs="Open Sans ExtraBold"/>
          <w:lang w:val="en-AU"/>
        </w:rPr>
      </w:pPr>
      <w:r w:rsidRPr="003C508C">
        <w:rPr>
          <w:rFonts w:ascii="Open Sans ExtraBold" w:hAnsi="Open Sans ExtraBold" w:cs="Open Sans ExtraBold"/>
          <w:lang w:val="en-AU"/>
        </w:rPr>
        <w:t>Commencement proclamations</w:t>
      </w:r>
    </w:p>
    <w:p w14:paraId="06A1D7FE" w14:textId="77777777" w:rsidR="00F60232" w:rsidRPr="00905152" w:rsidRDefault="00F60232" w:rsidP="00F60232">
      <w:pPr>
        <w:pStyle w:val="BodyNum"/>
        <w:rPr>
          <w:rFonts w:ascii="Open Sans" w:hAnsi="Open Sans" w:cs="Open Sans"/>
          <w:sz w:val="22"/>
          <w:szCs w:val="18"/>
        </w:rPr>
      </w:pPr>
      <w:r w:rsidRPr="00905152">
        <w:rPr>
          <w:rFonts w:ascii="Open Sans" w:hAnsi="Open Sans" w:cs="Open Sans"/>
          <w:sz w:val="22"/>
          <w:szCs w:val="18"/>
        </w:rPr>
        <w:t xml:space="preserve">Bids do not have to be made for commencement Proclamations, as they are drafted by OPC as they are needed. </w:t>
      </w:r>
    </w:p>
    <w:p w14:paraId="09E7D4DD" w14:textId="77777777" w:rsidR="00F60232" w:rsidRPr="003C508C" w:rsidRDefault="00F60232" w:rsidP="009D50C3">
      <w:pPr>
        <w:pStyle w:val="Heading2"/>
        <w:keepNext/>
        <w:rPr>
          <w:rFonts w:ascii="Open Sans ExtraBold" w:hAnsi="Open Sans ExtraBold" w:cs="Open Sans ExtraBold"/>
          <w:lang w:val="en-AU"/>
        </w:rPr>
      </w:pPr>
      <w:r w:rsidRPr="003C508C">
        <w:rPr>
          <w:rFonts w:ascii="Open Sans ExtraBold" w:hAnsi="Open Sans ExtraBold" w:cs="Open Sans ExtraBold"/>
          <w:lang w:val="en-AU"/>
        </w:rPr>
        <w:lastRenderedPageBreak/>
        <w:t xml:space="preserve">Policy authority for ExCo legislative instruments </w:t>
      </w:r>
    </w:p>
    <w:p w14:paraId="1DDDCE7F" w14:textId="77777777" w:rsidR="00F60232" w:rsidRPr="00905152" w:rsidRDefault="00F60232" w:rsidP="00F60232">
      <w:pPr>
        <w:pStyle w:val="BodyNum"/>
        <w:rPr>
          <w:rFonts w:ascii="Open Sans" w:hAnsi="Open Sans" w:cs="Open Sans"/>
          <w:sz w:val="22"/>
          <w:szCs w:val="18"/>
        </w:rPr>
      </w:pPr>
      <w:r w:rsidRPr="00905152">
        <w:rPr>
          <w:rFonts w:ascii="Open Sans" w:hAnsi="Open Sans" w:cs="Open Sans"/>
          <w:sz w:val="22"/>
          <w:szCs w:val="18"/>
        </w:rPr>
        <w:t>Instructing agencies must have general policy authority from the Minister or the Cabinet for the measures to be included in an ExCo legislative instrument before sending drafting instructions for the instrument to OPC. Instructions will generally not be allocated to a drafter until a copy of the authority from the Minister (or the Cabinet Minute number and date) is provided to OPC.</w:t>
      </w:r>
    </w:p>
    <w:p w14:paraId="6147980E" w14:textId="77777777" w:rsidR="00F60232" w:rsidRPr="00905152" w:rsidRDefault="00F60232" w:rsidP="00F60232">
      <w:pPr>
        <w:pStyle w:val="BodyNum"/>
        <w:rPr>
          <w:rFonts w:ascii="Open Sans" w:hAnsi="Open Sans" w:cs="Open Sans"/>
          <w:sz w:val="22"/>
          <w:szCs w:val="18"/>
        </w:rPr>
      </w:pPr>
      <w:r w:rsidRPr="00905152">
        <w:rPr>
          <w:rFonts w:ascii="Open Sans" w:hAnsi="Open Sans" w:cs="Open Sans"/>
          <w:sz w:val="22"/>
          <w:szCs w:val="18"/>
        </w:rPr>
        <w:t xml:space="preserve">The purpose of these arrangements is to ensure that </w:t>
      </w:r>
      <w:proofErr w:type="spellStart"/>
      <w:r w:rsidRPr="00905152">
        <w:rPr>
          <w:rFonts w:ascii="Open Sans" w:hAnsi="Open Sans" w:cs="Open Sans"/>
          <w:sz w:val="22"/>
          <w:szCs w:val="18"/>
        </w:rPr>
        <w:t>OPC’s</w:t>
      </w:r>
      <w:proofErr w:type="spellEnd"/>
      <w:r w:rsidRPr="00905152">
        <w:rPr>
          <w:rFonts w:ascii="Open Sans" w:hAnsi="Open Sans" w:cs="Open Sans"/>
          <w:sz w:val="22"/>
          <w:szCs w:val="18"/>
        </w:rPr>
        <w:t xml:space="preserve"> drafting resources are able to meet the demand for drafting of ExCo legislative instruments when required.</w:t>
      </w:r>
    </w:p>
    <w:p w14:paraId="12A13A97" w14:textId="77777777" w:rsidR="00F60232" w:rsidRPr="00905152" w:rsidRDefault="00F60232" w:rsidP="00F60232">
      <w:pPr>
        <w:pStyle w:val="BodyNum"/>
        <w:rPr>
          <w:rFonts w:ascii="Open Sans" w:hAnsi="Open Sans" w:cs="Open Sans"/>
          <w:sz w:val="22"/>
          <w:szCs w:val="18"/>
        </w:rPr>
      </w:pPr>
      <w:r w:rsidRPr="00905152">
        <w:rPr>
          <w:rFonts w:ascii="Open Sans" w:hAnsi="Open Sans" w:cs="Open Sans"/>
          <w:sz w:val="22"/>
          <w:szCs w:val="18"/>
        </w:rPr>
        <w:t xml:space="preserve">If an instructing agency has a particularly urgent matter where it would be more efficient to engage OPC in the development of an ExCo legislative instrument </w:t>
      </w:r>
      <w:r w:rsidRPr="00905152">
        <w:rPr>
          <w:rFonts w:ascii="Open Sans" w:hAnsi="Open Sans" w:cs="Open Sans"/>
          <w:i/>
          <w:iCs/>
          <w:sz w:val="22"/>
          <w:szCs w:val="18"/>
        </w:rPr>
        <w:t>before</w:t>
      </w:r>
      <w:r w:rsidRPr="00905152">
        <w:rPr>
          <w:rFonts w:ascii="Open Sans" w:hAnsi="Open Sans" w:cs="Open Sans"/>
          <w:sz w:val="22"/>
          <w:szCs w:val="18"/>
        </w:rPr>
        <w:t xml:space="preserve"> general policy authority is obtained, drafting instructions, or a request for OPC services, may be sent to OPC by an SES officer in the instructing agency. The instructions or request should explain:</w:t>
      </w:r>
    </w:p>
    <w:p w14:paraId="4E515CBD" w14:textId="77777777" w:rsidR="00F60232" w:rsidRPr="00905152" w:rsidRDefault="00F60232" w:rsidP="00F60232">
      <w:pPr>
        <w:pStyle w:val="BodyParaBullet"/>
        <w:rPr>
          <w:rFonts w:ascii="Open Sans" w:hAnsi="Open Sans" w:cs="Open Sans"/>
          <w:sz w:val="22"/>
          <w:szCs w:val="18"/>
        </w:rPr>
      </w:pPr>
      <w:r w:rsidRPr="00905152">
        <w:rPr>
          <w:rFonts w:ascii="Open Sans" w:hAnsi="Open Sans" w:cs="Open Sans"/>
          <w:sz w:val="22"/>
          <w:szCs w:val="18"/>
        </w:rPr>
        <w:t>the reasons for the urgency; and</w:t>
      </w:r>
    </w:p>
    <w:p w14:paraId="225FAD1B" w14:textId="77777777" w:rsidR="00F60232" w:rsidRPr="00905152" w:rsidRDefault="00F60232" w:rsidP="00F60232">
      <w:pPr>
        <w:pStyle w:val="BodyParaBullet"/>
        <w:rPr>
          <w:rFonts w:ascii="Open Sans" w:hAnsi="Open Sans" w:cs="Open Sans"/>
          <w:sz w:val="22"/>
          <w:szCs w:val="18"/>
        </w:rPr>
      </w:pPr>
      <w:r w:rsidRPr="00905152">
        <w:rPr>
          <w:rFonts w:ascii="Open Sans" w:hAnsi="Open Sans" w:cs="Open Sans"/>
          <w:sz w:val="22"/>
          <w:szCs w:val="18"/>
        </w:rPr>
        <w:t>why it has not been possible to obtain the policy authority; and</w:t>
      </w:r>
    </w:p>
    <w:p w14:paraId="4B80B49B" w14:textId="77777777" w:rsidR="00F60232" w:rsidRPr="00905152" w:rsidRDefault="00F60232" w:rsidP="00F60232">
      <w:pPr>
        <w:pStyle w:val="BodyParaBullet"/>
        <w:rPr>
          <w:rFonts w:ascii="Open Sans" w:hAnsi="Open Sans" w:cs="Open Sans"/>
          <w:sz w:val="22"/>
          <w:szCs w:val="18"/>
        </w:rPr>
      </w:pPr>
      <w:r w:rsidRPr="00905152">
        <w:rPr>
          <w:rFonts w:ascii="Open Sans" w:hAnsi="Open Sans" w:cs="Open Sans"/>
          <w:sz w:val="22"/>
          <w:szCs w:val="18"/>
        </w:rPr>
        <w:t>when the policy authority will be obtained.</w:t>
      </w:r>
    </w:p>
    <w:p w14:paraId="239D894F" w14:textId="77777777" w:rsidR="00F60232" w:rsidRPr="00905152" w:rsidRDefault="00F60232" w:rsidP="00F60232">
      <w:pPr>
        <w:pStyle w:val="BodyNum"/>
        <w:rPr>
          <w:rFonts w:ascii="Open Sans" w:hAnsi="Open Sans" w:cs="Open Sans"/>
          <w:sz w:val="22"/>
          <w:szCs w:val="18"/>
        </w:rPr>
      </w:pPr>
      <w:r w:rsidRPr="00905152">
        <w:rPr>
          <w:rFonts w:ascii="Open Sans" w:hAnsi="Open Sans" w:cs="Open Sans"/>
          <w:sz w:val="22"/>
          <w:szCs w:val="18"/>
        </w:rPr>
        <w:t>If fundamental changes to policy emerge during the drafting process, OPC may require that further policy authority be obtained before proceeding with drafting. If the matter is urgent, an SES officer in the instructing agency may confirm the changed instructions and explain why drafting must proceed in advance of further authority being obtained.</w:t>
      </w:r>
    </w:p>
    <w:p w14:paraId="6DA95DDC" w14:textId="77777777" w:rsidR="00F60232" w:rsidRPr="003C508C" w:rsidRDefault="00F60232" w:rsidP="00F60232">
      <w:pPr>
        <w:pStyle w:val="Heading2"/>
        <w:rPr>
          <w:rFonts w:ascii="Open Sans ExtraBold" w:hAnsi="Open Sans ExtraBold" w:cs="Open Sans ExtraBold"/>
          <w:lang w:val="en-AU"/>
        </w:rPr>
      </w:pPr>
      <w:r w:rsidRPr="003C508C">
        <w:rPr>
          <w:rFonts w:ascii="Open Sans ExtraBold" w:hAnsi="Open Sans ExtraBold" w:cs="Open Sans ExtraBold"/>
          <w:lang w:val="en-AU"/>
        </w:rPr>
        <w:t xml:space="preserve">Policy authority for other instruments </w:t>
      </w:r>
    </w:p>
    <w:p w14:paraId="1582A9AD" w14:textId="77777777" w:rsidR="00F60232" w:rsidRPr="00905152" w:rsidRDefault="00F60232" w:rsidP="00F60232">
      <w:pPr>
        <w:pStyle w:val="BodyNum"/>
        <w:rPr>
          <w:rFonts w:ascii="Open Sans" w:hAnsi="Open Sans" w:cs="Open Sans"/>
          <w:sz w:val="22"/>
          <w:szCs w:val="18"/>
        </w:rPr>
      </w:pPr>
      <w:r w:rsidRPr="00905152">
        <w:rPr>
          <w:rFonts w:ascii="Open Sans" w:hAnsi="Open Sans" w:cs="Open Sans"/>
          <w:sz w:val="22"/>
          <w:szCs w:val="18"/>
        </w:rPr>
        <w:t>For instruments other than ExCo legislative instruments, there is no requirement to have policy authority in place before sending drafting instructions. However, in the interests of ensuring resources (both in the instructing agency and OPC) are efficiently used, it is advisable to ensure that the Minister or other rule</w:t>
      </w:r>
      <w:r w:rsidRPr="00905152">
        <w:rPr>
          <w:rFonts w:ascii="Open Sans" w:hAnsi="Open Sans" w:cs="Open Sans"/>
          <w:sz w:val="22"/>
          <w:szCs w:val="18"/>
        </w:rPr>
        <w:noBreakHyphen/>
        <w:t>maker has approved the general policy to be implemented in the instrument.</w:t>
      </w:r>
    </w:p>
    <w:p w14:paraId="50B402ED" w14:textId="77777777" w:rsidR="00F60232" w:rsidRPr="003C508C" w:rsidRDefault="00F60232" w:rsidP="00F60232">
      <w:pPr>
        <w:pStyle w:val="Heading2"/>
        <w:rPr>
          <w:rFonts w:ascii="Open Sans ExtraBold" w:hAnsi="Open Sans ExtraBold" w:cs="Open Sans ExtraBold"/>
          <w:lang w:val="en-AU"/>
        </w:rPr>
      </w:pPr>
      <w:r w:rsidRPr="003C508C">
        <w:rPr>
          <w:rFonts w:ascii="Open Sans ExtraBold" w:hAnsi="Open Sans ExtraBold" w:cs="Open Sans ExtraBold"/>
          <w:lang w:val="en-AU"/>
        </w:rPr>
        <w:t>More information</w:t>
      </w:r>
    </w:p>
    <w:p w14:paraId="24E116F7" w14:textId="77777777" w:rsidR="00F60232" w:rsidRPr="00905152" w:rsidRDefault="00F60232" w:rsidP="00F60232">
      <w:pPr>
        <w:pStyle w:val="BodyParaBullet"/>
        <w:rPr>
          <w:rFonts w:ascii="Open Sans" w:hAnsi="Open Sans" w:cs="Open Sans"/>
          <w:sz w:val="22"/>
          <w:szCs w:val="18"/>
        </w:rPr>
      </w:pPr>
      <w:r w:rsidRPr="00905152">
        <w:rPr>
          <w:rFonts w:ascii="Open Sans" w:hAnsi="Open Sans" w:cs="Open Sans"/>
          <w:sz w:val="22"/>
          <w:szCs w:val="18"/>
        </w:rPr>
        <w:t xml:space="preserve">More information about the priority system for ExCo legislative instruments (including templates for bids and bid variations) is available on the Instruments page of the OPC website. See, in particular, </w:t>
      </w:r>
      <w:r w:rsidRPr="00905152">
        <w:rPr>
          <w:rFonts w:ascii="Open Sans" w:hAnsi="Open Sans" w:cs="Open Sans"/>
          <w:i/>
          <w:iCs/>
          <w:sz w:val="22"/>
          <w:szCs w:val="18"/>
        </w:rPr>
        <w:t>Instrument Drafting Guidance No. 1.4—Timeframes for the development of instruments</w:t>
      </w:r>
      <w:r w:rsidRPr="00905152">
        <w:rPr>
          <w:rFonts w:ascii="Open Sans" w:hAnsi="Open Sans" w:cs="Open Sans"/>
          <w:sz w:val="22"/>
          <w:szCs w:val="18"/>
        </w:rPr>
        <w:t>.</w:t>
      </w:r>
    </w:p>
    <w:p w14:paraId="393620A7" w14:textId="2F4BB0A9" w:rsidR="00F60232" w:rsidRDefault="00F60232" w:rsidP="00925D8B">
      <w:pPr>
        <w:pStyle w:val="BodyParaBullet"/>
        <w:rPr>
          <w:rFonts w:ascii="Open Sans" w:hAnsi="Open Sans" w:cs="Open Sans"/>
          <w:sz w:val="22"/>
          <w:szCs w:val="18"/>
        </w:rPr>
      </w:pPr>
      <w:r w:rsidRPr="00905152">
        <w:rPr>
          <w:rFonts w:ascii="Open Sans" w:hAnsi="Open Sans" w:cs="Open Sans"/>
          <w:sz w:val="22"/>
          <w:szCs w:val="18"/>
        </w:rPr>
        <w:t xml:space="preserve">Advice on prioritisation issues for ExCo legislative instruments can also be sought from </w:t>
      </w:r>
      <w:proofErr w:type="spellStart"/>
      <w:r w:rsidRPr="00905152">
        <w:rPr>
          <w:rFonts w:ascii="Open Sans" w:hAnsi="Open Sans" w:cs="Open Sans"/>
          <w:sz w:val="22"/>
          <w:szCs w:val="18"/>
        </w:rPr>
        <w:t>OPC’s</w:t>
      </w:r>
      <w:proofErr w:type="spellEnd"/>
      <w:r w:rsidRPr="00905152">
        <w:rPr>
          <w:rFonts w:ascii="Open Sans" w:hAnsi="Open Sans" w:cs="Open Sans"/>
          <w:sz w:val="22"/>
          <w:szCs w:val="18"/>
        </w:rPr>
        <w:t xml:space="preserve"> instrument advisers on (02) 6120 1390.</w:t>
      </w:r>
    </w:p>
    <w:p w14:paraId="0FE9C27F" w14:textId="77777777" w:rsidR="00FF42F5" w:rsidRPr="00925D8B" w:rsidRDefault="00FF42F5" w:rsidP="00FF42F5">
      <w:pPr>
        <w:pStyle w:val="BodyNum"/>
        <w:numPr>
          <w:ilvl w:val="0"/>
          <w:numId w:val="0"/>
        </w:numPr>
      </w:pPr>
    </w:p>
    <w:tbl>
      <w:tblPr>
        <w:tblStyle w:val="TableGrid"/>
        <w:tblW w:w="0" w:type="auto"/>
        <w:tblLook w:val="04A0" w:firstRow="1" w:lastRow="0" w:firstColumn="1" w:lastColumn="0" w:noHBand="0" w:noVBand="1"/>
      </w:tblPr>
      <w:tblGrid>
        <w:gridCol w:w="9016"/>
      </w:tblGrid>
      <w:tr w:rsidR="00F60232" w:rsidRPr="00F951F6" w14:paraId="5744D847" w14:textId="77777777" w:rsidTr="00F01C1E">
        <w:tc>
          <w:tcPr>
            <w:tcW w:w="9016" w:type="dxa"/>
            <w:tcBorders>
              <w:top w:val="nil"/>
              <w:left w:val="nil"/>
              <w:bottom w:val="nil"/>
              <w:right w:val="nil"/>
            </w:tcBorders>
            <w:shd w:val="clear" w:color="auto" w:fill="A9D9DB"/>
          </w:tcPr>
          <w:p w14:paraId="6C8F79E9" w14:textId="77777777" w:rsidR="00F60232" w:rsidRPr="00F60232" w:rsidRDefault="00F60232" w:rsidP="00F01C1E">
            <w:pPr>
              <w:spacing w:before="120" w:after="120"/>
              <w:rPr>
                <w:rFonts w:ascii="Open Sans" w:hAnsi="Open Sans" w:cs="Open Sans"/>
                <w:szCs w:val="22"/>
              </w:rPr>
            </w:pPr>
            <w:bookmarkStart w:id="0" w:name="_Hlk202188723"/>
            <w:r w:rsidRPr="00F60232">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0"/>
    </w:tbl>
    <w:p w14:paraId="719EB9D6" w14:textId="219ADB5B" w:rsidR="006C2699" w:rsidRPr="00F60232" w:rsidRDefault="006C2699" w:rsidP="00F60232"/>
    <w:sectPr w:rsidR="006C2699" w:rsidRPr="00F60232" w:rsidSect="00F46678">
      <w:headerReference w:type="default" r:id="rId7"/>
      <w:footerReference w:type="even" r:id="rId8"/>
      <w:footerReference w:type="default" r:id="rId9"/>
      <w:headerReference w:type="first" r:id="rId10"/>
      <w:footerReference w:type="first" r:id="rId11"/>
      <w:pgSz w:w="11907" w:h="16839"/>
      <w:pgMar w:top="801" w:right="1440" w:bottom="1440" w:left="1440" w:header="85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71E6" w14:textId="77777777" w:rsidR="0029133B" w:rsidRDefault="0029133B" w:rsidP="008E17F3">
      <w:pPr>
        <w:spacing w:line="240" w:lineRule="auto"/>
      </w:pPr>
      <w:r>
        <w:separator/>
      </w:r>
    </w:p>
  </w:endnote>
  <w:endnote w:type="continuationSeparator" w:id="0">
    <w:p w14:paraId="2586EA8C" w14:textId="77777777" w:rsidR="0029133B" w:rsidRDefault="0029133B"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3F19317F-70AC-4F68-9581-9CDA210DE007}"/>
    <w:embedBold r:id="rId2" w:fontKey="{63857084-8739-43DB-A959-1B387510AB5F}"/>
    <w:embedItalic r:id="rId3" w:fontKey="{105412F2-BC42-4B25-8B98-1EEE1FEC4025}"/>
    <w:embedBoldItalic r:id="rId4" w:fontKey="{EAE9E490-AFA4-4694-A5BE-4AA3A470A32B}"/>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5" w:subsetted="1" w:fontKey="{64156EE2-33AA-4241-8C18-930B5E99FAB5}"/>
    <w:embedBold r:id="rId6" w:subsetted="1" w:fontKey="{3E62919B-102E-4A37-832D-D9F36FB5276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BDDC" w14:textId="77777777"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14:paraId="58A96960"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AFA27" w14:textId="77777777" w:rsidR="000A48A7" w:rsidRPr="000A48A7" w:rsidRDefault="000A48A7">
    <w:pPr>
      <w:pStyle w:val="Footer"/>
      <w:jc w:val="right"/>
      <w:rPr>
        <w:rFonts w:ascii="Open Sans" w:hAnsi="Open Sans" w:cs="Open Sans"/>
        <w:sz w:val="20"/>
        <w:szCs w:val="20"/>
      </w:rPr>
    </w:pPr>
  </w:p>
  <w:p w14:paraId="68414671" w14:textId="77777777" w:rsidR="000A48A7" w:rsidRPr="000A48A7" w:rsidRDefault="000A48A7">
    <w:pPr>
      <w:pStyle w:val="Footer"/>
      <w:jc w:val="right"/>
      <w:rPr>
        <w:rFonts w:ascii="Open Sans" w:hAnsi="Open Sans" w:cs="Open Sans"/>
        <w:sz w:val="20"/>
        <w:szCs w:val="20"/>
      </w:rPr>
    </w:pPr>
  </w:p>
  <w:p w14:paraId="597F705B" w14:textId="09D439FD" w:rsidR="000A48A7" w:rsidRPr="000A48A7" w:rsidRDefault="000A48A7" w:rsidP="000A48A7">
    <w:pPr>
      <w:pStyle w:val="Footer"/>
      <w:ind w:left="-709"/>
      <w:jc w:val="right"/>
      <w:rPr>
        <w:rFonts w:ascii="Open Sans" w:hAnsi="Open Sans" w:cs="Open Sans"/>
        <w:sz w:val="20"/>
        <w:szCs w:val="20"/>
      </w:rPr>
    </w:pPr>
    <w:r w:rsidRPr="000A48A7">
      <w:rPr>
        <w:rFonts w:ascii="Open Sans" w:hAnsi="Open Sans" w:cs="Open Sans"/>
        <w:sz w:val="20"/>
        <w:szCs w:val="20"/>
      </w:rPr>
      <w:t>[S25EP109.docx]</w:t>
    </w:r>
    <w:r w:rsidRPr="000A48A7">
      <w:rPr>
        <w:rFonts w:ascii="Open Sans" w:hAnsi="Open Sans" w:cs="Open Sans"/>
        <w:sz w:val="20"/>
        <w:szCs w:val="20"/>
      </w:rPr>
      <w:tab/>
    </w:r>
    <w:r w:rsidRPr="000A48A7">
      <w:rPr>
        <w:rFonts w:ascii="Open Sans" w:hAnsi="Open Sans" w:cs="Open Sans"/>
        <w:sz w:val="20"/>
        <w:szCs w:val="20"/>
      </w:rPr>
      <w:tab/>
      <w:t xml:space="preserve">Last updated: </w:t>
    </w:r>
    <w:r w:rsidR="009D50C3">
      <w:rPr>
        <w:rFonts w:ascii="Open Sans" w:hAnsi="Open Sans" w:cs="Open Sans"/>
        <w:sz w:val="20"/>
        <w:szCs w:val="20"/>
      </w:rPr>
      <w:t>10</w:t>
    </w:r>
    <w:r w:rsidRPr="000A48A7">
      <w:rPr>
        <w:rFonts w:ascii="Open Sans" w:hAnsi="Open Sans" w:cs="Open Sans"/>
        <w:sz w:val="20"/>
        <w:szCs w:val="20"/>
      </w:rPr>
      <w:t xml:space="preserve"> October 2025</w:t>
    </w:r>
  </w:p>
  <w:sdt>
    <w:sdtPr>
      <w:rPr>
        <w:rFonts w:ascii="Open Sans" w:hAnsi="Open Sans" w:cs="Open Sans"/>
        <w:sz w:val="20"/>
        <w:szCs w:val="20"/>
      </w:rPr>
      <w:id w:val="178939561"/>
      <w:docPartObj>
        <w:docPartGallery w:val="Page Numbers (Bottom of Page)"/>
        <w:docPartUnique/>
      </w:docPartObj>
    </w:sdtPr>
    <w:sdtEndPr/>
    <w:sdtContent>
      <w:p w14:paraId="387B1116" w14:textId="483CA47F" w:rsidR="000A48A7" w:rsidRPr="000A48A7" w:rsidRDefault="000A48A7">
        <w:pPr>
          <w:pStyle w:val="Footer"/>
          <w:jc w:val="right"/>
          <w:rPr>
            <w:rFonts w:ascii="Open Sans" w:hAnsi="Open Sans" w:cs="Open Sans"/>
            <w:sz w:val="20"/>
            <w:szCs w:val="20"/>
          </w:rPr>
        </w:pPr>
        <w:r w:rsidRPr="000A48A7">
          <w:rPr>
            <w:rFonts w:ascii="Open Sans" w:hAnsi="Open Sans" w:cs="Open Sans"/>
            <w:sz w:val="20"/>
            <w:szCs w:val="20"/>
          </w:rPr>
          <w:t xml:space="preserve">Page | </w:t>
        </w:r>
        <w:r w:rsidRPr="000A48A7">
          <w:rPr>
            <w:rFonts w:ascii="Open Sans" w:hAnsi="Open Sans" w:cs="Open Sans"/>
            <w:sz w:val="20"/>
            <w:szCs w:val="20"/>
          </w:rPr>
          <w:fldChar w:fldCharType="begin"/>
        </w:r>
        <w:r w:rsidRPr="000A48A7">
          <w:rPr>
            <w:rFonts w:ascii="Open Sans" w:hAnsi="Open Sans" w:cs="Open Sans"/>
            <w:sz w:val="20"/>
            <w:szCs w:val="20"/>
          </w:rPr>
          <w:instrText xml:space="preserve"> PAGE   \* MERGEFORMAT </w:instrText>
        </w:r>
        <w:r w:rsidRPr="000A48A7">
          <w:rPr>
            <w:rFonts w:ascii="Open Sans" w:hAnsi="Open Sans" w:cs="Open Sans"/>
            <w:sz w:val="20"/>
            <w:szCs w:val="20"/>
          </w:rPr>
          <w:fldChar w:fldCharType="separate"/>
        </w:r>
        <w:r w:rsidRPr="000A48A7">
          <w:rPr>
            <w:rFonts w:ascii="Open Sans" w:hAnsi="Open Sans" w:cs="Open Sans"/>
            <w:noProof/>
            <w:sz w:val="20"/>
            <w:szCs w:val="20"/>
          </w:rPr>
          <w:t>2</w:t>
        </w:r>
        <w:r w:rsidRPr="000A48A7">
          <w:rPr>
            <w:rFonts w:ascii="Open Sans" w:hAnsi="Open Sans" w:cs="Open Sans"/>
            <w:noProof/>
            <w:sz w:val="20"/>
            <w:szCs w:val="20"/>
          </w:rPr>
          <w:fldChar w:fldCharType="end"/>
        </w:r>
        <w:r w:rsidRPr="000A48A7">
          <w:rPr>
            <w:rFonts w:ascii="Open Sans" w:hAnsi="Open Sans" w:cs="Open Sans"/>
            <w:sz w:val="20"/>
            <w:szCs w:val="20"/>
          </w:rPr>
          <w:t xml:space="preserve"> </w:t>
        </w:r>
      </w:p>
    </w:sdtContent>
  </w:sdt>
  <w:p w14:paraId="0934F059" w14:textId="7E590754" w:rsidR="008E17F3" w:rsidRPr="000A48A7" w:rsidRDefault="008E17F3" w:rsidP="000A48A7">
    <w:pPr>
      <w:pStyle w:val="Footer"/>
      <w:rPr>
        <w:rFonts w:ascii="Open Sans" w:hAnsi="Open Sans" w:cs="Open San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4ED2" w14:textId="77777777" w:rsidR="00FF42F5" w:rsidRPr="00FF42F5" w:rsidRDefault="00FF42F5" w:rsidP="00FF42F5">
    <w:pPr>
      <w:pStyle w:val="Footer"/>
      <w:jc w:val="right"/>
      <w:rPr>
        <w:rFonts w:ascii="Open Sans" w:hAnsi="Open Sans" w:cs="Open Sans"/>
        <w:sz w:val="20"/>
        <w:szCs w:val="20"/>
      </w:rPr>
    </w:pPr>
  </w:p>
  <w:p w14:paraId="1B59AEB9" w14:textId="22A2BF7B" w:rsidR="00FF42F5" w:rsidRPr="00FF42F5" w:rsidRDefault="00FF42F5" w:rsidP="00FF42F5">
    <w:pPr>
      <w:pStyle w:val="Footer"/>
      <w:ind w:left="-709"/>
      <w:jc w:val="right"/>
      <w:rPr>
        <w:rFonts w:ascii="Open Sans" w:hAnsi="Open Sans" w:cs="Open Sans"/>
        <w:sz w:val="20"/>
        <w:szCs w:val="20"/>
      </w:rPr>
    </w:pPr>
    <w:r w:rsidRPr="00FF42F5">
      <w:rPr>
        <w:rFonts w:ascii="Open Sans" w:hAnsi="Open Sans" w:cs="Open Sans"/>
        <w:sz w:val="20"/>
        <w:szCs w:val="20"/>
      </w:rPr>
      <w:t>[S25EP109.docx]</w:t>
    </w:r>
    <w:r w:rsidRPr="00FF42F5">
      <w:rPr>
        <w:rFonts w:ascii="Open Sans" w:hAnsi="Open Sans" w:cs="Open Sans"/>
        <w:sz w:val="20"/>
        <w:szCs w:val="20"/>
      </w:rPr>
      <w:tab/>
    </w:r>
    <w:r w:rsidRPr="00FF42F5">
      <w:rPr>
        <w:rFonts w:ascii="Open Sans" w:hAnsi="Open Sans" w:cs="Open Sans"/>
        <w:sz w:val="20"/>
        <w:szCs w:val="20"/>
      </w:rPr>
      <w:tab/>
      <w:t xml:space="preserve">Last updated: </w:t>
    </w:r>
    <w:r w:rsidR="00DC70E6">
      <w:rPr>
        <w:rFonts w:ascii="Open Sans" w:hAnsi="Open Sans" w:cs="Open Sans"/>
        <w:sz w:val="20"/>
        <w:szCs w:val="20"/>
      </w:rPr>
      <w:t>10</w:t>
    </w:r>
    <w:r w:rsidRPr="00FF42F5">
      <w:rPr>
        <w:rFonts w:ascii="Open Sans" w:hAnsi="Open Sans" w:cs="Open Sans"/>
        <w:sz w:val="20"/>
        <w:szCs w:val="20"/>
      </w:rPr>
      <w:t xml:space="preserve"> October 2025</w:t>
    </w:r>
  </w:p>
  <w:sdt>
    <w:sdtPr>
      <w:rPr>
        <w:rFonts w:ascii="Open Sans" w:hAnsi="Open Sans" w:cs="Open Sans"/>
        <w:sz w:val="20"/>
        <w:szCs w:val="20"/>
      </w:rPr>
      <w:id w:val="1900784099"/>
      <w:docPartObj>
        <w:docPartGallery w:val="Page Numbers (Bottom of Page)"/>
        <w:docPartUnique/>
      </w:docPartObj>
    </w:sdtPr>
    <w:sdtEndPr/>
    <w:sdtContent>
      <w:p w14:paraId="5A90C047" w14:textId="77777777" w:rsidR="00FF42F5" w:rsidRPr="00FF42F5" w:rsidRDefault="00FF42F5" w:rsidP="00FF42F5">
        <w:pPr>
          <w:pStyle w:val="Footer"/>
          <w:jc w:val="right"/>
          <w:rPr>
            <w:rFonts w:ascii="Open Sans" w:hAnsi="Open Sans" w:cs="Open Sans"/>
            <w:sz w:val="20"/>
            <w:szCs w:val="20"/>
          </w:rPr>
        </w:pPr>
        <w:r w:rsidRPr="00FF42F5">
          <w:rPr>
            <w:rFonts w:ascii="Open Sans" w:hAnsi="Open Sans" w:cs="Open Sans"/>
            <w:sz w:val="20"/>
            <w:szCs w:val="20"/>
          </w:rPr>
          <w:t xml:space="preserve">Page | </w:t>
        </w:r>
        <w:r w:rsidRPr="00FF42F5">
          <w:rPr>
            <w:rFonts w:ascii="Open Sans" w:hAnsi="Open Sans" w:cs="Open Sans"/>
            <w:sz w:val="20"/>
            <w:szCs w:val="20"/>
          </w:rPr>
          <w:fldChar w:fldCharType="begin"/>
        </w:r>
        <w:r w:rsidRPr="00FF42F5">
          <w:rPr>
            <w:rFonts w:ascii="Open Sans" w:hAnsi="Open Sans" w:cs="Open Sans"/>
            <w:sz w:val="20"/>
            <w:szCs w:val="20"/>
          </w:rPr>
          <w:instrText xml:space="preserve"> PAGE   \* MERGEFORMAT </w:instrText>
        </w:r>
        <w:r w:rsidRPr="00FF42F5">
          <w:rPr>
            <w:rFonts w:ascii="Open Sans" w:hAnsi="Open Sans" w:cs="Open Sans"/>
            <w:sz w:val="20"/>
            <w:szCs w:val="20"/>
          </w:rPr>
          <w:fldChar w:fldCharType="separate"/>
        </w:r>
        <w:r w:rsidRPr="00FF42F5">
          <w:rPr>
            <w:rFonts w:ascii="Open Sans" w:hAnsi="Open Sans" w:cs="Open Sans"/>
            <w:sz w:val="20"/>
            <w:szCs w:val="20"/>
          </w:rPr>
          <w:t>2</w:t>
        </w:r>
        <w:r w:rsidRPr="00FF42F5">
          <w:rPr>
            <w:rFonts w:ascii="Open Sans" w:hAnsi="Open Sans" w:cs="Open Sans"/>
            <w:noProof/>
            <w:sz w:val="20"/>
            <w:szCs w:val="20"/>
          </w:rPr>
          <w:fldChar w:fldCharType="end"/>
        </w:r>
        <w:r w:rsidRPr="00FF42F5">
          <w:rPr>
            <w:rFonts w:ascii="Open Sans" w:hAnsi="Open Sans" w:cs="Open Sans"/>
            <w:sz w:val="20"/>
            <w:szCs w:val="20"/>
          </w:rPr>
          <w:t xml:space="preserve"> </w:t>
        </w:r>
      </w:p>
    </w:sdtContent>
  </w:sdt>
  <w:p w14:paraId="4E6CE643" w14:textId="77777777" w:rsidR="00FF42F5" w:rsidRPr="00FF42F5" w:rsidRDefault="00FF42F5">
    <w:pPr>
      <w:pStyle w:val="Footer"/>
      <w:rPr>
        <w:rFonts w:ascii="Open Sans" w:hAnsi="Open Sans" w:cs="Open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8E48" w14:textId="77777777" w:rsidR="0029133B" w:rsidRDefault="0029133B" w:rsidP="008E17F3">
      <w:pPr>
        <w:spacing w:line="240" w:lineRule="auto"/>
      </w:pPr>
      <w:r>
        <w:separator/>
      </w:r>
    </w:p>
  </w:footnote>
  <w:footnote w:type="continuationSeparator" w:id="0">
    <w:p w14:paraId="15FDD413" w14:textId="77777777" w:rsidR="0029133B" w:rsidRDefault="0029133B"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C9CB" w14:textId="2D4D44A6" w:rsidR="00B90335" w:rsidRPr="00B13067" w:rsidRDefault="00F46678">
    <w:pPr>
      <w:pStyle w:val="Header"/>
      <w:rPr>
        <w:sz w:val="20"/>
        <w:szCs w:val="22"/>
      </w:rPr>
    </w:pPr>
    <w:r w:rsidRPr="009D3F97">
      <w:rPr>
        <w:rFonts w:ascii="EB Garamond" w:hAnsi="EB Garamond"/>
        <w:b/>
        <w:noProof/>
        <w:color w:val="084D5E"/>
        <w:lang w:val="en-US"/>
      </w:rPr>
      <mc:AlternateContent>
        <mc:Choice Requires="wps">
          <w:drawing>
            <wp:anchor distT="0" distB="0" distL="114300" distR="114300" simplePos="0" relativeHeight="251667456" behindDoc="0" locked="1" layoutInCell="1" allowOverlap="1" wp14:anchorId="084F678E" wp14:editId="1FE592F4">
              <wp:simplePos x="0" y="0"/>
              <wp:positionH relativeFrom="page">
                <wp:posOffset>914400</wp:posOffset>
              </wp:positionH>
              <wp:positionV relativeFrom="paragraph">
                <wp:posOffset>-274955</wp:posOffset>
              </wp:positionV>
              <wp:extent cx="5772785" cy="395605"/>
              <wp:effectExtent l="0" t="0" r="0" b="0"/>
              <wp:wrapNone/>
              <wp:docPr id="1087687201" name="Text Box 340" descr="Sec-Headerprimary"/>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3AAEB5" w14:textId="362B8043" w:rsidR="00F46678" w:rsidRPr="00F46678" w:rsidRDefault="00F46678" w:rsidP="00F46678">
                          <w:pPr>
                            <w:jc w:val="center"/>
                            <w:rPr>
                              <w:rFonts w:ascii="Arial" w:hAnsi="Arial" w:cs="Arial"/>
                              <w:b/>
                              <w:sz w:val="32"/>
                              <w:szCs w:val="16"/>
                            </w:rPr>
                          </w:pPr>
                          <w:r w:rsidRPr="00F46678">
                            <w:rPr>
                              <w:rFonts w:ascii="Arial" w:hAnsi="Arial" w:cs="Arial"/>
                              <w:b/>
                              <w:sz w:val="32"/>
                              <w:szCs w:val="16"/>
                            </w:rPr>
                            <w:fldChar w:fldCharType="begin"/>
                          </w:r>
                          <w:r w:rsidRPr="00F46678">
                            <w:rPr>
                              <w:rFonts w:ascii="Arial" w:hAnsi="Arial" w:cs="Arial"/>
                              <w:b/>
                              <w:sz w:val="32"/>
                              <w:szCs w:val="16"/>
                            </w:rPr>
                            <w:instrText xml:space="preserve"> If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DLM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&lt;&gt; " "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end"/>
                          </w:r>
                          <w:r w:rsidRPr="00F46678">
                            <w:rPr>
                              <w:rFonts w:ascii="Arial" w:hAnsi="Arial" w:cs="Arial"/>
                              <w:b/>
                              <w:sz w:val="32"/>
                              <w:szCs w:val="16"/>
                            </w:rPr>
                            <w:instrText xml:space="preserve"> //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DLM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begin"/>
                          </w:r>
                          <w:r w:rsidRPr="00F46678">
                            <w:rPr>
                              <w:rFonts w:ascii="Arial" w:hAnsi="Arial" w:cs="Arial"/>
                              <w:b/>
                              <w:sz w:val="32"/>
                              <w:szCs w:val="16"/>
                            </w:rPr>
                            <w:instrText xml:space="preserve"> IF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 "UNOFFICIAL"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separate"/>
                          </w:r>
                          <w:r w:rsidR="00754FB5">
                            <w:rPr>
                              <w:rFonts w:ascii="Arial" w:hAnsi="Arial" w:cs="Arial"/>
                              <w:b/>
                              <w:noProof/>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separate"/>
                          </w:r>
                          <w:r w:rsidR="007A65E5">
                            <w:rPr>
                              <w:rFonts w:ascii="Arial" w:hAnsi="Arial" w:cs="Arial"/>
                              <w:b/>
                              <w:noProof/>
                              <w:sz w:val="32"/>
                              <w:szCs w:val="16"/>
                            </w:rPr>
                            <w:t xml:space="preserve"> </w:t>
                          </w:r>
                          <w:r w:rsidRPr="00F46678">
                            <w:rPr>
                              <w:rFonts w:ascii="Arial" w:hAnsi="Arial" w:cs="Arial"/>
                              <w:b/>
                              <w:sz w:val="32"/>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4F678E" id="_x0000_t202" coordsize="21600,21600" o:spt="202" path="m,l,21600r21600,l21600,xe">
              <v:stroke joinstyle="miter"/>
              <v:path gradientshapeok="t" o:connecttype="rect"/>
            </v:shapetype>
            <v:shape id="Text Box 340" o:spid="_x0000_s1026" type="#_x0000_t202" alt="Sec-Headerprimary" style="position:absolute;margin-left:1in;margin-top:-21.65pt;width:454.55pt;height:31.15pt;z-index:251667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6TiAIAAIMFAAAOAAAAZHJzL2Uyb0RvYy54bWysVEtPGzEQvlfqf7B8L5sEQiBig1JQqkoI&#10;UKHi7Hjt7Kpej2s72U1/PePZzaO0F6rmsBl73p+/mavrtjZso3yowOZ8eDLgTFkJRWVXOf/+vPh0&#10;wVmIwhbCgFU536rAr2cfP1w1bqpGUIIplGcYxIZp43JexuimWRZkqWoRTsApi0oNvhYRj36VFV40&#10;GL022WgwOM8a8IXzIFUIeHvbKfmM4mutZHzQOqjITM6xtkhfT99l+mazKzFdeeHKSvZliH+oohaV&#10;xaT7ULciCrb21R+h6kp6CKDjiYQ6A60rqagH7GY4eNPNUymcol4QnOD2MIX/F1beb57co2ex/Qwt&#10;PmACpHFhGvAy9dNqX6d/rJShHiHc7mFTbWQSL8eTyWhyMeZMou70cnw+GKcw2cHb+RC/KKhZEnLu&#10;8VkILbG5C7Ez3ZmkZAFMVSwqY+jgV8sb49lG4BMu6Nf5GleK7paeEdOFzpRS/xbDWNbk/Px0PCBX&#10;Cyl4l9fYlEQRVfpiDv2TFLdGJRtjvynNqoJgoMoSSdW+NiGlspEQxFrIOllpTPUex97+UNV7nLs+&#10;0IMyg41757qy4Kl7mq1D2cWPXcm6s0f4jvpOYmyXbc+LJRRbpIuHbpKCk4sK3/ROhPgoPI4OMgTX&#10;QXzAjzaAqEMvcVaC//W3+2SPjEYtZw2OYs7Dz7XwijPz1SLXL4dnZ2l26XA2nozw4I81y2ONXdc3&#10;gFQZ4uJxksRkH81O1B7qF9wa85QVVcJKzJ3zuBNvYrcgcOtINZ+TEU6rE/HOPjmZQid4E2Of2xfh&#10;XU/riANxD7uhFdM37O5sk6eF+TqCroj6CeAO1R54nHRicL+V0io5PpPVYXfOXgEAAP//AwBQSwME&#10;FAAGAAgAAAAhAIEORtngAAAACwEAAA8AAABkcnMvZG93bnJldi54bWxMj8FOwzAQRO9I/IO1SNxa&#10;OyQgGuJUUAmp4kJbeunNjY0TYa9D7Dbh79me4LajHc28qZaTd+xshtgFlJDNBTCDTdAdWgn7j9fZ&#10;I7CYFGrlAhoJPybCsr6+qlSpw4hbc94lyygEY6kktCn1JeexaY1XcR56g/T7DINXieRguR7USOHe&#10;8TshHrhXHVJDq3qzak3ztTt5Ce7wtk4it5ldvx+2KL43fPUySnl7Mz0/AUtmSn9muOATOtTEdAwn&#10;1JE50kVBW5KEWZHnwC4OcZ9nwI50LQTwuuL/N9S/AAAA//8DAFBLAQItABQABgAIAAAAIQC2gziS&#10;/gAAAOEBAAATAAAAAAAAAAAAAAAAAAAAAABbQ29udGVudF9UeXBlc10ueG1sUEsBAi0AFAAGAAgA&#10;AAAhADj9If/WAAAAlAEAAAsAAAAAAAAAAAAAAAAALwEAAF9yZWxzLy5yZWxzUEsBAi0AFAAGAAgA&#10;AAAhAErX3pOIAgAAgwUAAA4AAAAAAAAAAAAAAAAALgIAAGRycy9lMm9Eb2MueG1sUEsBAi0AFAAG&#10;AAgAAAAhAIEORtngAAAACwEAAA8AAAAAAAAAAAAAAAAA4gQAAGRycy9kb3ducmV2LnhtbFBLBQYA&#10;AAAABAAEAPMAAADvBQAAAAA=&#10;" stroked="f" strokeweight=".5pt">
              <v:fill opacity="0"/>
              <v:textbox>
                <w:txbxContent>
                  <w:p w14:paraId="733AAEB5" w14:textId="362B8043" w:rsidR="00F46678" w:rsidRPr="00F46678" w:rsidRDefault="00F46678" w:rsidP="00F46678">
                    <w:pPr>
                      <w:jc w:val="center"/>
                      <w:rPr>
                        <w:rFonts w:ascii="Arial" w:hAnsi="Arial" w:cs="Arial"/>
                        <w:b/>
                        <w:sz w:val="32"/>
                        <w:szCs w:val="16"/>
                      </w:rPr>
                    </w:pPr>
                    <w:r w:rsidRPr="00F46678">
                      <w:rPr>
                        <w:rFonts w:ascii="Arial" w:hAnsi="Arial" w:cs="Arial"/>
                        <w:b/>
                        <w:sz w:val="32"/>
                        <w:szCs w:val="16"/>
                      </w:rPr>
                      <w:fldChar w:fldCharType="begin"/>
                    </w:r>
                    <w:r w:rsidRPr="00F46678">
                      <w:rPr>
                        <w:rFonts w:ascii="Arial" w:hAnsi="Arial" w:cs="Arial"/>
                        <w:b/>
                        <w:sz w:val="32"/>
                        <w:szCs w:val="16"/>
                      </w:rPr>
                      <w:instrText xml:space="preserve"> If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DLM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&lt;&gt; " "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end"/>
                    </w:r>
                    <w:r w:rsidRPr="00F46678">
                      <w:rPr>
                        <w:rFonts w:ascii="Arial" w:hAnsi="Arial" w:cs="Arial"/>
                        <w:b/>
                        <w:sz w:val="32"/>
                        <w:szCs w:val="16"/>
                      </w:rPr>
                      <w:instrText xml:space="preserve"> //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DLM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begin"/>
                    </w:r>
                    <w:r w:rsidRPr="00F46678">
                      <w:rPr>
                        <w:rFonts w:ascii="Arial" w:hAnsi="Arial" w:cs="Arial"/>
                        <w:b/>
                        <w:sz w:val="32"/>
                        <w:szCs w:val="16"/>
                      </w:rPr>
                      <w:instrText xml:space="preserve"> IF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 "UNOFFICIAL"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separate"/>
                    </w:r>
                    <w:r w:rsidR="00754FB5">
                      <w:rPr>
                        <w:rFonts w:ascii="Arial" w:hAnsi="Arial" w:cs="Arial"/>
                        <w:b/>
                        <w:noProof/>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separate"/>
                    </w:r>
                    <w:r w:rsidR="007A65E5">
                      <w:rPr>
                        <w:rFonts w:ascii="Arial" w:hAnsi="Arial" w:cs="Arial"/>
                        <w:b/>
                        <w:noProof/>
                        <w:sz w:val="32"/>
                        <w:szCs w:val="16"/>
                      </w:rPr>
                      <w:t xml:space="preserve"> </w:t>
                    </w:r>
                    <w:r w:rsidRPr="00F46678">
                      <w:rPr>
                        <w:rFonts w:ascii="Arial" w:hAnsi="Arial" w:cs="Arial"/>
                        <w:b/>
                        <w:sz w:val="32"/>
                        <w:szCs w:val="16"/>
                      </w:rPr>
                      <w:fldChar w:fldCharType="end"/>
                    </w:r>
                  </w:p>
                </w:txbxContent>
              </v:textbox>
              <w10:wrap anchorx="page"/>
              <w10:anchorlock/>
            </v:shape>
          </w:pict>
        </mc:Fallback>
      </mc:AlternateContent>
    </w:r>
  </w:p>
  <w:p w14:paraId="56749A68" w14:textId="3297D32F" w:rsidR="00925D8B" w:rsidRPr="000A48A7" w:rsidRDefault="00B13067" w:rsidP="00F46678">
    <w:pPr>
      <w:pStyle w:val="Heading2"/>
      <w:rPr>
        <w:color w:val="BFBFBF" w:themeColor="background1" w:themeShade="BF"/>
        <w:sz w:val="21"/>
        <w:szCs w:val="21"/>
        <w:lang w:val="en-AU"/>
      </w:rPr>
    </w:pPr>
    <w:r w:rsidRPr="000A48A7">
      <w:rPr>
        <w:color w:val="BFBFBF" w:themeColor="background1" w:themeShade="BF"/>
        <w:sz w:val="21"/>
        <w:szCs w:val="21"/>
        <w:lang w:val="en-AU"/>
      </w:rPr>
      <w:t>Instructor Guidance Note—Instrument program and policy authority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0047" w14:textId="5A619418" w:rsidR="00DD2DC7" w:rsidRDefault="00F46678">
    <w:pPr>
      <w:pStyle w:val="Header"/>
    </w:pPr>
    <w:r w:rsidRPr="00F951F6">
      <w:rPr>
        <w:rFonts w:cs="Open Sans"/>
        <w:noProof/>
      </w:rPr>
      <w:drawing>
        <wp:anchor distT="0" distB="0" distL="114300" distR="114300" simplePos="0" relativeHeight="251663360" behindDoc="0" locked="0" layoutInCell="1" allowOverlap="1" wp14:anchorId="6A88096F" wp14:editId="12B8761A">
          <wp:simplePos x="0" y="0"/>
          <wp:positionH relativeFrom="margin">
            <wp:posOffset>-79375</wp:posOffset>
          </wp:positionH>
          <wp:positionV relativeFrom="paragraph">
            <wp:posOffset>-500358</wp:posOffset>
          </wp:positionV>
          <wp:extent cx="3228975" cy="748665"/>
          <wp:effectExtent l="0" t="0" r="0" b="0"/>
          <wp:wrapNone/>
          <wp:docPr id="364949485"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49485"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8975" cy="748665"/>
                  </a:xfrm>
                  <a:prstGeom prst="rect">
                    <a:avLst/>
                  </a:prstGeom>
                </pic:spPr>
              </pic:pic>
            </a:graphicData>
          </a:graphic>
          <wp14:sizeRelH relativeFrom="margin">
            <wp14:pctWidth>0</wp14:pctWidth>
          </wp14:sizeRelH>
          <wp14:sizeRelV relativeFrom="margin">
            <wp14:pctHeight>0</wp14:pctHeight>
          </wp14:sizeRelV>
        </wp:anchor>
      </w:drawing>
    </w:r>
    <w:r w:rsidR="00F60232" w:rsidRPr="009D3F97">
      <w:rPr>
        <w:rFonts w:ascii="EB Garamond" w:hAnsi="EB Garamond"/>
        <w:b/>
        <w:noProof/>
        <w:color w:val="084D5E"/>
        <w:lang w:val="en-US"/>
      </w:rPr>
      <mc:AlternateContent>
        <mc:Choice Requires="wps">
          <w:drawing>
            <wp:anchor distT="0" distB="0" distL="114300" distR="114300" simplePos="0" relativeHeight="251665408" behindDoc="0" locked="1" layoutInCell="1" allowOverlap="1" wp14:anchorId="2C67B531" wp14:editId="7B9512D8">
              <wp:simplePos x="0" y="0"/>
              <wp:positionH relativeFrom="page">
                <wp:posOffset>1019175</wp:posOffset>
              </wp:positionH>
              <wp:positionV relativeFrom="paragraph">
                <wp:posOffset>-454025</wp:posOffset>
              </wp:positionV>
              <wp:extent cx="5772785" cy="395605"/>
              <wp:effectExtent l="0" t="0" r="0" b="0"/>
              <wp:wrapNone/>
              <wp:docPr id="1626416673" name="Text Box 340" descr="Sec-Headerfirstpage"/>
              <wp:cNvGraphicFramePr/>
              <a:graphic xmlns:a="http://schemas.openxmlformats.org/drawingml/2006/main">
                <a:graphicData uri="http://schemas.microsoft.com/office/word/2010/wordprocessingShape">
                  <wps:wsp>
                    <wps:cNvSpPr txBox="1"/>
                    <wps:spPr>
                      <a:xfrm>
                        <a:off x="0" y="0"/>
                        <a:ext cx="5772785" cy="39560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FA037C" w14:textId="32E8EB65" w:rsidR="00F60232" w:rsidRPr="00F46678" w:rsidRDefault="00F60232" w:rsidP="00F60232">
                          <w:pPr>
                            <w:jc w:val="center"/>
                            <w:rPr>
                              <w:rFonts w:ascii="Arial" w:hAnsi="Arial" w:cs="Arial"/>
                              <w:b/>
                              <w:sz w:val="32"/>
                              <w:szCs w:val="16"/>
                            </w:rPr>
                          </w:pPr>
                          <w:r w:rsidRPr="00F46678">
                            <w:rPr>
                              <w:rFonts w:ascii="Arial" w:hAnsi="Arial" w:cs="Arial"/>
                              <w:b/>
                              <w:sz w:val="32"/>
                              <w:szCs w:val="16"/>
                            </w:rPr>
                            <w:fldChar w:fldCharType="begin"/>
                          </w:r>
                          <w:r w:rsidRPr="00F46678">
                            <w:rPr>
                              <w:rFonts w:ascii="Arial" w:hAnsi="Arial" w:cs="Arial"/>
                              <w:b/>
                              <w:sz w:val="32"/>
                              <w:szCs w:val="16"/>
                            </w:rPr>
                            <w:instrText xml:space="preserve"> If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DLM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&lt;&gt; " "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end"/>
                          </w:r>
                          <w:r w:rsidRPr="00F46678">
                            <w:rPr>
                              <w:rFonts w:ascii="Arial" w:hAnsi="Arial" w:cs="Arial"/>
                              <w:b/>
                              <w:sz w:val="32"/>
                              <w:szCs w:val="16"/>
                            </w:rPr>
                            <w:instrText xml:space="preserve"> //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DLM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begin"/>
                          </w:r>
                          <w:r w:rsidRPr="00F46678">
                            <w:rPr>
                              <w:rFonts w:ascii="Arial" w:hAnsi="Arial" w:cs="Arial"/>
                              <w:b/>
                              <w:sz w:val="32"/>
                              <w:szCs w:val="16"/>
                            </w:rPr>
                            <w:instrText xml:space="preserve"> IF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 "UNOFFICIAL"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separate"/>
                          </w:r>
                          <w:r w:rsidR="00754FB5">
                            <w:rPr>
                              <w:rFonts w:ascii="Arial" w:hAnsi="Arial" w:cs="Arial"/>
                              <w:b/>
                              <w:noProof/>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separate"/>
                          </w:r>
                          <w:r w:rsidR="00754FB5">
                            <w:rPr>
                              <w:rFonts w:ascii="Arial" w:hAnsi="Arial" w:cs="Arial"/>
                              <w:b/>
                              <w:noProof/>
                              <w:sz w:val="32"/>
                              <w:szCs w:val="16"/>
                            </w:rPr>
                            <w:t xml:space="preserve"> </w:t>
                          </w:r>
                          <w:r w:rsidRPr="00F46678">
                            <w:rPr>
                              <w:rFonts w:ascii="Arial" w:hAnsi="Arial" w:cs="Arial"/>
                              <w:b/>
                              <w:sz w:val="32"/>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67B531" id="_x0000_t202" coordsize="21600,21600" o:spt="202" path="m,l,21600r21600,l21600,xe">
              <v:stroke joinstyle="miter"/>
              <v:path gradientshapeok="t" o:connecttype="rect"/>
            </v:shapetype>
            <v:shape id="_x0000_s1027" type="#_x0000_t202" alt="Sec-Headerfirstpage" style="position:absolute;margin-left:80.25pt;margin-top:-35.75pt;width:454.55pt;height:31.15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DAiwIAAIoFAAAOAAAAZHJzL2Uyb0RvYy54bWysVEtv2zAMvg/YfxB0X52kTdMGdYqsRYYB&#10;RVusHXpWZCk2JouapMTOfn0p2nms26XDcnAo8ePrE8mr67Y2bKN8qMDmfHgy4ExZCUVlVzn//rz4&#10;dMFZiMIWwoBVOd+qwK9nHz9cNW6qRlCCKZRn6MSGaeNyXsboplkWZKlqEU7AKYtKDb4WEY9+lRVe&#10;NOi9NtloMDjPGvCF8yBVCHh72yn5jPxrrWR80DqoyEzOMbdIX0/fZfpmsysxXXnhykr2aYh/yKIW&#10;lcWge1e3Igq29tUfrupKegig44mEOgOtK6moBqxmOHhTzVMpnKJakJzg9jSF/+dW3m+e3KNnsf0M&#10;LT5gIqRxYRrwMtXTal+nf8yUoR4p3O5pU21kEi/Hk8locjHmTKLu9HJ8PhgnN9nB2vkQvyioWRJy&#10;7vFZiC2xuQuxg+4gKVgAUxWLyhg6+NXyxni2EfiEC/p1tsaVorulZ8RwoYNS6N98GMuanJ+fjgdk&#10;aiE57+Iam4IoapU+mUP9JMWtUQlj7DelWVUQDZRZalK1z01IqWwkBjEXQieUxlDvMezxh6zeY9zV&#10;gRYUGWzcG9eVBU/V02wd0i5+7FLWHR7pO6o7ibFdtlj4UXssodhi13joBio4uajwae9EiI/C4wRh&#10;o+BWiA/40QaQfOglzkrwv/52n/DY2KjlrMGJzHn4uRZecWa+Wmz5y+HZWRphOpyNJyM8+GPN8lhj&#10;1/UNYMcMcf84SWLCR7MTtYf6BZfHPEVFlbASY+c87sSb2O0JXD5SzecEwqF1It7ZJyeT68Ryatzn&#10;9kV413d3xLm4h93siumbJu+wydLCfB1BVzQBieeO1Z5/HHhq5H45pY1yfCbUYYXOXgEAAP//AwBQ&#10;SwMEFAAGAAgAAAAhACS2VVHfAAAACwEAAA8AAABkcnMvZG93bnJldi54bWxMj0FPwzAMhe9I/IfI&#10;SNy2pEMUVppOMAlp4gIbXHbLWpNWJE5psrX8e7wT3Pzsp+fvlavJO3HCIXaBNGRzBQKpDk1HVsPH&#10;+/PsHkRMhhrjAqGGH4ywqi4vSlM0YaQtnnbJCg6hWBgNbUp9IWWsW/QmzkOPxLfPMHiTWA5WNoMZ&#10;Odw7uVAql950xB9a0+O6xfprd/Qa3P5lk9SNzezmdb8l9f0m10+j1tdX0+MDiIRT+jPDGZ/RoWKm&#10;QzhSE4VjnatbtmqY3WU8nB0qX+YgDrxaLkBWpfzfofoFAAD//wMAUEsBAi0AFAAGAAgAAAAhALaD&#10;OJL+AAAA4QEAABMAAAAAAAAAAAAAAAAAAAAAAFtDb250ZW50X1R5cGVzXS54bWxQSwECLQAUAAYA&#10;CAAAACEAOP0h/9YAAACUAQAACwAAAAAAAAAAAAAAAAAvAQAAX3JlbHMvLnJlbHNQSwECLQAUAAYA&#10;CAAAACEALNXAwIsCAACKBQAADgAAAAAAAAAAAAAAAAAuAgAAZHJzL2Uyb0RvYy54bWxQSwECLQAU&#10;AAYACAAAACEAJLZVUd8AAAALAQAADwAAAAAAAAAAAAAAAADlBAAAZHJzL2Rvd25yZXYueG1sUEsF&#10;BgAAAAAEAAQA8wAAAPEFAAAAAA==&#10;" stroked="f" strokeweight=".5pt">
              <v:fill opacity="0"/>
              <v:textbox>
                <w:txbxContent>
                  <w:p w14:paraId="13FA037C" w14:textId="32E8EB65" w:rsidR="00F60232" w:rsidRPr="00F46678" w:rsidRDefault="00F60232" w:rsidP="00F60232">
                    <w:pPr>
                      <w:jc w:val="center"/>
                      <w:rPr>
                        <w:rFonts w:ascii="Arial" w:hAnsi="Arial" w:cs="Arial"/>
                        <w:b/>
                        <w:sz w:val="32"/>
                        <w:szCs w:val="16"/>
                      </w:rPr>
                    </w:pPr>
                    <w:r w:rsidRPr="00F46678">
                      <w:rPr>
                        <w:rFonts w:ascii="Arial" w:hAnsi="Arial" w:cs="Arial"/>
                        <w:b/>
                        <w:sz w:val="32"/>
                        <w:szCs w:val="16"/>
                      </w:rPr>
                      <w:fldChar w:fldCharType="begin"/>
                    </w:r>
                    <w:r w:rsidRPr="00F46678">
                      <w:rPr>
                        <w:rFonts w:ascii="Arial" w:hAnsi="Arial" w:cs="Arial"/>
                        <w:b/>
                        <w:sz w:val="32"/>
                        <w:szCs w:val="16"/>
                      </w:rPr>
                      <w:instrText xml:space="preserve"> If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DLM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&lt;&gt; " "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end"/>
                    </w:r>
                    <w:r w:rsidRPr="00F46678">
                      <w:rPr>
                        <w:rFonts w:ascii="Arial" w:hAnsi="Arial" w:cs="Arial"/>
                        <w:b/>
                        <w:sz w:val="32"/>
                        <w:szCs w:val="16"/>
                      </w:rPr>
                      <w:instrText xml:space="preserve"> //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DLM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begin"/>
                    </w:r>
                    <w:r w:rsidRPr="00F46678">
                      <w:rPr>
                        <w:rFonts w:ascii="Arial" w:hAnsi="Arial" w:cs="Arial"/>
                        <w:b/>
                        <w:sz w:val="32"/>
                        <w:szCs w:val="16"/>
                      </w:rPr>
                      <w:instrText xml:space="preserve"> IF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 "UNOFFICIAL" """</w:instrText>
                    </w:r>
                    <w:r w:rsidRPr="00F46678">
                      <w:rPr>
                        <w:rFonts w:ascii="Arial" w:hAnsi="Arial" w:cs="Arial"/>
                        <w:b/>
                        <w:sz w:val="32"/>
                        <w:szCs w:val="16"/>
                      </w:rPr>
                      <w:fldChar w:fldCharType="begin"/>
                    </w:r>
                    <w:r w:rsidRPr="00F46678">
                      <w:rPr>
                        <w:rFonts w:ascii="Arial" w:hAnsi="Arial" w:cs="Arial"/>
                        <w:b/>
                        <w:sz w:val="32"/>
                        <w:szCs w:val="16"/>
                      </w:rPr>
                      <w:instrText xml:space="preserve"> DOCPROPERTY Classification </w:instrText>
                    </w:r>
                    <w:r w:rsidRPr="00F46678">
                      <w:rPr>
                        <w:rFonts w:ascii="Arial" w:hAnsi="Arial" w:cs="Arial"/>
                        <w:b/>
                        <w:sz w:val="32"/>
                        <w:szCs w:val="16"/>
                      </w:rPr>
                      <w:fldChar w:fldCharType="separate"/>
                    </w:r>
                    <w:r w:rsidR="00754FB5">
                      <w:rPr>
                        <w:rFonts w:ascii="Arial" w:hAnsi="Arial" w:cs="Arial"/>
                        <w:b/>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separate"/>
                    </w:r>
                    <w:r w:rsidR="00754FB5">
                      <w:rPr>
                        <w:rFonts w:ascii="Arial" w:hAnsi="Arial" w:cs="Arial"/>
                        <w:b/>
                        <w:noProof/>
                        <w:sz w:val="32"/>
                        <w:szCs w:val="16"/>
                      </w:rPr>
                      <w:instrText xml:space="preserve"> </w:instrText>
                    </w:r>
                    <w:r w:rsidRPr="00F46678">
                      <w:rPr>
                        <w:rFonts w:ascii="Arial" w:hAnsi="Arial" w:cs="Arial"/>
                        <w:b/>
                        <w:sz w:val="32"/>
                        <w:szCs w:val="16"/>
                      </w:rPr>
                      <w:fldChar w:fldCharType="end"/>
                    </w:r>
                    <w:r w:rsidRPr="00F46678">
                      <w:rPr>
                        <w:rFonts w:ascii="Arial" w:hAnsi="Arial" w:cs="Arial"/>
                        <w:b/>
                        <w:sz w:val="32"/>
                        <w:szCs w:val="16"/>
                      </w:rPr>
                      <w:instrText xml:space="preserve"> </w:instrText>
                    </w:r>
                    <w:r w:rsidRPr="00F46678">
                      <w:rPr>
                        <w:rFonts w:ascii="Arial" w:hAnsi="Arial" w:cs="Arial"/>
                        <w:b/>
                        <w:sz w:val="32"/>
                        <w:szCs w:val="16"/>
                      </w:rPr>
                      <w:fldChar w:fldCharType="separate"/>
                    </w:r>
                    <w:r w:rsidR="00754FB5">
                      <w:rPr>
                        <w:rFonts w:ascii="Arial" w:hAnsi="Arial" w:cs="Arial"/>
                        <w:b/>
                        <w:noProof/>
                        <w:sz w:val="32"/>
                        <w:szCs w:val="16"/>
                      </w:rPr>
                      <w:t xml:space="preserve"> </w:t>
                    </w:r>
                    <w:r w:rsidRPr="00F46678">
                      <w:rPr>
                        <w:rFonts w:ascii="Arial" w:hAnsi="Arial" w:cs="Arial"/>
                        <w:b/>
                        <w:sz w:val="32"/>
                        <w:szCs w:val="16"/>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5D1C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2A445C4"/>
    <w:multiLevelType w:val="hybridMultilevel"/>
    <w:tmpl w:val="8CB4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17583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38683119">
    <w:abstractNumId w:val="9"/>
  </w:num>
  <w:num w:numId="2" w16cid:durableId="1085880989">
    <w:abstractNumId w:val="7"/>
  </w:num>
  <w:num w:numId="3" w16cid:durableId="748305008">
    <w:abstractNumId w:val="6"/>
  </w:num>
  <w:num w:numId="4" w16cid:durableId="994526863">
    <w:abstractNumId w:val="5"/>
  </w:num>
  <w:num w:numId="5" w16cid:durableId="1880899581">
    <w:abstractNumId w:val="4"/>
  </w:num>
  <w:num w:numId="6" w16cid:durableId="609778070">
    <w:abstractNumId w:val="8"/>
  </w:num>
  <w:num w:numId="7" w16cid:durableId="662046101">
    <w:abstractNumId w:val="3"/>
  </w:num>
  <w:num w:numId="8" w16cid:durableId="757992283">
    <w:abstractNumId w:val="2"/>
  </w:num>
  <w:num w:numId="9" w16cid:durableId="1341398133">
    <w:abstractNumId w:val="1"/>
  </w:num>
  <w:num w:numId="10" w16cid:durableId="1041785510">
    <w:abstractNumId w:val="0"/>
  </w:num>
  <w:num w:numId="11" w16cid:durableId="1157502129">
    <w:abstractNumId w:val="12"/>
  </w:num>
  <w:num w:numId="12" w16cid:durableId="194467730">
    <w:abstractNumId w:val="15"/>
  </w:num>
  <w:num w:numId="13" w16cid:durableId="2021227987">
    <w:abstractNumId w:val="11"/>
  </w:num>
  <w:num w:numId="14" w16cid:durableId="1735666884">
    <w:abstractNumId w:val="14"/>
  </w:num>
  <w:num w:numId="15" w16cid:durableId="1899971456">
    <w:abstractNumId w:val="13"/>
  </w:num>
  <w:num w:numId="16" w16cid:durableId="191960498">
    <w:abstractNumId w:val="10"/>
  </w:num>
  <w:num w:numId="17" w16cid:durableId="1971982914">
    <w:abstractNumId w:val="11"/>
  </w:num>
  <w:num w:numId="18" w16cid:durableId="1232885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3B"/>
    <w:rsid w:val="000015F8"/>
    <w:rsid w:val="000136AF"/>
    <w:rsid w:val="00022B7E"/>
    <w:rsid w:val="00036B0B"/>
    <w:rsid w:val="00056743"/>
    <w:rsid w:val="00060176"/>
    <w:rsid w:val="000614BF"/>
    <w:rsid w:val="00083F90"/>
    <w:rsid w:val="00095FD7"/>
    <w:rsid w:val="000A48A7"/>
    <w:rsid w:val="000C604C"/>
    <w:rsid w:val="000D05EF"/>
    <w:rsid w:val="000F41FA"/>
    <w:rsid w:val="0010745C"/>
    <w:rsid w:val="001350E1"/>
    <w:rsid w:val="001401BB"/>
    <w:rsid w:val="001546C7"/>
    <w:rsid w:val="00156A4B"/>
    <w:rsid w:val="00166C2F"/>
    <w:rsid w:val="00174846"/>
    <w:rsid w:val="00184E28"/>
    <w:rsid w:val="001939E1"/>
    <w:rsid w:val="00195382"/>
    <w:rsid w:val="001C5D79"/>
    <w:rsid w:val="001C69C4"/>
    <w:rsid w:val="001E3590"/>
    <w:rsid w:val="001E7407"/>
    <w:rsid w:val="002138F9"/>
    <w:rsid w:val="00253D1B"/>
    <w:rsid w:val="00276470"/>
    <w:rsid w:val="0029133B"/>
    <w:rsid w:val="00295FBA"/>
    <w:rsid w:val="002970D7"/>
    <w:rsid w:val="00297ECB"/>
    <w:rsid w:val="002A7971"/>
    <w:rsid w:val="002D043A"/>
    <w:rsid w:val="002D6A8E"/>
    <w:rsid w:val="00311448"/>
    <w:rsid w:val="00331AA5"/>
    <w:rsid w:val="00352B0F"/>
    <w:rsid w:val="00360FB0"/>
    <w:rsid w:val="00365EB2"/>
    <w:rsid w:val="003B5735"/>
    <w:rsid w:val="003D0BFE"/>
    <w:rsid w:val="003D5700"/>
    <w:rsid w:val="003D6F8A"/>
    <w:rsid w:val="003E4160"/>
    <w:rsid w:val="00407496"/>
    <w:rsid w:val="004116CD"/>
    <w:rsid w:val="00424CA9"/>
    <w:rsid w:val="0044181F"/>
    <w:rsid w:val="0044291A"/>
    <w:rsid w:val="004438A9"/>
    <w:rsid w:val="00450A86"/>
    <w:rsid w:val="00453FBE"/>
    <w:rsid w:val="004560FB"/>
    <w:rsid w:val="004653F8"/>
    <w:rsid w:val="00465EAA"/>
    <w:rsid w:val="0046605B"/>
    <w:rsid w:val="00496F97"/>
    <w:rsid w:val="004B0C7F"/>
    <w:rsid w:val="004D0B78"/>
    <w:rsid w:val="004D5212"/>
    <w:rsid w:val="00516B8D"/>
    <w:rsid w:val="00517E12"/>
    <w:rsid w:val="005327A0"/>
    <w:rsid w:val="00537FBC"/>
    <w:rsid w:val="00546255"/>
    <w:rsid w:val="00546B98"/>
    <w:rsid w:val="0056478F"/>
    <w:rsid w:val="00583BF2"/>
    <w:rsid w:val="00584811"/>
    <w:rsid w:val="00594161"/>
    <w:rsid w:val="00594749"/>
    <w:rsid w:val="005C1C78"/>
    <w:rsid w:val="005F257D"/>
    <w:rsid w:val="00600219"/>
    <w:rsid w:val="00606091"/>
    <w:rsid w:val="00612449"/>
    <w:rsid w:val="006207A3"/>
    <w:rsid w:val="00622E74"/>
    <w:rsid w:val="006279B8"/>
    <w:rsid w:val="00646AE9"/>
    <w:rsid w:val="00677CC2"/>
    <w:rsid w:val="00680F77"/>
    <w:rsid w:val="0069207B"/>
    <w:rsid w:val="0069737A"/>
    <w:rsid w:val="006B2FE1"/>
    <w:rsid w:val="006C2699"/>
    <w:rsid w:val="006C7F8C"/>
    <w:rsid w:val="006D77BA"/>
    <w:rsid w:val="006E2E9F"/>
    <w:rsid w:val="006E6B49"/>
    <w:rsid w:val="006F6A07"/>
    <w:rsid w:val="00704A73"/>
    <w:rsid w:val="007276BC"/>
    <w:rsid w:val="00731E00"/>
    <w:rsid w:val="00733990"/>
    <w:rsid w:val="00741F61"/>
    <w:rsid w:val="00754FB5"/>
    <w:rsid w:val="007565A9"/>
    <w:rsid w:val="00764D27"/>
    <w:rsid w:val="00766393"/>
    <w:rsid w:val="007715C9"/>
    <w:rsid w:val="00774EDD"/>
    <w:rsid w:val="00775577"/>
    <w:rsid w:val="007757EC"/>
    <w:rsid w:val="00797E0D"/>
    <w:rsid w:val="007A484C"/>
    <w:rsid w:val="007A65E5"/>
    <w:rsid w:val="007C4B9F"/>
    <w:rsid w:val="007F4BC7"/>
    <w:rsid w:val="007F727B"/>
    <w:rsid w:val="008006B2"/>
    <w:rsid w:val="00856A31"/>
    <w:rsid w:val="00864425"/>
    <w:rsid w:val="008754D0"/>
    <w:rsid w:val="0089368A"/>
    <w:rsid w:val="008A43B7"/>
    <w:rsid w:val="008B0AF4"/>
    <w:rsid w:val="008E17F3"/>
    <w:rsid w:val="008E28B4"/>
    <w:rsid w:val="008E3B8C"/>
    <w:rsid w:val="008F582B"/>
    <w:rsid w:val="0091669F"/>
    <w:rsid w:val="00925D8B"/>
    <w:rsid w:val="009274F3"/>
    <w:rsid w:val="0094622F"/>
    <w:rsid w:val="009571F7"/>
    <w:rsid w:val="00965FFF"/>
    <w:rsid w:val="00973C66"/>
    <w:rsid w:val="009851D5"/>
    <w:rsid w:val="0098638B"/>
    <w:rsid w:val="00986F4D"/>
    <w:rsid w:val="009A7645"/>
    <w:rsid w:val="009D50C3"/>
    <w:rsid w:val="00A1381D"/>
    <w:rsid w:val="00A231E2"/>
    <w:rsid w:val="00A51894"/>
    <w:rsid w:val="00A64912"/>
    <w:rsid w:val="00A70A74"/>
    <w:rsid w:val="00A91B5C"/>
    <w:rsid w:val="00AD5641"/>
    <w:rsid w:val="00AE5DB2"/>
    <w:rsid w:val="00AF6BDB"/>
    <w:rsid w:val="00B01239"/>
    <w:rsid w:val="00B034A0"/>
    <w:rsid w:val="00B13067"/>
    <w:rsid w:val="00B33B3C"/>
    <w:rsid w:val="00B42E30"/>
    <w:rsid w:val="00B90335"/>
    <w:rsid w:val="00BE0A62"/>
    <w:rsid w:val="00BE68DD"/>
    <w:rsid w:val="00BE719A"/>
    <w:rsid w:val="00BE720A"/>
    <w:rsid w:val="00C06B03"/>
    <w:rsid w:val="00C163F9"/>
    <w:rsid w:val="00C305FE"/>
    <w:rsid w:val="00C34B33"/>
    <w:rsid w:val="00C42BF8"/>
    <w:rsid w:val="00C50043"/>
    <w:rsid w:val="00C61CDD"/>
    <w:rsid w:val="00C7573B"/>
    <w:rsid w:val="00C83868"/>
    <w:rsid w:val="00CB3D6B"/>
    <w:rsid w:val="00CB48D8"/>
    <w:rsid w:val="00CB595A"/>
    <w:rsid w:val="00CD4CFE"/>
    <w:rsid w:val="00CF0BB2"/>
    <w:rsid w:val="00CF2CFB"/>
    <w:rsid w:val="00D13441"/>
    <w:rsid w:val="00D2619B"/>
    <w:rsid w:val="00D70DFB"/>
    <w:rsid w:val="00D766DF"/>
    <w:rsid w:val="00D85BB4"/>
    <w:rsid w:val="00DB3CFE"/>
    <w:rsid w:val="00DC70E6"/>
    <w:rsid w:val="00DD2DC7"/>
    <w:rsid w:val="00DE7073"/>
    <w:rsid w:val="00DF74BC"/>
    <w:rsid w:val="00E02105"/>
    <w:rsid w:val="00E1008D"/>
    <w:rsid w:val="00E112F6"/>
    <w:rsid w:val="00E13F42"/>
    <w:rsid w:val="00E3057D"/>
    <w:rsid w:val="00E30ADB"/>
    <w:rsid w:val="00E424D9"/>
    <w:rsid w:val="00E62DEC"/>
    <w:rsid w:val="00E6596F"/>
    <w:rsid w:val="00E74DC7"/>
    <w:rsid w:val="00EA4AF1"/>
    <w:rsid w:val="00EA6FCA"/>
    <w:rsid w:val="00EB104B"/>
    <w:rsid w:val="00EB4333"/>
    <w:rsid w:val="00ED0C49"/>
    <w:rsid w:val="00ED5D9D"/>
    <w:rsid w:val="00EE3881"/>
    <w:rsid w:val="00EF2E3A"/>
    <w:rsid w:val="00F04811"/>
    <w:rsid w:val="00F078DC"/>
    <w:rsid w:val="00F23E5F"/>
    <w:rsid w:val="00F45507"/>
    <w:rsid w:val="00F46678"/>
    <w:rsid w:val="00F51269"/>
    <w:rsid w:val="00F60232"/>
    <w:rsid w:val="00FA5E36"/>
    <w:rsid w:val="00FC1F79"/>
    <w:rsid w:val="00FD0221"/>
    <w:rsid w:val="00FD456C"/>
    <w:rsid w:val="00FE495E"/>
    <w:rsid w:val="00FF42F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A58D9D"/>
  <w15:docId w15:val="{B809C636-7826-4FE5-87E0-34CBD166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F60232"/>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Heading3"/>
    <w:next w:val="Normal"/>
    <w:link w:val="Heading2Char"/>
    <w:uiPriority w:val="9"/>
    <w:unhideWhenUsed/>
    <w:qFormat/>
    <w:rsid w:val="00F60232"/>
    <w:pPr>
      <w:keepNext w:val="0"/>
      <w:keepLines w:val="0"/>
      <w:spacing w:before="120" w:after="120" w:line="240" w:lineRule="auto"/>
      <w:outlineLvl w:val="1"/>
    </w:pPr>
    <w:rPr>
      <w:rFonts w:ascii="Open Sans" w:eastAsiaTheme="minorHAnsi" w:hAnsi="Open Sans" w:cs="Open Sans"/>
      <w:b/>
      <w:bCs/>
      <w:color w:val="084D5E"/>
      <w:kern w:val="2"/>
      <w:lang w:val="fr-CA" w:eastAsia="en-AU"/>
    </w:rPr>
  </w:style>
  <w:style w:type="paragraph" w:styleId="Heading3">
    <w:name w:val="heading 3"/>
    <w:basedOn w:val="Normal"/>
    <w:next w:val="Normal"/>
    <w:link w:val="Heading3Char"/>
    <w:uiPriority w:val="9"/>
    <w:semiHidden/>
    <w:unhideWhenUsed/>
    <w:qFormat/>
    <w:rsid w:val="00F602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customStyle="1" w:styleId="Heading1Char">
    <w:name w:val="Heading 1 Char"/>
    <w:basedOn w:val="DefaultParagraphFont"/>
    <w:link w:val="Heading1"/>
    <w:uiPriority w:val="9"/>
    <w:rsid w:val="00F60232"/>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F60232"/>
    <w:rPr>
      <w:rFonts w:ascii="Open Sans" w:hAnsi="Open Sans" w:cs="Open Sans"/>
      <w:b/>
      <w:bCs/>
      <w:color w:val="084D5E"/>
      <w:kern w:val="2"/>
      <w:sz w:val="24"/>
      <w:szCs w:val="24"/>
      <w:lang w:val="fr-CA" w:eastAsia="en-AU"/>
    </w:rPr>
  </w:style>
  <w:style w:type="table" w:styleId="TableGrid">
    <w:name w:val="Table Grid"/>
    <w:basedOn w:val="TableNormal"/>
    <w:uiPriority w:val="39"/>
    <w:rsid w:val="00F60232"/>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23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5711</Characters>
  <Application>Microsoft Office Word</Application>
  <DocSecurity>8</DocSecurity>
  <Lines>105</Lines>
  <Paragraphs>45</Paragraphs>
  <ScaleCrop>false</ScaleCrop>
  <HeadingPairs>
    <vt:vector size="2" baseType="variant">
      <vt:variant>
        <vt:lpstr>Title</vt:lpstr>
      </vt:variant>
      <vt:variant>
        <vt:i4>1</vt:i4>
      </vt:variant>
    </vt:vector>
  </HeadingPairs>
  <TitlesOfParts>
    <vt:vector size="1" baseType="lpstr">
      <vt:lpstr>Instrument program and policy authority</vt:lpstr>
    </vt:vector>
  </TitlesOfParts>
  <Company>Office of Parliamentary Counsel</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program and policy authority</dc:title>
  <dc:subject/>
  <dc:creator>MilesA</dc:creator>
  <cp:keywords/>
  <dc:description/>
  <cp:lastModifiedBy>Berryman, Elentari</cp:lastModifiedBy>
  <cp:revision>2</cp:revision>
  <dcterms:created xsi:type="dcterms:W3CDTF">2025-10-16T00:14:00Z</dcterms:created>
  <dcterms:modified xsi:type="dcterms:W3CDTF">2025-10-16T00:14:00Z</dcterms:modified>
  <cp:category>Other - Website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DoNotAsk">
    <vt:lpwstr>0</vt:lpwstr>
  </property>
  <property fmtid="{D5CDD505-2E9C-101B-9397-08002B2CF9AE}" pid="5" name="ChangedTitle">
    <vt:lpwstr/>
  </property>
</Properties>
</file>