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000E" w14:textId="5D9A2776" w:rsidR="008E17F3" w:rsidRPr="00A922FA" w:rsidRDefault="00A922FA" w:rsidP="00A922FA">
      <w:pPr>
        <w:pStyle w:val="Heading1"/>
        <w:jc w:val="left"/>
        <w:rPr>
          <w:rFonts w:ascii="Open Sans ExtraBold" w:hAnsi="Open Sans ExtraBold" w:cs="Open Sans ExtraBold"/>
          <w:color w:val="084D5E"/>
          <w:lang w:val="en-AU"/>
        </w:rPr>
      </w:pPr>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r>
        <w:rPr>
          <w:rFonts w:ascii="Open Sans ExtraBold" w:hAnsi="Open Sans ExtraBold" w:cs="Open Sans ExtraBold"/>
          <w:color w:val="084D5E"/>
          <w:lang w:val="en-AU"/>
        </w:rPr>
        <w:br/>
      </w:r>
      <w:r w:rsidR="00FB5519" w:rsidRPr="00A922FA">
        <w:rPr>
          <w:rFonts w:ascii="Open Sans ExtraBold" w:hAnsi="Open Sans ExtraBold" w:cs="Open Sans ExtraBold"/>
          <w:color w:val="084D5E"/>
          <w:lang w:val="en-AU"/>
        </w:rPr>
        <w:t xml:space="preserve">Key </w:t>
      </w:r>
      <w:r w:rsidR="00A51DF6" w:rsidRPr="00A922FA">
        <w:rPr>
          <w:rFonts w:ascii="Open Sans ExtraBold" w:hAnsi="Open Sans ExtraBold" w:cs="Open Sans ExtraBold"/>
          <w:color w:val="084D5E"/>
          <w:lang w:val="en-AU"/>
        </w:rPr>
        <w:t xml:space="preserve">considerations in drafting </w:t>
      </w:r>
      <w:r w:rsidR="00FB5519" w:rsidRPr="00A922FA">
        <w:rPr>
          <w:rFonts w:ascii="Open Sans ExtraBold" w:hAnsi="Open Sans ExtraBold" w:cs="Open Sans ExtraBold"/>
          <w:color w:val="084D5E"/>
          <w:lang w:val="en-AU"/>
        </w:rPr>
        <w:t xml:space="preserve">instruments </w:t>
      </w:r>
    </w:p>
    <w:p w14:paraId="6D5483F7" w14:textId="64BC3E5E" w:rsidR="0040444F" w:rsidRPr="00702356" w:rsidRDefault="0040444F"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Purpose of guidance</w:t>
      </w:r>
    </w:p>
    <w:p w14:paraId="01EA57E1" w14:textId="18F3FD4F" w:rsidR="0040444F" w:rsidRPr="00702356" w:rsidRDefault="0040444F" w:rsidP="0040444F">
      <w:pPr>
        <w:pStyle w:val="BodyNum"/>
        <w:rPr>
          <w:rFonts w:ascii="Open Sans" w:hAnsi="Open Sans" w:cs="Open Sans"/>
        </w:rPr>
      </w:pPr>
      <w:r w:rsidRPr="00702356">
        <w:rPr>
          <w:rFonts w:ascii="Open Sans" w:hAnsi="Open Sans" w:cs="Open Sans"/>
        </w:rPr>
        <w:t>This guidance mentions a range of factors that agencies should consider when instructing OPC to draft an instrument, or when drafting an instrument themselves.</w:t>
      </w:r>
    </w:p>
    <w:p w14:paraId="11B72203" w14:textId="18897B86" w:rsidR="00A51DF6" w:rsidRPr="00702356" w:rsidRDefault="00A51DF6"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Working within the scope of the power to make the instrument</w:t>
      </w:r>
    </w:p>
    <w:p w14:paraId="675FD3DE" w14:textId="44E7EAE7" w:rsidR="00756842" w:rsidRPr="00702356" w:rsidRDefault="00A51DF6" w:rsidP="00A51DF6">
      <w:pPr>
        <w:pStyle w:val="BodyNum"/>
        <w:rPr>
          <w:rFonts w:ascii="Open Sans" w:hAnsi="Open Sans" w:cs="Open Sans"/>
        </w:rPr>
      </w:pPr>
      <w:r w:rsidRPr="00702356">
        <w:rPr>
          <w:rFonts w:ascii="Open Sans" w:hAnsi="Open Sans" w:cs="Open Sans"/>
        </w:rPr>
        <w:t>The enabling legislation under which an instrument is to be made must provide sufficient power for the instrument</w:t>
      </w:r>
      <w:r w:rsidR="007C49F7" w:rsidRPr="00702356">
        <w:rPr>
          <w:rFonts w:ascii="Open Sans" w:hAnsi="Open Sans" w:cs="Open Sans"/>
        </w:rPr>
        <w:noBreakHyphen/>
      </w:r>
      <w:r w:rsidRPr="00702356">
        <w:rPr>
          <w:rFonts w:ascii="Open Sans" w:hAnsi="Open Sans" w:cs="Open Sans"/>
        </w:rPr>
        <w:t xml:space="preserve">maker to make each provision </w:t>
      </w:r>
      <w:r w:rsidR="00207CE7" w:rsidRPr="00702356">
        <w:rPr>
          <w:rFonts w:ascii="Open Sans" w:hAnsi="Open Sans" w:cs="Open Sans"/>
        </w:rPr>
        <w:t xml:space="preserve">in </w:t>
      </w:r>
      <w:r w:rsidRPr="00702356">
        <w:rPr>
          <w:rFonts w:ascii="Open Sans" w:hAnsi="Open Sans" w:cs="Open Sans"/>
        </w:rPr>
        <w:t xml:space="preserve">the instrument. </w:t>
      </w:r>
      <w:r w:rsidR="00ED3E4E" w:rsidRPr="00702356">
        <w:rPr>
          <w:rFonts w:ascii="Open Sans" w:hAnsi="Open Sans" w:cs="Open Sans"/>
        </w:rPr>
        <w:t xml:space="preserve">It is not enough that a proposed provision in an instrument deals with the same subject matter as the enabling legislation. </w:t>
      </w:r>
      <w:r w:rsidR="00CF457E" w:rsidRPr="00702356">
        <w:rPr>
          <w:rFonts w:ascii="Open Sans" w:hAnsi="Open Sans" w:cs="Open Sans"/>
        </w:rPr>
        <w:t xml:space="preserve">For example, a power to make an instrument </w:t>
      </w:r>
      <w:r w:rsidR="00756842" w:rsidRPr="00702356">
        <w:rPr>
          <w:rFonts w:ascii="Open Sans" w:hAnsi="Open Sans" w:cs="Open Sans"/>
        </w:rPr>
        <w:t xml:space="preserve">specifying </w:t>
      </w:r>
      <w:r w:rsidR="00CF457E" w:rsidRPr="00702356">
        <w:rPr>
          <w:rFonts w:ascii="Open Sans" w:hAnsi="Open Sans" w:cs="Open Sans"/>
        </w:rPr>
        <w:t xml:space="preserve">matters to be taken into account in deciding whether a person is a fit and proper person to own a dog </w:t>
      </w:r>
      <w:r w:rsidR="00827335" w:rsidRPr="00702356">
        <w:rPr>
          <w:rFonts w:ascii="Open Sans" w:hAnsi="Open Sans" w:cs="Open Sans"/>
        </w:rPr>
        <w:t xml:space="preserve">is unlikely to </w:t>
      </w:r>
      <w:r w:rsidR="00CF457E" w:rsidRPr="00702356">
        <w:rPr>
          <w:rFonts w:ascii="Open Sans" w:hAnsi="Open Sans" w:cs="Open Sans"/>
        </w:rPr>
        <w:t xml:space="preserve">extend to </w:t>
      </w:r>
      <w:r w:rsidR="00756842" w:rsidRPr="00702356">
        <w:rPr>
          <w:rFonts w:ascii="Open Sans" w:hAnsi="Open Sans" w:cs="Open Sans"/>
        </w:rPr>
        <w:t xml:space="preserve">specifying the breed of dog as a </w:t>
      </w:r>
      <w:r w:rsidR="00827335" w:rsidRPr="00702356">
        <w:rPr>
          <w:rFonts w:ascii="Open Sans" w:hAnsi="Open Sans" w:cs="Open Sans"/>
        </w:rPr>
        <w:t xml:space="preserve">relevant </w:t>
      </w:r>
      <w:r w:rsidR="00756842" w:rsidRPr="00702356">
        <w:rPr>
          <w:rFonts w:ascii="Open Sans" w:hAnsi="Open Sans" w:cs="Open Sans"/>
        </w:rPr>
        <w:t>matter.</w:t>
      </w:r>
    </w:p>
    <w:p w14:paraId="4AEEEAD0" w14:textId="6E2BB216" w:rsidR="00827335" w:rsidRPr="00702356" w:rsidRDefault="00756842" w:rsidP="00A51DF6">
      <w:pPr>
        <w:pStyle w:val="BodyNum"/>
        <w:rPr>
          <w:rFonts w:ascii="Open Sans" w:hAnsi="Open Sans" w:cs="Open Sans"/>
        </w:rPr>
      </w:pPr>
      <w:r w:rsidRPr="00702356">
        <w:rPr>
          <w:rFonts w:ascii="Open Sans" w:hAnsi="Open Sans" w:cs="Open Sans"/>
        </w:rPr>
        <w:t xml:space="preserve">You need to be able to identify a head of power </w:t>
      </w:r>
      <w:r w:rsidR="00233093" w:rsidRPr="00702356">
        <w:rPr>
          <w:rFonts w:ascii="Open Sans" w:hAnsi="Open Sans" w:cs="Open Sans"/>
        </w:rPr>
        <w:t xml:space="preserve">in the enabling legislation </w:t>
      </w:r>
      <w:r w:rsidRPr="00702356">
        <w:rPr>
          <w:rFonts w:ascii="Open Sans" w:hAnsi="Open Sans" w:cs="Open Sans"/>
        </w:rPr>
        <w:t xml:space="preserve">for every provision in the instrument. </w:t>
      </w:r>
      <w:r w:rsidR="00233093" w:rsidRPr="00702356">
        <w:rPr>
          <w:rFonts w:ascii="Open Sans" w:hAnsi="Open Sans" w:cs="Open Sans"/>
        </w:rPr>
        <w:t xml:space="preserve">Some provisions might be supported by more than one head of power. </w:t>
      </w:r>
      <w:r w:rsidR="00827335" w:rsidRPr="00702356">
        <w:rPr>
          <w:rFonts w:ascii="Open Sans" w:hAnsi="Open Sans" w:cs="Open Sans"/>
        </w:rPr>
        <w:t>You may need to seek legal advice on this issue.</w:t>
      </w:r>
    </w:p>
    <w:p w14:paraId="75E15D54" w14:textId="533C2554" w:rsidR="00606B94" w:rsidRPr="00702356" w:rsidRDefault="00606B94"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 xml:space="preserve">Use </w:t>
      </w:r>
      <w:r w:rsidR="007B576D" w:rsidRPr="00702356">
        <w:rPr>
          <w:rFonts w:ascii="Open Sans" w:eastAsiaTheme="minorHAnsi" w:hAnsi="Open Sans" w:cs="Open Sans"/>
          <w:b/>
          <w:bCs/>
          <w:color w:val="084D5E"/>
          <w:kern w:val="2"/>
          <w:sz w:val="24"/>
          <w:szCs w:val="24"/>
          <w:lang w:eastAsia="en-AU"/>
        </w:rPr>
        <w:t xml:space="preserve">the </w:t>
      </w:r>
      <w:r w:rsidRPr="00702356">
        <w:rPr>
          <w:rFonts w:ascii="Open Sans" w:eastAsiaTheme="minorHAnsi" w:hAnsi="Open Sans" w:cs="Open Sans"/>
          <w:b/>
          <w:bCs/>
          <w:color w:val="084D5E"/>
          <w:kern w:val="2"/>
          <w:sz w:val="24"/>
          <w:szCs w:val="24"/>
          <w:lang w:eastAsia="en-AU"/>
        </w:rPr>
        <w:t xml:space="preserve">enabling </w:t>
      </w:r>
      <w:r w:rsidR="007B576D" w:rsidRPr="00702356">
        <w:rPr>
          <w:rFonts w:ascii="Open Sans" w:eastAsiaTheme="minorHAnsi" w:hAnsi="Open Sans" w:cs="Open Sans"/>
          <w:b/>
          <w:bCs/>
          <w:color w:val="084D5E"/>
          <w:kern w:val="2"/>
          <w:sz w:val="24"/>
          <w:szCs w:val="24"/>
          <w:lang w:eastAsia="en-AU"/>
        </w:rPr>
        <w:t>legislation’s concepts and defined terms</w:t>
      </w:r>
    </w:p>
    <w:p w14:paraId="21F5A21C" w14:textId="6331820D" w:rsidR="007B576D" w:rsidRPr="00702356" w:rsidRDefault="007909D9" w:rsidP="007B576D">
      <w:pPr>
        <w:pStyle w:val="BodyNum"/>
        <w:rPr>
          <w:rFonts w:ascii="Open Sans" w:hAnsi="Open Sans" w:cs="Open Sans"/>
        </w:rPr>
      </w:pPr>
      <w:r w:rsidRPr="00702356">
        <w:rPr>
          <w:rFonts w:ascii="Open Sans" w:hAnsi="Open Sans" w:cs="Open Sans"/>
        </w:rPr>
        <w:t>The enabling legislation will use concepts and define terms to have specific meanings for the purpose</w:t>
      </w:r>
      <w:r w:rsidR="001777B8" w:rsidRPr="00702356">
        <w:rPr>
          <w:rFonts w:ascii="Open Sans" w:hAnsi="Open Sans" w:cs="Open Sans"/>
        </w:rPr>
        <w:t>s</w:t>
      </w:r>
      <w:r w:rsidRPr="00702356">
        <w:rPr>
          <w:rFonts w:ascii="Open Sans" w:hAnsi="Open Sans" w:cs="Open Sans"/>
        </w:rPr>
        <w:t xml:space="preserve"> of the enabling legislation. </w:t>
      </w:r>
      <w:r w:rsidR="00D04756" w:rsidRPr="00702356">
        <w:rPr>
          <w:rFonts w:ascii="Open Sans" w:hAnsi="Open Sans" w:cs="Open Sans"/>
        </w:rPr>
        <w:t>Such e</w:t>
      </w:r>
      <w:r w:rsidR="00A157E7" w:rsidRPr="00702356">
        <w:rPr>
          <w:rFonts w:ascii="Open Sans" w:hAnsi="Open Sans" w:cs="Open Sans"/>
        </w:rPr>
        <w:t xml:space="preserve">xpressions </w:t>
      </w:r>
      <w:r w:rsidR="00D04756" w:rsidRPr="00702356">
        <w:rPr>
          <w:rFonts w:ascii="Open Sans" w:hAnsi="Open Sans" w:cs="Open Sans"/>
        </w:rPr>
        <w:t xml:space="preserve">are taken to have the same meaning when </w:t>
      </w:r>
      <w:r w:rsidR="00A157E7" w:rsidRPr="00702356">
        <w:rPr>
          <w:rFonts w:ascii="Open Sans" w:hAnsi="Open Sans" w:cs="Open Sans"/>
        </w:rPr>
        <w:t>use</w:t>
      </w:r>
      <w:r w:rsidR="00D04756" w:rsidRPr="00702356">
        <w:rPr>
          <w:rFonts w:ascii="Open Sans" w:hAnsi="Open Sans" w:cs="Open Sans"/>
        </w:rPr>
        <w:t>d</w:t>
      </w:r>
      <w:r w:rsidR="00A157E7" w:rsidRPr="00702356">
        <w:rPr>
          <w:rFonts w:ascii="Open Sans" w:hAnsi="Open Sans" w:cs="Open Sans"/>
        </w:rPr>
        <w:t xml:space="preserve"> </w:t>
      </w:r>
      <w:r w:rsidR="00D04756" w:rsidRPr="00702356">
        <w:rPr>
          <w:rFonts w:ascii="Open Sans" w:hAnsi="Open Sans" w:cs="Open Sans"/>
        </w:rPr>
        <w:t xml:space="preserve">in the instrument (see paragraph 13(1)(b) of the </w:t>
      </w:r>
      <w:r w:rsidR="00D04756" w:rsidRPr="00702356">
        <w:rPr>
          <w:rFonts w:ascii="Open Sans" w:hAnsi="Open Sans" w:cs="Open Sans"/>
          <w:i/>
          <w:iCs/>
        </w:rPr>
        <w:t>Legislation Act 2003</w:t>
      </w:r>
      <w:r w:rsidR="00D04756" w:rsidRPr="00702356">
        <w:rPr>
          <w:rFonts w:ascii="Open Sans" w:hAnsi="Open Sans" w:cs="Open Sans"/>
        </w:rPr>
        <w:t xml:space="preserve">). </w:t>
      </w:r>
      <w:r w:rsidR="00BB4408" w:rsidRPr="00702356">
        <w:rPr>
          <w:rFonts w:ascii="Open Sans" w:hAnsi="Open Sans" w:cs="Open Sans"/>
        </w:rPr>
        <w:t>An instrument should use these concepts and terms consistently with the Act. If a term is defined by an Act, the instrument cannot give the term a different meaning. There is no need to repeat</w:t>
      </w:r>
      <w:r w:rsidR="00D414C2" w:rsidRPr="00702356">
        <w:rPr>
          <w:rFonts w:ascii="Open Sans" w:hAnsi="Open Sans" w:cs="Open Sans"/>
        </w:rPr>
        <w:t xml:space="preserve"> definitions from the Act in the instrument</w:t>
      </w:r>
      <w:r w:rsidR="00BB2985" w:rsidRPr="00702356">
        <w:rPr>
          <w:rFonts w:ascii="Open Sans" w:hAnsi="Open Sans" w:cs="Open Sans"/>
        </w:rPr>
        <w:t>.</w:t>
      </w:r>
    </w:p>
    <w:p w14:paraId="565DFB5B" w14:textId="1C5C61BC" w:rsidR="00A51DF6" w:rsidRPr="00702356" w:rsidRDefault="00A51DF6"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proofErr w:type="spellStart"/>
      <w:r w:rsidRPr="00702356">
        <w:rPr>
          <w:rFonts w:ascii="Open Sans" w:eastAsiaTheme="minorHAnsi" w:hAnsi="Open Sans" w:cs="Open Sans"/>
          <w:b/>
          <w:bCs/>
          <w:color w:val="084D5E"/>
          <w:kern w:val="2"/>
          <w:sz w:val="24"/>
          <w:szCs w:val="24"/>
          <w:lang w:eastAsia="en-AU"/>
        </w:rPr>
        <w:t>Subdelegation</w:t>
      </w:r>
      <w:proofErr w:type="spellEnd"/>
      <w:r w:rsidRPr="00702356">
        <w:rPr>
          <w:rFonts w:ascii="Open Sans" w:eastAsiaTheme="minorHAnsi" w:hAnsi="Open Sans" w:cs="Open Sans"/>
          <w:b/>
          <w:bCs/>
          <w:color w:val="084D5E"/>
          <w:kern w:val="2"/>
          <w:sz w:val="24"/>
          <w:szCs w:val="24"/>
          <w:lang w:eastAsia="en-AU"/>
        </w:rPr>
        <w:t xml:space="preserve"> of legislative power </w:t>
      </w:r>
    </w:p>
    <w:p w14:paraId="71FBFC06" w14:textId="6EF93880" w:rsidR="00315F99" w:rsidRPr="00702356" w:rsidRDefault="005177A3" w:rsidP="00A51DF6">
      <w:pPr>
        <w:pStyle w:val="BodyNum"/>
        <w:rPr>
          <w:rFonts w:ascii="Open Sans" w:hAnsi="Open Sans" w:cs="Open Sans"/>
        </w:rPr>
      </w:pPr>
      <w:r w:rsidRPr="00702356">
        <w:rPr>
          <w:rFonts w:ascii="Open Sans" w:hAnsi="Open Sans" w:cs="Open Sans"/>
        </w:rPr>
        <w:t>A rule</w:t>
      </w:r>
      <w:r w:rsidR="007C49F7" w:rsidRPr="00702356">
        <w:rPr>
          <w:rFonts w:ascii="Open Sans" w:hAnsi="Open Sans" w:cs="Open Sans"/>
        </w:rPr>
        <w:noBreakHyphen/>
      </w:r>
      <w:r w:rsidRPr="00702356">
        <w:rPr>
          <w:rFonts w:ascii="Open Sans" w:hAnsi="Open Sans" w:cs="Open Sans"/>
        </w:rPr>
        <w:t xml:space="preserve">maker who makes a legislative instrument under a head of power in enabling legislation is exercising delegated legislative power. </w:t>
      </w:r>
      <w:r w:rsidR="00106F6C" w:rsidRPr="00702356">
        <w:rPr>
          <w:rFonts w:ascii="Open Sans" w:hAnsi="Open Sans" w:cs="Open Sans"/>
        </w:rPr>
        <w:t>I</w:t>
      </w:r>
      <w:r w:rsidR="00A51DF6" w:rsidRPr="00702356">
        <w:rPr>
          <w:rFonts w:ascii="Open Sans" w:hAnsi="Open Sans" w:cs="Open Sans"/>
        </w:rPr>
        <w:t xml:space="preserve">ssues </w:t>
      </w:r>
      <w:r w:rsidR="00106F6C" w:rsidRPr="00702356">
        <w:rPr>
          <w:rFonts w:ascii="Open Sans" w:hAnsi="Open Sans" w:cs="Open Sans"/>
        </w:rPr>
        <w:t xml:space="preserve">about validity </w:t>
      </w:r>
      <w:r w:rsidR="00A51DF6" w:rsidRPr="00702356">
        <w:rPr>
          <w:rFonts w:ascii="Open Sans" w:hAnsi="Open Sans" w:cs="Open Sans"/>
        </w:rPr>
        <w:t>may arise if</w:t>
      </w:r>
      <w:r w:rsidR="00315F99" w:rsidRPr="00702356">
        <w:rPr>
          <w:rFonts w:ascii="Open Sans" w:hAnsi="Open Sans" w:cs="Open Sans"/>
        </w:rPr>
        <w:t>:</w:t>
      </w:r>
    </w:p>
    <w:p w14:paraId="1258BCE0" w14:textId="0D6E47EC" w:rsidR="00335F89" w:rsidRPr="00702356" w:rsidRDefault="00315F99" w:rsidP="00315F99">
      <w:pPr>
        <w:pStyle w:val="BodyParaBullet"/>
        <w:rPr>
          <w:rFonts w:ascii="Open Sans" w:hAnsi="Open Sans" w:cs="Open Sans"/>
        </w:rPr>
      </w:pPr>
      <w:r w:rsidRPr="00702356">
        <w:rPr>
          <w:rFonts w:ascii="Open Sans" w:hAnsi="Open Sans" w:cs="Open Sans"/>
        </w:rPr>
        <w:lastRenderedPageBreak/>
        <w:t>the instrument is made by somebody other than the named rule</w:t>
      </w:r>
      <w:r w:rsidR="007C49F7" w:rsidRPr="00702356">
        <w:rPr>
          <w:rFonts w:ascii="Open Sans" w:hAnsi="Open Sans" w:cs="Open Sans"/>
        </w:rPr>
        <w:noBreakHyphen/>
      </w:r>
      <w:r w:rsidRPr="00702356">
        <w:rPr>
          <w:rFonts w:ascii="Open Sans" w:hAnsi="Open Sans" w:cs="Open Sans"/>
        </w:rPr>
        <w:t xml:space="preserve">maker (for example, a </w:t>
      </w:r>
      <w:r w:rsidR="00335F89" w:rsidRPr="00702356">
        <w:rPr>
          <w:rFonts w:ascii="Open Sans" w:hAnsi="Open Sans" w:cs="Open Sans"/>
        </w:rPr>
        <w:t>purported delegate of the rule</w:t>
      </w:r>
      <w:r w:rsidR="007C49F7" w:rsidRPr="00702356">
        <w:rPr>
          <w:rFonts w:ascii="Open Sans" w:hAnsi="Open Sans" w:cs="Open Sans"/>
        </w:rPr>
        <w:noBreakHyphen/>
      </w:r>
      <w:r w:rsidR="00335F89" w:rsidRPr="00702356">
        <w:rPr>
          <w:rFonts w:ascii="Open Sans" w:hAnsi="Open Sans" w:cs="Open Sans"/>
        </w:rPr>
        <w:t>maker); or</w:t>
      </w:r>
    </w:p>
    <w:p w14:paraId="3BB50A9A" w14:textId="77777777" w:rsidR="00335F89" w:rsidRPr="00702356" w:rsidRDefault="006D4CA0" w:rsidP="00315F99">
      <w:pPr>
        <w:pStyle w:val="BodyParaBullet"/>
        <w:rPr>
          <w:rFonts w:ascii="Open Sans" w:hAnsi="Open Sans" w:cs="Open Sans"/>
        </w:rPr>
      </w:pPr>
      <w:r w:rsidRPr="00702356">
        <w:rPr>
          <w:rFonts w:ascii="Open Sans" w:hAnsi="Open Sans" w:cs="Open Sans"/>
        </w:rPr>
        <w:t xml:space="preserve">the </w:t>
      </w:r>
      <w:r w:rsidR="00A51DF6" w:rsidRPr="00702356">
        <w:rPr>
          <w:rFonts w:ascii="Open Sans" w:hAnsi="Open Sans" w:cs="Open Sans"/>
        </w:rPr>
        <w:t xml:space="preserve">instrument purports to </w:t>
      </w:r>
      <w:r w:rsidRPr="00702356">
        <w:rPr>
          <w:rFonts w:ascii="Open Sans" w:hAnsi="Open Sans" w:cs="Open Sans"/>
        </w:rPr>
        <w:t xml:space="preserve">further </w:t>
      </w:r>
      <w:r w:rsidR="00A51DF6" w:rsidRPr="00702356">
        <w:rPr>
          <w:rFonts w:ascii="Open Sans" w:hAnsi="Open Sans" w:cs="Open Sans"/>
        </w:rPr>
        <w:t>delegate legislative power to a person or body</w:t>
      </w:r>
      <w:r w:rsidR="00335F89" w:rsidRPr="00702356">
        <w:rPr>
          <w:rFonts w:ascii="Open Sans" w:hAnsi="Open Sans" w:cs="Open Sans"/>
        </w:rPr>
        <w:t xml:space="preserve"> (for example, it purports to authorise another person to make a legislative instrument)</w:t>
      </w:r>
      <w:r w:rsidRPr="00702356">
        <w:rPr>
          <w:rFonts w:ascii="Open Sans" w:hAnsi="Open Sans" w:cs="Open Sans"/>
        </w:rPr>
        <w:t xml:space="preserve">. </w:t>
      </w:r>
    </w:p>
    <w:p w14:paraId="70929D56" w14:textId="05E84BEA" w:rsidR="006D4CA0" w:rsidRPr="00702356" w:rsidRDefault="006D4CA0" w:rsidP="00335F89">
      <w:pPr>
        <w:pStyle w:val="BodyNum"/>
        <w:rPr>
          <w:rFonts w:ascii="Open Sans" w:hAnsi="Open Sans" w:cs="Open Sans"/>
        </w:rPr>
      </w:pPr>
      <w:r w:rsidRPr="00702356">
        <w:rPr>
          <w:rFonts w:ascii="Open Sans" w:hAnsi="Open Sans" w:cs="Open Sans"/>
        </w:rPr>
        <w:t xml:space="preserve">This </w:t>
      </w:r>
      <w:r w:rsidR="001777B8" w:rsidRPr="00702356">
        <w:rPr>
          <w:rFonts w:ascii="Open Sans" w:hAnsi="Open Sans" w:cs="Open Sans"/>
        </w:rPr>
        <w:t xml:space="preserve">issue </w:t>
      </w:r>
      <w:r w:rsidRPr="00702356">
        <w:rPr>
          <w:rFonts w:ascii="Open Sans" w:hAnsi="Open Sans" w:cs="Open Sans"/>
        </w:rPr>
        <w:t xml:space="preserve">is </w:t>
      </w:r>
      <w:r w:rsidR="00A51DF6" w:rsidRPr="00702356">
        <w:rPr>
          <w:rFonts w:ascii="Open Sans" w:hAnsi="Open Sans" w:cs="Open Sans"/>
        </w:rPr>
        <w:t xml:space="preserve">commonly </w:t>
      </w:r>
      <w:r w:rsidRPr="00702356">
        <w:rPr>
          <w:rFonts w:ascii="Open Sans" w:hAnsi="Open Sans" w:cs="Open Sans"/>
        </w:rPr>
        <w:t xml:space="preserve">called </w:t>
      </w:r>
      <w:r w:rsidR="00A51DF6" w:rsidRPr="00702356">
        <w:rPr>
          <w:rFonts w:ascii="Open Sans" w:hAnsi="Open Sans" w:cs="Open Sans"/>
        </w:rPr>
        <w:t>“</w:t>
      </w:r>
      <w:proofErr w:type="spellStart"/>
      <w:r w:rsidR="00A51DF6" w:rsidRPr="00702356">
        <w:rPr>
          <w:rFonts w:ascii="Open Sans" w:hAnsi="Open Sans" w:cs="Open Sans"/>
        </w:rPr>
        <w:t>subdelegation</w:t>
      </w:r>
      <w:proofErr w:type="spellEnd"/>
      <w:r w:rsidR="00DB46BB" w:rsidRPr="00702356">
        <w:rPr>
          <w:rFonts w:ascii="Open Sans" w:hAnsi="Open Sans" w:cs="Open Sans"/>
        </w:rPr>
        <w:t xml:space="preserve"> of legislative power</w:t>
      </w:r>
      <w:r w:rsidR="00A51DF6" w:rsidRPr="00702356">
        <w:rPr>
          <w:rFonts w:ascii="Open Sans" w:hAnsi="Open Sans" w:cs="Open Sans"/>
        </w:rPr>
        <w:t>”.</w:t>
      </w:r>
      <w:r w:rsidR="00DB46BB" w:rsidRPr="00702356">
        <w:rPr>
          <w:rFonts w:ascii="Open Sans" w:hAnsi="Open Sans" w:cs="Open Sans"/>
        </w:rPr>
        <w:t xml:space="preserve"> The basic principle is that</w:t>
      </w:r>
      <w:r w:rsidR="00995FF7" w:rsidRPr="00702356">
        <w:rPr>
          <w:rFonts w:ascii="Open Sans" w:hAnsi="Open Sans" w:cs="Open Sans"/>
        </w:rPr>
        <w:t xml:space="preserve"> </w:t>
      </w:r>
      <w:proofErr w:type="spellStart"/>
      <w:r w:rsidR="00995FF7" w:rsidRPr="00702356">
        <w:rPr>
          <w:rFonts w:ascii="Open Sans" w:hAnsi="Open Sans" w:cs="Open Sans"/>
        </w:rPr>
        <w:t>subdelegation</w:t>
      </w:r>
      <w:proofErr w:type="spellEnd"/>
      <w:r w:rsidR="00995FF7" w:rsidRPr="00702356">
        <w:rPr>
          <w:rFonts w:ascii="Open Sans" w:hAnsi="Open Sans" w:cs="Open Sans"/>
        </w:rPr>
        <w:t xml:space="preserve"> is not permitted unless the enabling legislation expressly permits it.</w:t>
      </w:r>
    </w:p>
    <w:p w14:paraId="6E80C273" w14:textId="0FA417AD" w:rsidR="00A51DF6" w:rsidRPr="00702356" w:rsidRDefault="006F6608" w:rsidP="00A51DF6">
      <w:pPr>
        <w:pStyle w:val="BodyNum"/>
        <w:rPr>
          <w:rFonts w:ascii="Open Sans" w:hAnsi="Open Sans" w:cs="Open Sans"/>
        </w:rPr>
      </w:pPr>
      <w:r w:rsidRPr="00702356">
        <w:rPr>
          <w:rFonts w:ascii="Open Sans" w:hAnsi="Open Sans" w:cs="Open Sans"/>
        </w:rPr>
        <w:t>If the instrument is made by a person other than the named rule</w:t>
      </w:r>
      <w:r w:rsidR="007C49F7" w:rsidRPr="00702356">
        <w:rPr>
          <w:rFonts w:ascii="Open Sans" w:hAnsi="Open Sans" w:cs="Open Sans"/>
        </w:rPr>
        <w:noBreakHyphen/>
      </w:r>
      <w:r w:rsidRPr="00702356">
        <w:rPr>
          <w:rFonts w:ascii="Open Sans" w:hAnsi="Open Sans" w:cs="Open Sans"/>
        </w:rPr>
        <w:t xml:space="preserve">maker, you should consider whether the person </w:t>
      </w:r>
      <w:r w:rsidR="00EB72DD" w:rsidRPr="00702356">
        <w:rPr>
          <w:rFonts w:ascii="Open Sans" w:hAnsi="Open Sans" w:cs="Open Sans"/>
        </w:rPr>
        <w:t xml:space="preserve">has been </w:t>
      </w:r>
      <w:r w:rsidR="004F64FF" w:rsidRPr="00702356">
        <w:rPr>
          <w:rFonts w:ascii="Open Sans" w:hAnsi="Open Sans" w:cs="Open Sans"/>
        </w:rPr>
        <w:t xml:space="preserve">appropriately </w:t>
      </w:r>
      <w:r w:rsidRPr="00702356">
        <w:rPr>
          <w:rFonts w:ascii="Open Sans" w:hAnsi="Open Sans" w:cs="Open Sans"/>
        </w:rPr>
        <w:t>authorised to make the instrument</w:t>
      </w:r>
      <w:r w:rsidR="00EB72DD" w:rsidRPr="00702356">
        <w:rPr>
          <w:rFonts w:ascii="Open Sans" w:hAnsi="Open Sans" w:cs="Open Sans"/>
        </w:rPr>
        <w:t xml:space="preserve"> in accordance with the enabling legislation</w:t>
      </w:r>
      <w:r w:rsidRPr="00702356">
        <w:rPr>
          <w:rFonts w:ascii="Open Sans" w:hAnsi="Open Sans" w:cs="Open Sans"/>
        </w:rPr>
        <w:t xml:space="preserve">. </w:t>
      </w:r>
      <w:r w:rsidR="006E3836" w:rsidRPr="00702356">
        <w:rPr>
          <w:rFonts w:ascii="Open Sans" w:hAnsi="Open Sans" w:cs="Open Sans"/>
        </w:rPr>
        <w:t>Additionally, a</w:t>
      </w:r>
      <w:r w:rsidR="00E11C48" w:rsidRPr="00702356">
        <w:rPr>
          <w:rFonts w:ascii="Open Sans" w:hAnsi="Open Sans" w:cs="Open Sans"/>
        </w:rPr>
        <w:t xml:space="preserve">ny provision in a </w:t>
      </w:r>
      <w:r w:rsidR="00106F6C" w:rsidRPr="00702356">
        <w:rPr>
          <w:rFonts w:ascii="Open Sans" w:hAnsi="Open Sans" w:cs="Open Sans"/>
        </w:rPr>
        <w:t xml:space="preserve">proposed </w:t>
      </w:r>
      <w:r w:rsidR="00E11C48" w:rsidRPr="00702356">
        <w:rPr>
          <w:rFonts w:ascii="Open Sans" w:hAnsi="Open Sans" w:cs="Open Sans"/>
        </w:rPr>
        <w:t>instrument that allow</w:t>
      </w:r>
      <w:r w:rsidR="00106F6C" w:rsidRPr="00702356">
        <w:rPr>
          <w:rFonts w:ascii="Open Sans" w:hAnsi="Open Sans" w:cs="Open Sans"/>
        </w:rPr>
        <w:t>s</w:t>
      </w:r>
      <w:r w:rsidR="00E11C48" w:rsidRPr="00702356">
        <w:rPr>
          <w:rFonts w:ascii="Open Sans" w:hAnsi="Open Sans" w:cs="Open Sans"/>
        </w:rPr>
        <w:t xml:space="preserve"> another person or body to specify or determine a matter should be </w:t>
      </w:r>
      <w:r w:rsidR="00106F6C" w:rsidRPr="00702356">
        <w:rPr>
          <w:rFonts w:ascii="Open Sans" w:hAnsi="Open Sans" w:cs="Open Sans"/>
        </w:rPr>
        <w:t xml:space="preserve">assessed against this principle. </w:t>
      </w:r>
      <w:r w:rsidR="00807849" w:rsidRPr="00702356">
        <w:rPr>
          <w:rFonts w:ascii="Open Sans" w:hAnsi="Open Sans" w:cs="Open Sans"/>
        </w:rPr>
        <w:t xml:space="preserve">You </w:t>
      </w:r>
      <w:r w:rsidR="00A51DF6" w:rsidRPr="00702356">
        <w:rPr>
          <w:rFonts w:ascii="Open Sans" w:hAnsi="Open Sans" w:cs="Open Sans"/>
        </w:rPr>
        <w:t xml:space="preserve">may need to seek legal advice on </w:t>
      </w:r>
      <w:r w:rsidR="006E3836" w:rsidRPr="00702356">
        <w:rPr>
          <w:rFonts w:ascii="Open Sans" w:hAnsi="Open Sans" w:cs="Open Sans"/>
        </w:rPr>
        <w:t xml:space="preserve">these </w:t>
      </w:r>
      <w:r w:rsidR="00A51DF6" w:rsidRPr="00702356">
        <w:rPr>
          <w:rFonts w:ascii="Open Sans" w:hAnsi="Open Sans" w:cs="Open Sans"/>
        </w:rPr>
        <w:t>issue</w:t>
      </w:r>
      <w:r w:rsidR="006E3836" w:rsidRPr="00702356">
        <w:rPr>
          <w:rFonts w:ascii="Open Sans" w:hAnsi="Open Sans" w:cs="Open Sans"/>
        </w:rPr>
        <w:t>s</w:t>
      </w:r>
      <w:r w:rsidR="00A51DF6" w:rsidRPr="00702356">
        <w:rPr>
          <w:rFonts w:ascii="Open Sans" w:hAnsi="Open Sans" w:cs="Open Sans"/>
        </w:rPr>
        <w:t>.</w:t>
      </w:r>
    </w:p>
    <w:p w14:paraId="7F28D39F" w14:textId="7F48D5A4" w:rsidR="00A51DF6" w:rsidRPr="00702356" w:rsidRDefault="00A51DF6"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Incorporation by reference</w:t>
      </w:r>
    </w:p>
    <w:p w14:paraId="6A7DACBE" w14:textId="73941EFA" w:rsidR="00E90134" w:rsidRPr="00702356" w:rsidRDefault="00A51DF6" w:rsidP="00C44A07">
      <w:pPr>
        <w:pStyle w:val="BodyNum"/>
        <w:rPr>
          <w:rFonts w:ascii="Open Sans" w:hAnsi="Open Sans" w:cs="Open Sans"/>
        </w:rPr>
      </w:pPr>
      <w:r w:rsidRPr="00702356">
        <w:rPr>
          <w:rFonts w:ascii="Open Sans" w:hAnsi="Open Sans" w:cs="Open Sans"/>
        </w:rPr>
        <w:t xml:space="preserve">Under section 14 of the </w:t>
      </w:r>
      <w:r w:rsidRPr="00702356">
        <w:rPr>
          <w:rFonts w:ascii="Open Sans" w:hAnsi="Open Sans" w:cs="Open Sans"/>
          <w:i/>
          <w:iCs/>
        </w:rPr>
        <w:t>Legislation Act 2003</w:t>
      </w:r>
      <w:r w:rsidRPr="00702356">
        <w:rPr>
          <w:rFonts w:ascii="Open Sans" w:hAnsi="Open Sans" w:cs="Open Sans"/>
        </w:rPr>
        <w:t>, a legislative or notifiable instrument may apply, adopt or incorporate some or all of another document, with or without modification</w:t>
      </w:r>
      <w:r w:rsidR="00E90134" w:rsidRPr="00702356">
        <w:rPr>
          <w:rFonts w:ascii="Open Sans" w:hAnsi="Open Sans" w:cs="Open Sans"/>
        </w:rPr>
        <w:t xml:space="preserve">. This is </w:t>
      </w:r>
      <w:r w:rsidRPr="00702356">
        <w:rPr>
          <w:rFonts w:ascii="Open Sans" w:hAnsi="Open Sans" w:cs="Open Sans"/>
        </w:rPr>
        <w:t xml:space="preserve">commonly </w:t>
      </w:r>
      <w:r w:rsidR="00E90134" w:rsidRPr="00702356">
        <w:rPr>
          <w:rFonts w:ascii="Open Sans" w:hAnsi="Open Sans" w:cs="Open Sans"/>
        </w:rPr>
        <w:t xml:space="preserve">called </w:t>
      </w:r>
      <w:r w:rsidRPr="00702356">
        <w:rPr>
          <w:rFonts w:ascii="Open Sans" w:hAnsi="Open Sans" w:cs="Open Sans"/>
        </w:rPr>
        <w:t>“incorporation by reference”.</w:t>
      </w:r>
    </w:p>
    <w:p w14:paraId="5238B87C" w14:textId="26434C91" w:rsidR="00B53389" w:rsidRPr="00702356" w:rsidRDefault="00A51DF6" w:rsidP="00C44A07">
      <w:pPr>
        <w:pStyle w:val="BodyNum"/>
        <w:rPr>
          <w:rFonts w:ascii="Open Sans" w:hAnsi="Open Sans" w:cs="Open Sans"/>
        </w:rPr>
      </w:pPr>
      <w:r w:rsidRPr="00702356">
        <w:rPr>
          <w:rFonts w:ascii="Open Sans" w:hAnsi="Open Sans" w:cs="Open Sans"/>
        </w:rPr>
        <w:t xml:space="preserve">The </w:t>
      </w:r>
      <w:r w:rsidR="003A2BBA" w:rsidRPr="00702356">
        <w:rPr>
          <w:rFonts w:ascii="Open Sans" w:hAnsi="Open Sans" w:cs="Open Sans"/>
        </w:rPr>
        <w:t xml:space="preserve">other </w:t>
      </w:r>
      <w:r w:rsidRPr="00702356">
        <w:rPr>
          <w:rFonts w:ascii="Open Sans" w:hAnsi="Open Sans" w:cs="Open Sans"/>
        </w:rPr>
        <w:t xml:space="preserve">document may be applied, adopted or incorporated as it is in force or existing at the time the instrument commences or at a time before the instrument commences. However, </w:t>
      </w:r>
      <w:r w:rsidRPr="00702356">
        <w:rPr>
          <w:rFonts w:ascii="Open Sans" w:hAnsi="Open Sans" w:cs="Open Sans"/>
          <w:i/>
          <w:iCs/>
        </w:rPr>
        <w:t xml:space="preserve">future versions </w:t>
      </w:r>
      <w:r w:rsidRPr="00702356">
        <w:rPr>
          <w:rFonts w:ascii="Open Sans" w:hAnsi="Open Sans" w:cs="Open Sans"/>
        </w:rPr>
        <w:t xml:space="preserve">of the </w:t>
      </w:r>
      <w:r w:rsidR="003A2BBA" w:rsidRPr="00702356">
        <w:rPr>
          <w:rFonts w:ascii="Open Sans" w:hAnsi="Open Sans" w:cs="Open Sans"/>
        </w:rPr>
        <w:t xml:space="preserve">other </w:t>
      </w:r>
      <w:r w:rsidRPr="00702356">
        <w:rPr>
          <w:rFonts w:ascii="Open Sans" w:hAnsi="Open Sans" w:cs="Open Sans"/>
        </w:rPr>
        <w:t xml:space="preserve">document can be applied, adopted or incorporated </w:t>
      </w:r>
      <w:r w:rsidR="00B53389" w:rsidRPr="00702356">
        <w:rPr>
          <w:rFonts w:ascii="Open Sans" w:hAnsi="Open Sans" w:cs="Open Sans"/>
        </w:rPr>
        <w:t xml:space="preserve">only </w:t>
      </w:r>
      <w:r w:rsidRPr="00702356">
        <w:rPr>
          <w:rFonts w:ascii="Open Sans" w:hAnsi="Open Sans" w:cs="Open Sans"/>
        </w:rPr>
        <w:t>if:</w:t>
      </w:r>
    </w:p>
    <w:p w14:paraId="5C4B73FF" w14:textId="72C1990D" w:rsidR="00A51DF6" w:rsidRPr="00702356" w:rsidRDefault="00A51DF6" w:rsidP="00B53389">
      <w:pPr>
        <w:pStyle w:val="BodyPara"/>
        <w:rPr>
          <w:rFonts w:ascii="Open Sans" w:hAnsi="Open Sans" w:cs="Open Sans"/>
        </w:rPr>
      </w:pPr>
      <w:r w:rsidRPr="00702356">
        <w:rPr>
          <w:rFonts w:ascii="Open Sans" w:hAnsi="Open Sans" w:cs="Open Sans"/>
        </w:rPr>
        <w:t xml:space="preserve">the </w:t>
      </w:r>
      <w:r w:rsidR="003A2BBA" w:rsidRPr="00702356">
        <w:rPr>
          <w:rFonts w:ascii="Open Sans" w:hAnsi="Open Sans" w:cs="Open Sans"/>
        </w:rPr>
        <w:t xml:space="preserve">other </w:t>
      </w:r>
      <w:r w:rsidRPr="00702356">
        <w:rPr>
          <w:rFonts w:ascii="Open Sans" w:hAnsi="Open Sans" w:cs="Open Sans"/>
        </w:rPr>
        <w:t xml:space="preserve">document is a Commonwealth Act, disallowable legislative instrument or rules of court; or </w:t>
      </w:r>
    </w:p>
    <w:p w14:paraId="55ADD394" w14:textId="6E5EE62D" w:rsidR="00A51DF6" w:rsidRPr="00702356" w:rsidRDefault="00A51DF6" w:rsidP="00B53389">
      <w:pPr>
        <w:pStyle w:val="BodyPara"/>
        <w:rPr>
          <w:rFonts w:ascii="Open Sans" w:hAnsi="Open Sans" w:cs="Open Sans"/>
        </w:rPr>
      </w:pPr>
      <w:r w:rsidRPr="00702356">
        <w:rPr>
          <w:rFonts w:ascii="Open Sans" w:hAnsi="Open Sans" w:cs="Open Sans"/>
        </w:rPr>
        <w:t xml:space="preserve">the enabling legislation authorises incorporation of the </w:t>
      </w:r>
      <w:r w:rsidR="003A2BBA" w:rsidRPr="00702356">
        <w:rPr>
          <w:rFonts w:ascii="Open Sans" w:hAnsi="Open Sans" w:cs="Open Sans"/>
        </w:rPr>
        <w:t xml:space="preserve">other </w:t>
      </w:r>
      <w:r w:rsidRPr="00702356">
        <w:rPr>
          <w:rFonts w:ascii="Open Sans" w:hAnsi="Open Sans" w:cs="Open Sans"/>
        </w:rPr>
        <w:t>document as in force or existing from time to time.</w:t>
      </w:r>
    </w:p>
    <w:p w14:paraId="78F77670" w14:textId="1B8A7552" w:rsidR="00A51DF6" w:rsidRPr="00702356" w:rsidRDefault="00A51DF6" w:rsidP="003A2BBA">
      <w:pPr>
        <w:pStyle w:val="BodyNum"/>
        <w:rPr>
          <w:rFonts w:ascii="Open Sans" w:hAnsi="Open Sans" w:cs="Open Sans"/>
        </w:rPr>
      </w:pPr>
      <w:bookmarkStart w:id="0" w:name="_Hlk195610534"/>
      <w:r w:rsidRPr="00702356">
        <w:rPr>
          <w:rFonts w:ascii="Open Sans" w:hAnsi="Open Sans" w:cs="Open Sans"/>
        </w:rPr>
        <w:t xml:space="preserve">If a legislative instrument incorporates </w:t>
      </w:r>
      <w:r w:rsidR="00322F5E" w:rsidRPr="00702356">
        <w:rPr>
          <w:rFonts w:ascii="Open Sans" w:hAnsi="Open Sans" w:cs="Open Sans"/>
        </w:rPr>
        <w:t xml:space="preserve">other </w:t>
      </w:r>
      <w:r w:rsidRPr="00702356">
        <w:rPr>
          <w:rFonts w:ascii="Open Sans" w:hAnsi="Open Sans" w:cs="Open Sans"/>
        </w:rPr>
        <w:t xml:space="preserve">documents by reference, either House of the Parliament may require documents so incorporated to be made available for inspection by that House (see section 41 of the </w:t>
      </w:r>
      <w:r w:rsidRPr="00702356">
        <w:rPr>
          <w:rFonts w:ascii="Open Sans" w:hAnsi="Open Sans" w:cs="Open Sans"/>
          <w:i/>
          <w:iCs/>
        </w:rPr>
        <w:t>Legislation Act 2003</w:t>
      </w:r>
      <w:r w:rsidRPr="00702356">
        <w:rPr>
          <w:rFonts w:ascii="Open Sans" w:hAnsi="Open Sans" w:cs="Open Sans"/>
        </w:rPr>
        <w:t>).</w:t>
      </w:r>
    </w:p>
    <w:p w14:paraId="7BB01F12" w14:textId="7F26C0AA" w:rsidR="00A93658" w:rsidRPr="00702356" w:rsidRDefault="00A93658" w:rsidP="003A2BBA">
      <w:pPr>
        <w:pStyle w:val="BodyNum"/>
        <w:rPr>
          <w:rFonts w:ascii="Open Sans" w:hAnsi="Open Sans" w:cs="Open Sans"/>
        </w:rPr>
      </w:pPr>
      <w:r w:rsidRPr="00702356">
        <w:rPr>
          <w:rFonts w:ascii="Open Sans" w:hAnsi="Open Sans" w:cs="Open Sans"/>
        </w:rPr>
        <w:t xml:space="preserve">There are similar rules relating to incorporation by reference by instruments </w:t>
      </w:r>
      <w:r w:rsidRPr="00702356">
        <w:rPr>
          <w:rFonts w:ascii="Open Sans" w:hAnsi="Open Sans" w:cs="Open Sans"/>
          <w:i/>
          <w:iCs/>
        </w:rPr>
        <w:t xml:space="preserve">other </w:t>
      </w:r>
      <w:r w:rsidRPr="00702356">
        <w:rPr>
          <w:rFonts w:ascii="Open Sans" w:hAnsi="Open Sans" w:cs="Open Sans"/>
        </w:rPr>
        <w:t xml:space="preserve">than legislative instruments, notifiable instruments or rules of court in section 46AA of the </w:t>
      </w:r>
      <w:r w:rsidRPr="00702356">
        <w:rPr>
          <w:rFonts w:ascii="Open Sans" w:hAnsi="Open Sans" w:cs="Open Sans"/>
          <w:i/>
          <w:iCs/>
        </w:rPr>
        <w:t>Acts Interpretation Act 1901</w:t>
      </w:r>
      <w:r w:rsidRPr="00702356">
        <w:rPr>
          <w:rFonts w:ascii="Open Sans" w:hAnsi="Open Sans" w:cs="Open Sans"/>
        </w:rPr>
        <w:t>.</w:t>
      </w:r>
    </w:p>
    <w:bookmarkEnd w:id="0"/>
    <w:p w14:paraId="13B071E5" w14:textId="418A12D4" w:rsidR="00A51DF6" w:rsidRPr="00702356" w:rsidRDefault="00434844"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lastRenderedPageBreak/>
        <w:t xml:space="preserve">Can we make </w:t>
      </w:r>
      <w:r w:rsidR="00A51DF6" w:rsidRPr="00702356">
        <w:rPr>
          <w:rFonts w:ascii="Open Sans" w:eastAsiaTheme="minorHAnsi" w:hAnsi="Open Sans" w:cs="Open Sans"/>
          <w:b/>
          <w:bCs/>
          <w:color w:val="084D5E"/>
          <w:kern w:val="2"/>
          <w:sz w:val="24"/>
          <w:szCs w:val="24"/>
          <w:lang w:eastAsia="en-AU"/>
        </w:rPr>
        <w:t>an instrument before the Act commences</w:t>
      </w:r>
      <w:r w:rsidRPr="00702356">
        <w:rPr>
          <w:rFonts w:ascii="Open Sans" w:eastAsiaTheme="minorHAnsi" w:hAnsi="Open Sans" w:cs="Open Sans"/>
          <w:b/>
          <w:bCs/>
          <w:color w:val="084D5E"/>
          <w:kern w:val="2"/>
          <w:sz w:val="24"/>
          <w:szCs w:val="24"/>
          <w:lang w:eastAsia="en-AU"/>
        </w:rPr>
        <w:t>?</w:t>
      </w:r>
      <w:r w:rsidR="00A51DF6" w:rsidRPr="00702356">
        <w:rPr>
          <w:rFonts w:ascii="Open Sans" w:eastAsiaTheme="minorHAnsi" w:hAnsi="Open Sans" w:cs="Open Sans"/>
          <w:b/>
          <w:bCs/>
          <w:color w:val="084D5E"/>
          <w:kern w:val="2"/>
          <w:sz w:val="24"/>
          <w:szCs w:val="24"/>
          <w:lang w:eastAsia="en-AU"/>
        </w:rPr>
        <w:t xml:space="preserve"> </w:t>
      </w:r>
    </w:p>
    <w:p w14:paraId="730E0AFF" w14:textId="157E6FA8" w:rsidR="00A51DF6" w:rsidRPr="00702356" w:rsidRDefault="00A51DF6" w:rsidP="00A51DF6">
      <w:pPr>
        <w:pStyle w:val="BodyNum"/>
        <w:rPr>
          <w:rFonts w:ascii="Open Sans" w:hAnsi="Open Sans" w:cs="Open Sans"/>
        </w:rPr>
      </w:pPr>
      <w:r w:rsidRPr="00702356">
        <w:rPr>
          <w:rFonts w:ascii="Open Sans" w:hAnsi="Open Sans" w:cs="Open Sans"/>
        </w:rPr>
        <w:t>An instrument may be made under a</w:t>
      </w:r>
      <w:r w:rsidR="00CA2D41" w:rsidRPr="00702356">
        <w:rPr>
          <w:rFonts w:ascii="Open Sans" w:hAnsi="Open Sans" w:cs="Open Sans"/>
        </w:rPr>
        <w:t>n enabling</w:t>
      </w:r>
      <w:r w:rsidRPr="00702356">
        <w:rPr>
          <w:rFonts w:ascii="Open Sans" w:hAnsi="Open Sans" w:cs="Open Sans"/>
        </w:rPr>
        <w:t xml:space="preserve"> provision of an Act that has received Royal Assent but has not yet commenced (see section 4 of the </w:t>
      </w:r>
      <w:r w:rsidRPr="00702356">
        <w:rPr>
          <w:rFonts w:ascii="Open Sans" w:hAnsi="Open Sans" w:cs="Open Sans"/>
          <w:i/>
          <w:iCs/>
        </w:rPr>
        <w:t>Acts Interpretation Act 1901</w:t>
      </w:r>
      <w:r w:rsidRPr="00702356">
        <w:rPr>
          <w:rFonts w:ascii="Open Sans" w:hAnsi="Open Sans" w:cs="Open Sans"/>
        </w:rPr>
        <w:t xml:space="preserve">). However, the instrument cannot </w:t>
      </w:r>
      <w:r w:rsidRPr="00702356">
        <w:rPr>
          <w:rFonts w:ascii="Open Sans" w:hAnsi="Open Sans" w:cs="Open Sans"/>
          <w:i/>
          <w:iCs/>
        </w:rPr>
        <w:t>commence</w:t>
      </w:r>
      <w:r w:rsidRPr="00702356">
        <w:rPr>
          <w:rFonts w:ascii="Open Sans" w:hAnsi="Open Sans" w:cs="Open Sans"/>
        </w:rPr>
        <w:t xml:space="preserve"> before </w:t>
      </w:r>
      <w:r w:rsidR="00CA2D41" w:rsidRPr="00702356">
        <w:rPr>
          <w:rFonts w:ascii="Open Sans" w:hAnsi="Open Sans" w:cs="Open Sans"/>
        </w:rPr>
        <w:t xml:space="preserve">the enabling </w:t>
      </w:r>
      <w:r w:rsidRPr="00702356">
        <w:rPr>
          <w:rFonts w:ascii="Open Sans" w:hAnsi="Open Sans" w:cs="Open Sans"/>
        </w:rPr>
        <w:t>provision commences.</w:t>
      </w:r>
    </w:p>
    <w:p w14:paraId="385A9E40" w14:textId="4BEE7717" w:rsidR="0071353B" w:rsidRPr="00702356" w:rsidRDefault="0071353B"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Conditions on the exercise of instrument</w:t>
      </w:r>
      <w:r w:rsidR="007C49F7" w:rsidRPr="00702356">
        <w:rPr>
          <w:rFonts w:ascii="Open Sans" w:eastAsiaTheme="minorHAnsi" w:hAnsi="Open Sans" w:cs="Open Sans"/>
          <w:b/>
          <w:bCs/>
          <w:color w:val="084D5E"/>
          <w:kern w:val="2"/>
          <w:sz w:val="24"/>
          <w:szCs w:val="24"/>
          <w:lang w:eastAsia="en-AU"/>
        </w:rPr>
        <w:noBreakHyphen/>
      </w:r>
      <w:r w:rsidRPr="00702356">
        <w:rPr>
          <w:rFonts w:ascii="Open Sans" w:eastAsiaTheme="minorHAnsi" w:hAnsi="Open Sans" w:cs="Open Sans"/>
          <w:b/>
          <w:bCs/>
          <w:color w:val="084D5E"/>
          <w:kern w:val="2"/>
          <w:sz w:val="24"/>
          <w:szCs w:val="24"/>
          <w:lang w:eastAsia="en-AU"/>
        </w:rPr>
        <w:t xml:space="preserve">making power </w:t>
      </w:r>
    </w:p>
    <w:p w14:paraId="0775C5C9" w14:textId="03841B2D" w:rsidR="0071353B" w:rsidRPr="00702356" w:rsidRDefault="0071353B" w:rsidP="0071353B">
      <w:pPr>
        <w:pStyle w:val="BodyNum"/>
        <w:rPr>
          <w:rFonts w:ascii="Open Sans" w:hAnsi="Open Sans" w:cs="Open Sans"/>
        </w:rPr>
      </w:pPr>
      <w:r w:rsidRPr="00702356">
        <w:rPr>
          <w:rFonts w:ascii="Open Sans" w:hAnsi="Open Sans" w:cs="Open Sans"/>
        </w:rPr>
        <w:t>An enabling Act may specify certain conditions that must be met, or processes that must be followed, before a legislative instrument can be made. For example, an enabling Act might require a specified group of people to be consulted, or for a report to be obtained and considered, before a legislative instrument is made.</w:t>
      </w:r>
    </w:p>
    <w:p w14:paraId="3BEA579A" w14:textId="4E225492" w:rsidR="00A829F1" w:rsidRPr="00702356" w:rsidRDefault="0071353B" w:rsidP="0071353B">
      <w:pPr>
        <w:pStyle w:val="BodyNum"/>
        <w:rPr>
          <w:rFonts w:ascii="Open Sans" w:hAnsi="Open Sans" w:cs="Open Sans"/>
        </w:rPr>
      </w:pPr>
      <w:r w:rsidRPr="00702356">
        <w:rPr>
          <w:rFonts w:ascii="Open Sans" w:hAnsi="Open Sans" w:cs="Open Sans"/>
        </w:rPr>
        <w:t>It is important to comply with any such conditions</w:t>
      </w:r>
      <w:r w:rsidR="009A6F73" w:rsidRPr="00702356">
        <w:rPr>
          <w:rFonts w:ascii="Open Sans" w:hAnsi="Open Sans" w:cs="Open Sans"/>
        </w:rPr>
        <w:t>,</w:t>
      </w:r>
      <w:r w:rsidRPr="00702356">
        <w:rPr>
          <w:rFonts w:ascii="Open Sans" w:hAnsi="Open Sans" w:cs="Open Sans"/>
        </w:rPr>
        <w:t xml:space="preserve"> as a failure to comply with them may mean that the legislative instrument is made outside of the instrument</w:t>
      </w:r>
      <w:r w:rsidR="007C49F7" w:rsidRPr="00702356">
        <w:rPr>
          <w:rFonts w:ascii="Open Sans" w:hAnsi="Open Sans" w:cs="Open Sans"/>
        </w:rPr>
        <w:noBreakHyphen/>
      </w:r>
      <w:r w:rsidRPr="00702356">
        <w:rPr>
          <w:rFonts w:ascii="Open Sans" w:hAnsi="Open Sans" w:cs="Open Sans"/>
        </w:rPr>
        <w:t xml:space="preserve">making power and is unlawfully made. </w:t>
      </w:r>
    </w:p>
    <w:p w14:paraId="4C315CE7" w14:textId="6383BF76" w:rsidR="0071353B" w:rsidRPr="00702356" w:rsidRDefault="008A2B68" w:rsidP="0071353B">
      <w:pPr>
        <w:pStyle w:val="BodyNum"/>
        <w:rPr>
          <w:rFonts w:ascii="Open Sans" w:hAnsi="Open Sans" w:cs="Open Sans"/>
        </w:rPr>
      </w:pPr>
      <w:r w:rsidRPr="00702356">
        <w:rPr>
          <w:rFonts w:ascii="Open Sans" w:hAnsi="Open Sans" w:cs="Open Sans"/>
        </w:rPr>
        <w:t xml:space="preserve">This issue </w:t>
      </w:r>
      <w:r w:rsidR="006A740E" w:rsidRPr="00702356">
        <w:rPr>
          <w:rFonts w:ascii="Open Sans" w:hAnsi="Open Sans" w:cs="Open Sans"/>
        </w:rPr>
        <w:t xml:space="preserve">frequently arises </w:t>
      </w:r>
      <w:r w:rsidR="00705BE1" w:rsidRPr="00702356">
        <w:rPr>
          <w:rFonts w:ascii="Open Sans" w:hAnsi="Open Sans" w:cs="Open Sans"/>
        </w:rPr>
        <w:t xml:space="preserve">in cases </w:t>
      </w:r>
      <w:r w:rsidRPr="00702356">
        <w:rPr>
          <w:rFonts w:ascii="Open Sans" w:hAnsi="Open Sans" w:cs="Open Sans"/>
        </w:rPr>
        <w:t xml:space="preserve">where it is proposed to rely on the power in subsection 33(3) </w:t>
      </w:r>
      <w:r w:rsidR="006A740E" w:rsidRPr="00702356">
        <w:rPr>
          <w:rFonts w:ascii="Open Sans" w:hAnsi="Open Sans" w:cs="Open Sans"/>
        </w:rPr>
        <w:t xml:space="preserve">of the </w:t>
      </w:r>
      <w:r w:rsidR="006A740E" w:rsidRPr="00702356">
        <w:rPr>
          <w:rFonts w:ascii="Open Sans" w:hAnsi="Open Sans" w:cs="Open Sans"/>
          <w:i/>
          <w:iCs/>
        </w:rPr>
        <w:t>Acts Interpretation Act 1901</w:t>
      </w:r>
      <w:r w:rsidR="006A740E" w:rsidRPr="00702356">
        <w:rPr>
          <w:rFonts w:ascii="Open Sans" w:hAnsi="Open Sans" w:cs="Open Sans"/>
        </w:rPr>
        <w:t xml:space="preserve"> </w:t>
      </w:r>
      <w:r w:rsidR="00A829F1" w:rsidRPr="00702356">
        <w:rPr>
          <w:rFonts w:ascii="Open Sans" w:hAnsi="Open Sans" w:cs="Open Sans"/>
        </w:rPr>
        <w:t xml:space="preserve">to </w:t>
      </w:r>
      <w:r w:rsidR="00077E5C" w:rsidRPr="00702356">
        <w:rPr>
          <w:rFonts w:ascii="Open Sans" w:hAnsi="Open Sans" w:cs="Open Sans"/>
        </w:rPr>
        <w:t>amend or repeal an existing instrument</w:t>
      </w:r>
      <w:r w:rsidR="00705BE1" w:rsidRPr="00702356">
        <w:rPr>
          <w:rFonts w:ascii="Open Sans" w:hAnsi="Open Sans" w:cs="Open Sans"/>
        </w:rPr>
        <w:t>,</w:t>
      </w:r>
      <w:r w:rsidR="00077E5C" w:rsidRPr="00702356">
        <w:rPr>
          <w:rFonts w:ascii="Open Sans" w:hAnsi="Open Sans" w:cs="Open Sans"/>
        </w:rPr>
        <w:t xml:space="preserve"> and the enabling Act contains </w:t>
      </w:r>
      <w:r w:rsidR="003D2314" w:rsidRPr="00702356">
        <w:rPr>
          <w:rFonts w:ascii="Open Sans" w:hAnsi="Open Sans" w:cs="Open Sans"/>
        </w:rPr>
        <w:t xml:space="preserve">conditions </w:t>
      </w:r>
      <w:r w:rsidR="00077E5C" w:rsidRPr="00702356">
        <w:rPr>
          <w:rFonts w:ascii="Open Sans" w:hAnsi="Open Sans" w:cs="Open Sans"/>
        </w:rPr>
        <w:t xml:space="preserve">that must be satisfied before </w:t>
      </w:r>
      <w:r w:rsidR="00A829F1" w:rsidRPr="00702356">
        <w:rPr>
          <w:rFonts w:ascii="Open Sans" w:hAnsi="Open Sans" w:cs="Open Sans"/>
        </w:rPr>
        <w:t>exercis</w:t>
      </w:r>
      <w:r w:rsidR="00705BE1" w:rsidRPr="00702356">
        <w:rPr>
          <w:rFonts w:ascii="Open Sans" w:hAnsi="Open Sans" w:cs="Open Sans"/>
        </w:rPr>
        <w:t>ing</w:t>
      </w:r>
      <w:r w:rsidR="00A829F1" w:rsidRPr="00702356">
        <w:rPr>
          <w:rFonts w:ascii="Open Sans" w:hAnsi="Open Sans" w:cs="Open Sans"/>
        </w:rPr>
        <w:t xml:space="preserve"> the power to make an instrument. </w:t>
      </w:r>
      <w:r w:rsidR="003D2314" w:rsidRPr="00702356">
        <w:rPr>
          <w:rFonts w:ascii="Open Sans" w:hAnsi="Open Sans" w:cs="Open Sans"/>
        </w:rPr>
        <w:t xml:space="preserve">There can be difficult questions of whether </w:t>
      </w:r>
      <w:r w:rsidR="00705BE1" w:rsidRPr="00702356">
        <w:rPr>
          <w:rFonts w:ascii="Open Sans" w:hAnsi="Open Sans" w:cs="Open Sans"/>
        </w:rPr>
        <w:t>the conditions need to be satisfied</w:t>
      </w:r>
      <w:r w:rsidR="003849C6" w:rsidRPr="00702356">
        <w:rPr>
          <w:rFonts w:ascii="Open Sans" w:hAnsi="Open Sans" w:cs="Open Sans"/>
        </w:rPr>
        <w:t>,</w:t>
      </w:r>
      <w:r w:rsidR="00705BE1" w:rsidRPr="00702356">
        <w:rPr>
          <w:rFonts w:ascii="Open Sans" w:hAnsi="Open Sans" w:cs="Open Sans"/>
        </w:rPr>
        <w:t xml:space="preserve"> or can be satisfied</w:t>
      </w:r>
      <w:r w:rsidR="003849C6" w:rsidRPr="00702356">
        <w:rPr>
          <w:rFonts w:ascii="Open Sans" w:hAnsi="Open Sans" w:cs="Open Sans"/>
        </w:rPr>
        <w:t>,</w:t>
      </w:r>
      <w:r w:rsidR="00705BE1" w:rsidRPr="00702356">
        <w:rPr>
          <w:rFonts w:ascii="Open Sans" w:hAnsi="Open Sans" w:cs="Open Sans"/>
        </w:rPr>
        <w:t xml:space="preserve"> in the case of </w:t>
      </w:r>
      <w:r w:rsidR="00E31865" w:rsidRPr="00702356">
        <w:rPr>
          <w:rFonts w:ascii="Open Sans" w:hAnsi="Open Sans" w:cs="Open Sans"/>
        </w:rPr>
        <w:t xml:space="preserve">an </w:t>
      </w:r>
      <w:r w:rsidR="00705BE1" w:rsidRPr="00702356">
        <w:rPr>
          <w:rFonts w:ascii="Open Sans" w:hAnsi="Open Sans" w:cs="Open Sans"/>
        </w:rPr>
        <w:t>amending or repealing instrument. You may need to seek legal advice.</w:t>
      </w:r>
    </w:p>
    <w:p w14:paraId="0742FAA9" w14:textId="13AF97D1" w:rsidR="00072AC7" w:rsidRPr="00702356" w:rsidRDefault="0090235A"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 xml:space="preserve">Commencement or application of </w:t>
      </w:r>
      <w:r w:rsidR="00072AC7" w:rsidRPr="00702356">
        <w:rPr>
          <w:rFonts w:ascii="Open Sans" w:eastAsiaTheme="minorHAnsi" w:hAnsi="Open Sans" w:cs="Open Sans"/>
          <w:b/>
          <w:bCs/>
          <w:color w:val="084D5E"/>
          <w:kern w:val="2"/>
          <w:sz w:val="24"/>
          <w:szCs w:val="24"/>
          <w:lang w:eastAsia="en-AU"/>
        </w:rPr>
        <w:t>a</w:t>
      </w:r>
      <w:r w:rsidRPr="00702356">
        <w:rPr>
          <w:rFonts w:ascii="Open Sans" w:eastAsiaTheme="minorHAnsi" w:hAnsi="Open Sans" w:cs="Open Sans"/>
          <w:b/>
          <w:bCs/>
          <w:color w:val="084D5E"/>
          <w:kern w:val="2"/>
          <w:sz w:val="24"/>
          <w:szCs w:val="24"/>
          <w:lang w:eastAsia="en-AU"/>
        </w:rPr>
        <w:t>n</w:t>
      </w:r>
      <w:r w:rsidR="00072AC7" w:rsidRPr="00702356">
        <w:rPr>
          <w:rFonts w:ascii="Open Sans" w:eastAsiaTheme="minorHAnsi" w:hAnsi="Open Sans" w:cs="Open Sans"/>
          <w:b/>
          <w:bCs/>
          <w:color w:val="084D5E"/>
          <w:kern w:val="2"/>
          <w:sz w:val="24"/>
          <w:szCs w:val="24"/>
          <w:lang w:eastAsia="en-AU"/>
        </w:rPr>
        <w:t xml:space="preserve"> instrument before it is registered </w:t>
      </w:r>
    </w:p>
    <w:p w14:paraId="016F9BF5" w14:textId="1E19CB27" w:rsidR="003A38A7" w:rsidRPr="00702356" w:rsidRDefault="00072AC7" w:rsidP="00072AC7">
      <w:pPr>
        <w:pStyle w:val="BodyNum"/>
        <w:rPr>
          <w:rFonts w:ascii="Open Sans" w:hAnsi="Open Sans" w:cs="Open Sans"/>
        </w:rPr>
      </w:pPr>
      <w:r w:rsidRPr="00702356">
        <w:rPr>
          <w:rFonts w:ascii="Open Sans" w:hAnsi="Open Sans" w:cs="Open Sans"/>
        </w:rPr>
        <w:t>A provision of a legislative or notifiable instrument may commence</w:t>
      </w:r>
      <w:r w:rsidR="0090235A" w:rsidRPr="00702356">
        <w:rPr>
          <w:rFonts w:ascii="Open Sans" w:hAnsi="Open Sans" w:cs="Open Sans"/>
        </w:rPr>
        <w:t>,</w:t>
      </w:r>
      <w:r w:rsidRPr="00702356">
        <w:rPr>
          <w:rFonts w:ascii="Open Sans" w:hAnsi="Open Sans" w:cs="Open Sans"/>
        </w:rPr>
        <w:t xml:space="preserve"> or apply</w:t>
      </w:r>
      <w:r w:rsidR="0090235A" w:rsidRPr="00702356">
        <w:rPr>
          <w:rFonts w:ascii="Open Sans" w:hAnsi="Open Sans" w:cs="Open Sans"/>
        </w:rPr>
        <w:t xml:space="preserve">, </w:t>
      </w:r>
      <w:r w:rsidRPr="00702356">
        <w:rPr>
          <w:rFonts w:ascii="Open Sans" w:hAnsi="Open Sans" w:cs="Open Sans"/>
        </w:rPr>
        <w:t xml:space="preserve">before the day the instrument is registered under the </w:t>
      </w:r>
      <w:r w:rsidRPr="00702356">
        <w:rPr>
          <w:rFonts w:ascii="Open Sans" w:hAnsi="Open Sans" w:cs="Open Sans"/>
          <w:i/>
          <w:iCs/>
        </w:rPr>
        <w:t>Legislation Act 2003</w:t>
      </w:r>
      <w:r w:rsidRPr="00702356">
        <w:rPr>
          <w:rFonts w:ascii="Open Sans" w:hAnsi="Open Sans" w:cs="Open Sans"/>
        </w:rPr>
        <w:t>: see subsection 12(1A) of that Act.</w:t>
      </w:r>
    </w:p>
    <w:p w14:paraId="524CFCA5" w14:textId="09949015" w:rsidR="003A38A7" w:rsidRPr="00702356" w:rsidRDefault="00072AC7" w:rsidP="00072AC7">
      <w:pPr>
        <w:pStyle w:val="BodyNum"/>
        <w:rPr>
          <w:rFonts w:ascii="Open Sans" w:hAnsi="Open Sans" w:cs="Open Sans"/>
        </w:rPr>
      </w:pPr>
      <w:r w:rsidRPr="00702356">
        <w:rPr>
          <w:rFonts w:ascii="Open Sans" w:hAnsi="Open Sans" w:cs="Open Sans"/>
        </w:rPr>
        <w:t>However, such a provision does not apply in relation to a person (other than the Commonwealth or an authority of the Commonwealth) to the extent that</w:t>
      </w:r>
      <w:r w:rsidR="003A38A7" w:rsidRPr="00702356">
        <w:rPr>
          <w:rFonts w:ascii="Open Sans" w:hAnsi="Open Sans" w:cs="Open Sans"/>
        </w:rPr>
        <w:t>,</w:t>
      </w:r>
      <w:r w:rsidRPr="00702356">
        <w:rPr>
          <w:rFonts w:ascii="Open Sans" w:hAnsi="Open Sans" w:cs="Open Sans"/>
        </w:rPr>
        <w:t xml:space="preserve"> as a result of the provision commencing before the day of registration, the person’s rights as at that day would be adversely affected, or liabilities would be imposed on the person in respect of anything done or omitted to be done before that day: see subsection 12(2) of </w:t>
      </w:r>
      <w:r w:rsidR="00E31865" w:rsidRPr="00702356">
        <w:rPr>
          <w:rFonts w:ascii="Open Sans" w:hAnsi="Open Sans" w:cs="Open Sans"/>
        </w:rPr>
        <w:t xml:space="preserve">the </w:t>
      </w:r>
      <w:r w:rsidR="00E31865" w:rsidRPr="00702356">
        <w:rPr>
          <w:rFonts w:ascii="Open Sans" w:hAnsi="Open Sans" w:cs="Open Sans"/>
          <w:i/>
          <w:iCs/>
        </w:rPr>
        <w:t xml:space="preserve">Legislation </w:t>
      </w:r>
      <w:r w:rsidRPr="00702356">
        <w:rPr>
          <w:rFonts w:ascii="Open Sans" w:hAnsi="Open Sans" w:cs="Open Sans"/>
          <w:i/>
          <w:iCs/>
        </w:rPr>
        <w:t>Act</w:t>
      </w:r>
      <w:r w:rsidR="00E31865" w:rsidRPr="00702356">
        <w:rPr>
          <w:rFonts w:ascii="Open Sans" w:hAnsi="Open Sans" w:cs="Open Sans"/>
          <w:i/>
          <w:iCs/>
        </w:rPr>
        <w:t xml:space="preserve"> 2003</w:t>
      </w:r>
      <w:r w:rsidRPr="00702356">
        <w:rPr>
          <w:rFonts w:ascii="Open Sans" w:hAnsi="Open Sans" w:cs="Open Sans"/>
        </w:rPr>
        <w:t>.</w:t>
      </w:r>
    </w:p>
    <w:p w14:paraId="2F96E5FC" w14:textId="3C333622" w:rsidR="00072AC7" w:rsidRDefault="00072AC7" w:rsidP="00072AC7">
      <w:pPr>
        <w:pStyle w:val="BodyNum"/>
        <w:rPr>
          <w:rFonts w:ascii="Open Sans" w:hAnsi="Open Sans" w:cs="Open Sans"/>
        </w:rPr>
      </w:pPr>
      <w:r w:rsidRPr="00702356">
        <w:rPr>
          <w:rFonts w:ascii="Open Sans" w:hAnsi="Open Sans" w:cs="Open Sans"/>
        </w:rPr>
        <w:t xml:space="preserve">The rules in subsections 12(1A) and (2) may be overridden by the instrument’s enabling legislation, if the enabling legislation is an Act: see subsection 12(4) of </w:t>
      </w:r>
      <w:r w:rsidR="003A38A7" w:rsidRPr="00702356">
        <w:rPr>
          <w:rFonts w:ascii="Open Sans" w:hAnsi="Open Sans" w:cs="Open Sans"/>
        </w:rPr>
        <w:t xml:space="preserve">the </w:t>
      </w:r>
      <w:r w:rsidR="003A38A7" w:rsidRPr="00702356">
        <w:rPr>
          <w:rFonts w:ascii="Open Sans" w:hAnsi="Open Sans" w:cs="Open Sans"/>
          <w:i/>
          <w:iCs/>
        </w:rPr>
        <w:t xml:space="preserve">Legislation </w:t>
      </w:r>
      <w:r w:rsidRPr="00702356">
        <w:rPr>
          <w:rFonts w:ascii="Open Sans" w:hAnsi="Open Sans" w:cs="Open Sans"/>
          <w:i/>
          <w:iCs/>
        </w:rPr>
        <w:t>Act</w:t>
      </w:r>
      <w:r w:rsidR="00427185" w:rsidRPr="00702356">
        <w:rPr>
          <w:rFonts w:ascii="Open Sans" w:hAnsi="Open Sans" w:cs="Open Sans"/>
          <w:i/>
          <w:iCs/>
        </w:rPr>
        <w:t xml:space="preserve"> 2003</w:t>
      </w:r>
      <w:r w:rsidRPr="00702356">
        <w:rPr>
          <w:rFonts w:ascii="Open Sans" w:hAnsi="Open Sans" w:cs="Open Sans"/>
        </w:rPr>
        <w:t>.</w:t>
      </w:r>
    </w:p>
    <w:p w14:paraId="73C2E908" w14:textId="77777777" w:rsidR="00910CA7" w:rsidRPr="00702356" w:rsidRDefault="00910CA7" w:rsidP="00910CA7">
      <w:pPr>
        <w:pStyle w:val="BodyNum"/>
        <w:numPr>
          <w:ilvl w:val="0"/>
          <w:numId w:val="0"/>
        </w:numPr>
        <w:rPr>
          <w:rFonts w:ascii="Open Sans" w:hAnsi="Open Sans" w:cs="Open Sans"/>
        </w:rPr>
      </w:pPr>
    </w:p>
    <w:p w14:paraId="6B0B2A01" w14:textId="34DF24E6" w:rsidR="007950D8" w:rsidRPr="00702356" w:rsidRDefault="007950D8"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 xml:space="preserve">Matters that should </w:t>
      </w:r>
      <w:r w:rsidR="00C2578E" w:rsidRPr="00702356">
        <w:rPr>
          <w:rFonts w:ascii="Open Sans" w:eastAsiaTheme="minorHAnsi" w:hAnsi="Open Sans" w:cs="Open Sans"/>
          <w:b/>
          <w:bCs/>
          <w:color w:val="084D5E"/>
          <w:kern w:val="2"/>
          <w:sz w:val="24"/>
          <w:szCs w:val="24"/>
          <w:lang w:eastAsia="en-AU"/>
        </w:rPr>
        <w:t>be included in regulations</w:t>
      </w:r>
    </w:p>
    <w:p w14:paraId="21DB4407" w14:textId="77777777" w:rsidR="00C2578E" w:rsidRPr="00702356" w:rsidRDefault="00C2578E" w:rsidP="00C2578E">
      <w:pPr>
        <w:pStyle w:val="BodyNum"/>
        <w:rPr>
          <w:rFonts w:ascii="Open Sans" w:hAnsi="Open Sans" w:cs="Open Sans"/>
        </w:rPr>
      </w:pPr>
      <w:r w:rsidRPr="00702356">
        <w:rPr>
          <w:rFonts w:ascii="Open Sans" w:hAnsi="Open Sans" w:cs="Open Sans"/>
        </w:rPr>
        <w:t>The following kinds of provisions should generally be included in regulations (as opposed to another kind of legislative instrument, such as rules):</w:t>
      </w:r>
    </w:p>
    <w:p w14:paraId="7CBF609B" w14:textId="0C955165" w:rsidR="00C2578E" w:rsidRPr="00702356" w:rsidRDefault="00C2578E" w:rsidP="00C2578E">
      <w:pPr>
        <w:pStyle w:val="BodyParaBullet"/>
        <w:rPr>
          <w:rFonts w:ascii="Open Sans" w:hAnsi="Open Sans" w:cs="Open Sans"/>
        </w:rPr>
      </w:pPr>
      <w:r w:rsidRPr="00702356">
        <w:rPr>
          <w:rFonts w:ascii="Open Sans" w:hAnsi="Open Sans" w:cs="Open Sans"/>
        </w:rPr>
        <w:t>offence or civil penalty provisions;</w:t>
      </w:r>
    </w:p>
    <w:p w14:paraId="54EA25D3" w14:textId="41913044" w:rsidR="00C2578E" w:rsidRPr="00702356" w:rsidRDefault="00C2578E" w:rsidP="00C2578E">
      <w:pPr>
        <w:pStyle w:val="BodyParaBullet"/>
        <w:rPr>
          <w:rFonts w:ascii="Open Sans" w:hAnsi="Open Sans" w:cs="Open Sans"/>
        </w:rPr>
      </w:pPr>
      <w:r w:rsidRPr="00702356">
        <w:rPr>
          <w:rFonts w:ascii="Open Sans" w:hAnsi="Open Sans" w:cs="Open Sans"/>
        </w:rPr>
        <w:t>powers of arrest or detention;</w:t>
      </w:r>
    </w:p>
    <w:p w14:paraId="35B9F1E2" w14:textId="596FAB72" w:rsidR="00C2578E" w:rsidRPr="00702356" w:rsidRDefault="00C2578E" w:rsidP="00C2578E">
      <w:pPr>
        <w:pStyle w:val="BodyParaBullet"/>
        <w:rPr>
          <w:rFonts w:ascii="Open Sans" w:hAnsi="Open Sans" w:cs="Open Sans"/>
        </w:rPr>
      </w:pPr>
      <w:r w:rsidRPr="00702356">
        <w:rPr>
          <w:rFonts w:ascii="Open Sans" w:hAnsi="Open Sans" w:cs="Open Sans"/>
        </w:rPr>
        <w:t>entry, search or seizure provisions;</w:t>
      </w:r>
    </w:p>
    <w:p w14:paraId="398149F6" w14:textId="719E72A8" w:rsidR="00C2578E" w:rsidRPr="00702356" w:rsidRDefault="00C2578E" w:rsidP="00C2578E">
      <w:pPr>
        <w:pStyle w:val="BodyParaBullet"/>
        <w:rPr>
          <w:rFonts w:ascii="Open Sans" w:hAnsi="Open Sans" w:cs="Open Sans"/>
        </w:rPr>
      </w:pPr>
      <w:r w:rsidRPr="00702356">
        <w:rPr>
          <w:rFonts w:ascii="Open Sans" w:hAnsi="Open Sans" w:cs="Open Sans"/>
        </w:rPr>
        <w:t>impositions of taxes;</w:t>
      </w:r>
    </w:p>
    <w:p w14:paraId="643F2B23" w14:textId="7E538D8A" w:rsidR="00C2578E" w:rsidRPr="00702356" w:rsidRDefault="00C2578E" w:rsidP="00C2578E">
      <w:pPr>
        <w:pStyle w:val="BodyParaBullet"/>
        <w:rPr>
          <w:rFonts w:ascii="Open Sans" w:hAnsi="Open Sans" w:cs="Open Sans"/>
        </w:rPr>
      </w:pPr>
      <w:r w:rsidRPr="00702356">
        <w:rPr>
          <w:rFonts w:ascii="Open Sans" w:hAnsi="Open Sans" w:cs="Open Sans"/>
        </w:rPr>
        <w:t>provisions setting the amount to be appropriated</w:t>
      </w:r>
      <w:r w:rsidR="00427185" w:rsidRPr="00702356">
        <w:rPr>
          <w:rFonts w:ascii="Open Sans" w:hAnsi="Open Sans" w:cs="Open Sans"/>
        </w:rPr>
        <w:t>,</w:t>
      </w:r>
      <w:r w:rsidRPr="00702356">
        <w:rPr>
          <w:rFonts w:ascii="Open Sans" w:hAnsi="Open Sans" w:cs="Open Sans"/>
        </w:rPr>
        <w:t xml:space="preserve"> where the Act provides the appropriation and authority to set the amount;</w:t>
      </w:r>
    </w:p>
    <w:p w14:paraId="75BEDCB1" w14:textId="7CC39992" w:rsidR="00C2578E" w:rsidRPr="00702356" w:rsidRDefault="00C2578E" w:rsidP="00C2578E">
      <w:pPr>
        <w:pStyle w:val="BodyParaBullet"/>
        <w:rPr>
          <w:rFonts w:ascii="Open Sans" w:hAnsi="Open Sans" w:cs="Open Sans"/>
        </w:rPr>
      </w:pPr>
      <w:r w:rsidRPr="00702356">
        <w:rPr>
          <w:rFonts w:ascii="Open Sans" w:hAnsi="Open Sans" w:cs="Open Sans"/>
        </w:rPr>
        <w:t>direct amendments of the text of an Act.</w:t>
      </w:r>
    </w:p>
    <w:p w14:paraId="43131879" w14:textId="60A86D7C" w:rsidR="00C2578E" w:rsidRPr="00702356" w:rsidRDefault="00427185"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Significant matters in instruments</w:t>
      </w:r>
    </w:p>
    <w:p w14:paraId="644BBFB3" w14:textId="0AF822C2" w:rsidR="00AD476C" w:rsidRPr="00702356" w:rsidRDefault="00427185" w:rsidP="00AD476C">
      <w:pPr>
        <w:pStyle w:val="BodyNum"/>
        <w:rPr>
          <w:rFonts w:ascii="Open Sans" w:hAnsi="Open Sans" w:cs="Open Sans"/>
        </w:rPr>
      </w:pPr>
      <w:r w:rsidRPr="00702356">
        <w:rPr>
          <w:rFonts w:ascii="Open Sans" w:hAnsi="Open Sans" w:cs="Open Sans"/>
        </w:rPr>
        <w:t xml:space="preserve">Unless there is an express provision in the Act permitting a </w:t>
      </w:r>
      <w:r w:rsidR="00AD476C" w:rsidRPr="00702356">
        <w:rPr>
          <w:rFonts w:ascii="Open Sans" w:hAnsi="Open Sans" w:cs="Open Sans"/>
        </w:rPr>
        <w:t xml:space="preserve">legislative instrument to include </w:t>
      </w:r>
      <w:r w:rsidR="004169E3" w:rsidRPr="00702356">
        <w:rPr>
          <w:rFonts w:ascii="Open Sans" w:hAnsi="Open Sans" w:cs="Open Sans"/>
        </w:rPr>
        <w:t xml:space="preserve">a </w:t>
      </w:r>
      <w:r w:rsidR="00AD476C" w:rsidRPr="00702356">
        <w:rPr>
          <w:rFonts w:ascii="Open Sans" w:hAnsi="Open Sans" w:cs="Open Sans"/>
        </w:rPr>
        <w:t>provision</w:t>
      </w:r>
      <w:r w:rsidR="004169E3" w:rsidRPr="00702356">
        <w:rPr>
          <w:rFonts w:ascii="Open Sans" w:hAnsi="Open Sans" w:cs="Open Sans"/>
        </w:rPr>
        <w:t xml:space="preserve"> of the following kind</w:t>
      </w:r>
      <w:r w:rsidR="00AD476C" w:rsidRPr="00702356">
        <w:rPr>
          <w:rFonts w:ascii="Open Sans" w:hAnsi="Open Sans" w:cs="Open Sans"/>
        </w:rPr>
        <w:t xml:space="preserve">, </w:t>
      </w:r>
      <w:r w:rsidRPr="00702356">
        <w:rPr>
          <w:rFonts w:ascii="Open Sans" w:hAnsi="Open Sans" w:cs="Open Sans"/>
        </w:rPr>
        <w:t xml:space="preserve">you </w:t>
      </w:r>
      <w:r w:rsidR="00E464C5" w:rsidRPr="00702356">
        <w:rPr>
          <w:rFonts w:ascii="Open Sans" w:hAnsi="Open Sans" w:cs="Open Sans"/>
        </w:rPr>
        <w:t xml:space="preserve">should </w:t>
      </w:r>
      <w:r w:rsidRPr="00702356">
        <w:rPr>
          <w:rFonts w:ascii="Open Sans" w:hAnsi="Open Sans" w:cs="Open Sans"/>
        </w:rPr>
        <w:t xml:space="preserve">get legal advice before </w:t>
      </w:r>
      <w:r w:rsidR="004169E3" w:rsidRPr="00702356">
        <w:rPr>
          <w:rFonts w:ascii="Open Sans" w:hAnsi="Open Sans" w:cs="Open Sans"/>
        </w:rPr>
        <w:t>drafting, or instructing OPC to draft, an instrument that includes such a provision</w:t>
      </w:r>
      <w:r w:rsidRPr="00702356">
        <w:rPr>
          <w:rFonts w:ascii="Open Sans" w:hAnsi="Open Sans" w:cs="Open Sans"/>
        </w:rPr>
        <w:t>:</w:t>
      </w:r>
    </w:p>
    <w:p w14:paraId="15C35C56" w14:textId="08ADB802"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 xml:space="preserve">provision with retrospective </w:t>
      </w:r>
      <w:r w:rsidR="00BD75EB" w:rsidRPr="00702356">
        <w:rPr>
          <w:rFonts w:ascii="Open Sans" w:hAnsi="Open Sans" w:cs="Open Sans"/>
        </w:rPr>
        <w:t>commencement or application</w:t>
      </w:r>
      <w:r w:rsidR="00AD476C" w:rsidRPr="00702356">
        <w:rPr>
          <w:rFonts w:ascii="Open Sans" w:hAnsi="Open Sans" w:cs="Open Sans"/>
        </w:rPr>
        <w:t>;</w:t>
      </w:r>
    </w:p>
    <w:p w14:paraId="02B9FE4D" w14:textId="32F972A9"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provision imposing a penalty or civil liability;</w:t>
      </w:r>
    </w:p>
    <w:p w14:paraId="345D8626" w14:textId="16FA6259"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provision imposing a fee;</w:t>
      </w:r>
    </w:p>
    <w:p w14:paraId="02F01FCD" w14:textId="43685A93"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provision conferring jurisdiction on a court;</w:t>
      </w:r>
    </w:p>
    <w:p w14:paraId="5100A43C" w14:textId="338FD33B"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 xml:space="preserve">provision prohibiting conduct or an activity (as opposed to </w:t>
      </w:r>
      <w:r w:rsidRPr="00702356">
        <w:rPr>
          <w:rFonts w:ascii="Open Sans" w:hAnsi="Open Sans" w:cs="Open Sans"/>
        </w:rPr>
        <w:t xml:space="preserve">a </w:t>
      </w:r>
      <w:r w:rsidR="00AD476C" w:rsidRPr="00702356">
        <w:rPr>
          <w:rFonts w:ascii="Open Sans" w:hAnsi="Open Sans" w:cs="Open Sans"/>
        </w:rPr>
        <w:t>provision authorising regulation of conduct or an activity);</w:t>
      </w:r>
    </w:p>
    <w:p w14:paraId="36E2B114" w14:textId="7D799739"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 xml:space="preserve">provision interfering with fundamental common law rights (which covers things like the presumption of innocence, </w:t>
      </w:r>
      <w:r w:rsidR="005B05E6" w:rsidRPr="00702356">
        <w:rPr>
          <w:rFonts w:ascii="Open Sans" w:hAnsi="Open Sans" w:cs="Open Sans"/>
        </w:rPr>
        <w:t xml:space="preserve">the </w:t>
      </w:r>
      <w:r w:rsidR="00AD476C" w:rsidRPr="00702356">
        <w:rPr>
          <w:rFonts w:ascii="Open Sans" w:hAnsi="Open Sans" w:cs="Open Sans"/>
        </w:rPr>
        <w:t>privilege against self</w:t>
      </w:r>
      <w:r w:rsidR="007C49F7" w:rsidRPr="00702356">
        <w:rPr>
          <w:rFonts w:ascii="Open Sans" w:hAnsi="Open Sans" w:cs="Open Sans"/>
        </w:rPr>
        <w:noBreakHyphen/>
      </w:r>
      <w:r w:rsidR="00AD476C" w:rsidRPr="00702356">
        <w:rPr>
          <w:rFonts w:ascii="Open Sans" w:hAnsi="Open Sans" w:cs="Open Sans"/>
        </w:rPr>
        <w:t>incrimination, legal professional privilege, access to courts and procedural fairness);</w:t>
      </w:r>
    </w:p>
    <w:p w14:paraId="1D7F414F" w14:textId="4E6B09D8" w:rsidR="00AD476C" w:rsidRPr="00702356" w:rsidRDefault="004169E3" w:rsidP="00AD476C">
      <w:pPr>
        <w:pStyle w:val="BodyParaBullet"/>
        <w:rPr>
          <w:rFonts w:ascii="Open Sans" w:hAnsi="Open Sans" w:cs="Open Sans"/>
        </w:rPr>
      </w:pPr>
      <w:r w:rsidRPr="00702356">
        <w:rPr>
          <w:rFonts w:ascii="Open Sans" w:hAnsi="Open Sans" w:cs="Open Sans"/>
        </w:rPr>
        <w:t xml:space="preserve">a </w:t>
      </w:r>
      <w:r w:rsidR="00AD476C" w:rsidRPr="00702356">
        <w:rPr>
          <w:rFonts w:ascii="Open Sans" w:hAnsi="Open Sans" w:cs="Open Sans"/>
        </w:rPr>
        <w:t xml:space="preserve">provision that </w:t>
      </w:r>
      <w:r w:rsidR="008A35FD" w:rsidRPr="00702356">
        <w:rPr>
          <w:rFonts w:ascii="Open Sans" w:hAnsi="Open Sans" w:cs="Open Sans"/>
        </w:rPr>
        <w:t xml:space="preserve">directly </w:t>
      </w:r>
      <w:r w:rsidR="00AD476C" w:rsidRPr="00702356">
        <w:rPr>
          <w:rFonts w:ascii="Open Sans" w:hAnsi="Open Sans" w:cs="Open Sans"/>
        </w:rPr>
        <w:t>amend</w:t>
      </w:r>
      <w:r w:rsidRPr="00702356">
        <w:rPr>
          <w:rFonts w:ascii="Open Sans" w:hAnsi="Open Sans" w:cs="Open Sans"/>
        </w:rPr>
        <w:t>s</w:t>
      </w:r>
      <w:r w:rsidR="00AD476C" w:rsidRPr="00702356">
        <w:rPr>
          <w:rFonts w:ascii="Open Sans" w:hAnsi="Open Sans" w:cs="Open Sans"/>
        </w:rPr>
        <w:t xml:space="preserve">, or </w:t>
      </w:r>
      <w:r w:rsidRPr="00702356">
        <w:rPr>
          <w:rFonts w:ascii="Open Sans" w:hAnsi="Open Sans" w:cs="Open Sans"/>
        </w:rPr>
        <w:t xml:space="preserve">modifies </w:t>
      </w:r>
      <w:r w:rsidR="00AD476C" w:rsidRPr="00702356">
        <w:rPr>
          <w:rFonts w:ascii="Open Sans" w:hAnsi="Open Sans" w:cs="Open Sans"/>
        </w:rPr>
        <w:t>the operation of, the enabling Act (often called “Henry VIII clauses”).</w:t>
      </w:r>
    </w:p>
    <w:p w14:paraId="36CED432" w14:textId="315E6BC9" w:rsidR="00427185" w:rsidRPr="00702356" w:rsidRDefault="00427185" w:rsidP="00427185">
      <w:pPr>
        <w:pStyle w:val="BodyNum"/>
        <w:rPr>
          <w:rFonts w:ascii="Open Sans" w:hAnsi="Open Sans" w:cs="Open Sans"/>
        </w:rPr>
      </w:pPr>
      <w:r w:rsidRPr="00702356">
        <w:rPr>
          <w:rFonts w:ascii="Open Sans" w:hAnsi="Open Sans" w:cs="Open Sans"/>
        </w:rPr>
        <w:t>While it is possible that the text, context and purpose of an Act is such that it will be construed</w:t>
      </w:r>
      <w:r w:rsidR="00E464C5" w:rsidRPr="00702356">
        <w:rPr>
          <w:rFonts w:ascii="Open Sans" w:hAnsi="Open Sans" w:cs="Open Sans"/>
        </w:rPr>
        <w:t>, in particular circumstances,</w:t>
      </w:r>
      <w:r w:rsidRPr="00702356">
        <w:rPr>
          <w:rFonts w:ascii="Open Sans" w:hAnsi="Open Sans" w:cs="Open Sans"/>
        </w:rPr>
        <w:t xml:space="preserve"> as permit</w:t>
      </w:r>
      <w:r w:rsidR="00BD75EB" w:rsidRPr="00702356">
        <w:rPr>
          <w:rFonts w:ascii="Open Sans" w:hAnsi="Open Sans" w:cs="Open Sans"/>
        </w:rPr>
        <w:t>ting</w:t>
      </w:r>
      <w:r w:rsidRPr="00702356">
        <w:rPr>
          <w:rFonts w:ascii="Open Sans" w:hAnsi="Open Sans" w:cs="Open Sans"/>
        </w:rPr>
        <w:t xml:space="preserve"> an instrument to contain a provision doing one of the things above</w:t>
      </w:r>
      <w:r w:rsidR="00F74F19" w:rsidRPr="00702356">
        <w:rPr>
          <w:rFonts w:ascii="Open Sans" w:hAnsi="Open Sans" w:cs="Open Sans"/>
        </w:rPr>
        <w:t>,</w:t>
      </w:r>
      <w:r w:rsidRPr="00702356">
        <w:rPr>
          <w:rFonts w:ascii="Open Sans" w:hAnsi="Open Sans" w:cs="Open Sans"/>
        </w:rPr>
        <w:t xml:space="preserve"> despite the absence of an express power to do so, this is by no means certain.</w:t>
      </w:r>
    </w:p>
    <w:p w14:paraId="35F929A6" w14:textId="6092B71D" w:rsidR="00AD476C" w:rsidRPr="00702356" w:rsidRDefault="00AD476C"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Legislation Act exemptions and other matters</w:t>
      </w:r>
    </w:p>
    <w:p w14:paraId="576AD5A2" w14:textId="0F6E0003" w:rsidR="00AD476C" w:rsidRPr="00702356" w:rsidRDefault="00AD476C" w:rsidP="00AD476C">
      <w:pPr>
        <w:pStyle w:val="BodyNum"/>
        <w:rPr>
          <w:rFonts w:ascii="Open Sans" w:hAnsi="Open Sans" w:cs="Open Sans"/>
        </w:rPr>
      </w:pPr>
      <w:r w:rsidRPr="00702356">
        <w:rPr>
          <w:rFonts w:ascii="Open Sans" w:hAnsi="Open Sans" w:cs="Open Sans"/>
        </w:rPr>
        <w:t xml:space="preserve">Check whether the instrument is of a kind mentioned in the </w:t>
      </w:r>
      <w:r w:rsidRPr="00702356">
        <w:rPr>
          <w:rFonts w:ascii="Open Sans" w:hAnsi="Open Sans" w:cs="Open Sans"/>
          <w:i/>
          <w:iCs/>
        </w:rPr>
        <w:t>Legislation (Exemptions and Other Matters) Regulation 2015</w:t>
      </w:r>
      <w:r w:rsidRPr="00702356">
        <w:rPr>
          <w:rFonts w:ascii="Open Sans" w:hAnsi="Open Sans" w:cs="Open Sans"/>
        </w:rPr>
        <w:t>. These regulations may affect the following matters:</w:t>
      </w:r>
    </w:p>
    <w:p w14:paraId="59AC620C" w14:textId="14A2776A" w:rsidR="00AD476C" w:rsidRPr="00702356" w:rsidRDefault="00AD476C" w:rsidP="00AD476C">
      <w:pPr>
        <w:pStyle w:val="BodyParaBullet"/>
        <w:rPr>
          <w:rFonts w:ascii="Open Sans" w:hAnsi="Open Sans" w:cs="Open Sans"/>
        </w:rPr>
      </w:pPr>
      <w:r w:rsidRPr="00702356">
        <w:rPr>
          <w:rFonts w:ascii="Open Sans" w:hAnsi="Open Sans" w:cs="Open Sans"/>
        </w:rPr>
        <w:t>whether an instrument is, or is not, a legislative instrument or a notifiable instrument;</w:t>
      </w:r>
    </w:p>
    <w:p w14:paraId="5CFF2907" w14:textId="2647562A" w:rsidR="00AD476C" w:rsidRPr="00702356" w:rsidRDefault="00AD476C" w:rsidP="00AD476C">
      <w:pPr>
        <w:pStyle w:val="BodyParaBullet"/>
        <w:rPr>
          <w:rFonts w:ascii="Open Sans" w:hAnsi="Open Sans" w:cs="Open Sans"/>
        </w:rPr>
      </w:pPr>
      <w:r w:rsidRPr="00702356">
        <w:rPr>
          <w:rFonts w:ascii="Open Sans" w:hAnsi="Open Sans" w:cs="Open Sans"/>
        </w:rPr>
        <w:t>whether a legislative instrument is subject to disallowance;</w:t>
      </w:r>
    </w:p>
    <w:p w14:paraId="3B7A49FA" w14:textId="396F0294" w:rsidR="00AD476C" w:rsidRPr="00702356" w:rsidRDefault="00AD476C" w:rsidP="00AD476C">
      <w:pPr>
        <w:pStyle w:val="BodyParaBullet"/>
        <w:rPr>
          <w:rFonts w:ascii="Open Sans" w:hAnsi="Open Sans" w:cs="Open Sans"/>
        </w:rPr>
      </w:pPr>
      <w:r w:rsidRPr="00702356">
        <w:rPr>
          <w:rFonts w:ascii="Open Sans" w:hAnsi="Open Sans" w:cs="Open Sans"/>
        </w:rPr>
        <w:t>whether a legislative instrument is subject to sunsetting.</w:t>
      </w:r>
    </w:p>
    <w:p w14:paraId="110AE339" w14:textId="746EEB72" w:rsidR="0001620A" w:rsidRPr="00702356" w:rsidRDefault="0001620A"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Scrutiny of Delegated Legislation Committee</w:t>
      </w:r>
    </w:p>
    <w:p w14:paraId="67FBDA48" w14:textId="555E91E4" w:rsidR="0001620A" w:rsidRPr="00702356" w:rsidRDefault="0001620A" w:rsidP="0001620A">
      <w:pPr>
        <w:pStyle w:val="BodyNum"/>
        <w:rPr>
          <w:rFonts w:ascii="Open Sans" w:hAnsi="Open Sans" w:cs="Open Sans"/>
        </w:rPr>
      </w:pPr>
      <w:r w:rsidRPr="00702356">
        <w:rPr>
          <w:rFonts w:ascii="Open Sans" w:hAnsi="Open Sans" w:cs="Open Sans"/>
        </w:rPr>
        <w:t>Instructors should ensure that the explanatory statement for a legislative instrument contains information addressing the requirements for each scrutiny principle set out in the Guidelines published by the Senate Standing Committee for the Scrutiny of Delegated Legislation.</w:t>
      </w:r>
    </w:p>
    <w:p w14:paraId="4DA9679B" w14:textId="3327984F" w:rsidR="00CD63FF" w:rsidRPr="00702356" w:rsidRDefault="00CD63FF" w:rsidP="00A922FA">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 xml:space="preserve">Finalising and preparing ExCo instruments for making </w:t>
      </w:r>
    </w:p>
    <w:p w14:paraId="76F87A46" w14:textId="15DED3EA" w:rsidR="00CD63FF" w:rsidRPr="00702356" w:rsidRDefault="00CD63FF" w:rsidP="00CD63FF">
      <w:pPr>
        <w:pStyle w:val="BodyNum"/>
        <w:rPr>
          <w:rFonts w:ascii="Open Sans" w:hAnsi="Open Sans" w:cs="Open Sans"/>
        </w:rPr>
      </w:pPr>
      <w:r w:rsidRPr="00702356">
        <w:rPr>
          <w:rFonts w:ascii="Open Sans" w:hAnsi="Open Sans" w:cs="Open Sans"/>
        </w:rPr>
        <w:t>At the end of the drafting process for an instrument that is made or approved by the Governor</w:t>
      </w:r>
      <w:r w:rsidR="007C49F7" w:rsidRPr="00702356">
        <w:rPr>
          <w:rFonts w:ascii="Open Sans" w:hAnsi="Open Sans" w:cs="Open Sans"/>
        </w:rPr>
        <w:noBreakHyphen/>
      </w:r>
      <w:r w:rsidRPr="00702356">
        <w:rPr>
          <w:rFonts w:ascii="Open Sans" w:hAnsi="Open Sans" w:cs="Open Sans"/>
        </w:rPr>
        <w:t xml:space="preserve">General (an </w:t>
      </w:r>
      <w:r w:rsidRPr="00702356">
        <w:rPr>
          <w:rFonts w:ascii="Open Sans" w:hAnsi="Open Sans" w:cs="Open Sans"/>
          <w:b/>
          <w:bCs/>
          <w:i/>
          <w:iCs/>
        </w:rPr>
        <w:t>ExCo instrument</w:t>
      </w:r>
      <w:r w:rsidRPr="00702356">
        <w:rPr>
          <w:rFonts w:ascii="Open Sans" w:hAnsi="Open Sans" w:cs="Open Sans"/>
        </w:rPr>
        <w:t>), OPC will provide the instructing agency with a final version of the ExCo instrument in a form that is suitable for signature.</w:t>
      </w:r>
    </w:p>
    <w:p w14:paraId="3577CEE2" w14:textId="40E705C1" w:rsidR="00CD63FF" w:rsidRPr="00702356" w:rsidRDefault="00CD63FF" w:rsidP="00CD63FF">
      <w:pPr>
        <w:pStyle w:val="BodyNum"/>
        <w:rPr>
          <w:rFonts w:ascii="Open Sans" w:hAnsi="Open Sans" w:cs="Open Sans"/>
        </w:rPr>
      </w:pPr>
      <w:r w:rsidRPr="00702356">
        <w:rPr>
          <w:rFonts w:ascii="Open Sans" w:hAnsi="Open Sans" w:cs="Open Sans"/>
        </w:rPr>
        <w:t>The instructing agency is responsible for lodging the ExCo instrument, and various other documents, with the Executive Council Secretariat in the Department of the Prime Minister and Cabinet.</w:t>
      </w:r>
    </w:p>
    <w:p w14:paraId="2B645160" w14:textId="2FFB46D0" w:rsidR="00524E6C" w:rsidRPr="00702356" w:rsidRDefault="00524E6C" w:rsidP="00702356">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Disallowance</w:t>
      </w:r>
      <w:r w:rsidR="007C49F7" w:rsidRPr="00702356">
        <w:rPr>
          <w:rFonts w:ascii="Open Sans" w:eastAsiaTheme="minorHAnsi" w:hAnsi="Open Sans" w:cs="Open Sans"/>
          <w:b/>
          <w:bCs/>
          <w:color w:val="084D5E"/>
          <w:kern w:val="2"/>
          <w:sz w:val="24"/>
          <w:szCs w:val="24"/>
          <w:lang w:eastAsia="en-AU"/>
        </w:rPr>
        <w:noBreakHyphen/>
      </w:r>
      <w:r w:rsidRPr="00702356">
        <w:rPr>
          <w:rFonts w:ascii="Open Sans" w:eastAsiaTheme="minorHAnsi" w:hAnsi="Open Sans" w:cs="Open Sans"/>
          <w:b/>
          <w:bCs/>
          <w:color w:val="084D5E"/>
          <w:kern w:val="2"/>
          <w:sz w:val="24"/>
          <w:szCs w:val="24"/>
          <w:lang w:eastAsia="en-AU"/>
        </w:rPr>
        <w:t xml:space="preserve">related limits on remaking instruments </w:t>
      </w:r>
    </w:p>
    <w:p w14:paraId="3933315F" w14:textId="77777777" w:rsidR="0077772A" w:rsidRPr="00702356" w:rsidRDefault="00524E6C" w:rsidP="00524E6C">
      <w:pPr>
        <w:pStyle w:val="BodyNum"/>
        <w:rPr>
          <w:rFonts w:ascii="Open Sans" w:hAnsi="Open Sans" w:cs="Open Sans"/>
        </w:rPr>
      </w:pPr>
      <w:r w:rsidRPr="00702356">
        <w:rPr>
          <w:rFonts w:ascii="Open Sans" w:hAnsi="Open Sans" w:cs="Open Sans"/>
        </w:rPr>
        <w:t xml:space="preserve">The </w:t>
      </w:r>
      <w:r w:rsidRPr="00702356">
        <w:rPr>
          <w:rFonts w:ascii="Open Sans" w:hAnsi="Open Sans" w:cs="Open Sans"/>
          <w:i/>
          <w:iCs/>
        </w:rPr>
        <w:t xml:space="preserve">Legislation Act 2003 </w:t>
      </w:r>
      <w:r w:rsidRPr="00702356">
        <w:rPr>
          <w:rFonts w:ascii="Open Sans" w:hAnsi="Open Sans" w:cs="Open Sans"/>
        </w:rPr>
        <w:t xml:space="preserve">imposes some limits on the remaking, in a form that is the same in substance, of legislative instruments that are subject to disallowance, or that have been disallowed. </w:t>
      </w:r>
    </w:p>
    <w:p w14:paraId="305D3307" w14:textId="40D5D38B" w:rsidR="00E226FE" w:rsidRPr="00702356" w:rsidRDefault="00524E6C" w:rsidP="00524E6C">
      <w:pPr>
        <w:pStyle w:val="BodyNum"/>
        <w:rPr>
          <w:rFonts w:ascii="Open Sans" w:hAnsi="Open Sans" w:cs="Open Sans"/>
        </w:rPr>
      </w:pPr>
      <w:r w:rsidRPr="00702356">
        <w:rPr>
          <w:rFonts w:ascii="Open Sans" w:hAnsi="Open Sans" w:cs="Open Sans"/>
        </w:rPr>
        <w:t>An instrument generally cannot be remade</w:t>
      </w:r>
      <w:r w:rsidR="00E226FE" w:rsidRPr="00702356">
        <w:rPr>
          <w:rFonts w:ascii="Open Sans" w:hAnsi="Open Sans" w:cs="Open Sans"/>
        </w:rPr>
        <w:t>:</w:t>
      </w:r>
    </w:p>
    <w:p w14:paraId="5C26B015" w14:textId="77777777" w:rsidR="00E226FE" w:rsidRPr="00702356" w:rsidRDefault="00524E6C" w:rsidP="00E226FE">
      <w:pPr>
        <w:pStyle w:val="BodyPara"/>
        <w:rPr>
          <w:rFonts w:ascii="Open Sans" w:hAnsi="Open Sans" w:cs="Open Sans"/>
        </w:rPr>
      </w:pPr>
      <w:r w:rsidRPr="00702356">
        <w:rPr>
          <w:rFonts w:ascii="Open Sans" w:hAnsi="Open Sans" w:cs="Open Sans"/>
        </w:rPr>
        <w:t>pending tabling or for a period after tabling (see section 46)</w:t>
      </w:r>
      <w:r w:rsidR="00E226FE" w:rsidRPr="00702356">
        <w:rPr>
          <w:rFonts w:ascii="Open Sans" w:hAnsi="Open Sans" w:cs="Open Sans"/>
        </w:rPr>
        <w:t>; or</w:t>
      </w:r>
    </w:p>
    <w:p w14:paraId="2298DF5A" w14:textId="77777777" w:rsidR="00E226FE" w:rsidRPr="00702356" w:rsidRDefault="00E226FE" w:rsidP="00E226FE">
      <w:pPr>
        <w:pStyle w:val="BodyPara"/>
        <w:rPr>
          <w:rFonts w:ascii="Open Sans" w:hAnsi="Open Sans" w:cs="Open Sans"/>
        </w:rPr>
      </w:pPr>
      <w:r w:rsidRPr="00702356">
        <w:rPr>
          <w:rFonts w:ascii="Open Sans" w:hAnsi="Open Sans" w:cs="Open Sans"/>
        </w:rPr>
        <w:t>w</w:t>
      </w:r>
      <w:r w:rsidR="00524E6C" w:rsidRPr="00702356">
        <w:rPr>
          <w:rFonts w:ascii="Open Sans" w:hAnsi="Open Sans" w:cs="Open Sans"/>
        </w:rPr>
        <w:t>hile open to disallowance (see section 47)</w:t>
      </w:r>
      <w:r w:rsidRPr="00702356">
        <w:rPr>
          <w:rFonts w:ascii="Open Sans" w:hAnsi="Open Sans" w:cs="Open Sans"/>
        </w:rPr>
        <w:t>;</w:t>
      </w:r>
      <w:r w:rsidR="00524E6C" w:rsidRPr="00702356">
        <w:rPr>
          <w:rFonts w:ascii="Open Sans" w:hAnsi="Open Sans" w:cs="Open Sans"/>
        </w:rPr>
        <w:t xml:space="preserve"> or</w:t>
      </w:r>
    </w:p>
    <w:p w14:paraId="36821E3D" w14:textId="53E9EAE6" w:rsidR="00910CA7" w:rsidRPr="00910CA7" w:rsidRDefault="00524E6C" w:rsidP="00910CA7">
      <w:pPr>
        <w:pStyle w:val="BodyPara"/>
        <w:rPr>
          <w:rFonts w:ascii="Open Sans" w:hAnsi="Open Sans" w:cs="Open Sans"/>
        </w:rPr>
      </w:pPr>
      <w:r w:rsidRPr="00702356">
        <w:rPr>
          <w:rFonts w:ascii="Open Sans" w:hAnsi="Open Sans" w:cs="Open Sans"/>
        </w:rPr>
        <w:t>if the instrument is disallowed</w:t>
      </w:r>
      <w:r w:rsidR="00E226FE" w:rsidRPr="00702356">
        <w:rPr>
          <w:rFonts w:ascii="Open Sans" w:hAnsi="Open Sans" w:cs="Open Sans"/>
        </w:rPr>
        <w:t>—</w:t>
      </w:r>
      <w:r w:rsidRPr="00702356">
        <w:rPr>
          <w:rFonts w:ascii="Open Sans" w:hAnsi="Open Sans" w:cs="Open Sans"/>
        </w:rPr>
        <w:t xml:space="preserve">for 6 months after disallowance (see section 48). </w:t>
      </w:r>
    </w:p>
    <w:p w14:paraId="7E9A674F" w14:textId="393192CC" w:rsidR="008D7566" w:rsidRPr="00702356" w:rsidRDefault="008D7566" w:rsidP="00702356">
      <w:pPr>
        <w:pStyle w:val="Heading2"/>
        <w:keepNext w:val="0"/>
        <w:keepLines w:val="0"/>
        <w:spacing w:before="120" w:after="120" w:line="240" w:lineRule="auto"/>
        <w:rPr>
          <w:rFonts w:ascii="Open Sans" w:eastAsiaTheme="minorHAnsi" w:hAnsi="Open Sans" w:cs="Open Sans"/>
          <w:b/>
          <w:bCs/>
          <w:color w:val="084D5E"/>
          <w:kern w:val="2"/>
          <w:sz w:val="24"/>
          <w:szCs w:val="24"/>
          <w:lang w:eastAsia="en-AU"/>
        </w:rPr>
      </w:pPr>
      <w:r w:rsidRPr="00702356">
        <w:rPr>
          <w:rFonts w:ascii="Open Sans" w:eastAsiaTheme="minorHAnsi" w:hAnsi="Open Sans" w:cs="Open Sans"/>
          <w:b/>
          <w:bCs/>
          <w:color w:val="084D5E"/>
          <w:kern w:val="2"/>
          <w:sz w:val="24"/>
          <w:szCs w:val="24"/>
          <w:lang w:eastAsia="en-AU"/>
        </w:rPr>
        <w:t>More information</w:t>
      </w:r>
    </w:p>
    <w:p w14:paraId="76D1A9BB" w14:textId="3385FD5D" w:rsidR="008D7566" w:rsidRPr="00702356" w:rsidRDefault="007A0804" w:rsidP="008D7566">
      <w:pPr>
        <w:pStyle w:val="BodyParaBullet"/>
        <w:rPr>
          <w:rFonts w:ascii="Open Sans" w:hAnsi="Open Sans" w:cs="Open Sans"/>
        </w:rPr>
      </w:pPr>
      <w:r w:rsidRPr="00702356">
        <w:rPr>
          <w:rFonts w:ascii="Open Sans" w:hAnsi="Open Sans" w:cs="Open Sans"/>
        </w:rPr>
        <w:t xml:space="preserve">OPC </w:t>
      </w:r>
      <w:r w:rsidR="008D7566" w:rsidRPr="00702356">
        <w:rPr>
          <w:rFonts w:ascii="Open Sans" w:hAnsi="Open Sans" w:cs="Open Sans"/>
        </w:rPr>
        <w:t>Instruments Handbook</w:t>
      </w:r>
    </w:p>
    <w:p w14:paraId="661D73AB" w14:textId="3655BAF1" w:rsidR="008D7566" w:rsidRPr="00702356" w:rsidRDefault="007A0804" w:rsidP="008D7566">
      <w:pPr>
        <w:pStyle w:val="BodyParaBullet"/>
        <w:rPr>
          <w:rFonts w:ascii="Open Sans" w:hAnsi="Open Sans" w:cs="Open Sans"/>
        </w:rPr>
      </w:pPr>
      <w:r w:rsidRPr="00702356">
        <w:rPr>
          <w:rFonts w:ascii="Open Sans" w:hAnsi="Open Sans" w:cs="Open Sans"/>
        </w:rPr>
        <w:t xml:space="preserve">OPC </w:t>
      </w:r>
      <w:r w:rsidR="008D7566" w:rsidRPr="00702356">
        <w:rPr>
          <w:rFonts w:ascii="Open Sans" w:hAnsi="Open Sans" w:cs="Open Sans"/>
        </w:rPr>
        <w:t>Instrument Drafting Guidance Notes</w:t>
      </w:r>
    </w:p>
    <w:p w14:paraId="0A70AB3F" w14:textId="11F18772" w:rsidR="008D7566" w:rsidRPr="00702356" w:rsidRDefault="007A0804" w:rsidP="008D7566">
      <w:pPr>
        <w:pStyle w:val="BodyParaBullet"/>
        <w:rPr>
          <w:rFonts w:ascii="Open Sans" w:hAnsi="Open Sans" w:cs="Open Sans"/>
        </w:rPr>
      </w:pPr>
      <w:r w:rsidRPr="00702356">
        <w:rPr>
          <w:rFonts w:ascii="Open Sans" w:hAnsi="Open Sans" w:cs="Open Sans"/>
        </w:rPr>
        <w:t xml:space="preserve">OPC </w:t>
      </w:r>
      <w:r w:rsidR="008D7566" w:rsidRPr="00702356">
        <w:rPr>
          <w:rFonts w:ascii="Open Sans" w:hAnsi="Open Sans" w:cs="Open Sans"/>
        </w:rPr>
        <w:t>Instrument Fact Sheet Series</w:t>
      </w:r>
    </w:p>
    <w:p w14:paraId="3D8EBD4D" w14:textId="79E5D65C" w:rsidR="00E31865" w:rsidRPr="00702356" w:rsidRDefault="00E31865" w:rsidP="008D7566">
      <w:pPr>
        <w:pStyle w:val="BodyParaBullet"/>
        <w:rPr>
          <w:rFonts w:ascii="Open Sans" w:hAnsi="Open Sans" w:cs="Open Sans"/>
        </w:rPr>
      </w:pPr>
      <w:r w:rsidRPr="003B3379">
        <w:rPr>
          <w:rFonts w:ascii="Open Sans" w:hAnsi="Open Sans" w:cs="Open Sans"/>
          <w:i/>
          <w:iCs/>
        </w:rPr>
        <w:t>Drafting Direction 3.8</w:t>
      </w:r>
      <w:r w:rsidR="002B6433">
        <w:rPr>
          <w:rFonts w:ascii="Open Sans" w:hAnsi="Open Sans" w:cs="Open Sans"/>
          <w:i/>
          <w:iCs/>
        </w:rPr>
        <w:t>—</w:t>
      </w:r>
      <w:r w:rsidRPr="003B3379">
        <w:rPr>
          <w:rFonts w:ascii="Open Sans" w:hAnsi="Open Sans" w:cs="Open Sans"/>
          <w:i/>
          <w:iCs/>
        </w:rPr>
        <w:t>Subordinate legislation</w:t>
      </w:r>
    </w:p>
    <w:p w14:paraId="322AE3A5" w14:textId="015D7F3D" w:rsidR="00322F5E" w:rsidRDefault="00527E44" w:rsidP="00702356">
      <w:pPr>
        <w:pStyle w:val="BodyParaBullet"/>
        <w:rPr>
          <w:rFonts w:ascii="Open Sans" w:hAnsi="Open Sans" w:cs="Open Sans"/>
        </w:rPr>
      </w:pPr>
      <w:r w:rsidRPr="00702356">
        <w:rPr>
          <w:rFonts w:ascii="Open Sans" w:hAnsi="Open Sans" w:cs="Open Sans"/>
        </w:rPr>
        <w:t>Guidelines of the Senate Standing Committee for the Scrutiny of Delegation Legislation</w:t>
      </w:r>
    </w:p>
    <w:p w14:paraId="63577454" w14:textId="77777777" w:rsidR="00910CA7" w:rsidRDefault="00910CA7" w:rsidP="00910CA7">
      <w:pPr>
        <w:pStyle w:val="BodyParaBullet"/>
        <w:numPr>
          <w:ilvl w:val="0"/>
          <w:numId w:val="0"/>
        </w:numPr>
        <w:ind w:left="1440"/>
        <w:rPr>
          <w:rFonts w:ascii="Open Sans" w:hAnsi="Open Sans" w:cs="Open Sans"/>
        </w:rPr>
      </w:pPr>
    </w:p>
    <w:tbl>
      <w:tblPr>
        <w:tblStyle w:val="TableGrid"/>
        <w:tblW w:w="0" w:type="auto"/>
        <w:tblLook w:val="04A0" w:firstRow="1" w:lastRow="0" w:firstColumn="1" w:lastColumn="0" w:noHBand="0" w:noVBand="1"/>
      </w:tblPr>
      <w:tblGrid>
        <w:gridCol w:w="9016"/>
      </w:tblGrid>
      <w:tr w:rsidR="00910CA7" w:rsidRPr="00F951F6" w14:paraId="2F303942" w14:textId="77777777" w:rsidTr="00F01C1E">
        <w:tc>
          <w:tcPr>
            <w:tcW w:w="9016" w:type="dxa"/>
            <w:tcBorders>
              <w:top w:val="nil"/>
              <w:left w:val="nil"/>
              <w:bottom w:val="nil"/>
              <w:right w:val="nil"/>
            </w:tcBorders>
            <w:shd w:val="clear" w:color="auto" w:fill="A9D9DB"/>
          </w:tcPr>
          <w:p w14:paraId="1F703865" w14:textId="77777777" w:rsidR="00910CA7" w:rsidRPr="00910CA7" w:rsidRDefault="00910CA7" w:rsidP="00F01C1E">
            <w:pPr>
              <w:spacing w:before="120" w:after="120"/>
              <w:rPr>
                <w:rFonts w:ascii="Open Sans" w:hAnsi="Open Sans" w:cs="Open Sans"/>
                <w:szCs w:val="22"/>
              </w:rPr>
            </w:pPr>
            <w:bookmarkStart w:id="1" w:name="_Hlk202188723"/>
            <w:r w:rsidRPr="00910CA7">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6A1354EB" w14:textId="77777777" w:rsidR="00910CA7" w:rsidRPr="00702356" w:rsidRDefault="00910CA7" w:rsidP="00910CA7">
      <w:pPr>
        <w:pStyle w:val="BodyNum"/>
        <w:numPr>
          <w:ilvl w:val="0"/>
          <w:numId w:val="0"/>
        </w:numPr>
      </w:pPr>
    </w:p>
    <w:sectPr w:rsidR="00910CA7" w:rsidRPr="00702356" w:rsidSect="0068629F">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AFE2" w14:textId="77777777" w:rsidR="00FB5519" w:rsidRDefault="00FB5519" w:rsidP="008E17F3">
      <w:pPr>
        <w:spacing w:line="240" w:lineRule="auto"/>
      </w:pPr>
      <w:r>
        <w:separator/>
      </w:r>
    </w:p>
  </w:endnote>
  <w:endnote w:type="continuationSeparator" w:id="0">
    <w:p w14:paraId="1AD6A2BE" w14:textId="77777777" w:rsidR="00FB5519" w:rsidRDefault="00FB551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BE29C5FD-FF3E-4F8E-B45E-7C6ABD9BC134}"/>
    <w:embedBold r:id="rId2" w:fontKey="{F79360D0-5D04-430B-8BD4-C5FF9DB93F4E}"/>
    <w:embedItalic r:id="rId3" w:fontKey="{3258CC91-9E6D-4B0E-990C-0399BFE2C354}"/>
    <w:embedBoldItalic r:id="rId4" w:fontKey="{27CF43E3-8FD4-4B3C-ABDF-CB9143498A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5" w:subsetted="1" w:fontKey="{DEB3879C-6832-40A7-9BD1-EAFBBA0B2FF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2D31" w14:textId="566E8E2C"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265BDB">
      <w:rPr>
        <w:rStyle w:val="PageNumber"/>
        <w:noProof/>
      </w:rPr>
      <w:t>4</w:t>
    </w:r>
    <w:r>
      <w:rPr>
        <w:rStyle w:val="PageNumber"/>
      </w:rPr>
      <w:fldChar w:fldCharType="end"/>
    </w:r>
  </w:p>
  <w:p w14:paraId="5567A17E"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50939587"/>
      <w:docPartObj>
        <w:docPartGallery w:val="Page Numbers (Bottom of Page)"/>
        <w:docPartUnique/>
      </w:docPartObj>
    </w:sdtPr>
    <w:sdtEndPr>
      <w:rPr>
        <w:rFonts w:ascii="Open Sans" w:hAnsi="Open Sans" w:cs="Open Sans"/>
      </w:rPr>
    </w:sdtEndPr>
    <w:sdtContent>
      <w:p w14:paraId="5BBBA44A" w14:textId="13628E34" w:rsidR="008E17F3" w:rsidRPr="00EC6A5D" w:rsidRDefault="00EC6A5D" w:rsidP="00EC6A5D">
        <w:pPr>
          <w:pStyle w:val="Footer"/>
          <w:ind w:hanging="709"/>
          <w:jc w:val="right"/>
          <w:rPr>
            <w:rFonts w:ascii="Open Sans" w:hAnsi="Open Sans" w:cs="Open Sans"/>
            <w:sz w:val="20"/>
            <w:szCs w:val="20"/>
          </w:rPr>
        </w:pPr>
        <w:r w:rsidRPr="00EC6A5D">
          <w:rPr>
            <w:rFonts w:ascii="Open Sans" w:hAnsi="Open Sans" w:cs="Open Sans"/>
            <w:sz w:val="20"/>
            <w:szCs w:val="20"/>
          </w:rPr>
          <w:t>[S25EP106.docx]</w:t>
        </w:r>
        <w:r w:rsidRPr="00EC6A5D">
          <w:rPr>
            <w:rFonts w:ascii="Open Sans" w:hAnsi="Open Sans" w:cs="Open Sans"/>
            <w:sz w:val="20"/>
            <w:szCs w:val="20"/>
          </w:rPr>
          <w:tab/>
        </w:r>
        <w:r w:rsidRPr="00EC6A5D">
          <w:rPr>
            <w:rFonts w:ascii="Open Sans" w:hAnsi="Open Sans" w:cs="Open Sans"/>
            <w:sz w:val="20"/>
            <w:szCs w:val="20"/>
          </w:rPr>
          <w:tab/>
          <w:t xml:space="preserve">Last updated: </w:t>
        </w:r>
        <w:r w:rsidR="00035385">
          <w:rPr>
            <w:rFonts w:ascii="Open Sans" w:hAnsi="Open Sans" w:cs="Open Sans"/>
            <w:sz w:val="20"/>
            <w:szCs w:val="20"/>
          </w:rPr>
          <w:t>10</w:t>
        </w:r>
        <w:r w:rsidRPr="00EC6A5D">
          <w:rPr>
            <w:rFonts w:ascii="Open Sans" w:hAnsi="Open Sans" w:cs="Open Sans"/>
            <w:sz w:val="20"/>
            <w:szCs w:val="20"/>
          </w:rPr>
          <w:t xml:space="preserve"> October 2025                                                                                                                                      Page | </w:t>
        </w:r>
        <w:r w:rsidRPr="00EC6A5D">
          <w:rPr>
            <w:rFonts w:ascii="Open Sans" w:hAnsi="Open Sans" w:cs="Open Sans"/>
            <w:sz w:val="20"/>
            <w:szCs w:val="20"/>
          </w:rPr>
          <w:fldChar w:fldCharType="begin"/>
        </w:r>
        <w:r w:rsidRPr="00EC6A5D">
          <w:rPr>
            <w:rFonts w:ascii="Open Sans" w:hAnsi="Open Sans" w:cs="Open Sans"/>
            <w:sz w:val="20"/>
            <w:szCs w:val="20"/>
          </w:rPr>
          <w:instrText xml:space="preserve"> PAGE   \* MERGEFORMAT </w:instrText>
        </w:r>
        <w:r w:rsidRPr="00EC6A5D">
          <w:rPr>
            <w:rFonts w:ascii="Open Sans" w:hAnsi="Open Sans" w:cs="Open Sans"/>
            <w:sz w:val="20"/>
            <w:szCs w:val="20"/>
          </w:rPr>
          <w:fldChar w:fldCharType="separate"/>
        </w:r>
        <w:r w:rsidRPr="00EC6A5D">
          <w:rPr>
            <w:rFonts w:ascii="Open Sans" w:hAnsi="Open Sans" w:cs="Open Sans"/>
            <w:sz w:val="20"/>
            <w:szCs w:val="20"/>
          </w:rPr>
          <w:t>1</w:t>
        </w:r>
        <w:r w:rsidRPr="00EC6A5D">
          <w:rPr>
            <w:rFonts w:ascii="Open Sans" w:hAnsi="Open Sans" w:cs="Open Sans"/>
            <w:sz w:val="20"/>
            <w:szCs w:val="20"/>
          </w:rPr>
          <w:fldChar w:fldCharType="end"/>
        </w:r>
        <w:r w:rsidRPr="00EC6A5D">
          <w:rPr>
            <w:rFonts w:ascii="Open Sans" w:hAnsi="Open Sans" w:cs="Open San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7145618"/>
      <w:docPartObj>
        <w:docPartGallery w:val="Page Numbers (Bottom of Page)"/>
        <w:docPartUnique/>
      </w:docPartObj>
    </w:sdtPr>
    <w:sdtEndPr>
      <w:rPr>
        <w:rFonts w:ascii="Open Sans" w:hAnsi="Open Sans" w:cs="Open Sans"/>
      </w:rPr>
    </w:sdtEndPr>
    <w:sdtContent>
      <w:p w14:paraId="62445696" w14:textId="78D98938" w:rsidR="00EC6A5D" w:rsidRPr="00EC6A5D" w:rsidRDefault="00EC6A5D" w:rsidP="00EC6A5D">
        <w:pPr>
          <w:pStyle w:val="Footer"/>
          <w:ind w:hanging="709"/>
          <w:jc w:val="right"/>
          <w:rPr>
            <w:rFonts w:ascii="Open Sans" w:hAnsi="Open Sans" w:cs="Open Sans"/>
            <w:sz w:val="20"/>
            <w:szCs w:val="20"/>
          </w:rPr>
        </w:pPr>
        <w:r w:rsidRPr="00EC6A5D">
          <w:rPr>
            <w:rFonts w:ascii="Open Sans" w:hAnsi="Open Sans" w:cs="Open Sans"/>
            <w:sz w:val="20"/>
            <w:szCs w:val="20"/>
          </w:rPr>
          <w:t>[S25EP106.docx]</w:t>
        </w:r>
        <w:r w:rsidRPr="00EC6A5D">
          <w:rPr>
            <w:rFonts w:ascii="Open Sans" w:hAnsi="Open Sans" w:cs="Open Sans"/>
            <w:sz w:val="20"/>
            <w:szCs w:val="20"/>
          </w:rPr>
          <w:tab/>
        </w:r>
        <w:r w:rsidRPr="00EC6A5D">
          <w:rPr>
            <w:rFonts w:ascii="Open Sans" w:hAnsi="Open Sans" w:cs="Open Sans"/>
            <w:sz w:val="20"/>
            <w:szCs w:val="20"/>
          </w:rPr>
          <w:tab/>
          <w:t xml:space="preserve">Last updated: </w:t>
        </w:r>
        <w:r w:rsidR="005F5C3D">
          <w:rPr>
            <w:rFonts w:ascii="Open Sans" w:hAnsi="Open Sans" w:cs="Open Sans"/>
            <w:sz w:val="20"/>
            <w:szCs w:val="20"/>
          </w:rPr>
          <w:t>10</w:t>
        </w:r>
        <w:r w:rsidRPr="00EC6A5D">
          <w:rPr>
            <w:rFonts w:ascii="Open Sans" w:hAnsi="Open Sans" w:cs="Open Sans"/>
            <w:sz w:val="20"/>
            <w:szCs w:val="20"/>
          </w:rPr>
          <w:t xml:space="preserve"> October 2025                                                                                                                                      Page | </w:t>
        </w:r>
        <w:r w:rsidRPr="00EC6A5D">
          <w:rPr>
            <w:rFonts w:ascii="Open Sans" w:hAnsi="Open Sans" w:cs="Open Sans"/>
            <w:sz w:val="20"/>
            <w:szCs w:val="20"/>
          </w:rPr>
          <w:fldChar w:fldCharType="begin"/>
        </w:r>
        <w:r w:rsidRPr="00EC6A5D">
          <w:rPr>
            <w:rFonts w:ascii="Open Sans" w:hAnsi="Open Sans" w:cs="Open Sans"/>
            <w:sz w:val="20"/>
            <w:szCs w:val="20"/>
          </w:rPr>
          <w:instrText xml:space="preserve"> PAGE   \* MERGEFORMAT </w:instrText>
        </w:r>
        <w:r w:rsidRPr="00EC6A5D">
          <w:rPr>
            <w:rFonts w:ascii="Open Sans" w:hAnsi="Open Sans" w:cs="Open Sans"/>
            <w:sz w:val="20"/>
            <w:szCs w:val="20"/>
          </w:rPr>
          <w:fldChar w:fldCharType="separate"/>
        </w:r>
        <w:r w:rsidRPr="00EC6A5D">
          <w:rPr>
            <w:rFonts w:ascii="Open Sans" w:hAnsi="Open Sans" w:cs="Open Sans"/>
            <w:sz w:val="20"/>
            <w:szCs w:val="20"/>
          </w:rPr>
          <w:t>1</w:t>
        </w:r>
        <w:r w:rsidRPr="00EC6A5D">
          <w:rPr>
            <w:rFonts w:ascii="Open Sans" w:hAnsi="Open Sans" w:cs="Open Sans"/>
            <w:sz w:val="20"/>
            <w:szCs w:val="20"/>
          </w:rPr>
          <w:fldChar w:fldCharType="end"/>
        </w:r>
        <w:r w:rsidRPr="00EC6A5D">
          <w:rPr>
            <w:rFonts w:ascii="Open Sans" w:hAnsi="Open Sans" w:cs="Open Sans"/>
            <w:sz w:val="20"/>
            <w:szCs w:val="20"/>
          </w:rPr>
          <w:t xml:space="preserve"> </w:t>
        </w:r>
      </w:p>
    </w:sdtContent>
  </w:sdt>
  <w:p w14:paraId="6B8C36E5" w14:textId="77777777" w:rsidR="00EC6A5D" w:rsidRDefault="00EC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80EC" w14:textId="77777777" w:rsidR="00FB5519" w:rsidRDefault="00FB5519" w:rsidP="008E17F3">
      <w:pPr>
        <w:spacing w:line="240" w:lineRule="auto"/>
      </w:pPr>
      <w:r>
        <w:separator/>
      </w:r>
    </w:p>
  </w:footnote>
  <w:footnote w:type="continuationSeparator" w:id="0">
    <w:p w14:paraId="3497F8CE" w14:textId="77777777" w:rsidR="00FB5519" w:rsidRDefault="00FB5519"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3647" w14:textId="3C4244B6" w:rsidR="00702356" w:rsidRDefault="00702356">
    <w:pPr>
      <w:pStyle w:val="Header"/>
    </w:pPr>
  </w:p>
  <w:p w14:paraId="2B94521E" w14:textId="40F268DB" w:rsidR="0068629F" w:rsidRPr="0068629F" w:rsidRDefault="0068629F" w:rsidP="0068629F">
    <w:pPr>
      <w:pStyle w:val="Heading1"/>
      <w:spacing w:after="0"/>
      <w:jc w:val="left"/>
      <w:rPr>
        <w:b/>
        <w:bCs/>
        <w:color w:val="BFBFBF" w:themeColor="background1" w:themeShade="BF"/>
        <w:sz w:val="20"/>
        <w:szCs w:val="20"/>
      </w:rPr>
    </w:pPr>
    <w:r w:rsidRPr="0068629F">
      <w:rPr>
        <w:b/>
        <w:bCs/>
        <w:color w:val="BFBFBF" w:themeColor="background1" w:themeShade="BF"/>
        <w:sz w:val="20"/>
        <w:szCs w:val="20"/>
      </w:rPr>
      <w:t xml:space="preserve">Instructor Guidance Note—Key considerations in drafting </w:t>
    </w:r>
    <w:r w:rsidR="00035385">
      <w:rPr>
        <w:b/>
        <w:bCs/>
        <w:color w:val="BFBFBF" w:themeColor="background1" w:themeShade="BF"/>
        <w:sz w:val="20"/>
        <w:szCs w:val="20"/>
      </w:rPr>
      <w:t>instruments</w:t>
    </w:r>
  </w:p>
  <w:p w14:paraId="0B3AB1B5" w14:textId="770617BA" w:rsidR="00807849" w:rsidRDefault="0080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608E" w14:textId="717BCA52" w:rsidR="00702356" w:rsidRDefault="00702356">
    <w:pPr>
      <w:pStyle w:val="Header"/>
    </w:pPr>
    <w:r w:rsidRPr="00F951F6">
      <w:rPr>
        <w:rFonts w:cs="Open Sans"/>
        <w:noProof/>
      </w:rPr>
      <w:drawing>
        <wp:anchor distT="0" distB="0" distL="114300" distR="114300" simplePos="0" relativeHeight="251665408" behindDoc="0" locked="0" layoutInCell="1" allowOverlap="1" wp14:anchorId="350DA4F3" wp14:editId="1116BB51">
          <wp:simplePos x="0" y="0"/>
          <wp:positionH relativeFrom="margin">
            <wp:posOffset>-78827</wp:posOffset>
          </wp:positionH>
          <wp:positionV relativeFrom="paragraph">
            <wp:posOffset>-283779</wp:posOffset>
          </wp:positionV>
          <wp:extent cx="3229347" cy="748862"/>
          <wp:effectExtent l="0" t="0" r="0" b="0"/>
          <wp:wrapNone/>
          <wp:docPr id="1932387190"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A340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2563"/>
        </w:tabs>
        <w:ind w:left="1843"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DB2700"/>
    <w:multiLevelType w:val="hybridMultilevel"/>
    <w:tmpl w:val="BD6C7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E3E66F5"/>
    <w:multiLevelType w:val="hybridMultilevel"/>
    <w:tmpl w:val="08FC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84224">
    <w:abstractNumId w:val="10"/>
  </w:num>
  <w:num w:numId="2" w16cid:durableId="509100430">
    <w:abstractNumId w:val="8"/>
  </w:num>
  <w:num w:numId="3" w16cid:durableId="2063602416">
    <w:abstractNumId w:val="7"/>
  </w:num>
  <w:num w:numId="4" w16cid:durableId="1482769532">
    <w:abstractNumId w:val="6"/>
  </w:num>
  <w:num w:numId="5" w16cid:durableId="1359039025">
    <w:abstractNumId w:val="5"/>
  </w:num>
  <w:num w:numId="6" w16cid:durableId="113250525">
    <w:abstractNumId w:val="9"/>
  </w:num>
  <w:num w:numId="7" w16cid:durableId="1331980028">
    <w:abstractNumId w:val="4"/>
  </w:num>
  <w:num w:numId="8" w16cid:durableId="2114664232">
    <w:abstractNumId w:val="3"/>
  </w:num>
  <w:num w:numId="9" w16cid:durableId="2061442744">
    <w:abstractNumId w:val="2"/>
  </w:num>
  <w:num w:numId="10" w16cid:durableId="1021593587">
    <w:abstractNumId w:val="1"/>
  </w:num>
  <w:num w:numId="11" w16cid:durableId="323507505">
    <w:abstractNumId w:val="13"/>
  </w:num>
  <w:num w:numId="12" w16cid:durableId="1483349898">
    <w:abstractNumId w:val="15"/>
  </w:num>
  <w:num w:numId="13" w16cid:durableId="448667681">
    <w:abstractNumId w:val="11"/>
  </w:num>
  <w:num w:numId="14" w16cid:durableId="835878198">
    <w:abstractNumId w:val="14"/>
  </w:num>
  <w:num w:numId="15" w16cid:durableId="1970241170">
    <w:abstractNumId w:val="0"/>
  </w:num>
  <w:num w:numId="16" w16cid:durableId="1647466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19"/>
    <w:rsid w:val="00011AA8"/>
    <w:rsid w:val="000136AF"/>
    <w:rsid w:val="0001620A"/>
    <w:rsid w:val="00022B7E"/>
    <w:rsid w:val="00035385"/>
    <w:rsid w:val="00036B0B"/>
    <w:rsid w:val="00056743"/>
    <w:rsid w:val="000578CF"/>
    <w:rsid w:val="000614BF"/>
    <w:rsid w:val="00072AC7"/>
    <w:rsid w:val="00077E5C"/>
    <w:rsid w:val="000C604C"/>
    <w:rsid w:val="000D05EF"/>
    <w:rsid w:val="00106F6C"/>
    <w:rsid w:val="0010745C"/>
    <w:rsid w:val="001350E1"/>
    <w:rsid w:val="00153565"/>
    <w:rsid w:val="00160E34"/>
    <w:rsid w:val="001636E5"/>
    <w:rsid w:val="00166C2F"/>
    <w:rsid w:val="00174846"/>
    <w:rsid w:val="001777B8"/>
    <w:rsid w:val="0018744B"/>
    <w:rsid w:val="001939E1"/>
    <w:rsid w:val="00195382"/>
    <w:rsid w:val="001C69C4"/>
    <w:rsid w:val="001E1F91"/>
    <w:rsid w:val="001E3590"/>
    <w:rsid w:val="001E7407"/>
    <w:rsid w:val="00207CE7"/>
    <w:rsid w:val="00233093"/>
    <w:rsid w:val="00241BF4"/>
    <w:rsid w:val="00253D1B"/>
    <w:rsid w:val="00265697"/>
    <w:rsid w:val="00265BDB"/>
    <w:rsid w:val="0026743B"/>
    <w:rsid w:val="00295FBA"/>
    <w:rsid w:val="002970D7"/>
    <w:rsid w:val="002978BF"/>
    <w:rsid w:val="00297ECB"/>
    <w:rsid w:val="002B6433"/>
    <w:rsid w:val="002D043A"/>
    <w:rsid w:val="002D6A8E"/>
    <w:rsid w:val="002D6E91"/>
    <w:rsid w:val="00311448"/>
    <w:rsid w:val="00315F99"/>
    <w:rsid w:val="00322F5E"/>
    <w:rsid w:val="00335F89"/>
    <w:rsid w:val="0034009E"/>
    <w:rsid w:val="00352B0F"/>
    <w:rsid w:val="00360FB0"/>
    <w:rsid w:val="003849C6"/>
    <w:rsid w:val="003A2BBA"/>
    <w:rsid w:val="003A38A7"/>
    <w:rsid w:val="003B3379"/>
    <w:rsid w:val="003B5735"/>
    <w:rsid w:val="003D0BFE"/>
    <w:rsid w:val="003D2314"/>
    <w:rsid w:val="003D5700"/>
    <w:rsid w:val="003D6F8A"/>
    <w:rsid w:val="003E4160"/>
    <w:rsid w:val="0040444F"/>
    <w:rsid w:val="004116CD"/>
    <w:rsid w:val="004169E3"/>
    <w:rsid w:val="00424CA9"/>
    <w:rsid w:val="00427185"/>
    <w:rsid w:val="00431F60"/>
    <w:rsid w:val="00434844"/>
    <w:rsid w:val="0044127D"/>
    <w:rsid w:val="0044291A"/>
    <w:rsid w:val="00450A86"/>
    <w:rsid w:val="004560FB"/>
    <w:rsid w:val="004653F8"/>
    <w:rsid w:val="00496F97"/>
    <w:rsid w:val="004970F2"/>
    <w:rsid w:val="004B0C7F"/>
    <w:rsid w:val="004F64FF"/>
    <w:rsid w:val="00516B8D"/>
    <w:rsid w:val="005177A3"/>
    <w:rsid w:val="00524E6C"/>
    <w:rsid w:val="00527E44"/>
    <w:rsid w:val="005327A0"/>
    <w:rsid w:val="00537FBC"/>
    <w:rsid w:val="00561E07"/>
    <w:rsid w:val="005801A0"/>
    <w:rsid w:val="00584811"/>
    <w:rsid w:val="00594161"/>
    <w:rsid w:val="00594749"/>
    <w:rsid w:val="005B05E6"/>
    <w:rsid w:val="005D3DA9"/>
    <w:rsid w:val="005E12F0"/>
    <w:rsid w:val="005F5C3D"/>
    <w:rsid w:val="00600219"/>
    <w:rsid w:val="00606B94"/>
    <w:rsid w:val="006151DB"/>
    <w:rsid w:val="006207A3"/>
    <w:rsid w:val="00624BA6"/>
    <w:rsid w:val="0062659F"/>
    <w:rsid w:val="006279B8"/>
    <w:rsid w:val="00654456"/>
    <w:rsid w:val="00660883"/>
    <w:rsid w:val="006738B0"/>
    <w:rsid w:val="00677CC2"/>
    <w:rsid w:val="00680F77"/>
    <w:rsid w:val="00684C75"/>
    <w:rsid w:val="0068629F"/>
    <w:rsid w:val="0069207B"/>
    <w:rsid w:val="006A740E"/>
    <w:rsid w:val="006C7F8C"/>
    <w:rsid w:val="006D4CA0"/>
    <w:rsid w:val="006D77BA"/>
    <w:rsid w:val="006E2E9F"/>
    <w:rsid w:val="006E3836"/>
    <w:rsid w:val="006F3938"/>
    <w:rsid w:val="006F6608"/>
    <w:rsid w:val="00702356"/>
    <w:rsid w:val="00704A73"/>
    <w:rsid w:val="00705BE1"/>
    <w:rsid w:val="0071353B"/>
    <w:rsid w:val="0071378C"/>
    <w:rsid w:val="007276BC"/>
    <w:rsid w:val="00731E00"/>
    <w:rsid w:val="00733990"/>
    <w:rsid w:val="00756842"/>
    <w:rsid w:val="00766393"/>
    <w:rsid w:val="007715C9"/>
    <w:rsid w:val="00774EDD"/>
    <w:rsid w:val="00775577"/>
    <w:rsid w:val="007757EC"/>
    <w:rsid w:val="0077772A"/>
    <w:rsid w:val="007909D9"/>
    <w:rsid w:val="007950D8"/>
    <w:rsid w:val="007A0804"/>
    <w:rsid w:val="007B576D"/>
    <w:rsid w:val="007C49F7"/>
    <w:rsid w:val="007C4B9F"/>
    <w:rsid w:val="007E0E9E"/>
    <w:rsid w:val="007F496B"/>
    <w:rsid w:val="008006B2"/>
    <w:rsid w:val="00802E1D"/>
    <w:rsid w:val="00807849"/>
    <w:rsid w:val="0082252A"/>
    <w:rsid w:val="00827335"/>
    <w:rsid w:val="00856739"/>
    <w:rsid w:val="00856A31"/>
    <w:rsid w:val="00857CFE"/>
    <w:rsid w:val="00864C20"/>
    <w:rsid w:val="008754D0"/>
    <w:rsid w:val="008A2B68"/>
    <w:rsid w:val="008A35FD"/>
    <w:rsid w:val="008B5965"/>
    <w:rsid w:val="008C659E"/>
    <w:rsid w:val="008C7743"/>
    <w:rsid w:val="008D4979"/>
    <w:rsid w:val="008D5548"/>
    <w:rsid w:val="008D7566"/>
    <w:rsid w:val="008D78E9"/>
    <w:rsid w:val="008E17F3"/>
    <w:rsid w:val="008E3B8C"/>
    <w:rsid w:val="0090235A"/>
    <w:rsid w:val="00905D61"/>
    <w:rsid w:val="00910CA7"/>
    <w:rsid w:val="00911880"/>
    <w:rsid w:val="009249CC"/>
    <w:rsid w:val="0094622F"/>
    <w:rsid w:val="0098638B"/>
    <w:rsid w:val="00995FF7"/>
    <w:rsid w:val="009A6F73"/>
    <w:rsid w:val="009C0DFA"/>
    <w:rsid w:val="00A157E7"/>
    <w:rsid w:val="00A231E2"/>
    <w:rsid w:val="00A51DF6"/>
    <w:rsid w:val="00A64912"/>
    <w:rsid w:val="00A70A74"/>
    <w:rsid w:val="00A829F1"/>
    <w:rsid w:val="00A91477"/>
    <w:rsid w:val="00A91B5C"/>
    <w:rsid w:val="00A922FA"/>
    <w:rsid w:val="00A93658"/>
    <w:rsid w:val="00AD376E"/>
    <w:rsid w:val="00AD476C"/>
    <w:rsid w:val="00AD5641"/>
    <w:rsid w:val="00B23A94"/>
    <w:rsid w:val="00B33B3C"/>
    <w:rsid w:val="00B53389"/>
    <w:rsid w:val="00B5747B"/>
    <w:rsid w:val="00B62A06"/>
    <w:rsid w:val="00B86927"/>
    <w:rsid w:val="00B9390E"/>
    <w:rsid w:val="00BB2985"/>
    <w:rsid w:val="00BB4408"/>
    <w:rsid w:val="00BD75EB"/>
    <w:rsid w:val="00BE1329"/>
    <w:rsid w:val="00BE719A"/>
    <w:rsid w:val="00BE720A"/>
    <w:rsid w:val="00C163F9"/>
    <w:rsid w:val="00C2578E"/>
    <w:rsid w:val="00C42BF8"/>
    <w:rsid w:val="00C44A07"/>
    <w:rsid w:val="00C50043"/>
    <w:rsid w:val="00C61CDD"/>
    <w:rsid w:val="00C7573B"/>
    <w:rsid w:val="00C83868"/>
    <w:rsid w:val="00CA2D41"/>
    <w:rsid w:val="00CB3D6B"/>
    <w:rsid w:val="00CB48D8"/>
    <w:rsid w:val="00CC180F"/>
    <w:rsid w:val="00CD63FF"/>
    <w:rsid w:val="00CF0BB2"/>
    <w:rsid w:val="00CF457E"/>
    <w:rsid w:val="00D04756"/>
    <w:rsid w:val="00D13441"/>
    <w:rsid w:val="00D330A6"/>
    <w:rsid w:val="00D414C2"/>
    <w:rsid w:val="00D50805"/>
    <w:rsid w:val="00D70DFB"/>
    <w:rsid w:val="00D766DF"/>
    <w:rsid w:val="00DB3CFE"/>
    <w:rsid w:val="00DB46BB"/>
    <w:rsid w:val="00DE2032"/>
    <w:rsid w:val="00DE7073"/>
    <w:rsid w:val="00E02B4B"/>
    <w:rsid w:val="00E11C48"/>
    <w:rsid w:val="00E226FE"/>
    <w:rsid w:val="00E31865"/>
    <w:rsid w:val="00E464C5"/>
    <w:rsid w:val="00E74DC7"/>
    <w:rsid w:val="00E90134"/>
    <w:rsid w:val="00EB72DD"/>
    <w:rsid w:val="00EC6A5D"/>
    <w:rsid w:val="00ED0C49"/>
    <w:rsid w:val="00ED0F21"/>
    <w:rsid w:val="00ED3E4E"/>
    <w:rsid w:val="00EF2E3A"/>
    <w:rsid w:val="00F01575"/>
    <w:rsid w:val="00F04811"/>
    <w:rsid w:val="00F078DC"/>
    <w:rsid w:val="00F156B1"/>
    <w:rsid w:val="00F23E5F"/>
    <w:rsid w:val="00F262C7"/>
    <w:rsid w:val="00F51269"/>
    <w:rsid w:val="00F55D46"/>
    <w:rsid w:val="00F74F19"/>
    <w:rsid w:val="00F8251F"/>
    <w:rsid w:val="00F86BB2"/>
    <w:rsid w:val="00FB5519"/>
    <w:rsid w:val="00FC7287"/>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E70E46"/>
  <w15:docId w15:val="{BC8A224E-6506-4D00-9F3A-B6E8284A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A922FA"/>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Normal"/>
    <w:next w:val="Normal"/>
    <w:link w:val="Heading2Char"/>
    <w:uiPriority w:val="9"/>
    <w:unhideWhenUsed/>
    <w:qFormat/>
    <w:rsid w:val="00A922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2563"/>
        <w:tab w:val="num" w:pos="720"/>
      </w:tabs>
      <w:spacing w:before="240" w:line="240" w:lineRule="auto"/>
      <w:ind w:left="0"/>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A922FA"/>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A922FA"/>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910CA7"/>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8738</Characters>
  <Application>Microsoft Office Word</Application>
  <DocSecurity>8</DocSecurity>
  <Lines>174</Lines>
  <Paragraphs>84</Paragraphs>
  <ScaleCrop>false</ScaleCrop>
  <HeadingPairs>
    <vt:vector size="2" baseType="variant">
      <vt:variant>
        <vt:lpstr>Title</vt:lpstr>
      </vt:variant>
      <vt:variant>
        <vt:i4>1</vt:i4>
      </vt:variant>
    </vt:vector>
  </HeadingPairs>
  <TitlesOfParts>
    <vt:vector size="1" baseType="lpstr">
      <vt:lpstr>Key considerations in drafting instruments </vt:lpstr>
    </vt:vector>
  </TitlesOfParts>
  <Company>Office of Parliamentary Counsel</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considerations in drafting instruments</dc:title>
  <dc:subject/>
  <dc:creator>MilesA</dc:creator>
  <cp:keywords/>
  <dc:description/>
  <cp:lastModifiedBy>Berryman, Elentari</cp:lastModifiedBy>
  <cp:revision>2</cp:revision>
  <cp:lastPrinted>2025-04-09T04:48:00Z</cp:lastPrinted>
  <dcterms:created xsi:type="dcterms:W3CDTF">2025-10-16T00:23:00Z</dcterms:created>
  <dcterms:modified xsi:type="dcterms:W3CDTF">2025-10-16T00:23:00Z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ies>
</file>