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B4A4" w14:textId="77777777" w:rsidR="006A6A74" w:rsidRPr="009264E1" w:rsidRDefault="006A6A74" w:rsidP="006A6A74">
      <w:pPr>
        <w:pStyle w:val="Heading1"/>
        <w:rPr>
          <w:rFonts w:ascii="Open Sans ExtraBold" w:hAnsi="Open Sans ExtraBold" w:cs="Open Sans ExtraBold"/>
          <w:color w:val="084D5E"/>
          <w:sz w:val="56"/>
          <w:szCs w:val="56"/>
        </w:rPr>
      </w:pPr>
      <w:r w:rsidRPr="009264E1">
        <w:rPr>
          <w:rFonts w:ascii="Open Sans ExtraBold" w:hAnsi="Open Sans ExtraBold" w:cs="Open Sans ExtraBold"/>
          <w:color w:val="084D5E"/>
          <w:sz w:val="56"/>
          <w:szCs w:val="56"/>
        </w:rPr>
        <w:t>Instructor Guidance Note—</w:t>
      </w:r>
      <w:r w:rsidRPr="009264E1">
        <w:rPr>
          <w:rFonts w:ascii="Open Sans ExtraBold" w:hAnsi="Open Sans ExtraBold" w:cs="Open Sans ExtraBold"/>
          <w:color w:val="084D5E"/>
          <w:sz w:val="56"/>
          <w:szCs w:val="56"/>
        </w:rPr>
        <w:br/>
        <w:t>My Bill has passed, what happens next?</w:t>
      </w:r>
    </w:p>
    <w:p w14:paraId="28CCE87F"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After a Bill has passed both Houses of Parliament, there are a few steps before the Bill becomes law.</w:t>
      </w:r>
    </w:p>
    <w:p w14:paraId="58001FC9"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First, the Bill is presented to the Governor</w:t>
      </w:r>
      <w:r w:rsidRPr="001F13F5">
        <w:rPr>
          <w:rFonts w:ascii="Open Sans" w:hAnsi="Open Sans" w:cs="Open Sans"/>
          <w:sz w:val="22"/>
          <w:szCs w:val="18"/>
        </w:rPr>
        <w:noBreakHyphen/>
        <w:t>General for Royal Assent. This is done by the Presiding Officer of the House in which the Bill originated. Only after a Bill receives Royal Assent does it become an Act of Parliament.</w:t>
      </w:r>
    </w:p>
    <w:p w14:paraId="17D03F15"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 xml:space="preserve">After receiving Royal Assent, an Act will commence in accordance with its commencement section (see </w:t>
      </w:r>
      <w:r w:rsidRPr="001F13F5">
        <w:rPr>
          <w:rFonts w:ascii="Open Sans" w:hAnsi="Open Sans" w:cs="Open Sans"/>
          <w:i/>
          <w:iCs/>
          <w:sz w:val="22"/>
          <w:szCs w:val="18"/>
        </w:rPr>
        <w:t>Instructor Guidance Note—Commencement provisions</w:t>
      </w:r>
      <w:r w:rsidRPr="001F13F5">
        <w:rPr>
          <w:rFonts w:ascii="Open Sans" w:hAnsi="Open Sans" w:cs="Open Sans"/>
          <w:sz w:val="22"/>
          <w:szCs w:val="18"/>
        </w:rPr>
        <w:t xml:space="preserve"> for further details).</w:t>
      </w:r>
    </w:p>
    <w:p w14:paraId="2B10D309"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 xml:space="preserve">If an Act authorises making instruments or appointments, the instructing agency will need to arrange for these to be made. Instruments and appointments can be made any time after an Act is given Royal Assent (see section 4 of the </w:t>
      </w:r>
      <w:r w:rsidRPr="001F13F5">
        <w:rPr>
          <w:rFonts w:ascii="Open Sans" w:hAnsi="Open Sans" w:cs="Open Sans"/>
          <w:i/>
          <w:iCs/>
          <w:sz w:val="22"/>
          <w:szCs w:val="18"/>
        </w:rPr>
        <w:t>Acts Interpretation Act 1901</w:t>
      </w:r>
      <w:r w:rsidRPr="001F13F5">
        <w:rPr>
          <w:rFonts w:ascii="Open Sans" w:hAnsi="Open Sans" w:cs="Open Sans"/>
          <w:sz w:val="22"/>
          <w:szCs w:val="18"/>
        </w:rPr>
        <w:t>). However, such instruments and appointments cannot commence any earlier than the commencement of the Act.</w:t>
      </w:r>
    </w:p>
    <w:p w14:paraId="3F7CC1E8"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OPC will ensure that new Acts and compilations of any amended Acts are registered on the Federal Register of Legislation (</w:t>
      </w:r>
      <w:r w:rsidRPr="001F13F5">
        <w:rPr>
          <w:rFonts w:ascii="Open Sans" w:hAnsi="Open Sans" w:cs="Open Sans"/>
          <w:b/>
          <w:bCs/>
          <w:i/>
          <w:iCs/>
          <w:sz w:val="22"/>
          <w:szCs w:val="18"/>
        </w:rPr>
        <w:t>FRL</w:t>
      </w:r>
      <w:r w:rsidRPr="001F13F5">
        <w:rPr>
          <w:rFonts w:ascii="Open Sans" w:hAnsi="Open Sans" w:cs="Open Sans"/>
          <w:sz w:val="22"/>
          <w:szCs w:val="18"/>
        </w:rPr>
        <w:t xml:space="preserve">) after Royal Assent. </w:t>
      </w:r>
    </w:p>
    <w:p w14:paraId="3027BF9E" w14:textId="77777777" w:rsidR="006A6A74" w:rsidRDefault="006A6A74" w:rsidP="006A6A74">
      <w:pPr>
        <w:pStyle w:val="Heading2"/>
      </w:pPr>
      <w:r w:rsidRPr="001F13F5">
        <w:t>Royal Assent</w:t>
      </w:r>
    </w:p>
    <w:p w14:paraId="7FEEDE2C"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Royal Assent is the process by which the Governor</w:t>
      </w:r>
      <w:r w:rsidRPr="001F13F5">
        <w:rPr>
          <w:rFonts w:ascii="Open Sans" w:hAnsi="Open Sans" w:cs="Open Sans"/>
          <w:sz w:val="22"/>
          <w:szCs w:val="18"/>
        </w:rPr>
        <w:noBreakHyphen/>
        <w:t>General, in the name of the Sovereign, assents to a Bill that has passed both Houses of Parliament. Royal Assent is required by section 58 of the Constitution.</w:t>
      </w:r>
    </w:p>
    <w:p w14:paraId="09CE2CA8"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Instructing agencies should factor the time taken to obtain Royal Assent into their project planning. After passage, a Bill is reprinted and a check and certification of the reprinted Bill is made by officers of the House in which the Bill originated, and by OPC. This process takes time, particularly if the Bill has been amended by the second House.</w:t>
      </w:r>
    </w:p>
    <w:p w14:paraId="4593E772"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Obtaining Royal Assent can take up to 10 business days after a Bill is passed by both Houses. During this time, the House in which the Bill was introduced sends “Assent copies” of the Bill to the Governor</w:t>
      </w:r>
      <w:r w:rsidRPr="001F13F5">
        <w:rPr>
          <w:rFonts w:ascii="Open Sans" w:hAnsi="Open Sans" w:cs="Open Sans"/>
          <w:sz w:val="22"/>
          <w:szCs w:val="18"/>
        </w:rPr>
        <w:noBreakHyphen/>
        <w:t>General, the Attorney</w:t>
      </w:r>
      <w:r w:rsidRPr="001F13F5">
        <w:rPr>
          <w:rFonts w:ascii="Open Sans" w:hAnsi="Open Sans" w:cs="Open Sans"/>
          <w:sz w:val="22"/>
          <w:szCs w:val="18"/>
        </w:rPr>
        <w:noBreakHyphen/>
        <w:t>General and OPC.</w:t>
      </w:r>
    </w:p>
    <w:p w14:paraId="5622E604" w14:textId="77777777" w:rsidR="006A6A74" w:rsidRPr="001F13F5" w:rsidRDefault="006A6A74" w:rsidP="006A6A74">
      <w:pPr>
        <w:pStyle w:val="BodyNum"/>
        <w:keepLines/>
        <w:rPr>
          <w:rFonts w:ascii="Open Sans" w:hAnsi="Open Sans" w:cs="Open Sans"/>
          <w:sz w:val="22"/>
          <w:szCs w:val="18"/>
        </w:rPr>
      </w:pPr>
      <w:r w:rsidRPr="001F13F5">
        <w:rPr>
          <w:rFonts w:ascii="Open Sans" w:hAnsi="Open Sans" w:cs="Open Sans"/>
          <w:sz w:val="22"/>
          <w:szCs w:val="18"/>
        </w:rPr>
        <w:lastRenderedPageBreak/>
        <w:t>After receiving the Assent copy of the Bill from the House, OPC checks various aspects of the Bill (for example, whether amendments made in Parliament have been correctly incorporated), and prepares a certificate for the Attorney</w:t>
      </w:r>
      <w:r w:rsidRPr="001F13F5">
        <w:rPr>
          <w:rFonts w:ascii="Open Sans" w:hAnsi="Open Sans" w:cs="Open Sans"/>
          <w:sz w:val="22"/>
          <w:szCs w:val="18"/>
        </w:rPr>
        <w:noBreakHyphen/>
        <w:t>General’s signature. The certificate advises the Governor</w:t>
      </w:r>
      <w:r w:rsidRPr="001F13F5">
        <w:rPr>
          <w:rFonts w:ascii="Open Sans" w:hAnsi="Open Sans" w:cs="Open Sans"/>
          <w:sz w:val="22"/>
          <w:szCs w:val="18"/>
        </w:rPr>
        <w:noBreakHyphen/>
        <w:t>General that, for the purposes of section 58 of the Constitution:</w:t>
      </w:r>
    </w:p>
    <w:p w14:paraId="13DF0CFC" w14:textId="77777777" w:rsidR="006A6A74" w:rsidRPr="001F13F5" w:rsidRDefault="006A6A74" w:rsidP="006A6A74">
      <w:pPr>
        <w:pStyle w:val="BodyParaBullet"/>
        <w:rPr>
          <w:rFonts w:ascii="Open Sans" w:hAnsi="Open Sans" w:cs="Open Sans"/>
          <w:sz w:val="22"/>
          <w:szCs w:val="18"/>
        </w:rPr>
      </w:pPr>
      <w:r w:rsidRPr="001F13F5">
        <w:rPr>
          <w:rFonts w:ascii="Open Sans" w:hAnsi="Open Sans" w:cs="Open Sans"/>
          <w:sz w:val="22"/>
          <w:szCs w:val="18"/>
        </w:rPr>
        <w:t>there are no amendments of the Bill that the Governor</w:t>
      </w:r>
      <w:r w:rsidRPr="001F13F5">
        <w:rPr>
          <w:rFonts w:ascii="Open Sans" w:hAnsi="Open Sans" w:cs="Open Sans"/>
          <w:sz w:val="22"/>
          <w:szCs w:val="18"/>
        </w:rPr>
        <w:noBreakHyphen/>
        <w:t xml:space="preserve">General should recommend to Parliament; and </w:t>
      </w:r>
    </w:p>
    <w:p w14:paraId="6F01D7BE" w14:textId="77777777" w:rsidR="006A6A74" w:rsidRPr="001F13F5" w:rsidRDefault="006A6A74" w:rsidP="006A6A74">
      <w:pPr>
        <w:pStyle w:val="BodyParaBullet"/>
        <w:rPr>
          <w:rFonts w:ascii="Open Sans" w:hAnsi="Open Sans" w:cs="Open Sans"/>
          <w:sz w:val="22"/>
          <w:szCs w:val="18"/>
        </w:rPr>
      </w:pPr>
      <w:r w:rsidRPr="001F13F5">
        <w:rPr>
          <w:rFonts w:ascii="Open Sans" w:hAnsi="Open Sans" w:cs="Open Sans"/>
          <w:sz w:val="22"/>
          <w:szCs w:val="18"/>
        </w:rPr>
        <w:t>there is no reason for the Governor</w:t>
      </w:r>
      <w:r w:rsidRPr="001F13F5">
        <w:rPr>
          <w:rFonts w:ascii="Open Sans" w:hAnsi="Open Sans" w:cs="Open Sans"/>
          <w:sz w:val="22"/>
          <w:szCs w:val="18"/>
        </w:rPr>
        <w:noBreakHyphen/>
        <w:t>General to reserve the law for the Sovereign’s pleasure.</w:t>
      </w:r>
    </w:p>
    <w:p w14:paraId="34BE76B4" w14:textId="77777777" w:rsidR="006A6A74" w:rsidRPr="001F13F5" w:rsidRDefault="006A6A74" w:rsidP="006A6A74">
      <w:pPr>
        <w:pStyle w:val="BodyNum"/>
        <w:keepLines/>
        <w:rPr>
          <w:rFonts w:ascii="Open Sans" w:hAnsi="Open Sans" w:cs="Open Sans"/>
          <w:sz w:val="22"/>
          <w:szCs w:val="18"/>
        </w:rPr>
      </w:pPr>
      <w:r w:rsidRPr="001F13F5">
        <w:rPr>
          <w:rFonts w:ascii="Open Sans" w:hAnsi="Open Sans" w:cs="Open Sans"/>
          <w:sz w:val="22"/>
          <w:szCs w:val="18"/>
        </w:rPr>
        <w:t>Once the Governor</w:t>
      </w:r>
      <w:r w:rsidRPr="001F13F5">
        <w:rPr>
          <w:rFonts w:ascii="Open Sans" w:hAnsi="Open Sans" w:cs="Open Sans"/>
          <w:sz w:val="22"/>
          <w:szCs w:val="18"/>
        </w:rPr>
        <w:noBreakHyphen/>
        <w:t>General has an Assent copy of the Bill and the Attorney</w:t>
      </w:r>
      <w:r w:rsidRPr="001F13F5">
        <w:rPr>
          <w:rFonts w:ascii="Open Sans" w:hAnsi="Open Sans" w:cs="Open Sans"/>
          <w:sz w:val="22"/>
          <w:szCs w:val="18"/>
        </w:rPr>
        <w:noBreakHyphen/>
        <w:t>General’s certificate, the Governor</w:t>
      </w:r>
      <w:r w:rsidRPr="001F13F5">
        <w:rPr>
          <w:rFonts w:ascii="Open Sans" w:hAnsi="Open Sans" w:cs="Open Sans"/>
          <w:sz w:val="22"/>
          <w:szCs w:val="18"/>
        </w:rPr>
        <w:noBreakHyphen/>
        <w:t>General considers whether to give Royal Assent to the Bill.</w:t>
      </w:r>
    </w:p>
    <w:p w14:paraId="09DCB9C6"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The Governor</w:t>
      </w:r>
      <w:r w:rsidRPr="001F13F5">
        <w:rPr>
          <w:rFonts w:ascii="Open Sans" w:hAnsi="Open Sans" w:cs="Open Sans"/>
          <w:sz w:val="22"/>
          <w:szCs w:val="18"/>
        </w:rPr>
        <w:noBreakHyphen/>
        <w:t>General is not required to give Royal Assent—it is a matter for the Governor</w:t>
      </w:r>
      <w:r w:rsidRPr="001F13F5">
        <w:rPr>
          <w:rFonts w:ascii="Open Sans" w:hAnsi="Open Sans" w:cs="Open Sans"/>
          <w:sz w:val="22"/>
          <w:szCs w:val="18"/>
        </w:rPr>
        <w:noBreakHyphen/>
        <w:t>General’s discretion. Instead of giving Royal Assent, the Governor</w:t>
      </w:r>
      <w:r w:rsidRPr="001F13F5">
        <w:rPr>
          <w:rFonts w:ascii="Open Sans" w:hAnsi="Open Sans" w:cs="Open Sans"/>
          <w:sz w:val="22"/>
          <w:szCs w:val="18"/>
        </w:rPr>
        <w:noBreakHyphen/>
        <w:t>General may, under section 58 of the Constitution:</w:t>
      </w:r>
    </w:p>
    <w:p w14:paraId="73CFA75C" w14:textId="77777777" w:rsidR="006A6A74" w:rsidRPr="001F13F5" w:rsidRDefault="006A6A74" w:rsidP="006A6A74">
      <w:pPr>
        <w:pStyle w:val="BodyParaBullet"/>
        <w:rPr>
          <w:rFonts w:ascii="Open Sans" w:hAnsi="Open Sans" w:cs="Open Sans"/>
          <w:sz w:val="22"/>
          <w:szCs w:val="18"/>
        </w:rPr>
      </w:pPr>
      <w:r w:rsidRPr="001F13F5">
        <w:rPr>
          <w:rFonts w:ascii="Open Sans" w:hAnsi="Open Sans" w:cs="Open Sans"/>
          <w:sz w:val="22"/>
          <w:szCs w:val="18"/>
        </w:rPr>
        <w:t>withhold assent; or</w:t>
      </w:r>
    </w:p>
    <w:p w14:paraId="00546ABD" w14:textId="77777777" w:rsidR="006A6A74" w:rsidRPr="001F13F5" w:rsidRDefault="006A6A74" w:rsidP="006A6A74">
      <w:pPr>
        <w:pStyle w:val="BodyParaBullet"/>
        <w:rPr>
          <w:rFonts w:ascii="Open Sans" w:hAnsi="Open Sans" w:cs="Open Sans"/>
          <w:sz w:val="22"/>
          <w:szCs w:val="18"/>
        </w:rPr>
      </w:pPr>
      <w:r w:rsidRPr="001F13F5">
        <w:rPr>
          <w:rFonts w:ascii="Open Sans" w:hAnsi="Open Sans" w:cs="Open Sans"/>
          <w:sz w:val="22"/>
          <w:szCs w:val="18"/>
        </w:rPr>
        <w:t>reserve the law for the Sovereign’s pleasure; or</w:t>
      </w:r>
    </w:p>
    <w:p w14:paraId="418F80F1" w14:textId="77777777" w:rsidR="006A6A74" w:rsidRPr="001F13F5" w:rsidRDefault="006A6A74" w:rsidP="006A6A74">
      <w:pPr>
        <w:pStyle w:val="BodyParaBullet"/>
        <w:rPr>
          <w:rFonts w:ascii="Open Sans" w:hAnsi="Open Sans" w:cs="Open Sans"/>
          <w:sz w:val="22"/>
          <w:szCs w:val="18"/>
        </w:rPr>
      </w:pPr>
      <w:r w:rsidRPr="001F13F5">
        <w:rPr>
          <w:rFonts w:ascii="Open Sans" w:hAnsi="Open Sans" w:cs="Open Sans"/>
          <w:sz w:val="22"/>
          <w:szCs w:val="18"/>
        </w:rPr>
        <w:t>recommend amendments to Parliament.</w:t>
      </w:r>
    </w:p>
    <w:p w14:paraId="395284CE" w14:textId="77777777" w:rsidR="006A6A74" w:rsidRPr="001F13F5" w:rsidRDefault="006A6A74" w:rsidP="006A6A74">
      <w:pPr>
        <w:pStyle w:val="BodyNum"/>
        <w:rPr>
          <w:rFonts w:ascii="Open Sans" w:hAnsi="Open Sans" w:cs="Open Sans"/>
          <w:sz w:val="22"/>
          <w:szCs w:val="18"/>
        </w:rPr>
      </w:pPr>
      <w:r w:rsidRPr="001F13F5">
        <w:rPr>
          <w:rFonts w:ascii="Open Sans" w:hAnsi="Open Sans" w:cs="Open Sans"/>
          <w:sz w:val="22"/>
          <w:szCs w:val="18"/>
        </w:rPr>
        <w:t>In practice, the Governor</w:t>
      </w:r>
      <w:r w:rsidRPr="001F13F5">
        <w:rPr>
          <w:rFonts w:ascii="Open Sans" w:hAnsi="Open Sans" w:cs="Open Sans"/>
          <w:sz w:val="22"/>
          <w:szCs w:val="18"/>
        </w:rPr>
        <w:noBreakHyphen/>
        <w:t>General usually acts on the advice in the Attorney</w:t>
      </w:r>
      <w:r w:rsidRPr="001F13F5">
        <w:rPr>
          <w:rFonts w:ascii="Open Sans" w:hAnsi="Open Sans" w:cs="Open Sans"/>
          <w:sz w:val="22"/>
          <w:szCs w:val="18"/>
        </w:rPr>
        <w:noBreakHyphen/>
        <w:t>General’s certificate and gives Royal Assent to the Bill.</w:t>
      </w:r>
    </w:p>
    <w:p w14:paraId="2DBDA03D" w14:textId="77777777" w:rsidR="006A6A74" w:rsidRDefault="006A6A74" w:rsidP="006A6A74">
      <w:pPr>
        <w:pStyle w:val="BodyNum"/>
        <w:numPr>
          <w:ilvl w:val="0"/>
          <w:numId w:val="0"/>
        </w:numPr>
        <w:rPr>
          <w:rFonts w:ascii="Open Sans" w:hAnsi="Open Sans" w:cs="Open Sans"/>
          <w:sz w:val="22"/>
          <w:szCs w:val="18"/>
        </w:rPr>
      </w:pPr>
      <w:r w:rsidRPr="001F13F5">
        <w:rPr>
          <w:rFonts w:ascii="Open Sans ExtraBold" w:eastAsiaTheme="minorHAnsi" w:hAnsi="Open Sans ExtraBold" w:cs="Open Sans ExtraBold"/>
          <w:b/>
          <w:bCs/>
          <w:color w:val="084D5E"/>
          <w:kern w:val="2"/>
          <w:szCs w:val="24"/>
        </w:rPr>
        <w:t>Urgent assent</w:t>
      </w:r>
    </w:p>
    <w:p w14:paraId="5EB90FFC" w14:textId="77777777" w:rsidR="006A6A74" w:rsidRPr="005B3614" w:rsidRDefault="006A6A74" w:rsidP="006A6A74">
      <w:pPr>
        <w:pStyle w:val="BodyNum"/>
        <w:rPr>
          <w:rFonts w:ascii="Open Sans" w:hAnsi="Open Sans" w:cs="Open Sans"/>
          <w:sz w:val="22"/>
          <w:szCs w:val="18"/>
        </w:rPr>
      </w:pPr>
      <w:r w:rsidRPr="005B3614">
        <w:rPr>
          <w:rFonts w:ascii="Open Sans" w:hAnsi="Open Sans" w:cs="Open Sans"/>
          <w:sz w:val="22"/>
          <w:szCs w:val="18"/>
        </w:rPr>
        <w:t xml:space="preserve">If a Bill requires Royal Assent earlier than 10 business days after passage, the instructing agency should contact the Parliamentary Affairs and Legislation Section in </w:t>
      </w:r>
      <w:bookmarkStart w:id="0" w:name="_Hlk201936241"/>
      <w:r w:rsidRPr="005B3614">
        <w:rPr>
          <w:rFonts w:ascii="Open Sans" w:hAnsi="Open Sans" w:cs="Open Sans"/>
          <w:sz w:val="22"/>
          <w:szCs w:val="18"/>
        </w:rPr>
        <w:t>the Department of the Prime Minister and Cabinet (</w:t>
      </w:r>
      <w:proofErr w:type="spellStart"/>
      <w:r w:rsidRPr="005B3614">
        <w:rPr>
          <w:rFonts w:ascii="Open Sans" w:hAnsi="Open Sans" w:cs="Open Sans"/>
          <w:b/>
          <w:bCs/>
          <w:i/>
          <w:iCs/>
          <w:sz w:val="22"/>
          <w:szCs w:val="18"/>
        </w:rPr>
        <w:t>PM&amp;C</w:t>
      </w:r>
      <w:proofErr w:type="spellEnd"/>
      <w:r w:rsidRPr="005B3614">
        <w:rPr>
          <w:rFonts w:ascii="Open Sans" w:hAnsi="Open Sans" w:cs="Open Sans"/>
          <w:sz w:val="22"/>
          <w:szCs w:val="18"/>
        </w:rPr>
        <w:t xml:space="preserve">) </w:t>
      </w:r>
      <w:bookmarkEnd w:id="0"/>
      <w:r w:rsidRPr="005B3614">
        <w:rPr>
          <w:rFonts w:ascii="Open Sans" w:hAnsi="Open Sans" w:cs="Open Sans"/>
          <w:sz w:val="22"/>
          <w:szCs w:val="18"/>
        </w:rPr>
        <w:t xml:space="preserve">as early as possible and before the Bill has passed Parliament. If </w:t>
      </w:r>
      <w:proofErr w:type="spellStart"/>
      <w:r w:rsidRPr="005B3614">
        <w:rPr>
          <w:rFonts w:ascii="Open Sans" w:hAnsi="Open Sans" w:cs="Open Sans"/>
          <w:sz w:val="22"/>
          <w:szCs w:val="18"/>
        </w:rPr>
        <w:t>PM&amp;C</w:t>
      </w:r>
      <w:proofErr w:type="spellEnd"/>
      <w:r w:rsidRPr="005B3614">
        <w:rPr>
          <w:rFonts w:ascii="Open Sans" w:hAnsi="Open Sans" w:cs="Open Sans"/>
          <w:sz w:val="22"/>
          <w:szCs w:val="18"/>
        </w:rPr>
        <w:t xml:space="preserve"> agrees that urgent Royal Assent is needed for a Bill, they will advise OPC. Once advised, OPC will coordinate an expedited Royal Assent process for the Bill. </w:t>
      </w:r>
    </w:p>
    <w:p w14:paraId="7CA72FDA" w14:textId="77777777" w:rsidR="006A6A74" w:rsidRDefault="006A6A74" w:rsidP="006A6A74">
      <w:pPr>
        <w:pStyle w:val="BodyNum"/>
        <w:rPr>
          <w:rFonts w:ascii="Open Sans" w:hAnsi="Open Sans" w:cs="Open Sans"/>
          <w:sz w:val="22"/>
          <w:szCs w:val="18"/>
        </w:rPr>
      </w:pPr>
      <w:r w:rsidRPr="005B3614">
        <w:rPr>
          <w:rFonts w:ascii="Open Sans" w:hAnsi="Open Sans" w:cs="Open Sans"/>
          <w:sz w:val="22"/>
          <w:szCs w:val="18"/>
        </w:rPr>
        <w:t>Even with an expedited Royal Assent process, OPC cannot guarantee that a Bill will receive Royal Assent by a specific day. OPC will make all efforts to meet urgent Royal Assent deadlines, but it does not control when Assent copies of Bills are finalised by the relevant House, or the availability of the Attorney</w:t>
      </w:r>
      <w:r w:rsidRPr="005B3614">
        <w:rPr>
          <w:rFonts w:ascii="Open Sans" w:hAnsi="Open Sans" w:cs="Open Sans"/>
          <w:sz w:val="22"/>
          <w:szCs w:val="18"/>
        </w:rPr>
        <w:noBreakHyphen/>
        <w:t>General or the Governor</w:t>
      </w:r>
      <w:r w:rsidRPr="005B3614">
        <w:rPr>
          <w:rFonts w:ascii="Open Sans" w:hAnsi="Open Sans" w:cs="Open Sans"/>
          <w:sz w:val="22"/>
          <w:szCs w:val="18"/>
        </w:rPr>
        <w:noBreakHyphen/>
        <w:t xml:space="preserve">General. The earlier an instructing agency advises </w:t>
      </w:r>
      <w:proofErr w:type="spellStart"/>
      <w:r w:rsidRPr="005B3614">
        <w:rPr>
          <w:rFonts w:ascii="Open Sans" w:hAnsi="Open Sans" w:cs="Open Sans"/>
          <w:sz w:val="22"/>
          <w:szCs w:val="18"/>
        </w:rPr>
        <w:t>PM&amp;C</w:t>
      </w:r>
      <w:proofErr w:type="spellEnd"/>
      <w:r w:rsidRPr="005B3614">
        <w:rPr>
          <w:rFonts w:ascii="Open Sans" w:hAnsi="Open Sans" w:cs="Open Sans"/>
          <w:sz w:val="22"/>
          <w:szCs w:val="18"/>
        </w:rPr>
        <w:t xml:space="preserve"> that the Bill requires urgent Royal Assent, the more likely that the requested deadline will be met.</w:t>
      </w:r>
    </w:p>
    <w:p w14:paraId="039811D3" w14:textId="77777777" w:rsidR="009264E1" w:rsidRPr="005B3614" w:rsidRDefault="009264E1" w:rsidP="009264E1">
      <w:pPr>
        <w:pStyle w:val="BodyNum"/>
        <w:numPr>
          <w:ilvl w:val="0"/>
          <w:numId w:val="0"/>
        </w:numPr>
        <w:rPr>
          <w:rFonts w:ascii="Open Sans" w:hAnsi="Open Sans" w:cs="Open Sans"/>
          <w:sz w:val="22"/>
          <w:szCs w:val="18"/>
        </w:rPr>
      </w:pPr>
    </w:p>
    <w:p w14:paraId="34E3C152" w14:textId="77777777" w:rsidR="006A6A74" w:rsidRPr="00EA3ADE" w:rsidRDefault="006A6A74" w:rsidP="006A6A74">
      <w:pPr>
        <w:pStyle w:val="Heading2"/>
      </w:pPr>
      <w:r w:rsidRPr="00EA3ADE">
        <w:lastRenderedPageBreak/>
        <w:t>Delayed assent</w:t>
      </w:r>
    </w:p>
    <w:p w14:paraId="207C3BD6" w14:textId="77777777" w:rsidR="006A6A74" w:rsidRPr="00EA3ADE" w:rsidRDefault="006A6A74" w:rsidP="006A6A74">
      <w:pPr>
        <w:pStyle w:val="BodyNum"/>
        <w:rPr>
          <w:rFonts w:ascii="Open Sans" w:hAnsi="Open Sans" w:cs="Open Sans"/>
          <w:sz w:val="22"/>
          <w:szCs w:val="18"/>
        </w:rPr>
      </w:pPr>
      <w:r w:rsidRPr="00EA3ADE">
        <w:rPr>
          <w:rFonts w:ascii="Open Sans" w:hAnsi="Open Sans" w:cs="Open Sans"/>
          <w:sz w:val="22"/>
          <w:szCs w:val="18"/>
        </w:rPr>
        <w:t>There are limited situations where it may be appropriate for Royal Assent to be delayed. If so, the appropriate mechanism to delay Royal Assent is for the Attorney</w:t>
      </w:r>
      <w:r w:rsidRPr="00EA3ADE">
        <w:rPr>
          <w:rFonts w:ascii="Open Sans" w:hAnsi="Open Sans" w:cs="Open Sans"/>
          <w:sz w:val="22"/>
          <w:szCs w:val="18"/>
        </w:rPr>
        <w:noBreakHyphen/>
        <w:t>General to delay providing the Attorney</w:t>
      </w:r>
      <w:r w:rsidRPr="00EA3ADE">
        <w:rPr>
          <w:rFonts w:ascii="Open Sans" w:hAnsi="Open Sans" w:cs="Open Sans"/>
          <w:sz w:val="22"/>
          <w:szCs w:val="18"/>
        </w:rPr>
        <w:noBreakHyphen/>
        <w:t>General’s certificate for the Bill to the Governor</w:t>
      </w:r>
      <w:r w:rsidRPr="00EA3ADE">
        <w:rPr>
          <w:rFonts w:ascii="Open Sans" w:hAnsi="Open Sans" w:cs="Open Sans"/>
          <w:sz w:val="22"/>
          <w:szCs w:val="18"/>
        </w:rPr>
        <w:noBreakHyphen/>
        <w:t>General.</w:t>
      </w:r>
    </w:p>
    <w:p w14:paraId="59103A70" w14:textId="77777777" w:rsidR="006A6A74" w:rsidRPr="00EA3ADE" w:rsidRDefault="006A6A74" w:rsidP="006A6A74">
      <w:pPr>
        <w:pStyle w:val="BodyNum"/>
        <w:rPr>
          <w:rFonts w:ascii="Open Sans" w:hAnsi="Open Sans" w:cs="Open Sans"/>
          <w:sz w:val="22"/>
          <w:szCs w:val="18"/>
        </w:rPr>
      </w:pPr>
      <w:r w:rsidRPr="00EA3ADE">
        <w:rPr>
          <w:rFonts w:ascii="Open Sans" w:hAnsi="Open Sans" w:cs="Open Sans"/>
          <w:sz w:val="22"/>
          <w:szCs w:val="18"/>
        </w:rPr>
        <w:t xml:space="preserve">Any request for delayed Royal Assent should be made to </w:t>
      </w:r>
      <w:proofErr w:type="spellStart"/>
      <w:r w:rsidRPr="00EA3ADE">
        <w:rPr>
          <w:rFonts w:ascii="Open Sans" w:hAnsi="Open Sans" w:cs="Open Sans"/>
          <w:sz w:val="22"/>
          <w:szCs w:val="18"/>
        </w:rPr>
        <w:t>PM&amp;C</w:t>
      </w:r>
      <w:proofErr w:type="spellEnd"/>
      <w:r w:rsidRPr="00EA3ADE">
        <w:rPr>
          <w:rFonts w:ascii="Open Sans" w:hAnsi="Open Sans" w:cs="Open Sans"/>
          <w:sz w:val="22"/>
          <w:szCs w:val="18"/>
        </w:rPr>
        <w:t>, who can refer the request to the Attorney</w:t>
      </w:r>
      <w:r w:rsidRPr="00EA3ADE">
        <w:rPr>
          <w:rFonts w:ascii="Open Sans" w:hAnsi="Open Sans" w:cs="Open Sans"/>
          <w:sz w:val="22"/>
          <w:szCs w:val="18"/>
        </w:rPr>
        <w:noBreakHyphen/>
        <w:t>General’s office if it is appropriate to do so. Requests should not be made directly to the Attorney</w:t>
      </w:r>
      <w:r w:rsidRPr="00EA3ADE">
        <w:rPr>
          <w:rFonts w:ascii="Open Sans" w:hAnsi="Open Sans" w:cs="Open Sans"/>
          <w:sz w:val="22"/>
          <w:szCs w:val="18"/>
        </w:rPr>
        <w:noBreakHyphen/>
        <w:t>General’s Office. OPC recommends that legal advice is sought before any attempt to delay Royal Assent.</w:t>
      </w:r>
    </w:p>
    <w:p w14:paraId="5E9EAF48" w14:textId="77777777" w:rsidR="006A6A74" w:rsidRPr="00EA3ADE" w:rsidRDefault="006A6A74" w:rsidP="006A6A74">
      <w:pPr>
        <w:pStyle w:val="BodyNum"/>
        <w:rPr>
          <w:rFonts w:ascii="Open Sans" w:hAnsi="Open Sans" w:cs="Open Sans"/>
          <w:sz w:val="22"/>
          <w:szCs w:val="18"/>
        </w:rPr>
      </w:pPr>
      <w:r w:rsidRPr="00EA3ADE">
        <w:rPr>
          <w:rFonts w:ascii="Open Sans" w:hAnsi="Open Sans" w:cs="Open Sans"/>
          <w:sz w:val="22"/>
          <w:szCs w:val="18"/>
        </w:rPr>
        <w:t>OPC will not intentionally delay the process for obtaining Royal Assent at the request of an instructing agency.</w:t>
      </w:r>
    </w:p>
    <w:p w14:paraId="08B739C5" w14:textId="77777777" w:rsidR="006A6A74" w:rsidRPr="00EA3ADE" w:rsidRDefault="006A6A74" w:rsidP="006A6A74">
      <w:pPr>
        <w:pStyle w:val="Heading2"/>
      </w:pPr>
      <w:r w:rsidRPr="00EA3ADE">
        <w:t>Royal Assent and ExCo</w:t>
      </w:r>
    </w:p>
    <w:p w14:paraId="78300185" w14:textId="77777777" w:rsidR="006A6A74" w:rsidRPr="00EA3ADE" w:rsidRDefault="006A6A74" w:rsidP="006A6A74">
      <w:pPr>
        <w:pStyle w:val="BodyNum"/>
        <w:rPr>
          <w:rFonts w:ascii="Open Sans" w:hAnsi="Open Sans" w:cs="Open Sans"/>
          <w:sz w:val="22"/>
          <w:szCs w:val="18"/>
        </w:rPr>
      </w:pPr>
      <w:r w:rsidRPr="00EA3ADE">
        <w:rPr>
          <w:rFonts w:ascii="Open Sans" w:hAnsi="Open Sans" w:cs="Open Sans"/>
          <w:sz w:val="22"/>
          <w:szCs w:val="18"/>
        </w:rPr>
        <w:t>The Governor</w:t>
      </w:r>
      <w:r w:rsidRPr="00EA3ADE">
        <w:rPr>
          <w:rFonts w:ascii="Open Sans" w:hAnsi="Open Sans" w:cs="Open Sans"/>
          <w:sz w:val="22"/>
          <w:szCs w:val="18"/>
        </w:rPr>
        <w:noBreakHyphen/>
        <w:t>General may give Royal Assent to a Bill at any time after receiving the Bill from Parliament. The Governor</w:t>
      </w:r>
      <w:r w:rsidRPr="00EA3ADE">
        <w:rPr>
          <w:rFonts w:ascii="Open Sans" w:hAnsi="Open Sans" w:cs="Open Sans"/>
          <w:sz w:val="22"/>
          <w:szCs w:val="18"/>
        </w:rPr>
        <w:noBreakHyphen/>
        <w:t>General does not need to wait for a meeting of the Federal Executive Council (</w:t>
      </w:r>
      <w:r w:rsidRPr="00EA3ADE">
        <w:rPr>
          <w:rFonts w:ascii="Open Sans" w:hAnsi="Open Sans" w:cs="Open Sans"/>
          <w:b/>
          <w:bCs/>
          <w:i/>
          <w:iCs/>
          <w:sz w:val="22"/>
          <w:szCs w:val="18"/>
        </w:rPr>
        <w:t>ExCo</w:t>
      </w:r>
      <w:r w:rsidRPr="00EA3ADE">
        <w:rPr>
          <w:rFonts w:ascii="Open Sans" w:hAnsi="Open Sans" w:cs="Open Sans"/>
          <w:sz w:val="22"/>
          <w:szCs w:val="18"/>
        </w:rPr>
        <w:t>). In giving Royal Assent, the Governor</w:t>
      </w:r>
      <w:r w:rsidRPr="00EA3ADE">
        <w:rPr>
          <w:rFonts w:ascii="Open Sans" w:hAnsi="Open Sans" w:cs="Open Sans"/>
          <w:sz w:val="22"/>
          <w:szCs w:val="18"/>
        </w:rPr>
        <w:noBreakHyphen/>
        <w:t>General is exercising a discretion under section 58 of the Constitution which does not require the advice of ExCo as a precondition to its exercise.</w:t>
      </w:r>
    </w:p>
    <w:p w14:paraId="64B74C0B" w14:textId="77777777" w:rsidR="006A6A74" w:rsidRPr="00EA3ADE" w:rsidRDefault="006A6A74" w:rsidP="006A6A74">
      <w:pPr>
        <w:pStyle w:val="BodyNum"/>
        <w:rPr>
          <w:rFonts w:ascii="Open Sans" w:hAnsi="Open Sans" w:cs="Open Sans"/>
          <w:sz w:val="22"/>
          <w:szCs w:val="18"/>
        </w:rPr>
      </w:pPr>
      <w:r w:rsidRPr="00EA3ADE">
        <w:rPr>
          <w:rFonts w:ascii="Open Sans" w:hAnsi="Open Sans" w:cs="Open Sans"/>
          <w:sz w:val="22"/>
          <w:szCs w:val="18"/>
        </w:rPr>
        <w:t>If a Bill includes an instrument</w:t>
      </w:r>
      <w:r w:rsidRPr="00EA3ADE">
        <w:rPr>
          <w:rFonts w:ascii="Open Sans" w:hAnsi="Open Sans" w:cs="Open Sans"/>
          <w:sz w:val="22"/>
          <w:szCs w:val="18"/>
        </w:rPr>
        <w:noBreakHyphen/>
        <w:t>making power, the Bill must receive Royal Assent before instruments can be made under the Bill. If the instruments are to be made by the Governor</w:t>
      </w:r>
      <w:r w:rsidRPr="00EA3ADE">
        <w:rPr>
          <w:rFonts w:ascii="Open Sans" w:hAnsi="Open Sans" w:cs="Open Sans"/>
          <w:sz w:val="22"/>
          <w:szCs w:val="18"/>
        </w:rPr>
        <w:noBreakHyphen/>
        <w:t xml:space="preserve">General in ExCo, Royal Assent must be given to the Bill before the ExCo meeting. </w:t>
      </w:r>
    </w:p>
    <w:p w14:paraId="66ED1E3B" w14:textId="77777777" w:rsidR="006A6A74" w:rsidRPr="00EA3ADE" w:rsidRDefault="006A6A74" w:rsidP="006A6A74">
      <w:pPr>
        <w:pStyle w:val="BodyNum"/>
        <w:rPr>
          <w:rFonts w:ascii="Open Sans" w:hAnsi="Open Sans" w:cs="Open Sans"/>
          <w:sz w:val="22"/>
          <w:szCs w:val="18"/>
        </w:rPr>
      </w:pPr>
      <w:r w:rsidRPr="00EA3ADE">
        <w:rPr>
          <w:rFonts w:ascii="Open Sans" w:hAnsi="Open Sans" w:cs="Open Sans"/>
          <w:sz w:val="22"/>
          <w:szCs w:val="18"/>
        </w:rPr>
        <w:t>Provided Royal Assent is expected to be given to a Bill before an ExCo meeting, the draft and final documents for any subordinate instruments to be made at ExCo meeting can be provided to the ExCo Secretariat before Royal Assent is given. If Royal Assent is not given before the meeting, the instructing agency should advise the ExCo Secretariat so the instruments can be removed from the program.</w:t>
      </w:r>
    </w:p>
    <w:p w14:paraId="31ADAE47" w14:textId="77777777" w:rsidR="006A6A74" w:rsidRPr="00EA3ADE" w:rsidRDefault="006A6A74" w:rsidP="006A6A74">
      <w:pPr>
        <w:pStyle w:val="Heading2"/>
      </w:pPr>
      <w:r w:rsidRPr="00EA3ADE">
        <w:t>Royal Assent and commencement</w:t>
      </w:r>
    </w:p>
    <w:p w14:paraId="6F03A265" w14:textId="77777777" w:rsidR="006A6A74" w:rsidRPr="00EA3ADE" w:rsidRDefault="006A6A74" w:rsidP="006A6A74">
      <w:pPr>
        <w:pStyle w:val="BodyNum"/>
        <w:rPr>
          <w:rFonts w:ascii="Open Sans" w:hAnsi="Open Sans" w:cs="Open Sans"/>
          <w:sz w:val="22"/>
          <w:szCs w:val="18"/>
        </w:rPr>
      </w:pPr>
      <w:r w:rsidRPr="00EA3ADE">
        <w:rPr>
          <w:rFonts w:ascii="Open Sans" w:hAnsi="Open Sans" w:cs="Open Sans"/>
          <w:sz w:val="22"/>
          <w:szCs w:val="18"/>
        </w:rPr>
        <w:t xml:space="preserve">After an Act receives Royal Assent, it can commence in accordance with its commencement section (see </w:t>
      </w:r>
      <w:r w:rsidRPr="00EA3ADE">
        <w:rPr>
          <w:rFonts w:ascii="Open Sans" w:hAnsi="Open Sans" w:cs="Open Sans"/>
          <w:i/>
          <w:iCs/>
          <w:sz w:val="22"/>
          <w:szCs w:val="18"/>
        </w:rPr>
        <w:t>Instructor Guidance Note—Commencement provisions</w:t>
      </w:r>
      <w:r w:rsidRPr="00EA3ADE">
        <w:rPr>
          <w:rFonts w:ascii="Open Sans" w:hAnsi="Open Sans" w:cs="Open Sans"/>
          <w:sz w:val="22"/>
          <w:szCs w:val="18"/>
        </w:rPr>
        <w:t xml:space="preserve"> for more information). If the commencement section requires further action to be taken in order for commencement to occur (for example, the making of a Proclamation), it is the instructing agency’s responsibility to arrange this. If a commencement Proclamation is needed, the agency will need to prepare drafting instructions and send them to OPC.</w:t>
      </w:r>
    </w:p>
    <w:p w14:paraId="158C3F35" w14:textId="7CBD1B91" w:rsidR="006A6A74" w:rsidRPr="006A6A74" w:rsidRDefault="006A6A74" w:rsidP="006A6A74">
      <w:pPr>
        <w:pStyle w:val="BodyNum"/>
        <w:rPr>
          <w:rFonts w:ascii="Open Sans" w:hAnsi="Open Sans" w:cs="Open Sans"/>
          <w:sz w:val="22"/>
          <w:szCs w:val="18"/>
        </w:rPr>
      </w:pPr>
      <w:r w:rsidRPr="00EA3ADE">
        <w:rPr>
          <w:rFonts w:ascii="Open Sans" w:hAnsi="Open Sans" w:cs="Open Sans"/>
          <w:sz w:val="22"/>
          <w:szCs w:val="18"/>
        </w:rPr>
        <w:t>When instructing on a Bill, agencies should keep in mind that they cannot control the day or time of Royal Assent. If there is a need to control the time of commencement, agencies should consider instructing for commencement by Proclamation.</w:t>
      </w:r>
    </w:p>
    <w:p w14:paraId="406184F5" w14:textId="77777777" w:rsidR="006A6A74" w:rsidRPr="00EA3ADE" w:rsidRDefault="006A6A74" w:rsidP="006A6A74">
      <w:pPr>
        <w:pStyle w:val="Heading2"/>
      </w:pPr>
      <w:r w:rsidRPr="00EA3ADE">
        <w:t>Registration on the Federal Register of Legislation</w:t>
      </w:r>
    </w:p>
    <w:p w14:paraId="78368763" w14:textId="77777777" w:rsidR="006A6A74" w:rsidRPr="005B3614" w:rsidRDefault="006A6A74" w:rsidP="006A6A74">
      <w:pPr>
        <w:pStyle w:val="BodyNum"/>
        <w:rPr>
          <w:rFonts w:ascii="Open Sans" w:hAnsi="Open Sans" w:cs="Open Sans"/>
          <w:sz w:val="22"/>
          <w:szCs w:val="18"/>
        </w:rPr>
      </w:pPr>
      <w:r w:rsidRPr="005B3614">
        <w:rPr>
          <w:rFonts w:ascii="Open Sans" w:hAnsi="Open Sans" w:cs="Open Sans"/>
          <w:sz w:val="22"/>
          <w:szCs w:val="18"/>
        </w:rPr>
        <w:t>All Acts must be registered on the FRL as soon as practicable after they have received the Royal Assent.</w:t>
      </w:r>
    </w:p>
    <w:p w14:paraId="5EF4DFBE" w14:textId="77777777" w:rsidR="006A6A74" w:rsidRPr="005B3614" w:rsidRDefault="006A6A74" w:rsidP="006A6A74">
      <w:pPr>
        <w:pStyle w:val="BodyNum"/>
        <w:rPr>
          <w:rFonts w:ascii="Open Sans" w:hAnsi="Open Sans" w:cs="Open Sans"/>
          <w:sz w:val="22"/>
          <w:szCs w:val="18"/>
        </w:rPr>
      </w:pPr>
      <w:r w:rsidRPr="005B3614">
        <w:rPr>
          <w:rFonts w:ascii="Open Sans" w:hAnsi="Open Sans" w:cs="Open Sans"/>
          <w:sz w:val="22"/>
          <w:szCs w:val="18"/>
        </w:rPr>
        <w:t>If the new Act amended any other Acts, a compilation of the amended Acts must also be prepared and registered on FRL.</w:t>
      </w:r>
    </w:p>
    <w:p w14:paraId="733862BF" w14:textId="77777777" w:rsidR="006A6A74" w:rsidRPr="005B3614" w:rsidRDefault="006A6A74" w:rsidP="006A6A74">
      <w:pPr>
        <w:pStyle w:val="BodyNum"/>
        <w:rPr>
          <w:rFonts w:ascii="Open Sans" w:hAnsi="Open Sans" w:cs="Open Sans"/>
          <w:sz w:val="22"/>
          <w:szCs w:val="18"/>
        </w:rPr>
      </w:pPr>
      <w:r w:rsidRPr="005B3614">
        <w:rPr>
          <w:rFonts w:ascii="Open Sans" w:hAnsi="Open Sans" w:cs="Open Sans"/>
          <w:sz w:val="22"/>
          <w:szCs w:val="18"/>
        </w:rPr>
        <w:t>First Parliamentary Counsel is responsible for registering Acts and for the preparation and registration of compilations. No action is required by the instructing agency.</w:t>
      </w:r>
    </w:p>
    <w:p w14:paraId="55313AB6" w14:textId="77777777" w:rsidR="006A6A74" w:rsidRPr="005B3614" w:rsidRDefault="006A6A74" w:rsidP="006A6A74">
      <w:pPr>
        <w:pStyle w:val="BodyNum"/>
        <w:rPr>
          <w:rFonts w:ascii="Open Sans" w:hAnsi="Open Sans" w:cs="Open Sans"/>
          <w:sz w:val="22"/>
          <w:szCs w:val="18"/>
        </w:rPr>
      </w:pPr>
      <w:r w:rsidRPr="005B3614">
        <w:rPr>
          <w:rFonts w:ascii="Open Sans" w:hAnsi="Open Sans" w:cs="Open Sans"/>
          <w:sz w:val="22"/>
          <w:szCs w:val="18"/>
        </w:rPr>
        <w:t>OPC prepares compilations of Acts without charge to agencies. However, agencies whose Acts (including subsequent compilations) are registered on the FRL are liable to pay fees to OPC to recover the cost of operating the FRL. These fees are separate from any amount charged by OPC for the drafting of an instrument or the preparation of a compilation.</w:t>
      </w:r>
    </w:p>
    <w:p w14:paraId="5CA645BC" w14:textId="77777777" w:rsidR="006A6A74" w:rsidRPr="00EA3ADE" w:rsidRDefault="006A6A74" w:rsidP="006A6A74">
      <w:pPr>
        <w:pStyle w:val="Heading2"/>
      </w:pPr>
      <w:r w:rsidRPr="00EA3ADE">
        <w:t>More information</w:t>
      </w:r>
    </w:p>
    <w:p w14:paraId="71CE3388" w14:textId="77777777" w:rsidR="006A6A74" w:rsidRPr="00FF1399" w:rsidRDefault="006A6A74" w:rsidP="006A6A74">
      <w:pPr>
        <w:pStyle w:val="BodyParaBullet"/>
        <w:rPr>
          <w:rFonts w:ascii="Open Sans" w:hAnsi="Open Sans" w:cs="Open Sans"/>
          <w:sz w:val="22"/>
          <w:szCs w:val="22"/>
        </w:rPr>
      </w:pPr>
      <w:r w:rsidRPr="00FF1399">
        <w:rPr>
          <w:rFonts w:ascii="Open Sans" w:hAnsi="Open Sans" w:cs="Open Sans"/>
          <w:i/>
          <w:iCs/>
          <w:sz w:val="22"/>
          <w:szCs w:val="22"/>
        </w:rPr>
        <w:t>Legislation Handbook</w:t>
      </w:r>
      <w:r w:rsidRPr="00FF1399">
        <w:rPr>
          <w:rFonts w:ascii="Open Sans" w:hAnsi="Open Sans" w:cs="Open Sans"/>
          <w:sz w:val="22"/>
          <w:szCs w:val="22"/>
        </w:rPr>
        <w:t xml:space="preserve">, available from </w:t>
      </w:r>
      <w:proofErr w:type="spellStart"/>
      <w:r w:rsidRPr="00FF1399">
        <w:rPr>
          <w:rFonts w:ascii="Open Sans" w:hAnsi="Open Sans" w:cs="Open Sans"/>
          <w:sz w:val="22"/>
          <w:szCs w:val="22"/>
        </w:rPr>
        <w:t>PM&amp;C’s</w:t>
      </w:r>
      <w:proofErr w:type="spellEnd"/>
      <w:r w:rsidRPr="00FF1399">
        <w:rPr>
          <w:rFonts w:ascii="Open Sans" w:hAnsi="Open Sans" w:cs="Open Sans"/>
          <w:sz w:val="22"/>
          <w:szCs w:val="22"/>
        </w:rPr>
        <w:t xml:space="preserve"> website</w:t>
      </w:r>
    </w:p>
    <w:p w14:paraId="0E9BDA60" w14:textId="77777777" w:rsidR="006A6A74" w:rsidRPr="00FF1399" w:rsidRDefault="006A6A74" w:rsidP="006A6A74">
      <w:pPr>
        <w:pStyle w:val="BodyParaBullet"/>
        <w:rPr>
          <w:rFonts w:ascii="Open Sans" w:hAnsi="Open Sans" w:cs="Open Sans"/>
          <w:sz w:val="22"/>
          <w:szCs w:val="22"/>
        </w:rPr>
      </w:pPr>
      <w:r w:rsidRPr="00FF1399">
        <w:rPr>
          <w:rFonts w:ascii="Open Sans" w:hAnsi="Open Sans" w:cs="Open Sans"/>
          <w:i/>
          <w:iCs/>
          <w:sz w:val="22"/>
          <w:szCs w:val="22"/>
        </w:rPr>
        <w:t>Federal Executive Council Handbook</w:t>
      </w:r>
      <w:r w:rsidRPr="00FF1399">
        <w:rPr>
          <w:rFonts w:ascii="Open Sans" w:hAnsi="Open Sans" w:cs="Open Sans"/>
          <w:sz w:val="22"/>
          <w:szCs w:val="22"/>
        </w:rPr>
        <w:t xml:space="preserve">, available from </w:t>
      </w:r>
      <w:proofErr w:type="spellStart"/>
      <w:r w:rsidRPr="00FF1399">
        <w:rPr>
          <w:rFonts w:ascii="Open Sans" w:hAnsi="Open Sans" w:cs="Open Sans"/>
          <w:sz w:val="22"/>
          <w:szCs w:val="22"/>
        </w:rPr>
        <w:t>PM&amp;C’s</w:t>
      </w:r>
      <w:proofErr w:type="spellEnd"/>
      <w:r w:rsidRPr="00FF1399">
        <w:rPr>
          <w:rFonts w:ascii="Open Sans" w:hAnsi="Open Sans" w:cs="Open Sans"/>
          <w:sz w:val="22"/>
          <w:szCs w:val="22"/>
        </w:rPr>
        <w:t xml:space="preserve"> website</w:t>
      </w:r>
    </w:p>
    <w:p w14:paraId="0C1552FE" w14:textId="77777777" w:rsidR="006A6A74" w:rsidRDefault="006A6A74" w:rsidP="006A6A74">
      <w:pPr>
        <w:spacing w:before="120" w:after="120"/>
        <w:rPr>
          <w:sz w:val="21"/>
          <w:szCs w:val="22"/>
        </w:rPr>
      </w:pPr>
    </w:p>
    <w:tbl>
      <w:tblPr>
        <w:tblStyle w:val="TableGrid"/>
        <w:tblW w:w="0" w:type="auto"/>
        <w:tblLook w:val="04A0" w:firstRow="1" w:lastRow="0" w:firstColumn="1" w:lastColumn="0" w:noHBand="0" w:noVBand="1"/>
      </w:tblPr>
      <w:tblGrid>
        <w:gridCol w:w="9016"/>
      </w:tblGrid>
      <w:tr w:rsidR="006A6A74" w:rsidRPr="00F951F6" w14:paraId="71298A02" w14:textId="77777777" w:rsidTr="00F01C1E">
        <w:tc>
          <w:tcPr>
            <w:tcW w:w="9016" w:type="dxa"/>
            <w:tcBorders>
              <w:top w:val="nil"/>
              <w:left w:val="nil"/>
              <w:bottom w:val="nil"/>
              <w:right w:val="nil"/>
            </w:tcBorders>
            <w:shd w:val="clear" w:color="auto" w:fill="A9D9DB"/>
          </w:tcPr>
          <w:p w14:paraId="291DA401" w14:textId="77777777" w:rsidR="006A6A74" w:rsidRPr="00B33DE3" w:rsidRDefault="006A6A74" w:rsidP="00F01C1E">
            <w:pPr>
              <w:spacing w:before="120" w:after="120"/>
              <w:rPr>
                <w:rFonts w:ascii="Open Sans" w:hAnsi="Open Sans" w:cs="Open Sans"/>
                <w:sz w:val="22"/>
                <w:szCs w:val="22"/>
              </w:rPr>
            </w:pPr>
            <w:bookmarkStart w:id="1" w:name="_Hlk202188723"/>
            <w:r w:rsidRPr="00B33DE3">
              <w:rPr>
                <w:rFonts w:ascii="Open Sans" w:hAnsi="Open Sans" w:cs="Open Sans"/>
                <w:color w:val="084D5E"/>
                <w:sz w:val="22"/>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1"/>
    </w:tbl>
    <w:p w14:paraId="61A07226" w14:textId="77777777" w:rsidR="006A6A74" w:rsidRPr="004551BE" w:rsidRDefault="006A6A74" w:rsidP="006A6A74">
      <w:pPr>
        <w:spacing w:before="120" w:after="120"/>
        <w:rPr>
          <w:sz w:val="21"/>
          <w:szCs w:val="22"/>
        </w:rPr>
      </w:pPr>
    </w:p>
    <w:p w14:paraId="58F10912" w14:textId="767983B2" w:rsidR="00C80BB9" w:rsidRPr="006A6A74" w:rsidRDefault="00C80BB9" w:rsidP="006A6A74"/>
    <w:sectPr w:rsidR="00C80BB9" w:rsidRPr="006A6A74" w:rsidSect="006A6A74">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626C" w14:textId="77777777" w:rsidR="00625A60" w:rsidRDefault="00625A60" w:rsidP="00625A60">
      <w:pPr>
        <w:spacing w:after="0" w:line="240" w:lineRule="auto"/>
      </w:pPr>
      <w:r>
        <w:separator/>
      </w:r>
    </w:p>
  </w:endnote>
  <w:endnote w:type="continuationSeparator" w:id="0">
    <w:p w14:paraId="491E7ABB" w14:textId="77777777" w:rsidR="00625A60" w:rsidRDefault="00625A60" w:rsidP="0062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Bold r:id="rId1" w:subsetted="1" w:fontKey="{51511D10-D0BE-4429-A8EE-F4D4AAE5B112}"/>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Open Sans ExtraBold">
    <w:charset w:val="00"/>
    <w:family w:val="swiss"/>
    <w:pitch w:val="variable"/>
    <w:sig w:usb0="E00002EF" w:usb1="4000205B" w:usb2="00000028" w:usb3="00000000" w:csb0="0000019F" w:csb1="00000000"/>
    <w:embedRegular r:id="rId2" w:fontKey="{0CF18CAE-640B-4EB8-A08A-395D5E490DA6}"/>
    <w:embedBold r:id="rId3" w:fontKey="{FDFE3CA3-C6EB-455A-A12D-8125E7E11996}"/>
  </w:font>
  <w:font w:name="Arial">
    <w:panose1 w:val="020B0604020202020204"/>
    <w:charset w:val="00"/>
    <w:family w:val="swiss"/>
    <w:pitch w:val="variable"/>
    <w:sig w:usb0="E0002EFF" w:usb1="C000785B" w:usb2="00000009" w:usb3="00000000" w:csb0="000001FF" w:csb1="00000000"/>
  </w:font>
  <w:font w:name="EB Garamond">
    <w:altName w:val="Calibri"/>
    <w:charset w:val="00"/>
    <w:family w:val="auto"/>
    <w:pitch w:val="variable"/>
    <w:sig w:usb0="E00002FF" w:usb1="02000413" w:usb2="00000000" w:usb3="00000000" w:csb0="0000019F" w:csb1="00000000"/>
  </w:font>
  <w:font w:name="Open Sans">
    <w:charset w:val="00"/>
    <w:family w:val="swiss"/>
    <w:pitch w:val="variable"/>
    <w:sig w:usb0="E00002EF" w:usb1="4000205B" w:usb2="00000028" w:usb3="00000000" w:csb0="0000019F" w:csb1="00000000"/>
    <w:embedRegular r:id="rId4" w:fontKey="{80240902-6B08-4B74-8025-ECA85605AC86}"/>
    <w:embedItalic r:id="rId5" w:fontKey="{0F2200A7-9C36-420B-A078-BCD5D75D69BD}"/>
    <w:embedBoldItalic r:id="rId6" w:fontKey="{0C15AF6F-8C58-4FCC-831E-50963F253A83}"/>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8279" w14:textId="49747F43" w:rsidR="000D7136" w:rsidRPr="00C5523D" w:rsidRDefault="000D7136" w:rsidP="000D7136">
    <w:pPr>
      <w:pStyle w:val="Footer"/>
      <w:jc w:val="right"/>
      <w:rPr>
        <w:rFonts w:ascii="Open Sans" w:hAnsi="Open Sans" w:cs="Open Sans"/>
        <w:sz w:val="20"/>
        <w:szCs w:val="20"/>
      </w:rPr>
    </w:pPr>
    <w:r w:rsidRPr="00C5523D">
      <w:rPr>
        <w:rFonts w:ascii="Open Sans" w:hAnsi="Open Sans" w:cs="Open Sans"/>
        <w:sz w:val="20"/>
        <w:szCs w:val="20"/>
      </w:rPr>
      <w:t>[S25fz102.docx]</w:t>
    </w:r>
    <w:r w:rsidRPr="00C5523D">
      <w:rPr>
        <w:rFonts w:ascii="Open Sans" w:hAnsi="Open Sans" w:cs="Open Sans"/>
        <w:sz w:val="20"/>
        <w:szCs w:val="20"/>
      </w:rPr>
      <w:tab/>
    </w:r>
    <w:r w:rsidRPr="00C5523D">
      <w:rPr>
        <w:rFonts w:ascii="Open Sans" w:hAnsi="Open Sans" w:cs="Open Sans"/>
        <w:sz w:val="20"/>
        <w:szCs w:val="20"/>
      </w:rPr>
      <w:tab/>
      <w:t xml:space="preserve">                                  Last updated: </w:t>
    </w:r>
    <w:r w:rsidR="00EC2B1D" w:rsidRPr="00C5523D">
      <w:rPr>
        <w:rFonts w:ascii="Open Sans" w:hAnsi="Open Sans" w:cs="Open Sans"/>
        <w:sz w:val="20"/>
        <w:szCs w:val="20"/>
      </w:rPr>
      <w:t>10</w:t>
    </w:r>
    <w:r w:rsidRPr="00C5523D">
      <w:rPr>
        <w:rFonts w:ascii="Open Sans" w:hAnsi="Open Sans" w:cs="Open Sans"/>
        <w:sz w:val="20"/>
        <w:szCs w:val="20"/>
      </w:rPr>
      <w:t xml:space="preserve"> October 2025                                                                                                                                    Page | </w:t>
    </w:r>
    <w:r w:rsidRPr="00C5523D">
      <w:rPr>
        <w:rFonts w:ascii="Open Sans" w:hAnsi="Open Sans" w:cs="Open Sans"/>
        <w:sz w:val="20"/>
        <w:szCs w:val="20"/>
      </w:rPr>
      <w:fldChar w:fldCharType="begin"/>
    </w:r>
    <w:r w:rsidRPr="00C5523D">
      <w:rPr>
        <w:rFonts w:ascii="Open Sans" w:hAnsi="Open Sans" w:cs="Open Sans"/>
        <w:sz w:val="20"/>
        <w:szCs w:val="20"/>
      </w:rPr>
      <w:instrText xml:space="preserve"> PAGE   \* MERGEFORMAT </w:instrText>
    </w:r>
    <w:r w:rsidRPr="00C5523D">
      <w:rPr>
        <w:rFonts w:ascii="Open Sans" w:hAnsi="Open Sans" w:cs="Open Sans"/>
        <w:sz w:val="20"/>
        <w:szCs w:val="20"/>
      </w:rPr>
      <w:fldChar w:fldCharType="separate"/>
    </w:r>
    <w:r w:rsidRPr="00C5523D">
      <w:rPr>
        <w:rFonts w:ascii="Open Sans" w:hAnsi="Open Sans" w:cs="Open Sans"/>
        <w:sz w:val="20"/>
        <w:szCs w:val="20"/>
      </w:rPr>
      <w:t>1</w:t>
    </w:r>
    <w:r w:rsidRPr="00C5523D">
      <w:rPr>
        <w:rFonts w:ascii="Open Sans" w:hAnsi="Open Sans" w:cs="Open Sans"/>
        <w:sz w:val="20"/>
        <w:szCs w:val="20"/>
      </w:rPr>
      <w:fldChar w:fldCharType="end"/>
    </w:r>
    <w:r w:rsidRPr="00C5523D">
      <w:rPr>
        <w:rFonts w:ascii="Open Sans" w:hAnsi="Open Sans" w:cs="Open Sans"/>
        <w:sz w:val="20"/>
        <w:szCs w:val="20"/>
      </w:rPr>
      <w:t xml:space="preserve"> </w:t>
    </w:r>
  </w:p>
  <w:sdt>
    <w:sdtPr>
      <w:rPr>
        <w:rFonts w:ascii="Open Sans" w:hAnsi="Open Sans" w:cs="Open Sans"/>
        <w:sz w:val="20"/>
        <w:szCs w:val="20"/>
      </w:rPr>
      <w:id w:val="-1627687372"/>
      <w:docPartObj>
        <w:docPartGallery w:val="Page Numbers (Bottom of Page)"/>
        <w:docPartUnique/>
      </w:docPartObj>
    </w:sdtPr>
    <w:sdtEndPr/>
    <w:sdtContent>
      <w:p w14:paraId="3EDB4386" w14:textId="55EF4E88" w:rsidR="00625A60" w:rsidRPr="00C5523D" w:rsidRDefault="000D7136" w:rsidP="00800988">
        <w:pPr>
          <w:pStyle w:val="Footer"/>
          <w:jc w:val="right"/>
          <w:rPr>
            <w:rFonts w:ascii="Open Sans" w:hAnsi="Open Sans" w:cs="Open Sans"/>
            <w:sz w:val="20"/>
            <w:szCs w:val="20"/>
          </w:rPr>
        </w:pPr>
        <w:r w:rsidRPr="00C5523D">
          <w:rPr>
            <w:rFonts w:ascii="Open Sans" w:hAnsi="Open Sans" w:cs="Open Sans"/>
            <w:sz w:val="20"/>
            <w:szCs w:val="20"/>
          </w:rPr>
          <w:t xml:space="preserve">Page | </w:t>
        </w:r>
        <w:r w:rsidRPr="00C5523D">
          <w:rPr>
            <w:rFonts w:ascii="Open Sans" w:hAnsi="Open Sans" w:cs="Open Sans"/>
            <w:sz w:val="20"/>
            <w:szCs w:val="20"/>
          </w:rPr>
          <w:fldChar w:fldCharType="begin"/>
        </w:r>
        <w:r w:rsidRPr="00C5523D">
          <w:rPr>
            <w:rFonts w:ascii="Open Sans" w:hAnsi="Open Sans" w:cs="Open Sans"/>
            <w:sz w:val="20"/>
            <w:szCs w:val="20"/>
          </w:rPr>
          <w:instrText xml:space="preserve"> PAGE   \* MERGEFORMAT </w:instrText>
        </w:r>
        <w:r w:rsidRPr="00C5523D">
          <w:rPr>
            <w:rFonts w:ascii="Open Sans" w:hAnsi="Open Sans" w:cs="Open Sans"/>
            <w:sz w:val="20"/>
            <w:szCs w:val="20"/>
          </w:rPr>
          <w:fldChar w:fldCharType="separate"/>
        </w:r>
        <w:r w:rsidRPr="00C5523D">
          <w:rPr>
            <w:rFonts w:ascii="Open Sans" w:hAnsi="Open Sans" w:cs="Open Sans"/>
            <w:sz w:val="20"/>
            <w:szCs w:val="20"/>
          </w:rPr>
          <w:t>1</w:t>
        </w:r>
        <w:r w:rsidRPr="00C5523D">
          <w:rPr>
            <w:rFonts w:ascii="Open Sans" w:hAnsi="Open Sans" w:cs="Open San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CC4C" w14:textId="77777777" w:rsidR="000D7136" w:rsidRPr="000D7136" w:rsidRDefault="000D7136">
    <w:pPr>
      <w:pStyle w:val="Footer"/>
      <w:jc w:val="right"/>
      <w:rPr>
        <w:rFonts w:ascii="Open Sans" w:hAnsi="Open Sans" w:cs="Open Sans"/>
        <w:sz w:val="20"/>
        <w:szCs w:val="20"/>
      </w:rPr>
    </w:pPr>
  </w:p>
  <w:p w14:paraId="2A38C1A9" w14:textId="50DF2D46" w:rsidR="000D7136" w:rsidRPr="000D7136" w:rsidRDefault="000D7136">
    <w:pPr>
      <w:pStyle w:val="Footer"/>
      <w:jc w:val="right"/>
      <w:rPr>
        <w:rFonts w:ascii="Open Sans" w:hAnsi="Open Sans" w:cs="Open Sans"/>
        <w:sz w:val="20"/>
        <w:szCs w:val="20"/>
      </w:rPr>
    </w:pPr>
    <w:r w:rsidRPr="000D7136">
      <w:rPr>
        <w:rFonts w:ascii="Open Sans" w:hAnsi="Open Sans" w:cs="Open Sans"/>
        <w:sz w:val="20"/>
        <w:szCs w:val="20"/>
      </w:rPr>
      <w:t>[S25fz102.docx]</w:t>
    </w:r>
    <w:r w:rsidRPr="000D7136">
      <w:rPr>
        <w:rFonts w:ascii="Open Sans" w:hAnsi="Open Sans" w:cs="Open Sans"/>
        <w:sz w:val="20"/>
        <w:szCs w:val="20"/>
      </w:rPr>
      <w:tab/>
    </w:r>
    <w:r w:rsidRPr="000D7136">
      <w:rPr>
        <w:rFonts w:ascii="Open Sans" w:hAnsi="Open Sans" w:cs="Open Sans"/>
        <w:sz w:val="20"/>
        <w:szCs w:val="20"/>
      </w:rPr>
      <w:tab/>
      <w:t xml:space="preserve">                  </w:t>
    </w:r>
    <w:r>
      <w:rPr>
        <w:rFonts w:ascii="Open Sans" w:hAnsi="Open Sans" w:cs="Open Sans"/>
        <w:sz w:val="20"/>
        <w:szCs w:val="20"/>
      </w:rPr>
      <w:t xml:space="preserve">                </w:t>
    </w:r>
    <w:r w:rsidRPr="000D7136">
      <w:rPr>
        <w:rFonts w:ascii="Open Sans" w:hAnsi="Open Sans" w:cs="Open Sans"/>
        <w:sz w:val="20"/>
        <w:szCs w:val="20"/>
      </w:rPr>
      <w:t xml:space="preserve">Last updated: </w:t>
    </w:r>
    <w:r w:rsidR="009264E1">
      <w:rPr>
        <w:rFonts w:ascii="Open Sans" w:hAnsi="Open Sans" w:cs="Open Sans"/>
        <w:sz w:val="20"/>
        <w:szCs w:val="20"/>
      </w:rPr>
      <w:t>10</w:t>
    </w:r>
    <w:r w:rsidRPr="000D7136">
      <w:rPr>
        <w:rFonts w:ascii="Open Sans" w:hAnsi="Open Sans" w:cs="Open Sans"/>
        <w:sz w:val="20"/>
        <w:szCs w:val="20"/>
      </w:rPr>
      <w:t xml:space="preserve"> October 2025                                                                                                                                    Page | </w:t>
    </w:r>
    <w:r w:rsidRPr="000D7136">
      <w:rPr>
        <w:rFonts w:ascii="Open Sans" w:hAnsi="Open Sans" w:cs="Open Sans"/>
        <w:sz w:val="20"/>
        <w:szCs w:val="20"/>
      </w:rPr>
      <w:fldChar w:fldCharType="begin"/>
    </w:r>
    <w:r w:rsidRPr="000D7136">
      <w:rPr>
        <w:rFonts w:ascii="Open Sans" w:hAnsi="Open Sans" w:cs="Open Sans"/>
        <w:sz w:val="20"/>
        <w:szCs w:val="20"/>
      </w:rPr>
      <w:instrText xml:space="preserve"> PAGE   \* MERGEFORMAT </w:instrText>
    </w:r>
    <w:r w:rsidRPr="000D7136">
      <w:rPr>
        <w:rFonts w:ascii="Open Sans" w:hAnsi="Open Sans" w:cs="Open Sans"/>
        <w:sz w:val="20"/>
        <w:szCs w:val="20"/>
      </w:rPr>
      <w:fldChar w:fldCharType="separate"/>
    </w:r>
    <w:r w:rsidRPr="000D7136">
      <w:rPr>
        <w:rFonts w:ascii="Open Sans" w:hAnsi="Open Sans" w:cs="Open Sans"/>
        <w:sz w:val="20"/>
        <w:szCs w:val="20"/>
      </w:rPr>
      <w:t>1</w:t>
    </w:r>
    <w:r w:rsidRPr="000D7136">
      <w:rPr>
        <w:rFonts w:ascii="Open Sans" w:hAnsi="Open Sans" w:cs="Open Sans"/>
        <w:sz w:val="20"/>
        <w:szCs w:val="20"/>
      </w:rPr>
      <w:fldChar w:fldCharType="end"/>
    </w:r>
    <w:r w:rsidRPr="000D7136">
      <w:rPr>
        <w:rFonts w:ascii="Open Sans" w:hAnsi="Open Sans" w:cs="Open Sans"/>
        <w:sz w:val="20"/>
        <w:szCs w:val="20"/>
      </w:rPr>
      <w:t xml:space="preserve"> </w:t>
    </w:r>
  </w:p>
  <w:sdt>
    <w:sdtPr>
      <w:rPr>
        <w:rFonts w:ascii="Open Sans" w:hAnsi="Open Sans" w:cs="Open Sans"/>
        <w:sz w:val="20"/>
        <w:szCs w:val="20"/>
      </w:rPr>
      <w:id w:val="-555085912"/>
      <w:docPartObj>
        <w:docPartGallery w:val="Page Numbers (Bottom of Page)"/>
        <w:docPartUnique/>
      </w:docPartObj>
    </w:sdtPr>
    <w:sdtEndPr/>
    <w:sdtContent>
      <w:p w14:paraId="43BED3D8" w14:textId="5C27C59C" w:rsidR="000D7136" w:rsidRPr="000D7136" w:rsidRDefault="009264E1" w:rsidP="00800988">
        <w:pPr>
          <w:pStyle w:val="Footer"/>
          <w:jc w:val="right"/>
          <w:rPr>
            <w:rFonts w:ascii="Open Sans" w:hAnsi="Open Sans" w:cs="Open Sans"/>
            <w:sz w:val="20"/>
            <w:szCs w:val="20"/>
          </w:rPr>
        </w:pPr>
        <w:r>
          <w:rPr>
            <w:rFonts w:ascii="Open Sans" w:hAnsi="Open Sans" w:cs="Open Sans"/>
            <w:sz w:val="20"/>
            <w:szCs w:val="20"/>
          </w:rPr>
          <w:tab/>
        </w:r>
        <w:r w:rsidR="000D7136" w:rsidRPr="000D7136">
          <w:rPr>
            <w:rFonts w:ascii="Open Sans" w:hAnsi="Open Sans" w:cs="Open Sans"/>
            <w:sz w:val="20"/>
            <w:szCs w:val="20"/>
          </w:rPr>
          <w:t xml:space="preserve">Page | </w:t>
        </w:r>
        <w:r w:rsidR="000D7136" w:rsidRPr="000D7136">
          <w:rPr>
            <w:rFonts w:ascii="Open Sans" w:hAnsi="Open Sans" w:cs="Open Sans"/>
            <w:sz w:val="20"/>
            <w:szCs w:val="20"/>
          </w:rPr>
          <w:fldChar w:fldCharType="begin"/>
        </w:r>
        <w:r w:rsidR="000D7136" w:rsidRPr="000D7136">
          <w:rPr>
            <w:rFonts w:ascii="Open Sans" w:hAnsi="Open Sans" w:cs="Open Sans"/>
            <w:sz w:val="20"/>
            <w:szCs w:val="20"/>
          </w:rPr>
          <w:instrText xml:space="preserve"> PAGE   \* MERGEFORMAT </w:instrText>
        </w:r>
        <w:r w:rsidR="000D7136" w:rsidRPr="000D7136">
          <w:rPr>
            <w:rFonts w:ascii="Open Sans" w:hAnsi="Open Sans" w:cs="Open Sans"/>
            <w:sz w:val="20"/>
            <w:szCs w:val="20"/>
          </w:rPr>
          <w:fldChar w:fldCharType="separate"/>
        </w:r>
        <w:r w:rsidR="000D7136" w:rsidRPr="000D7136">
          <w:rPr>
            <w:rFonts w:ascii="Open Sans" w:hAnsi="Open Sans" w:cs="Open Sans"/>
            <w:noProof/>
            <w:sz w:val="20"/>
            <w:szCs w:val="20"/>
          </w:rPr>
          <w:t>2</w:t>
        </w:r>
        <w:r w:rsidR="000D7136" w:rsidRPr="000D7136">
          <w:rPr>
            <w:rFonts w:ascii="Open Sans" w:hAnsi="Open Sans" w:cs="Open San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A40E" w14:textId="77777777" w:rsidR="00625A60" w:rsidRDefault="00625A60" w:rsidP="00625A60">
      <w:pPr>
        <w:spacing w:after="0" w:line="240" w:lineRule="auto"/>
      </w:pPr>
      <w:r>
        <w:separator/>
      </w:r>
    </w:p>
  </w:footnote>
  <w:footnote w:type="continuationSeparator" w:id="0">
    <w:p w14:paraId="3A31AAB6" w14:textId="77777777" w:rsidR="00625A60" w:rsidRDefault="00625A60" w:rsidP="00625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E5C8" w14:textId="77777777" w:rsidR="006A6A74" w:rsidRDefault="006A6A74" w:rsidP="006A6A74">
    <w:pPr>
      <w:pStyle w:val="Header"/>
      <w:rPr>
        <w:b/>
        <w:bCs/>
        <w:color w:val="BBBABA"/>
      </w:rPr>
    </w:pPr>
  </w:p>
  <w:p w14:paraId="3790E0DC" w14:textId="316CB3C6" w:rsidR="00625A60" w:rsidRPr="006A6A74" w:rsidRDefault="006A6A74">
    <w:pPr>
      <w:pStyle w:val="Header"/>
      <w:rPr>
        <w:b/>
        <w:bCs/>
        <w:color w:val="BBBABA"/>
      </w:rPr>
    </w:pPr>
    <w:r w:rsidRPr="00396EDA">
      <w:rPr>
        <w:b/>
        <w:bCs/>
        <w:color w:val="BBBABA"/>
      </w:rPr>
      <w:t>Instructor Guidance Note—</w:t>
    </w:r>
    <w:r w:rsidRPr="00EA3ADE">
      <w:rPr>
        <w:b/>
        <w:bCs/>
        <w:color w:val="BBBABA"/>
      </w:rPr>
      <w:t>My Bill has passed, what happens next?</w:t>
    </w:r>
    <w:r w:rsidR="00625A60" w:rsidRPr="009D3F97">
      <w:rPr>
        <w:rFonts w:ascii="EB Garamond" w:hAnsi="EB Garamond" w:cs="EB Garamond"/>
        <w:b/>
        <w:noProof/>
        <w:color w:val="084D5E"/>
        <w:lang w:val="en-US"/>
      </w:rPr>
      <mc:AlternateContent>
        <mc:Choice Requires="wps">
          <w:drawing>
            <wp:anchor distT="0" distB="0" distL="114300" distR="114300" simplePos="0" relativeHeight="251659264" behindDoc="0" locked="1" layoutInCell="1" allowOverlap="1" wp14:anchorId="2979CC8C" wp14:editId="22591B33">
              <wp:simplePos x="0" y="0"/>
              <wp:positionH relativeFrom="page">
                <wp:posOffset>894080</wp:posOffset>
              </wp:positionH>
              <wp:positionV relativeFrom="paragraph">
                <wp:posOffset>-506730</wp:posOffset>
              </wp:positionV>
              <wp:extent cx="5772785" cy="395605"/>
              <wp:effectExtent l="0" t="0" r="0" b="0"/>
              <wp:wrapNone/>
              <wp:docPr id="107" name="Text Box 340" descr="Sec-Headerprimary"/>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CEA6D2" w14:textId="09550E4B" w:rsidR="00625A60" w:rsidRPr="00324EB0" w:rsidRDefault="00625A60" w:rsidP="00625A60">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7461B">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52EBB">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79CC8C" id="_x0000_t202" coordsize="21600,21600" o:spt="202" path="m,l,21600r21600,l21600,xe">
              <v:stroke joinstyle="miter"/>
              <v:path gradientshapeok="t" o:connecttype="rect"/>
            </v:shapetype>
            <v:shape id="Text Box 340" o:spid="_x0000_s1026" type="#_x0000_t202" alt="Sec-Headerprimary" style="position:absolute;margin-left:70.4pt;margin-top:-39.9pt;width:454.55pt;height:31.1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" stroked="f" strokeweight=".5pt">
              <v:fill opacity="0"/>
              <v:textbox>
                <w:txbxContent>
                  <w:p w14:paraId="25CEA6D2" w14:textId="09550E4B" w:rsidR="00625A60" w:rsidRPr="00324EB0" w:rsidRDefault="00625A60" w:rsidP="00625A60">
                    <w:pPr>
                      <w:spacing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7461B">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52EBB">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373A" w14:textId="63AA13F0" w:rsidR="00A20EB2" w:rsidRDefault="006A6A74">
    <w:pPr>
      <w:pStyle w:val="Header"/>
    </w:pPr>
    <w:r w:rsidRPr="00F951F6">
      <w:rPr>
        <w:rFonts w:cs="Open Sans"/>
        <w:noProof/>
      </w:rPr>
      <w:drawing>
        <wp:anchor distT="0" distB="0" distL="114300" distR="114300" simplePos="0" relativeHeight="251663360" behindDoc="0" locked="0" layoutInCell="1" allowOverlap="1" wp14:anchorId="0ECBC704" wp14:editId="3582B767">
          <wp:simplePos x="0" y="0"/>
          <wp:positionH relativeFrom="margin">
            <wp:posOffset>-117475</wp:posOffset>
          </wp:positionH>
          <wp:positionV relativeFrom="paragraph">
            <wp:posOffset>-205377</wp:posOffset>
          </wp:positionV>
          <wp:extent cx="3229347" cy="748862"/>
          <wp:effectExtent l="0" t="0" r="0" b="0"/>
          <wp:wrapNone/>
          <wp:docPr id="635747286"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r w:rsidRPr="009D3F97">
      <w:rPr>
        <w:rFonts w:ascii="EB Garamond" w:hAnsi="EB Garamond"/>
        <w:b/>
        <w:noProof/>
        <w:color w:val="084D5E"/>
        <w:lang w:val="en-US"/>
      </w:rPr>
      <mc:AlternateContent>
        <mc:Choice Requires="wps">
          <w:drawing>
            <wp:anchor distT="0" distB="0" distL="114300" distR="114300" simplePos="0" relativeHeight="251664384" behindDoc="0" locked="1" layoutInCell="1" allowOverlap="1" wp14:anchorId="71E0EF80" wp14:editId="2C4C0ACD">
              <wp:simplePos x="0" y="0"/>
              <wp:positionH relativeFrom="page">
                <wp:posOffset>775970</wp:posOffset>
              </wp:positionH>
              <wp:positionV relativeFrom="paragraph">
                <wp:posOffset>-342265</wp:posOffset>
              </wp:positionV>
              <wp:extent cx="5772785" cy="395605"/>
              <wp:effectExtent l="0" t="0" r="0" b="0"/>
              <wp:wrapNone/>
              <wp:docPr id="127985678" name="Text Box 340" descr="Sec-Headerfirstpage"/>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1CC185" w14:textId="5F2A6F06" w:rsidR="006A6A74" w:rsidRPr="00324EB0" w:rsidRDefault="006A6A74" w:rsidP="006A6A7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7461B">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7461B">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E0EF80" id="_x0000_t202" coordsize="21600,21600" o:spt="202" path="m,l,21600r21600,l21600,xe">
              <v:stroke joinstyle="miter"/>
              <v:path gradientshapeok="t" o:connecttype="rect"/>
            </v:shapetype>
            <v:shape id="_x0000_s1027" type="#_x0000_t202" alt="Sec-Headerfirstpage" style="position:absolute;margin-left:61.1pt;margin-top:-26.95pt;width:454.55pt;height:31.1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" stroked="f" strokeweight=".5pt">
              <v:fill opacity="0"/>
              <v:textbox>
                <w:txbxContent>
                  <w:p w14:paraId="5C1CC185" w14:textId="5F2A6F06" w:rsidR="006A6A74" w:rsidRPr="00324EB0" w:rsidRDefault="006A6A74" w:rsidP="006A6A7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7461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7461B">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7461B">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7D266A"/>
    <w:multiLevelType w:val="hybridMultilevel"/>
    <w:tmpl w:val="CF86C3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2746C51"/>
    <w:multiLevelType w:val="hybridMultilevel"/>
    <w:tmpl w:val="BB94C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8D0E10"/>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4495373">
    <w:abstractNumId w:val="1"/>
  </w:num>
  <w:num w:numId="2" w16cid:durableId="1462459797">
    <w:abstractNumId w:val="0"/>
  </w:num>
  <w:num w:numId="3" w16cid:durableId="1782257607">
    <w:abstractNumId w:val="3"/>
  </w:num>
  <w:num w:numId="4" w16cid:durableId="63310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documentProtection w:edit="readOnly" w:enforcement="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7F"/>
    <w:rsid w:val="0003177D"/>
    <w:rsid w:val="000378C9"/>
    <w:rsid w:val="00040635"/>
    <w:rsid w:val="00042B92"/>
    <w:rsid w:val="0004759B"/>
    <w:rsid w:val="000525A8"/>
    <w:rsid w:val="000633B0"/>
    <w:rsid w:val="000834E2"/>
    <w:rsid w:val="000A0BA7"/>
    <w:rsid w:val="000A6339"/>
    <w:rsid w:val="000B1A3B"/>
    <w:rsid w:val="000D7136"/>
    <w:rsid w:val="000F1B6C"/>
    <w:rsid w:val="000F3C16"/>
    <w:rsid w:val="0011207F"/>
    <w:rsid w:val="001249E4"/>
    <w:rsid w:val="001350E1"/>
    <w:rsid w:val="00152900"/>
    <w:rsid w:val="001558B2"/>
    <w:rsid w:val="001600A4"/>
    <w:rsid w:val="0016380C"/>
    <w:rsid w:val="00183920"/>
    <w:rsid w:val="001843FF"/>
    <w:rsid w:val="00195AA5"/>
    <w:rsid w:val="001A1525"/>
    <w:rsid w:val="001A268B"/>
    <w:rsid w:val="001A78EA"/>
    <w:rsid w:val="001C7941"/>
    <w:rsid w:val="001E4E50"/>
    <w:rsid w:val="001E6C2C"/>
    <w:rsid w:val="001F0F5D"/>
    <w:rsid w:val="001F2C7C"/>
    <w:rsid w:val="001F69C1"/>
    <w:rsid w:val="00204824"/>
    <w:rsid w:val="00211DC0"/>
    <w:rsid w:val="002328C9"/>
    <w:rsid w:val="002347F2"/>
    <w:rsid w:val="0023630D"/>
    <w:rsid w:val="0024340D"/>
    <w:rsid w:val="0024549C"/>
    <w:rsid w:val="0027035B"/>
    <w:rsid w:val="00273F69"/>
    <w:rsid w:val="002757B9"/>
    <w:rsid w:val="002848BB"/>
    <w:rsid w:val="00296970"/>
    <w:rsid w:val="002A322E"/>
    <w:rsid w:val="002C4EAE"/>
    <w:rsid w:val="002C5AF9"/>
    <w:rsid w:val="002C69ED"/>
    <w:rsid w:val="002D67D3"/>
    <w:rsid w:val="002F11A1"/>
    <w:rsid w:val="002F6F2A"/>
    <w:rsid w:val="00307520"/>
    <w:rsid w:val="00310BC5"/>
    <w:rsid w:val="00314BDA"/>
    <w:rsid w:val="00335AF1"/>
    <w:rsid w:val="003362FC"/>
    <w:rsid w:val="00340674"/>
    <w:rsid w:val="00343892"/>
    <w:rsid w:val="00343FDE"/>
    <w:rsid w:val="00350993"/>
    <w:rsid w:val="0035100E"/>
    <w:rsid w:val="003660D3"/>
    <w:rsid w:val="00370759"/>
    <w:rsid w:val="00382640"/>
    <w:rsid w:val="0038506C"/>
    <w:rsid w:val="00394FF9"/>
    <w:rsid w:val="00396848"/>
    <w:rsid w:val="003969A3"/>
    <w:rsid w:val="003B334C"/>
    <w:rsid w:val="003F0C4D"/>
    <w:rsid w:val="003F36E2"/>
    <w:rsid w:val="003F67BD"/>
    <w:rsid w:val="004055D3"/>
    <w:rsid w:val="0041137F"/>
    <w:rsid w:val="004215EE"/>
    <w:rsid w:val="00435454"/>
    <w:rsid w:val="00442968"/>
    <w:rsid w:val="0045320E"/>
    <w:rsid w:val="00477424"/>
    <w:rsid w:val="00487380"/>
    <w:rsid w:val="004907F9"/>
    <w:rsid w:val="004A60B7"/>
    <w:rsid w:val="004B0AF3"/>
    <w:rsid w:val="004B0C7F"/>
    <w:rsid w:val="004B47CB"/>
    <w:rsid w:val="004C1806"/>
    <w:rsid w:val="004C5F2E"/>
    <w:rsid w:val="004C62DF"/>
    <w:rsid w:val="004C6FE4"/>
    <w:rsid w:val="004E2FCD"/>
    <w:rsid w:val="005018DC"/>
    <w:rsid w:val="00506557"/>
    <w:rsid w:val="00520D89"/>
    <w:rsid w:val="00530C06"/>
    <w:rsid w:val="00553601"/>
    <w:rsid w:val="00561C52"/>
    <w:rsid w:val="00591AB4"/>
    <w:rsid w:val="00593217"/>
    <w:rsid w:val="00593D32"/>
    <w:rsid w:val="00596FC7"/>
    <w:rsid w:val="005B077E"/>
    <w:rsid w:val="005C6624"/>
    <w:rsid w:val="005D566E"/>
    <w:rsid w:val="005E1563"/>
    <w:rsid w:val="005E7BD5"/>
    <w:rsid w:val="005F48D0"/>
    <w:rsid w:val="0060388C"/>
    <w:rsid w:val="006127C2"/>
    <w:rsid w:val="006148D9"/>
    <w:rsid w:val="00620406"/>
    <w:rsid w:val="00623C8B"/>
    <w:rsid w:val="00625A60"/>
    <w:rsid w:val="00650D9D"/>
    <w:rsid w:val="0067017F"/>
    <w:rsid w:val="0067461B"/>
    <w:rsid w:val="006873A1"/>
    <w:rsid w:val="006A6A74"/>
    <w:rsid w:val="006A742D"/>
    <w:rsid w:val="006C5C20"/>
    <w:rsid w:val="006D0AB8"/>
    <w:rsid w:val="006D1419"/>
    <w:rsid w:val="006D2A57"/>
    <w:rsid w:val="006E2874"/>
    <w:rsid w:val="006F1A3E"/>
    <w:rsid w:val="0070317E"/>
    <w:rsid w:val="0072441F"/>
    <w:rsid w:val="00745535"/>
    <w:rsid w:val="00745A17"/>
    <w:rsid w:val="00751CE3"/>
    <w:rsid w:val="00757FAD"/>
    <w:rsid w:val="00762EBA"/>
    <w:rsid w:val="007921BC"/>
    <w:rsid w:val="007A2412"/>
    <w:rsid w:val="007B1A8F"/>
    <w:rsid w:val="007B1D1B"/>
    <w:rsid w:val="007C4B9F"/>
    <w:rsid w:val="007C55B8"/>
    <w:rsid w:val="007C74C6"/>
    <w:rsid w:val="007D5FE2"/>
    <w:rsid w:val="007F3CD2"/>
    <w:rsid w:val="007F4C20"/>
    <w:rsid w:val="00800988"/>
    <w:rsid w:val="0081467A"/>
    <w:rsid w:val="008272F1"/>
    <w:rsid w:val="00864425"/>
    <w:rsid w:val="008732A0"/>
    <w:rsid w:val="00880535"/>
    <w:rsid w:val="00880A0F"/>
    <w:rsid w:val="00883535"/>
    <w:rsid w:val="0089619D"/>
    <w:rsid w:val="008C5872"/>
    <w:rsid w:val="008E24C9"/>
    <w:rsid w:val="008E3CA6"/>
    <w:rsid w:val="008F582B"/>
    <w:rsid w:val="008F7099"/>
    <w:rsid w:val="00905EC0"/>
    <w:rsid w:val="009264E1"/>
    <w:rsid w:val="00941D6C"/>
    <w:rsid w:val="009425A2"/>
    <w:rsid w:val="00943BA5"/>
    <w:rsid w:val="00944073"/>
    <w:rsid w:val="00951BEB"/>
    <w:rsid w:val="0098013A"/>
    <w:rsid w:val="009933DC"/>
    <w:rsid w:val="00996316"/>
    <w:rsid w:val="0099687F"/>
    <w:rsid w:val="009A0E8F"/>
    <w:rsid w:val="009D1883"/>
    <w:rsid w:val="009F3F4F"/>
    <w:rsid w:val="00A00383"/>
    <w:rsid w:val="00A01AD7"/>
    <w:rsid w:val="00A0365A"/>
    <w:rsid w:val="00A03E81"/>
    <w:rsid w:val="00A07E6D"/>
    <w:rsid w:val="00A14D2C"/>
    <w:rsid w:val="00A167DF"/>
    <w:rsid w:val="00A20EB2"/>
    <w:rsid w:val="00A74166"/>
    <w:rsid w:val="00A752EC"/>
    <w:rsid w:val="00A94E2F"/>
    <w:rsid w:val="00AB4DD1"/>
    <w:rsid w:val="00AC0D71"/>
    <w:rsid w:val="00AC2CC0"/>
    <w:rsid w:val="00AD37DF"/>
    <w:rsid w:val="00AE231B"/>
    <w:rsid w:val="00AF407F"/>
    <w:rsid w:val="00AF609A"/>
    <w:rsid w:val="00B05395"/>
    <w:rsid w:val="00B14113"/>
    <w:rsid w:val="00B32E07"/>
    <w:rsid w:val="00B33DE3"/>
    <w:rsid w:val="00B41DB2"/>
    <w:rsid w:val="00B51ECC"/>
    <w:rsid w:val="00B52EBB"/>
    <w:rsid w:val="00B76F1F"/>
    <w:rsid w:val="00B77D2D"/>
    <w:rsid w:val="00BA057B"/>
    <w:rsid w:val="00BB0FB8"/>
    <w:rsid w:val="00BC420F"/>
    <w:rsid w:val="00BE41A3"/>
    <w:rsid w:val="00BE6EE8"/>
    <w:rsid w:val="00BF2A0D"/>
    <w:rsid w:val="00BF7B73"/>
    <w:rsid w:val="00C00C4D"/>
    <w:rsid w:val="00C262F5"/>
    <w:rsid w:val="00C30F7D"/>
    <w:rsid w:val="00C4220D"/>
    <w:rsid w:val="00C513E7"/>
    <w:rsid w:val="00C53604"/>
    <w:rsid w:val="00C5516F"/>
    <w:rsid w:val="00C5523D"/>
    <w:rsid w:val="00C60AD2"/>
    <w:rsid w:val="00C70424"/>
    <w:rsid w:val="00C75747"/>
    <w:rsid w:val="00C808C4"/>
    <w:rsid w:val="00C80BB9"/>
    <w:rsid w:val="00C922C2"/>
    <w:rsid w:val="00CC6786"/>
    <w:rsid w:val="00CD0E0B"/>
    <w:rsid w:val="00CE72B2"/>
    <w:rsid w:val="00CF5A51"/>
    <w:rsid w:val="00D02F23"/>
    <w:rsid w:val="00D045C1"/>
    <w:rsid w:val="00D14C79"/>
    <w:rsid w:val="00D17CBF"/>
    <w:rsid w:val="00D2203F"/>
    <w:rsid w:val="00D23DF5"/>
    <w:rsid w:val="00D3300B"/>
    <w:rsid w:val="00D43C85"/>
    <w:rsid w:val="00D534ED"/>
    <w:rsid w:val="00D61C6B"/>
    <w:rsid w:val="00D83677"/>
    <w:rsid w:val="00D93437"/>
    <w:rsid w:val="00D97E6D"/>
    <w:rsid w:val="00DF2A8A"/>
    <w:rsid w:val="00DF5698"/>
    <w:rsid w:val="00E24388"/>
    <w:rsid w:val="00E3000B"/>
    <w:rsid w:val="00E367F9"/>
    <w:rsid w:val="00E4289D"/>
    <w:rsid w:val="00E44B54"/>
    <w:rsid w:val="00E45D5F"/>
    <w:rsid w:val="00E57492"/>
    <w:rsid w:val="00E57CAF"/>
    <w:rsid w:val="00E72E25"/>
    <w:rsid w:val="00E73DB4"/>
    <w:rsid w:val="00E856DB"/>
    <w:rsid w:val="00EA057B"/>
    <w:rsid w:val="00EA51AA"/>
    <w:rsid w:val="00EA73A9"/>
    <w:rsid w:val="00EC0F8C"/>
    <w:rsid w:val="00EC2943"/>
    <w:rsid w:val="00EC2B1D"/>
    <w:rsid w:val="00ED1CD2"/>
    <w:rsid w:val="00EE2198"/>
    <w:rsid w:val="00EE5A54"/>
    <w:rsid w:val="00EF70B7"/>
    <w:rsid w:val="00F34A69"/>
    <w:rsid w:val="00F405E5"/>
    <w:rsid w:val="00F64BE2"/>
    <w:rsid w:val="00F76365"/>
    <w:rsid w:val="00F82035"/>
    <w:rsid w:val="00F830C2"/>
    <w:rsid w:val="00F92FCC"/>
    <w:rsid w:val="00F93B66"/>
    <w:rsid w:val="00FA735B"/>
    <w:rsid w:val="00FE0DDB"/>
    <w:rsid w:val="00FE66A4"/>
    <w:rsid w:val="00FF0E4A"/>
    <w:rsid w:val="00FF524B"/>
    <w:rsid w:val="00FF5D59"/>
    <w:rsid w:val="00FF74D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3CFBF99"/>
  <w15:chartTrackingRefBased/>
  <w15:docId w15:val="{7F5504E6-7B9D-46B9-BC9A-1E4E9CE4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3DE3"/>
    <w:pPr>
      <w:keepNext/>
      <w:keepLines/>
      <w:spacing w:before="160" w:after="80"/>
      <w:outlineLvl w:val="1"/>
    </w:pPr>
    <w:rPr>
      <w:rFonts w:ascii="Open Sans ExtraBold" w:eastAsiaTheme="majorEastAsia" w:hAnsi="Open Sans ExtraBold"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996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3DE3"/>
    <w:rPr>
      <w:rFonts w:ascii="Open Sans ExtraBold" w:eastAsiaTheme="majorEastAsia" w:hAnsi="Open Sans ExtraBold" w:cstheme="majorBidi"/>
      <w:color w:val="0F4761" w:themeColor="accent1" w:themeShade="BF"/>
      <w:szCs w:val="32"/>
    </w:rPr>
  </w:style>
  <w:style w:type="character" w:customStyle="1" w:styleId="Heading3Char">
    <w:name w:val="Heading 3 Char"/>
    <w:basedOn w:val="DefaultParagraphFont"/>
    <w:link w:val="Heading3"/>
    <w:uiPriority w:val="9"/>
    <w:semiHidden/>
    <w:rsid w:val="00996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87F"/>
    <w:rPr>
      <w:rFonts w:eastAsiaTheme="majorEastAsia" w:cstheme="majorBidi"/>
      <w:color w:val="272727" w:themeColor="text1" w:themeTint="D8"/>
    </w:rPr>
  </w:style>
  <w:style w:type="paragraph" w:styleId="Title">
    <w:name w:val="Title"/>
    <w:basedOn w:val="Normal"/>
    <w:next w:val="Normal"/>
    <w:link w:val="TitleChar"/>
    <w:uiPriority w:val="10"/>
    <w:qFormat/>
    <w:rsid w:val="00996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87F"/>
    <w:pPr>
      <w:spacing w:before="160"/>
      <w:jc w:val="center"/>
    </w:pPr>
    <w:rPr>
      <w:i/>
      <w:iCs/>
      <w:color w:val="404040" w:themeColor="text1" w:themeTint="BF"/>
    </w:rPr>
  </w:style>
  <w:style w:type="character" w:customStyle="1" w:styleId="QuoteChar">
    <w:name w:val="Quote Char"/>
    <w:basedOn w:val="DefaultParagraphFont"/>
    <w:link w:val="Quote"/>
    <w:uiPriority w:val="29"/>
    <w:rsid w:val="0099687F"/>
    <w:rPr>
      <w:i/>
      <w:iCs/>
      <w:color w:val="404040" w:themeColor="text1" w:themeTint="BF"/>
    </w:rPr>
  </w:style>
  <w:style w:type="paragraph" w:styleId="ListParagraph">
    <w:name w:val="List Paragraph"/>
    <w:basedOn w:val="Normal"/>
    <w:uiPriority w:val="34"/>
    <w:qFormat/>
    <w:rsid w:val="0099687F"/>
    <w:pPr>
      <w:ind w:left="720"/>
      <w:contextualSpacing/>
    </w:pPr>
  </w:style>
  <w:style w:type="character" w:styleId="IntenseEmphasis">
    <w:name w:val="Intense Emphasis"/>
    <w:basedOn w:val="DefaultParagraphFont"/>
    <w:uiPriority w:val="21"/>
    <w:qFormat/>
    <w:rsid w:val="0099687F"/>
    <w:rPr>
      <w:i/>
      <w:iCs/>
      <w:color w:val="0F4761" w:themeColor="accent1" w:themeShade="BF"/>
    </w:rPr>
  </w:style>
  <w:style w:type="paragraph" w:styleId="IntenseQuote">
    <w:name w:val="Intense Quote"/>
    <w:basedOn w:val="Normal"/>
    <w:next w:val="Normal"/>
    <w:link w:val="IntenseQuoteChar"/>
    <w:uiPriority w:val="30"/>
    <w:qFormat/>
    <w:rsid w:val="00996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87F"/>
    <w:rPr>
      <w:i/>
      <w:iCs/>
      <w:color w:val="0F4761" w:themeColor="accent1" w:themeShade="BF"/>
    </w:rPr>
  </w:style>
  <w:style w:type="character" w:styleId="IntenseReference">
    <w:name w:val="Intense Reference"/>
    <w:basedOn w:val="DefaultParagraphFont"/>
    <w:uiPriority w:val="32"/>
    <w:qFormat/>
    <w:rsid w:val="0099687F"/>
    <w:rPr>
      <w:b/>
      <w:bCs/>
      <w:smallCaps/>
      <w:color w:val="0F4761" w:themeColor="accent1" w:themeShade="BF"/>
      <w:spacing w:val="5"/>
    </w:rPr>
  </w:style>
  <w:style w:type="paragraph" w:customStyle="1" w:styleId="BodyNum">
    <w:name w:val="BodyNum"/>
    <w:aliases w:val="b1"/>
    <w:basedOn w:val="Normal"/>
    <w:rsid w:val="0023630D"/>
    <w:pPr>
      <w:numPr>
        <w:numId w:val="2"/>
      </w:numPr>
      <w:spacing w:before="240" w:after="0" w:line="240" w:lineRule="auto"/>
    </w:pPr>
    <w:rPr>
      <w:rFonts w:ascii="Times New Roman" w:eastAsia="Times New Roman" w:hAnsi="Times New Roman" w:cs="Times New Roman"/>
      <w:kern w:val="0"/>
      <w:szCs w:val="20"/>
      <w:lang w:eastAsia="en-AU"/>
      <w14:ligatures w14:val="none"/>
    </w:rPr>
  </w:style>
  <w:style w:type="paragraph" w:customStyle="1" w:styleId="BodyPara">
    <w:name w:val="BodyPara"/>
    <w:aliases w:val="ba"/>
    <w:basedOn w:val="Normal"/>
    <w:rsid w:val="0023630D"/>
    <w:pPr>
      <w:numPr>
        <w:ilvl w:val="1"/>
        <w:numId w:val="2"/>
      </w:numPr>
      <w:spacing w:before="240" w:after="0" w:line="240" w:lineRule="auto"/>
    </w:pPr>
    <w:rPr>
      <w:rFonts w:ascii="Times New Roman" w:eastAsia="Times New Roman" w:hAnsi="Times New Roman" w:cs="Times New Roman"/>
      <w:kern w:val="0"/>
      <w:szCs w:val="20"/>
      <w:lang w:eastAsia="en-AU"/>
      <w14:ligatures w14:val="none"/>
    </w:rPr>
  </w:style>
  <w:style w:type="paragraph" w:customStyle="1" w:styleId="BodyParaBullet">
    <w:name w:val="BodyParaBullet"/>
    <w:aliases w:val="bpb"/>
    <w:basedOn w:val="Normal"/>
    <w:rsid w:val="0023630D"/>
    <w:pPr>
      <w:numPr>
        <w:ilvl w:val="2"/>
        <w:numId w:val="2"/>
      </w:numPr>
      <w:tabs>
        <w:tab w:val="left" w:pos="2160"/>
      </w:tabs>
      <w:spacing w:before="240" w:after="0" w:line="240" w:lineRule="auto"/>
    </w:pPr>
    <w:rPr>
      <w:rFonts w:ascii="Times New Roman" w:eastAsia="Times New Roman" w:hAnsi="Times New Roman" w:cs="Times New Roman"/>
      <w:kern w:val="0"/>
      <w:szCs w:val="20"/>
      <w:lang w:eastAsia="en-AU"/>
      <w14:ligatures w14:val="none"/>
    </w:rPr>
  </w:style>
  <w:style w:type="paragraph" w:customStyle="1" w:styleId="BodySubPara">
    <w:name w:val="BodySubPara"/>
    <w:aliases w:val="bi"/>
    <w:basedOn w:val="Normal"/>
    <w:rsid w:val="0023630D"/>
    <w:pPr>
      <w:numPr>
        <w:ilvl w:val="3"/>
        <w:numId w:val="2"/>
      </w:numPr>
      <w:spacing w:before="240" w:after="0" w:line="240" w:lineRule="auto"/>
    </w:pPr>
    <w:rPr>
      <w:rFonts w:ascii="Times New Roman" w:eastAsia="Times New Roman" w:hAnsi="Times New Roman" w:cs="Times New Roman"/>
      <w:kern w:val="0"/>
      <w:szCs w:val="20"/>
      <w:lang w:eastAsia="en-AU"/>
      <w14:ligatures w14:val="none"/>
    </w:rPr>
  </w:style>
  <w:style w:type="numbering" w:customStyle="1" w:styleId="OPCBodyList">
    <w:name w:val="OPCBodyList"/>
    <w:uiPriority w:val="99"/>
    <w:rsid w:val="0023630D"/>
    <w:pPr>
      <w:numPr>
        <w:numId w:val="2"/>
      </w:numPr>
    </w:pPr>
  </w:style>
  <w:style w:type="paragraph" w:customStyle="1" w:styleId="Head2">
    <w:name w:val="Head 2"/>
    <w:aliases w:val="2"/>
    <w:basedOn w:val="Normal"/>
    <w:next w:val="BodyNum"/>
    <w:rsid w:val="0023630D"/>
    <w:pPr>
      <w:keepNext/>
      <w:spacing w:before="240" w:after="60" w:line="240" w:lineRule="auto"/>
      <w:outlineLvl w:val="1"/>
    </w:pPr>
    <w:rPr>
      <w:rFonts w:ascii="Arial" w:eastAsia="Times New Roman" w:hAnsi="Arial" w:cs="Times New Roman"/>
      <w:b/>
      <w:kern w:val="28"/>
      <w:sz w:val="28"/>
      <w:szCs w:val="20"/>
      <w:lang w:eastAsia="en-AU"/>
      <w14:ligatures w14:val="none"/>
    </w:rPr>
  </w:style>
  <w:style w:type="paragraph" w:customStyle="1" w:styleId="Head3">
    <w:name w:val="Head 3"/>
    <w:aliases w:val="3"/>
    <w:basedOn w:val="Normal"/>
    <w:next w:val="BodyNum"/>
    <w:rsid w:val="0023630D"/>
    <w:pPr>
      <w:keepNext/>
      <w:spacing w:before="240" w:after="60" w:line="240" w:lineRule="auto"/>
      <w:outlineLvl w:val="2"/>
    </w:pPr>
    <w:rPr>
      <w:rFonts w:ascii="Arial" w:eastAsia="Times New Roman" w:hAnsi="Arial" w:cs="Times New Roman"/>
      <w:b/>
      <w:i/>
      <w:kern w:val="28"/>
      <w:sz w:val="26"/>
      <w:szCs w:val="20"/>
      <w:lang w:eastAsia="en-AU"/>
      <w14:ligatures w14:val="none"/>
    </w:rPr>
  </w:style>
  <w:style w:type="character" w:styleId="CommentReference">
    <w:name w:val="annotation reference"/>
    <w:basedOn w:val="DefaultParagraphFont"/>
    <w:uiPriority w:val="99"/>
    <w:semiHidden/>
    <w:unhideWhenUsed/>
    <w:rsid w:val="001E6C2C"/>
    <w:rPr>
      <w:sz w:val="16"/>
      <w:szCs w:val="16"/>
    </w:rPr>
  </w:style>
  <w:style w:type="paragraph" w:styleId="CommentText">
    <w:name w:val="annotation text"/>
    <w:basedOn w:val="Normal"/>
    <w:link w:val="CommentTextChar"/>
    <w:uiPriority w:val="99"/>
    <w:unhideWhenUsed/>
    <w:rsid w:val="001E6C2C"/>
    <w:pPr>
      <w:spacing w:line="240" w:lineRule="auto"/>
    </w:pPr>
    <w:rPr>
      <w:sz w:val="20"/>
      <w:szCs w:val="20"/>
    </w:rPr>
  </w:style>
  <w:style w:type="character" w:customStyle="1" w:styleId="CommentTextChar">
    <w:name w:val="Comment Text Char"/>
    <w:basedOn w:val="DefaultParagraphFont"/>
    <w:link w:val="CommentText"/>
    <w:uiPriority w:val="99"/>
    <w:rsid w:val="001E6C2C"/>
    <w:rPr>
      <w:sz w:val="20"/>
      <w:szCs w:val="20"/>
    </w:rPr>
  </w:style>
  <w:style w:type="paragraph" w:styleId="CommentSubject">
    <w:name w:val="annotation subject"/>
    <w:basedOn w:val="CommentText"/>
    <w:next w:val="CommentText"/>
    <w:link w:val="CommentSubjectChar"/>
    <w:uiPriority w:val="99"/>
    <w:semiHidden/>
    <w:unhideWhenUsed/>
    <w:rsid w:val="001E6C2C"/>
    <w:rPr>
      <w:b/>
      <w:bCs/>
    </w:rPr>
  </w:style>
  <w:style w:type="character" w:customStyle="1" w:styleId="CommentSubjectChar">
    <w:name w:val="Comment Subject Char"/>
    <w:basedOn w:val="CommentTextChar"/>
    <w:link w:val="CommentSubject"/>
    <w:uiPriority w:val="99"/>
    <w:semiHidden/>
    <w:rsid w:val="001E6C2C"/>
    <w:rPr>
      <w:b/>
      <w:bCs/>
      <w:sz w:val="20"/>
      <w:szCs w:val="20"/>
    </w:rPr>
  </w:style>
  <w:style w:type="paragraph" w:styleId="Header">
    <w:name w:val="header"/>
    <w:basedOn w:val="Normal"/>
    <w:link w:val="HeaderChar"/>
    <w:uiPriority w:val="99"/>
    <w:unhideWhenUsed/>
    <w:rsid w:val="00625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A60"/>
  </w:style>
  <w:style w:type="paragraph" w:styleId="Footer">
    <w:name w:val="footer"/>
    <w:basedOn w:val="Normal"/>
    <w:link w:val="FooterChar"/>
    <w:uiPriority w:val="99"/>
    <w:unhideWhenUsed/>
    <w:rsid w:val="00625A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A60"/>
  </w:style>
  <w:style w:type="paragraph" w:customStyle="1" w:styleId="Head1">
    <w:name w:val="Head 1"/>
    <w:aliases w:val="1"/>
    <w:basedOn w:val="Normal"/>
    <w:next w:val="BodyNum"/>
    <w:rsid w:val="003F36E2"/>
    <w:pPr>
      <w:keepNext/>
      <w:spacing w:before="240" w:after="60" w:line="240" w:lineRule="auto"/>
      <w:outlineLvl w:val="0"/>
    </w:pPr>
    <w:rPr>
      <w:rFonts w:ascii="Arial" w:eastAsia="Times New Roman" w:hAnsi="Arial" w:cs="Times New Roman"/>
      <w:b/>
      <w:kern w:val="28"/>
      <w:sz w:val="36"/>
      <w:szCs w:val="20"/>
      <w:lang w:eastAsia="en-AU"/>
      <w14:ligatures w14:val="none"/>
    </w:rPr>
  </w:style>
  <w:style w:type="table" w:styleId="TableGrid">
    <w:name w:val="Table Grid"/>
    <w:basedOn w:val="TableNormal"/>
    <w:uiPriority w:val="39"/>
    <w:rsid w:val="006A6A74"/>
    <w:pPr>
      <w:spacing w:after="0" w:line="240" w:lineRule="auto"/>
    </w:pPr>
    <w:rPr>
      <w:rFonts w:ascii="EB Garamond" w:hAnsi="EB Garamond" w:cs="EB Garamond"/>
      <w:color w:val="000000" w:themeColor="text1"/>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5655">
      <w:bodyDiv w:val="1"/>
      <w:marLeft w:val="0"/>
      <w:marRight w:val="0"/>
      <w:marTop w:val="0"/>
      <w:marBottom w:val="0"/>
      <w:divBdr>
        <w:top w:val="none" w:sz="0" w:space="0" w:color="auto"/>
        <w:left w:val="none" w:sz="0" w:space="0" w:color="auto"/>
        <w:bottom w:val="none" w:sz="0" w:space="0" w:color="auto"/>
        <w:right w:val="none" w:sz="0" w:space="0" w:color="auto"/>
      </w:divBdr>
    </w:div>
    <w:div w:id="611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8AB9-159A-41EE-9BE4-D9A0A9DC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6759</Characters>
  <Application>Microsoft Office Word</Application>
  <DocSecurity>8</DocSecurity>
  <Lines>124</Lines>
  <Paragraphs>42</Paragraphs>
  <ScaleCrop>false</ScaleCrop>
  <HeadingPairs>
    <vt:vector size="2" baseType="variant">
      <vt:variant>
        <vt:lpstr>Title</vt:lpstr>
      </vt:variant>
      <vt:variant>
        <vt:i4>1</vt:i4>
      </vt:variant>
    </vt:vector>
  </HeadingPairs>
  <TitlesOfParts>
    <vt:vector size="1" baseType="lpstr">
      <vt:lpstr>My Bill has passed, what happens next?</vt:lpstr>
    </vt:vector>
  </TitlesOfParts>
  <Company>Office of Parliamentary Counsel</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Bill has passed, what happens next?</dc:title>
  <dc:subject/>
  <dc:creator>PelvinR</dc:creator>
  <cp:keywords/>
  <dc:description/>
  <cp:lastModifiedBy>Berryman, Elentari</cp:lastModifiedBy>
  <cp:revision>2</cp:revision>
  <dcterms:created xsi:type="dcterms:W3CDTF">2025-10-16T00:34:00Z</dcterms:created>
  <dcterms:modified xsi:type="dcterms:W3CDTF">2025-10-16T00:34:00Z</dcterms:modified>
  <cp:category>Other - Website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ies>
</file>