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A2BB" w14:textId="77777777" w:rsidR="00DB2FDB" w:rsidRPr="00F951F6" w:rsidRDefault="00DB2FDB" w:rsidP="00DB2FDB">
      <w:pPr>
        <w:pStyle w:val="Heading1"/>
        <w:jc w:val="left"/>
        <w:rPr>
          <w:rFonts w:ascii="Open Sans ExtraBold" w:hAnsi="Open Sans ExtraBold" w:cs="Open Sans ExtraBold"/>
          <w:color w:val="084D5E"/>
          <w:lang w:val="en-AU"/>
        </w:rPr>
      </w:pPr>
      <w:r w:rsidRPr="00F951F6">
        <w:rPr>
          <w:rFonts w:ascii="Open Sans ExtraBold" w:hAnsi="Open Sans ExtraBold" w:cs="Open Sans ExtraBold"/>
          <w:color w:val="084D5E"/>
          <w:lang w:val="en-AU"/>
        </w:rPr>
        <w:t>Instructor Guidance Note</w:t>
      </w:r>
      <w:r>
        <w:rPr>
          <w:rFonts w:ascii="Open Sans ExtraBold" w:hAnsi="Open Sans ExtraBold" w:cs="Open Sans ExtraBold"/>
          <w:color w:val="084D5E"/>
          <w:lang w:val="en-AU"/>
        </w:rPr>
        <w:t>—</w:t>
      </w:r>
      <w:r w:rsidRPr="00E579EF">
        <w:rPr>
          <w:rFonts w:ascii="Open Sans ExtraBold" w:hAnsi="Open Sans ExtraBold" w:cs="Open Sans ExtraBold"/>
          <w:color w:val="084D5E"/>
          <w:lang w:val="en-AU"/>
        </w:rPr>
        <w:t>Delegations</w:t>
      </w:r>
    </w:p>
    <w:p w14:paraId="5547D425" w14:textId="77777777" w:rsidR="00DB2FDB" w:rsidRDefault="00DB2FDB" w:rsidP="00DB2FDB">
      <w:pPr>
        <w:pStyle w:val="Heading2"/>
      </w:pPr>
      <w:r w:rsidRPr="00E579EF">
        <w:t>What is a delegation?</w:t>
      </w:r>
    </w:p>
    <w:p w14:paraId="3FA28514" w14:textId="77777777" w:rsidR="00DB2FDB" w:rsidRPr="00E579EF" w:rsidRDefault="00DB2FDB" w:rsidP="00DB2FDB">
      <w:pPr>
        <w:pStyle w:val="BodyNum"/>
        <w:rPr>
          <w:rFonts w:ascii="Open Sans" w:hAnsi="Open Sans" w:cs="Open Sans"/>
          <w:sz w:val="22"/>
          <w:szCs w:val="18"/>
        </w:rPr>
      </w:pPr>
      <w:r w:rsidRPr="00E579EF">
        <w:rPr>
          <w:rFonts w:ascii="Open Sans" w:hAnsi="Open Sans" w:cs="Open Sans"/>
          <w:sz w:val="22"/>
          <w:szCs w:val="18"/>
        </w:rPr>
        <w:t>This guidance is about provisions in legislation that authorise a person to delegate the performance of a function or duty, or the exercise of a power, that the person has been given under the legislation. The function, duty or power might be:</w:t>
      </w:r>
    </w:p>
    <w:p w14:paraId="58D830D9" w14:textId="77777777" w:rsidR="00DB2FDB" w:rsidRPr="00E579EF" w:rsidRDefault="00DB2FDB" w:rsidP="00DB2FDB">
      <w:pPr>
        <w:pStyle w:val="BodyParaBullet"/>
        <w:rPr>
          <w:rFonts w:ascii="Open Sans" w:hAnsi="Open Sans" w:cs="Open Sans"/>
          <w:sz w:val="22"/>
          <w:szCs w:val="18"/>
        </w:rPr>
      </w:pPr>
      <w:r w:rsidRPr="00E579EF">
        <w:rPr>
          <w:rFonts w:ascii="Open Sans" w:hAnsi="Open Sans" w:cs="Open Sans"/>
          <w:sz w:val="22"/>
          <w:szCs w:val="18"/>
        </w:rPr>
        <w:t>administrative in nature (such as a power to make a decision about an application or to appoint a person to an office); or</w:t>
      </w:r>
    </w:p>
    <w:p w14:paraId="78D6D3D7" w14:textId="77777777" w:rsidR="00DB2FDB" w:rsidRPr="00E579EF" w:rsidRDefault="00DB2FDB" w:rsidP="00DB2FDB">
      <w:pPr>
        <w:pStyle w:val="BodyParaBullet"/>
        <w:rPr>
          <w:rFonts w:ascii="Open Sans" w:hAnsi="Open Sans" w:cs="Open Sans"/>
          <w:sz w:val="22"/>
          <w:szCs w:val="18"/>
        </w:rPr>
      </w:pPr>
      <w:r w:rsidRPr="00E579EF">
        <w:rPr>
          <w:rFonts w:ascii="Open Sans" w:hAnsi="Open Sans" w:cs="Open Sans"/>
          <w:sz w:val="22"/>
          <w:szCs w:val="18"/>
        </w:rPr>
        <w:t>legislative in nature (such as a power to make a legislative instrument in the form of rules).</w:t>
      </w:r>
    </w:p>
    <w:p w14:paraId="6489C53B" w14:textId="77777777" w:rsidR="00DB2FDB" w:rsidRPr="00E579EF" w:rsidRDefault="00DB2FDB" w:rsidP="00DB2FDB">
      <w:pPr>
        <w:pStyle w:val="BodyNum"/>
        <w:rPr>
          <w:rFonts w:ascii="Open Sans" w:hAnsi="Open Sans" w:cs="Open Sans"/>
          <w:sz w:val="22"/>
          <w:szCs w:val="18"/>
        </w:rPr>
      </w:pPr>
      <w:r w:rsidRPr="00E579EF">
        <w:rPr>
          <w:rFonts w:ascii="Open Sans" w:hAnsi="Open Sans" w:cs="Open Sans"/>
          <w:sz w:val="22"/>
          <w:szCs w:val="18"/>
        </w:rPr>
        <w:t>The material below sets out some key considerations in determining policy, and providing instructions, in relation to delegations. For convenience, the material refers only to performing functions or exercising powers, but it applies equally to performing statutory duties.</w:t>
      </w:r>
    </w:p>
    <w:p w14:paraId="14605874" w14:textId="77777777" w:rsidR="00DB2FDB" w:rsidRPr="00E579EF" w:rsidRDefault="00DB2FDB" w:rsidP="00DB2FDB">
      <w:pPr>
        <w:pStyle w:val="Heading2"/>
      </w:pPr>
      <w:r w:rsidRPr="00E579EF">
        <w:t>Subject matter of the delegation</w:t>
      </w:r>
    </w:p>
    <w:p w14:paraId="4F2E22D2" w14:textId="77777777" w:rsidR="00DB2FDB" w:rsidRPr="00E579EF" w:rsidRDefault="00DB2FDB" w:rsidP="00DB2FDB">
      <w:pPr>
        <w:pStyle w:val="BodyNum"/>
        <w:rPr>
          <w:rFonts w:ascii="Open Sans" w:hAnsi="Open Sans" w:cs="Open Sans"/>
          <w:sz w:val="22"/>
          <w:szCs w:val="18"/>
        </w:rPr>
      </w:pPr>
      <w:r w:rsidRPr="00E579EF">
        <w:rPr>
          <w:rFonts w:ascii="Open Sans" w:hAnsi="Open Sans" w:cs="Open Sans"/>
          <w:sz w:val="22"/>
          <w:szCs w:val="18"/>
        </w:rPr>
        <w:t xml:space="preserve">Suppose a person (the </w:t>
      </w:r>
      <w:r w:rsidRPr="00E579EF">
        <w:rPr>
          <w:rFonts w:ascii="Open Sans" w:hAnsi="Open Sans" w:cs="Open Sans"/>
          <w:b/>
          <w:bCs/>
          <w:i/>
          <w:iCs/>
          <w:sz w:val="22"/>
          <w:szCs w:val="18"/>
        </w:rPr>
        <w:t>authorised person</w:t>
      </w:r>
      <w:r w:rsidRPr="00E579EF">
        <w:rPr>
          <w:rFonts w:ascii="Open Sans" w:hAnsi="Open Sans" w:cs="Open Sans"/>
          <w:sz w:val="22"/>
          <w:szCs w:val="18"/>
        </w:rPr>
        <w:t xml:space="preserve">) such as the Minister or the Secretary is given specific functions and powers under legislation. The first key consideration in the context of delegation is </w:t>
      </w:r>
      <w:r w:rsidRPr="00E579EF">
        <w:rPr>
          <w:rFonts w:ascii="Open Sans" w:hAnsi="Open Sans" w:cs="Open Sans"/>
          <w:i/>
          <w:iCs/>
          <w:sz w:val="22"/>
          <w:szCs w:val="18"/>
        </w:rPr>
        <w:t>which</w:t>
      </w:r>
      <w:r w:rsidRPr="00E579EF">
        <w:rPr>
          <w:rFonts w:ascii="Open Sans" w:hAnsi="Open Sans" w:cs="Open Sans"/>
          <w:sz w:val="22"/>
          <w:szCs w:val="18"/>
        </w:rPr>
        <w:t xml:space="preserve"> (if any) of the authorised person’s functions and powers should be delegated.</w:t>
      </w:r>
    </w:p>
    <w:p w14:paraId="37FAB379" w14:textId="77777777" w:rsidR="00DB2FDB" w:rsidRPr="00E579EF" w:rsidRDefault="00DB2FDB" w:rsidP="00DB2FDB">
      <w:pPr>
        <w:pStyle w:val="BodyNum"/>
        <w:rPr>
          <w:rFonts w:ascii="Open Sans" w:hAnsi="Open Sans" w:cs="Open Sans"/>
          <w:sz w:val="22"/>
          <w:szCs w:val="18"/>
        </w:rPr>
      </w:pPr>
      <w:r w:rsidRPr="00E579EF">
        <w:rPr>
          <w:rFonts w:ascii="Open Sans" w:hAnsi="Open Sans" w:cs="Open Sans"/>
          <w:sz w:val="22"/>
          <w:szCs w:val="18"/>
        </w:rPr>
        <w:t xml:space="preserve">The Senate Standing Committees that review legislation will examine whether or not there are limits set on either the scope of the functions or powers that might be delegated or on the categories of persons to whom to the functions or powers may be delegated. For this reason, a delegation of </w:t>
      </w:r>
      <w:r w:rsidRPr="00E579EF">
        <w:rPr>
          <w:rFonts w:ascii="Open Sans" w:hAnsi="Open Sans" w:cs="Open Sans"/>
          <w:i/>
          <w:iCs/>
          <w:sz w:val="22"/>
          <w:szCs w:val="18"/>
        </w:rPr>
        <w:t>all</w:t>
      </w:r>
      <w:r w:rsidRPr="00E579EF">
        <w:rPr>
          <w:rFonts w:ascii="Open Sans" w:hAnsi="Open Sans" w:cs="Open Sans"/>
          <w:sz w:val="22"/>
          <w:szCs w:val="18"/>
        </w:rPr>
        <w:t xml:space="preserve"> the authorised person’s functions or powers would be considered unusual, and would need to be justified.</w:t>
      </w:r>
    </w:p>
    <w:p w14:paraId="27C3F2FD" w14:textId="77777777" w:rsidR="00DB2FDB" w:rsidRPr="00E579EF" w:rsidRDefault="00DB2FDB" w:rsidP="00DB2FDB">
      <w:pPr>
        <w:pStyle w:val="BodyNum"/>
        <w:rPr>
          <w:rFonts w:ascii="Open Sans" w:hAnsi="Open Sans" w:cs="Open Sans"/>
          <w:sz w:val="22"/>
          <w:szCs w:val="18"/>
        </w:rPr>
      </w:pPr>
      <w:r w:rsidRPr="00E579EF">
        <w:rPr>
          <w:rFonts w:ascii="Open Sans" w:hAnsi="Open Sans" w:cs="Open Sans"/>
          <w:sz w:val="22"/>
          <w:szCs w:val="18"/>
        </w:rPr>
        <w:t>There might also be good policy reasons for not delegating an authorised person’s functions or powers in particular circumstances, such as the following:</w:t>
      </w:r>
    </w:p>
    <w:p w14:paraId="234D9912" w14:textId="77777777" w:rsidR="00DB2FDB" w:rsidRPr="00E579EF" w:rsidRDefault="00DB2FDB" w:rsidP="00DB2FDB">
      <w:pPr>
        <w:pStyle w:val="BodyParaBullet"/>
        <w:rPr>
          <w:rFonts w:ascii="Open Sans" w:hAnsi="Open Sans" w:cs="Open Sans"/>
          <w:sz w:val="22"/>
          <w:szCs w:val="18"/>
        </w:rPr>
      </w:pPr>
      <w:r w:rsidRPr="00E579EF">
        <w:rPr>
          <w:rFonts w:ascii="Open Sans" w:hAnsi="Open Sans" w:cs="Open Sans"/>
          <w:sz w:val="22"/>
          <w:szCs w:val="18"/>
        </w:rPr>
        <w:t>the function or power is an important one and is intended to be exercised personally by the authorised person;</w:t>
      </w:r>
    </w:p>
    <w:p w14:paraId="72F6141D" w14:textId="77777777" w:rsidR="00DB2FDB" w:rsidRPr="00E579EF" w:rsidRDefault="00DB2FDB" w:rsidP="00DB2FDB">
      <w:pPr>
        <w:pStyle w:val="BodyParaBullet"/>
        <w:rPr>
          <w:rFonts w:ascii="Open Sans" w:hAnsi="Open Sans" w:cs="Open Sans"/>
          <w:sz w:val="22"/>
          <w:szCs w:val="18"/>
        </w:rPr>
      </w:pPr>
      <w:r w:rsidRPr="00E579EF">
        <w:rPr>
          <w:rFonts w:ascii="Open Sans" w:hAnsi="Open Sans" w:cs="Open Sans"/>
          <w:sz w:val="22"/>
          <w:szCs w:val="18"/>
        </w:rPr>
        <w:t>the nature of the function or power is such that it involves high policy considerations of government;</w:t>
      </w:r>
    </w:p>
    <w:p w14:paraId="656E8ECD" w14:textId="77777777" w:rsidR="00DB2FDB" w:rsidRPr="00E579EF" w:rsidRDefault="00DB2FDB" w:rsidP="00DB2FDB">
      <w:pPr>
        <w:pStyle w:val="BodyParaBullet"/>
        <w:rPr>
          <w:rFonts w:ascii="Open Sans" w:hAnsi="Open Sans" w:cs="Open Sans"/>
          <w:sz w:val="22"/>
          <w:szCs w:val="18"/>
        </w:rPr>
      </w:pPr>
      <w:r w:rsidRPr="00E579EF">
        <w:rPr>
          <w:rFonts w:ascii="Open Sans" w:hAnsi="Open Sans" w:cs="Open Sans"/>
          <w:sz w:val="22"/>
          <w:szCs w:val="18"/>
        </w:rPr>
        <w:t>the power is a general power to make legislative instruments (e.g. a general rule</w:t>
      </w:r>
      <w:r w:rsidRPr="00E579EF">
        <w:rPr>
          <w:rFonts w:ascii="Open Sans" w:hAnsi="Open Sans" w:cs="Open Sans"/>
          <w:sz w:val="22"/>
          <w:szCs w:val="18"/>
        </w:rPr>
        <w:noBreakHyphen/>
        <w:t>making power).</w:t>
      </w:r>
    </w:p>
    <w:p w14:paraId="5D692876" w14:textId="77777777" w:rsidR="00DB2FDB" w:rsidRPr="00E579EF" w:rsidRDefault="00DB2FDB" w:rsidP="00DB2FDB">
      <w:pPr>
        <w:pStyle w:val="BodyNum"/>
        <w:rPr>
          <w:rFonts w:ascii="Open Sans" w:hAnsi="Open Sans" w:cs="Open Sans"/>
          <w:sz w:val="22"/>
          <w:szCs w:val="18"/>
        </w:rPr>
      </w:pPr>
      <w:r w:rsidRPr="00E579EF">
        <w:rPr>
          <w:rFonts w:ascii="Open Sans" w:hAnsi="Open Sans" w:cs="Open Sans"/>
          <w:sz w:val="22"/>
          <w:szCs w:val="18"/>
        </w:rPr>
        <w:lastRenderedPageBreak/>
        <w:t>It is typical for legislation to permit delegation of only a specified subset of an authorised person’s functions or powers. If the authorised person is to have power under an Act to make one or more legislative instruments, the drafting instructions for the Bill should specifically address whether that power may be delegated by the authorised person and, if so, to whom.</w:t>
      </w:r>
    </w:p>
    <w:p w14:paraId="2642167A" w14:textId="77777777" w:rsidR="00DB2FDB" w:rsidRPr="00E579EF" w:rsidRDefault="00DB2FDB" w:rsidP="00DB2FDB">
      <w:pPr>
        <w:pStyle w:val="Heading2"/>
      </w:pPr>
      <w:r w:rsidRPr="00E579EF">
        <w:t>Range of permissible delegates</w:t>
      </w:r>
    </w:p>
    <w:p w14:paraId="50651778" w14:textId="77777777" w:rsidR="00DB2FDB" w:rsidRPr="00E579EF" w:rsidRDefault="00DB2FDB" w:rsidP="00DB2FDB">
      <w:pPr>
        <w:pStyle w:val="BodyNum"/>
        <w:rPr>
          <w:rFonts w:ascii="Open Sans" w:hAnsi="Open Sans" w:cs="Open Sans"/>
          <w:sz w:val="22"/>
          <w:szCs w:val="18"/>
        </w:rPr>
      </w:pPr>
      <w:r w:rsidRPr="00E579EF">
        <w:rPr>
          <w:rFonts w:ascii="Open Sans" w:hAnsi="Open Sans" w:cs="Open Sans"/>
          <w:sz w:val="22"/>
          <w:szCs w:val="18"/>
        </w:rPr>
        <w:t>The Senate Standing Committees prefer that the range of permissible delegates be as limited as practicable—for example, confined to the holders of nominated offices or to members of the Senior Executive Service (or equivalent). For this reason, a delegation to “all employees in the Department” is unusual and would need to be justified. If the proposed delegation does include a broad range of permissible delegates, an explanation of why such a broad range is considered necessary should be included in the explanatory materials.</w:t>
      </w:r>
    </w:p>
    <w:p w14:paraId="51422591" w14:textId="77777777" w:rsidR="00DB2FDB" w:rsidRPr="00E579EF" w:rsidRDefault="00DB2FDB" w:rsidP="00DB2FDB">
      <w:pPr>
        <w:pStyle w:val="BodyNum"/>
        <w:rPr>
          <w:rFonts w:ascii="Open Sans" w:hAnsi="Open Sans" w:cs="Open Sans"/>
          <w:sz w:val="22"/>
          <w:szCs w:val="18"/>
        </w:rPr>
      </w:pPr>
      <w:r w:rsidRPr="00E579EF">
        <w:rPr>
          <w:rFonts w:ascii="Open Sans" w:hAnsi="Open Sans" w:cs="Open Sans"/>
          <w:sz w:val="22"/>
          <w:szCs w:val="18"/>
        </w:rPr>
        <w:t>If the power is to allow delegation to persons who are not SES employees or acting SES employees, consider including a provision that requires the authorised person to be satisfied that the delegate has appropriate training, qualifications, skills or experience.</w:t>
      </w:r>
    </w:p>
    <w:p w14:paraId="71A816BF" w14:textId="77777777" w:rsidR="00DB2FDB" w:rsidRDefault="00DB2FDB" w:rsidP="00DB2FDB">
      <w:pPr>
        <w:pStyle w:val="BodyNum"/>
        <w:rPr>
          <w:rFonts w:ascii="Open Sans" w:hAnsi="Open Sans" w:cs="Open Sans"/>
          <w:sz w:val="22"/>
          <w:szCs w:val="18"/>
        </w:rPr>
      </w:pPr>
      <w:r w:rsidRPr="00E579EF">
        <w:rPr>
          <w:rFonts w:ascii="Open Sans" w:hAnsi="Open Sans" w:cs="Open Sans"/>
          <w:sz w:val="22"/>
          <w:szCs w:val="18"/>
        </w:rPr>
        <w:t>Note that the Secretary of the Department is not an SES employee for this purpose, so it is necessary to specifically consider whether a delegation from a Minister, for example, should extend to the Secretary of the Department.</w:t>
      </w:r>
    </w:p>
    <w:p w14:paraId="587D8CE1" w14:textId="77777777" w:rsidR="00DB2FDB" w:rsidRPr="00E579EF" w:rsidRDefault="00DB2FDB" w:rsidP="00DB2FDB">
      <w:pPr>
        <w:pStyle w:val="Heading2"/>
        <w:rPr>
          <w:b w:val="0"/>
          <w:bCs w:val="0"/>
        </w:rPr>
      </w:pPr>
      <w:r w:rsidRPr="00E579EF">
        <w:t>Functions and powers under instruments</w:t>
      </w:r>
    </w:p>
    <w:p w14:paraId="6392785D" w14:textId="77777777" w:rsidR="00DB2FDB" w:rsidRPr="00CB660B" w:rsidRDefault="00DB2FDB" w:rsidP="00DB2FDB">
      <w:pPr>
        <w:pStyle w:val="BodyNum"/>
        <w:rPr>
          <w:rFonts w:ascii="Open Sans" w:hAnsi="Open Sans" w:cs="Open Sans"/>
          <w:sz w:val="22"/>
          <w:szCs w:val="18"/>
        </w:rPr>
      </w:pPr>
      <w:r w:rsidRPr="00CB660B">
        <w:rPr>
          <w:rFonts w:ascii="Open Sans" w:hAnsi="Open Sans" w:cs="Open Sans"/>
          <w:sz w:val="22"/>
          <w:szCs w:val="18"/>
        </w:rPr>
        <w:t>A key consideration in the instruments context is whether an authorised person’s functions or powers under an instrument are intended to be delegable by the authorised person. You should get legal advice on whether the delegation power in the enabling legislation is wide enough to permit delegation of functions or powers under the instrument.</w:t>
      </w:r>
    </w:p>
    <w:p w14:paraId="052085D2" w14:textId="77777777" w:rsidR="00DB2FDB" w:rsidRPr="00CB660B" w:rsidRDefault="00DB2FDB" w:rsidP="00DB2FDB">
      <w:pPr>
        <w:pStyle w:val="BodyNum"/>
        <w:rPr>
          <w:rFonts w:ascii="Open Sans" w:hAnsi="Open Sans" w:cs="Open Sans"/>
          <w:sz w:val="22"/>
          <w:szCs w:val="18"/>
        </w:rPr>
      </w:pPr>
      <w:r w:rsidRPr="00CB660B">
        <w:rPr>
          <w:rFonts w:ascii="Open Sans" w:hAnsi="Open Sans" w:cs="Open Sans"/>
          <w:sz w:val="22"/>
          <w:szCs w:val="18"/>
        </w:rPr>
        <w:t>If it is intended that the instrument itself confer the power of delegation, you should get legal advice as to whether the scope of the power under which the instrument is made extends to permitting such conferral. Because the making of a legislative instrument is itself an exercise of delegated legislative power, legal issues may arise if an instrument purports to further delegate legislative power to a person or body (see below).</w:t>
      </w:r>
    </w:p>
    <w:p w14:paraId="4BBA6A55" w14:textId="77777777" w:rsidR="00DB2FDB" w:rsidRPr="00222D2A" w:rsidRDefault="00DB2FDB" w:rsidP="00DB2FDB">
      <w:pPr>
        <w:pStyle w:val="Heading2"/>
      </w:pPr>
      <w:r w:rsidRPr="00222D2A">
        <w:t>Power to give directions</w:t>
      </w:r>
    </w:p>
    <w:p w14:paraId="498E1CB0" w14:textId="77777777" w:rsidR="00DB2FDB" w:rsidRPr="00CB660B" w:rsidRDefault="00DB2FDB" w:rsidP="00DB2FDB">
      <w:pPr>
        <w:pStyle w:val="BodyNum"/>
        <w:rPr>
          <w:rFonts w:ascii="Open Sans" w:hAnsi="Open Sans" w:cs="Open Sans"/>
          <w:sz w:val="22"/>
          <w:szCs w:val="18"/>
        </w:rPr>
      </w:pPr>
      <w:bookmarkStart w:id="0" w:name="_Hlk201849249"/>
      <w:r w:rsidRPr="00CB660B">
        <w:rPr>
          <w:rFonts w:ascii="Open Sans" w:hAnsi="Open Sans" w:cs="Open Sans"/>
          <w:sz w:val="22"/>
          <w:szCs w:val="18"/>
        </w:rPr>
        <w:t xml:space="preserve">It is common for a delegation provision to allow an authorised person to give general directions to a delegate in relation to the exercise of powers by the delegate under the delegation. In the case of a statutory discretion, the power of direction does not usually extend to directing the delegate to exercise the discretion in a particular way in a particular case (for example, a specific direction to refuse a particular application </w:t>
      </w:r>
      <w:r w:rsidRPr="00CB660B">
        <w:rPr>
          <w:rFonts w:ascii="Open Sans" w:hAnsi="Open Sans" w:cs="Open Sans"/>
          <w:sz w:val="22"/>
          <w:szCs w:val="18"/>
        </w:rPr>
        <w:lastRenderedPageBreak/>
        <w:t>for a licence would likely infringe the rules against a decision maker acting at the direction or behest of another person).</w:t>
      </w:r>
    </w:p>
    <w:bookmarkEnd w:id="0"/>
    <w:p w14:paraId="6BEF75A9" w14:textId="77777777" w:rsidR="00DB2FDB" w:rsidRPr="00222D2A" w:rsidRDefault="00DB2FDB" w:rsidP="00DB2FDB">
      <w:pPr>
        <w:pStyle w:val="Heading2"/>
      </w:pPr>
      <w:proofErr w:type="spellStart"/>
      <w:r w:rsidRPr="00222D2A">
        <w:t>Subdelegation</w:t>
      </w:r>
      <w:proofErr w:type="spellEnd"/>
    </w:p>
    <w:p w14:paraId="5C81B98C" w14:textId="77777777" w:rsidR="00DB2FDB" w:rsidRPr="00CB660B" w:rsidRDefault="00DB2FDB" w:rsidP="00DB2FDB">
      <w:pPr>
        <w:pStyle w:val="BodyNum"/>
        <w:rPr>
          <w:rFonts w:ascii="Open Sans" w:hAnsi="Open Sans" w:cs="Open Sans"/>
          <w:sz w:val="22"/>
          <w:szCs w:val="18"/>
        </w:rPr>
      </w:pPr>
      <w:r w:rsidRPr="00CB660B">
        <w:rPr>
          <w:rFonts w:ascii="Open Sans" w:hAnsi="Open Sans" w:cs="Open Sans"/>
          <w:sz w:val="22"/>
          <w:szCs w:val="18"/>
        </w:rPr>
        <w:t xml:space="preserve">The general principle is that a delegate to whom functions or powers have been delegated cannot further delegate—i.e. subdelegate—those functions or powers (see paragraph 34AB(1)(b) of the </w:t>
      </w:r>
      <w:r w:rsidRPr="00CB660B">
        <w:rPr>
          <w:rFonts w:ascii="Open Sans" w:hAnsi="Open Sans" w:cs="Open Sans"/>
          <w:i/>
          <w:iCs/>
          <w:sz w:val="22"/>
          <w:szCs w:val="18"/>
        </w:rPr>
        <w:t>Acts Interpretation Act 1901</w:t>
      </w:r>
      <w:r w:rsidRPr="00CB660B">
        <w:rPr>
          <w:rFonts w:ascii="Open Sans" w:hAnsi="Open Sans" w:cs="Open Sans"/>
          <w:sz w:val="22"/>
          <w:szCs w:val="18"/>
        </w:rPr>
        <w:t xml:space="preserve">). However, if the policy is that that delegate should be able to subdelegate such functions or powers, then an express provision to that effect can be included in the provision of the legislation that empowers delegation. Note that it is not enough that the </w:t>
      </w:r>
      <w:r w:rsidRPr="00CB660B">
        <w:rPr>
          <w:rFonts w:ascii="Open Sans" w:hAnsi="Open Sans" w:cs="Open Sans"/>
          <w:i/>
          <w:iCs/>
          <w:sz w:val="22"/>
          <w:szCs w:val="18"/>
        </w:rPr>
        <w:t>delegation</w:t>
      </w:r>
      <w:r w:rsidRPr="00CB660B">
        <w:rPr>
          <w:rFonts w:ascii="Open Sans" w:hAnsi="Open Sans" w:cs="Open Sans"/>
          <w:sz w:val="22"/>
          <w:szCs w:val="18"/>
        </w:rPr>
        <w:t xml:space="preserve"> itself purports to authorise </w:t>
      </w:r>
      <w:proofErr w:type="spellStart"/>
      <w:r w:rsidRPr="00CB660B">
        <w:rPr>
          <w:rFonts w:ascii="Open Sans" w:hAnsi="Open Sans" w:cs="Open Sans"/>
          <w:sz w:val="22"/>
          <w:szCs w:val="18"/>
        </w:rPr>
        <w:t>subdelegation</w:t>
      </w:r>
      <w:proofErr w:type="spellEnd"/>
      <w:r w:rsidRPr="00CB660B">
        <w:rPr>
          <w:rFonts w:ascii="Open Sans" w:hAnsi="Open Sans" w:cs="Open Sans"/>
          <w:sz w:val="22"/>
          <w:szCs w:val="18"/>
        </w:rPr>
        <w:t>; the authorisation needs to come from the source of the delegation.</w:t>
      </w:r>
    </w:p>
    <w:p w14:paraId="77B81216" w14:textId="77777777" w:rsidR="00DB2FDB" w:rsidRPr="00CB660B" w:rsidRDefault="00DB2FDB" w:rsidP="00DB2FDB">
      <w:pPr>
        <w:pStyle w:val="BodyNum"/>
        <w:rPr>
          <w:rFonts w:ascii="Open Sans" w:hAnsi="Open Sans" w:cs="Open Sans"/>
          <w:sz w:val="22"/>
          <w:szCs w:val="18"/>
        </w:rPr>
      </w:pPr>
      <w:r w:rsidRPr="00CB660B">
        <w:rPr>
          <w:rFonts w:ascii="Open Sans" w:hAnsi="Open Sans" w:cs="Open Sans"/>
          <w:sz w:val="22"/>
          <w:szCs w:val="18"/>
        </w:rPr>
        <w:t>Additionally, note that the term ‘</w:t>
      </w:r>
      <w:proofErr w:type="spellStart"/>
      <w:r w:rsidRPr="00CB660B">
        <w:rPr>
          <w:rFonts w:ascii="Open Sans" w:hAnsi="Open Sans" w:cs="Open Sans"/>
          <w:sz w:val="22"/>
          <w:szCs w:val="18"/>
        </w:rPr>
        <w:t>subdelegation</w:t>
      </w:r>
      <w:proofErr w:type="spellEnd"/>
      <w:r w:rsidRPr="00CB660B">
        <w:rPr>
          <w:rFonts w:ascii="Open Sans" w:hAnsi="Open Sans" w:cs="Open Sans"/>
          <w:sz w:val="22"/>
          <w:szCs w:val="18"/>
        </w:rPr>
        <w:t>’ is used in subtly different ways. For example, both of the following involve a ‘</w:t>
      </w:r>
      <w:proofErr w:type="spellStart"/>
      <w:r w:rsidRPr="00CB660B">
        <w:rPr>
          <w:rFonts w:ascii="Open Sans" w:hAnsi="Open Sans" w:cs="Open Sans"/>
          <w:sz w:val="22"/>
          <w:szCs w:val="18"/>
        </w:rPr>
        <w:t>subdelegation</w:t>
      </w:r>
      <w:proofErr w:type="spellEnd"/>
      <w:r w:rsidRPr="00CB660B">
        <w:rPr>
          <w:rFonts w:ascii="Open Sans" w:hAnsi="Open Sans" w:cs="Open Sans"/>
          <w:sz w:val="22"/>
          <w:szCs w:val="18"/>
        </w:rPr>
        <w:t xml:space="preserve"> issue’:</w:t>
      </w:r>
    </w:p>
    <w:p w14:paraId="6B9ADB36" w14:textId="77777777" w:rsidR="00DB2FDB" w:rsidRPr="00CB660B" w:rsidRDefault="00DB2FDB" w:rsidP="00DB2FDB">
      <w:pPr>
        <w:pStyle w:val="BodyParaBullet"/>
        <w:rPr>
          <w:rFonts w:ascii="Open Sans" w:hAnsi="Open Sans" w:cs="Open Sans"/>
          <w:sz w:val="22"/>
          <w:szCs w:val="18"/>
        </w:rPr>
      </w:pPr>
      <w:r w:rsidRPr="00CB660B">
        <w:rPr>
          <w:rFonts w:ascii="Open Sans" w:hAnsi="Open Sans" w:cs="Open Sans"/>
          <w:sz w:val="22"/>
          <w:szCs w:val="18"/>
        </w:rPr>
        <w:t>An authorised person has functions under an Act (e.g. to assess licence applications) and powers (e.g. to grant a licence, to impose a condition on such a licence or both), and the authorised person wishes to consciously authorise another person holding a specified office or position to exercise those functions and powers. Can the authorised person do so?</w:t>
      </w:r>
    </w:p>
    <w:p w14:paraId="2ED8A553" w14:textId="77777777" w:rsidR="00DB2FDB" w:rsidRPr="00CB660B" w:rsidRDefault="00DB2FDB" w:rsidP="00DB2FDB">
      <w:pPr>
        <w:pStyle w:val="BodyParaBullet"/>
        <w:rPr>
          <w:rFonts w:ascii="Open Sans" w:hAnsi="Open Sans" w:cs="Open Sans"/>
          <w:sz w:val="22"/>
          <w:szCs w:val="18"/>
        </w:rPr>
      </w:pPr>
      <w:r w:rsidRPr="00CB660B">
        <w:rPr>
          <w:rFonts w:ascii="Open Sans" w:hAnsi="Open Sans" w:cs="Open Sans"/>
          <w:sz w:val="22"/>
          <w:szCs w:val="18"/>
        </w:rPr>
        <w:t xml:space="preserve">An authorised person is themselves a delegate, holding a power delegated by the Parliament to make a legislative instrument specifying considerations that must be taken into account in assessing licence applications. If the legislative instrument then purports to specify a condition that, for example, an applicant hold a qualification specified by the Registrar, there may be an issue of unlawful </w:t>
      </w:r>
      <w:proofErr w:type="spellStart"/>
      <w:r w:rsidRPr="00CB660B">
        <w:rPr>
          <w:rFonts w:ascii="Open Sans" w:hAnsi="Open Sans" w:cs="Open Sans"/>
          <w:sz w:val="22"/>
          <w:szCs w:val="18"/>
        </w:rPr>
        <w:t>subdelegation</w:t>
      </w:r>
      <w:proofErr w:type="spellEnd"/>
      <w:r w:rsidRPr="00CB660B">
        <w:rPr>
          <w:rFonts w:ascii="Open Sans" w:hAnsi="Open Sans" w:cs="Open Sans"/>
          <w:sz w:val="22"/>
          <w:szCs w:val="18"/>
        </w:rPr>
        <w:t xml:space="preserve">. In this case, the </w:t>
      </w:r>
      <w:proofErr w:type="spellStart"/>
      <w:r w:rsidRPr="00CB660B">
        <w:rPr>
          <w:rFonts w:ascii="Open Sans" w:hAnsi="Open Sans" w:cs="Open Sans"/>
          <w:sz w:val="22"/>
          <w:szCs w:val="18"/>
        </w:rPr>
        <w:t>subdelegation</w:t>
      </w:r>
      <w:proofErr w:type="spellEnd"/>
      <w:r w:rsidRPr="00CB660B">
        <w:rPr>
          <w:rFonts w:ascii="Open Sans" w:hAnsi="Open Sans" w:cs="Open Sans"/>
          <w:sz w:val="22"/>
          <w:szCs w:val="18"/>
        </w:rPr>
        <w:t xml:space="preserve"> issue is not so much a case of the authorised person consciously authorising another to exercise a power, but rather a case of the authorised person perhaps being found, after the fact, to have engaged in an unlawful </w:t>
      </w:r>
      <w:proofErr w:type="spellStart"/>
      <w:r w:rsidRPr="00CB660B">
        <w:rPr>
          <w:rFonts w:ascii="Open Sans" w:hAnsi="Open Sans" w:cs="Open Sans"/>
          <w:sz w:val="22"/>
          <w:szCs w:val="18"/>
        </w:rPr>
        <w:t>subdelegation</w:t>
      </w:r>
      <w:proofErr w:type="spellEnd"/>
      <w:r w:rsidRPr="00CB660B">
        <w:rPr>
          <w:rFonts w:ascii="Open Sans" w:hAnsi="Open Sans" w:cs="Open Sans"/>
          <w:sz w:val="22"/>
          <w:szCs w:val="18"/>
        </w:rPr>
        <w:t xml:space="preserve"> of the power.</w:t>
      </w:r>
    </w:p>
    <w:p w14:paraId="484B1A9F" w14:textId="77777777" w:rsidR="00DB2FDB" w:rsidRPr="00CB660B" w:rsidRDefault="00DB2FDB" w:rsidP="00DB2FDB">
      <w:pPr>
        <w:pStyle w:val="BodyNum"/>
        <w:rPr>
          <w:rFonts w:ascii="Open Sans" w:hAnsi="Open Sans" w:cs="Open Sans"/>
          <w:sz w:val="22"/>
          <w:szCs w:val="18"/>
        </w:rPr>
      </w:pPr>
      <w:r w:rsidRPr="00CB660B">
        <w:rPr>
          <w:rFonts w:ascii="Open Sans" w:hAnsi="Open Sans" w:cs="Open Sans"/>
          <w:sz w:val="22"/>
          <w:szCs w:val="18"/>
        </w:rPr>
        <w:t>The above is not to be taken to suggest that a delegated power to make a legislative instrument is not delegable (it may well be delegable). The point is that the expression ‘</w:t>
      </w:r>
      <w:proofErr w:type="spellStart"/>
      <w:r w:rsidRPr="00CB660B">
        <w:rPr>
          <w:rFonts w:ascii="Open Sans" w:hAnsi="Open Sans" w:cs="Open Sans"/>
          <w:sz w:val="22"/>
          <w:szCs w:val="18"/>
        </w:rPr>
        <w:t>subdelegation</w:t>
      </w:r>
      <w:proofErr w:type="spellEnd"/>
      <w:r w:rsidRPr="00CB660B">
        <w:rPr>
          <w:rFonts w:ascii="Open Sans" w:hAnsi="Open Sans" w:cs="Open Sans"/>
          <w:sz w:val="22"/>
          <w:szCs w:val="18"/>
        </w:rPr>
        <w:t xml:space="preserve"> issue’ can refer to different things, and instructors should pay particular attention to the context in which it is being used.</w:t>
      </w:r>
    </w:p>
    <w:p w14:paraId="7C4E7AF6" w14:textId="5F819400" w:rsidR="00DB2FDB" w:rsidRDefault="00DB2FDB" w:rsidP="00DB2FDB">
      <w:pPr>
        <w:pStyle w:val="BodyNum"/>
        <w:rPr>
          <w:rFonts w:ascii="Open Sans" w:hAnsi="Open Sans" w:cs="Open Sans"/>
          <w:sz w:val="22"/>
          <w:szCs w:val="18"/>
        </w:rPr>
      </w:pPr>
      <w:r w:rsidRPr="00CB660B">
        <w:rPr>
          <w:rFonts w:ascii="Open Sans" w:hAnsi="Open Sans" w:cs="Open Sans"/>
          <w:sz w:val="22"/>
          <w:szCs w:val="18"/>
        </w:rPr>
        <w:t>For the purposes of providing instructions the question is a simple one—of all the functions and powers given to the authorised person, which ones are to be delegable?</w:t>
      </w:r>
    </w:p>
    <w:p w14:paraId="4566F7CF" w14:textId="77777777" w:rsidR="000F6F0C" w:rsidRPr="00DB2FDB" w:rsidRDefault="000F6F0C" w:rsidP="000F6F0C">
      <w:pPr>
        <w:pStyle w:val="BodyNum"/>
        <w:numPr>
          <w:ilvl w:val="0"/>
          <w:numId w:val="0"/>
        </w:numPr>
        <w:rPr>
          <w:rFonts w:ascii="Open Sans" w:hAnsi="Open Sans" w:cs="Open Sans"/>
          <w:sz w:val="22"/>
          <w:szCs w:val="18"/>
        </w:rPr>
      </w:pPr>
    </w:p>
    <w:p w14:paraId="69D03AA8" w14:textId="77777777" w:rsidR="00DB2FDB" w:rsidRPr="00CB660B" w:rsidRDefault="00DB2FDB" w:rsidP="000F6F0C">
      <w:pPr>
        <w:pStyle w:val="Heading2"/>
        <w:keepNext/>
      </w:pPr>
      <w:r w:rsidRPr="00CB660B">
        <w:lastRenderedPageBreak/>
        <w:t>Acts Interpretation Act</w:t>
      </w:r>
    </w:p>
    <w:p w14:paraId="746732A5" w14:textId="77777777" w:rsidR="00DB2FDB" w:rsidRPr="00CB660B" w:rsidRDefault="00DB2FDB" w:rsidP="00DB2FDB">
      <w:pPr>
        <w:pStyle w:val="BodyNum"/>
        <w:rPr>
          <w:rFonts w:ascii="Open Sans" w:hAnsi="Open Sans" w:cs="Open Sans"/>
          <w:sz w:val="22"/>
          <w:szCs w:val="18"/>
        </w:rPr>
      </w:pPr>
      <w:r w:rsidRPr="00CB660B">
        <w:rPr>
          <w:rFonts w:ascii="Open Sans" w:hAnsi="Open Sans" w:cs="Open Sans"/>
          <w:sz w:val="22"/>
          <w:szCs w:val="18"/>
        </w:rPr>
        <w:t xml:space="preserve">Sections 34AA, 34AB and 34A of the </w:t>
      </w:r>
      <w:r w:rsidRPr="00CB660B">
        <w:rPr>
          <w:rFonts w:ascii="Open Sans" w:hAnsi="Open Sans" w:cs="Open Sans"/>
          <w:i/>
          <w:iCs/>
          <w:sz w:val="22"/>
          <w:szCs w:val="18"/>
        </w:rPr>
        <w:t>Acts Interpretation Act 1901</w:t>
      </w:r>
      <w:r w:rsidRPr="00CB660B">
        <w:rPr>
          <w:rFonts w:ascii="Open Sans" w:hAnsi="Open Sans" w:cs="Open Sans"/>
          <w:sz w:val="22"/>
          <w:szCs w:val="18"/>
        </w:rPr>
        <w:t xml:space="preserve"> contain rules about delegations. It is important to understand these provisions when instructing on delegation provisions in legislation or when drafting delegations under such provisions.</w:t>
      </w:r>
    </w:p>
    <w:p w14:paraId="360EC832" w14:textId="77777777" w:rsidR="00DB2FDB" w:rsidRPr="00CB660B" w:rsidRDefault="00DB2FDB" w:rsidP="00DB2FDB">
      <w:pPr>
        <w:pStyle w:val="BodyNum"/>
        <w:rPr>
          <w:rFonts w:ascii="Open Sans" w:hAnsi="Open Sans" w:cs="Open Sans"/>
          <w:sz w:val="22"/>
          <w:szCs w:val="18"/>
        </w:rPr>
      </w:pPr>
      <w:r w:rsidRPr="00CB660B">
        <w:rPr>
          <w:rFonts w:ascii="Open Sans" w:hAnsi="Open Sans" w:cs="Open Sans"/>
          <w:sz w:val="22"/>
          <w:szCs w:val="18"/>
        </w:rPr>
        <w:t>The rules include the following:</w:t>
      </w:r>
    </w:p>
    <w:p w14:paraId="70230180" w14:textId="77777777" w:rsidR="00DB2FDB" w:rsidRPr="00CB660B" w:rsidRDefault="00DB2FDB" w:rsidP="00DB2FDB">
      <w:pPr>
        <w:pStyle w:val="BodyParaBullet"/>
        <w:rPr>
          <w:rFonts w:ascii="Open Sans" w:hAnsi="Open Sans" w:cs="Open Sans"/>
          <w:sz w:val="22"/>
          <w:szCs w:val="18"/>
        </w:rPr>
      </w:pPr>
      <w:r w:rsidRPr="00CB660B">
        <w:rPr>
          <w:rFonts w:ascii="Open Sans" w:hAnsi="Open Sans" w:cs="Open Sans"/>
          <w:sz w:val="22"/>
          <w:szCs w:val="18"/>
        </w:rPr>
        <w:t>a delegation may be made to a specified office or position (as opposed to a named individual or body), even if the office or position does not come into existence until after the delegation is given (section 34AA)</w:t>
      </w:r>
    </w:p>
    <w:p w14:paraId="09FD7574" w14:textId="77777777" w:rsidR="00DB2FDB" w:rsidRPr="00CB660B" w:rsidRDefault="00DB2FDB" w:rsidP="00DB2FDB">
      <w:pPr>
        <w:pStyle w:val="BodyParaBullet"/>
        <w:rPr>
          <w:rFonts w:ascii="Open Sans" w:hAnsi="Open Sans" w:cs="Open Sans"/>
          <w:sz w:val="22"/>
          <w:szCs w:val="18"/>
        </w:rPr>
      </w:pPr>
      <w:r w:rsidRPr="00CB660B">
        <w:rPr>
          <w:rFonts w:ascii="Open Sans" w:hAnsi="Open Sans" w:cs="Open Sans"/>
          <w:sz w:val="22"/>
          <w:szCs w:val="18"/>
        </w:rPr>
        <w:t>a delegation may be general or limited in scope (paragraph 34AB(1)(a))</w:t>
      </w:r>
    </w:p>
    <w:p w14:paraId="5B8F909F" w14:textId="77777777" w:rsidR="00DB2FDB" w:rsidRPr="00CB660B" w:rsidRDefault="00DB2FDB" w:rsidP="00DB2FDB">
      <w:pPr>
        <w:pStyle w:val="BodyParaBullet"/>
        <w:rPr>
          <w:rFonts w:ascii="Open Sans" w:hAnsi="Open Sans" w:cs="Open Sans"/>
          <w:sz w:val="22"/>
          <w:szCs w:val="18"/>
        </w:rPr>
      </w:pPr>
      <w:r w:rsidRPr="00CB660B">
        <w:rPr>
          <w:rFonts w:ascii="Open Sans" w:hAnsi="Open Sans" w:cs="Open Sans"/>
          <w:sz w:val="22"/>
          <w:szCs w:val="18"/>
        </w:rPr>
        <w:t>the functions or powers that may be delegated do not include the power to delegate (paragraph 34AB(1)(b))</w:t>
      </w:r>
    </w:p>
    <w:p w14:paraId="2DAC076B" w14:textId="77777777" w:rsidR="00DB2FDB" w:rsidRPr="00CB660B" w:rsidRDefault="00DB2FDB" w:rsidP="00DB2FDB">
      <w:pPr>
        <w:pStyle w:val="BodyParaBullet"/>
        <w:rPr>
          <w:rFonts w:ascii="Open Sans" w:hAnsi="Open Sans" w:cs="Open Sans"/>
          <w:sz w:val="22"/>
          <w:szCs w:val="18"/>
        </w:rPr>
      </w:pPr>
      <w:r w:rsidRPr="00CB660B">
        <w:rPr>
          <w:rFonts w:ascii="Open Sans" w:hAnsi="Open Sans" w:cs="Open Sans"/>
          <w:sz w:val="22"/>
          <w:szCs w:val="18"/>
        </w:rPr>
        <w:t>an authorised person may themselves continue to exercise a power or perform a function even though the authorised person has delegated the power or function to a delegate (paragraph 34AB(1)(d))</w:t>
      </w:r>
    </w:p>
    <w:p w14:paraId="3BA55DAD" w14:textId="77777777" w:rsidR="00DB2FDB" w:rsidRPr="00CB660B" w:rsidRDefault="00DB2FDB" w:rsidP="00DB2FDB">
      <w:pPr>
        <w:pStyle w:val="BodyParaBullet"/>
        <w:rPr>
          <w:rFonts w:ascii="Open Sans" w:hAnsi="Open Sans" w:cs="Open Sans"/>
          <w:sz w:val="22"/>
          <w:szCs w:val="18"/>
        </w:rPr>
      </w:pPr>
      <w:r w:rsidRPr="00CB660B">
        <w:rPr>
          <w:rFonts w:ascii="Open Sans" w:hAnsi="Open Sans" w:cs="Open Sans"/>
          <w:sz w:val="22"/>
          <w:szCs w:val="18"/>
        </w:rPr>
        <w:t>generally speaking, amendments to legislation to add to, or alter, the scope of authorised person’s powers and functions will flow through to a delegation (subsections 34AB(2) and (3))</w:t>
      </w:r>
    </w:p>
    <w:p w14:paraId="52078C77" w14:textId="77777777" w:rsidR="00DB2FDB" w:rsidRPr="00CB660B" w:rsidRDefault="00DB2FDB" w:rsidP="00DB2FDB">
      <w:pPr>
        <w:pStyle w:val="Heading2"/>
      </w:pPr>
      <w:r w:rsidRPr="00CB660B">
        <w:t>Administrative review</w:t>
      </w:r>
    </w:p>
    <w:p w14:paraId="06A48A2D" w14:textId="77777777" w:rsidR="00DB2FDB" w:rsidRPr="00CB660B" w:rsidRDefault="00DB2FDB" w:rsidP="00DB2FDB">
      <w:pPr>
        <w:pStyle w:val="BodyNum"/>
        <w:rPr>
          <w:rFonts w:ascii="Open Sans" w:hAnsi="Open Sans" w:cs="Open Sans"/>
          <w:sz w:val="22"/>
          <w:szCs w:val="18"/>
        </w:rPr>
      </w:pPr>
      <w:r w:rsidRPr="00CB660B">
        <w:rPr>
          <w:rFonts w:ascii="Open Sans" w:hAnsi="Open Sans" w:cs="Open Sans"/>
          <w:sz w:val="22"/>
          <w:szCs w:val="18"/>
        </w:rPr>
        <w:t xml:space="preserve">If a decision has been made by a delegate, the decision is generally taken to have been made by the authorised person on whom the function or power was conferred by an Act or instrument. This is reflected in both paragraph 34AB(1)(c) of the </w:t>
      </w:r>
      <w:r w:rsidRPr="00CB660B">
        <w:rPr>
          <w:rFonts w:ascii="Open Sans" w:hAnsi="Open Sans" w:cs="Open Sans"/>
          <w:i/>
          <w:iCs/>
          <w:sz w:val="22"/>
          <w:szCs w:val="18"/>
        </w:rPr>
        <w:t>Acts Interpretation Act 1901</w:t>
      </w:r>
      <w:r w:rsidRPr="00CB660B">
        <w:rPr>
          <w:rFonts w:ascii="Open Sans" w:hAnsi="Open Sans" w:cs="Open Sans"/>
          <w:sz w:val="22"/>
          <w:szCs w:val="18"/>
        </w:rPr>
        <w:t xml:space="preserve">, and subsection 14(7) of the </w:t>
      </w:r>
      <w:r w:rsidRPr="00CB660B">
        <w:rPr>
          <w:rFonts w:ascii="Open Sans" w:hAnsi="Open Sans" w:cs="Open Sans"/>
          <w:i/>
          <w:iCs/>
          <w:sz w:val="22"/>
          <w:szCs w:val="18"/>
        </w:rPr>
        <w:t>Administrative Review Tribunal Act 2024</w:t>
      </w:r>
      <w:r w:rsidRPr="00CB660B">
        <w:rPr>
          <w:rFonts w:ascii="Open Sans" w:hAnsi="Open Sans" w:cs="Open Sans"/>
          <w:sz w:val="22"/>
          <w:szCs w:val="18"/>
        </w:rPr>
        <w:t>.</w:t>
      </w:r>
    </w:p>
    <w:p w14:paraId="715584C3" w14:textId="77777777" w:rsidR="00DB2FDB" w:rsidRPr="00CB660B" w:rsidRDefault="00DB2FDB" w:rsidP="00DB2FDB">
      <w:pPr>
        <w:pStyle w:val="BodyNum"/>
        <w:rPr>
          <w:rFonts w:ascii="Open Sans" w:hAnsi="Open Sans" w:cs="Open Sans"/>
          <w:sz w:val="22"/>
          <w:szCs w:val="18"/>
        </w:rPr>
      </w:pPr>
      <w:r w:rsidRPr="00CB660B">
        <w:rPr>
          <w:rFonts w:ascii="Open Sans" w:hAnsi="Open Sans" w:cs="Open Sans"/>
          <w:sz w:val="22"/>
          <w:szCs w:val="18"/>
        </w:rPr>
        <w:t>This reflects well</w:t>
      </w:r>
      <w:r w:rsidRPr="00CB660B">
        <w:rPr>
          <w:rFonts w:ascii="Open Sans" w:hAnsi="Open Sans" w:cs="Open Sans"/>
          <w:sz w:val="22"/>
          <w:szCs w:val="18"/>
        </w:rPr>
        <w:noBreakHyphen/>
        <w:t>established Commonwealth policy that an appropriately senior authorised person (usually the Minister or the Secretary) who originally delegated the function or power is the person required to defend the actions of a delegate in a court or tribunal.</w:t>
      </w:r>
    </w:p>
    <w:p w14:paraId="78D31151" w14:textId="77777777" w:rsidR="00DB2FDB" w:rsidRPr="00CB660B" w:rsidRDefault="00DB2FDB" w:rsidP="00DB2FDB">
      <w:pPr>
        <w:pStyle w:val="Heading2"/>
      </w:pPr>
      <w:r w:rsidRPr="00CB660B">
        <w:t>Delegation to computers</w:t>
      </w:r>
    </w:p>
    <w:p w14:paraId="544C4098" w14:textId="77777777" w:rsidR="00DB2FDB" w:rsidRDefault="00DB2FDB" w:rsidP="00DB2FDB">
      <w:pPr>
        <w:pStyle w:val="BodyNum"/>
        <w:rPr>
          <w:rFonts w:ascii="Open Sans" w:hAnsi="Open Sans" w:cs="Open Sans"/>
          <w:sz w:val="22"/>
          <w:szCs w:val="18"/>
        </w:rPr>
      </w:pPr>
      <w:r w:rsidRPr="00CB660B">
        <w:rPr>
          <w:rFonts w:ascii="Open Sans" w:hAnsi="Open Sans" w:cs="Open Sans"/>
          <w:sz w:val="22"/>
          <w:szCs w:val="18"/>
        </w:rPr>
        <w:t>A delegation power is not sufficient to authorise automated decision making. Any delegation must be to a human decision</w:t>
      </w:r>
      <w:r w:rsidRPr="00CB660B">
        <w:rPr>
          <w:rFonts w:ascii="Open Sans" w:hAnsi="Open Sans" w:cs="Open Sans"/>
          <w:sz w:val="22"/>
          <w:szCs w:val="18"/>
        </w:rPr>
        <w:noBreakHyphen/>
        <w:t>maker. If you anticipate a need to authorise the use of computers or artificial intelligence in decision</w:t>
      </w:r>
      <w:r w:rsidRPr="00CB660B">
        <w:rPr>
          <w:rFonts w:ascii="Open Sans" w:hAnsi="Open Sans" w:cs="Open Sans"/>
          <w:sz w:val="22"/>
          <w:szCs w:val="18"/>
        </w:rPr>
        <w:noBreakHyphen/>
        <w:t>making processes, you will need to provide instructions on the arrangements to enable OPC to prepare provisions providing appropriate legislative authority.</w:t>
      </w:r>
    </w:p>
    <w:p w14:paraId="2D7D2239" w14:textId="77777777" w:rsidR="004A6E58" w:rsidRPr="00CB660B" w:rsidRDefault="004A6E58" w:rsidP="004A6E58">
      <w:pPr>
        <w:pStyle w:val="BodyNum"/>
        <w:numPr>
          <w:ilvl w:val="0"/>
          <w:numId w:val="0"/>
        </w:numPr>
        <w:rPr>
          <w:rFonts w:ascii="Open Sans" w:hAnsi="Open Sans" w:cs="Open Sans"/>
          <w:sz w:val="22"/>
          <w:szCs w:val="18"/>
        </w:rPr>
      </w:pPr>
    </w:p>
    <w:p w14:paraId="0C56DDEA" w14:textId="77777777" w:rsidR="00DB2FDB" w:rsidRPr="00CB660B" w:rsidRDefault="00DB2FDB" w:rsidP="00DB2FDB">
      <w:pPr>
        <w:pStyle w:val="Heading2"/>
      </w:pPr>
      <w:r w:rsidRPr="00CB660B">
        <w:lastRenderedPageBreak/>
        <w:t xml:space="preserve"> Character of delegations</w:t>
      </w:r>
    </w:p>
    <w:p w14:paraId="7B8C138D" w14:textId="77777777" w:rsidR="00DB2FDB" w:rsidRPr="00CB660B" w:rsidRDefault="00DB2FDB" w:rsidP="00DB2FDB">
      <w:pPr>
        <w:pStyle w:val="BodyNum"/>
        <w:rPr>
          <w:rFonts w:ascii="Open Sans" w:hAnsi="Open Sans" w:cs="Open Sans"/>
          <w:sz w:val="22"/>
          <w:szCs w:val="18"/>
        </w:rPr>
      </w:pPr>
      <w:r w:rsidRPr="00CB660B">
        <w:rPr>
          <w:rFonts w:ascii="Open Sans" w:hAnsi="Open Sans" w:cs="Open Sans"/>
          <w:sz w:val="22"/>
          <w:szCs w:val="18"/>
        </w:rPr>
        <w:t xml:space="preserve">Table items 1 and 2, respectively, in subsection 6(1) of the </w:t>
      </w:r>
      <w:r w:rsidRPr="00CB660B">
        <w:rPr>
          <w:rFonts w:ascii="Open Sans" w:hAnsi="Open Sans" w:cs="Open Sans"/>
          <w:i/>
          <w:iCs/>
          <w:sz w:val="22"/>
          <w:szCs w:val="18"/>
        </w:rPr>
        <w:t>Legislation (Exemptions and Other Matters) Regulations 2015</w:t>
      </w:r>
      <w:r w:rsidRPr="00CB660B">
        <w:rPr>
          <w:rFonts w:ascii="Open Sans" w:hAnsi="Open Sans" w:cs="Open Sans"/>
          <w:sz w:val="22"/>
          <w:szCs w:val="18"/>
        </w:rPr>
        <w:t xml:space="preserve">, provide that neither of the following are legislative instruments for the purposes of the </w:t>
      </w:r>
      <w:r w:rsidRPr="00CB660B">
        <w:rPr>
          <w:rFonts w:ascii="Open Sans" w:hAnsi="Open Sans" w:cs="Open Sans"/>
          <w:i/>
          <w:iCs/>
          <w:sz w:val="22"/>
          <w:szCs w:val="18"/>
        </w:rPr>
        <w:t>Legislation Act 2003</w:t>
      </w:r>
      <w:r w:rsidRPr="00CB660B">
        <w:rPr>
          <w:rFonts w:ascii="Open Sans" w:hAnsi="Open Sans" w:cs="Open Sans"/>
          <w:sz w:val="22"/>
          <w:szCs w:val="18"/>
        </w:rPr>
        <w:t>:</w:t>
      </w:r>
    </w:p>
    <w:p w14:paraId="47D6F53E" w14:textId="77777777" w:rsidR="00DB2FDB" w:rsidRPr="00CB660B" w:rsidRDefault="00DB2FDB" w:rsidP="00DB2FDB">
      <w:pPr>
        <w:pStyle w:val="BodyParaBullet"/>
        <w:rPr>
          <w:rFonts w:ascii="Open Sans" w:hAnsi="Open Sans" w:cs="Open Sans"/>
          <w:sz w:val="22"/>
          <w:szCs w:val="18"/>
        </w:rPr>
      </w:pPr>
      <w:r w:rsidRPr="00CB660B">
        <w:rPr>
          <w:rFonts w:ascii="Open Sans" w:hAnsi="Open Sans" w:cs="Open Sans"/>
          <w:sz w:val="22"/>
          <w:szCs w:val="18"/>
        </w:rPr>
        <w:t>an instrument of delegation, including any directions to the delegate;</w:t>
      </w:r>
    </w:p>
    <w:p w14:paraId="1C8B3074" w14:textId="77777777" w:rsidR="00DB2FDB" w:rsidRPr="00CB660B" w:rsidRDefault="00DB2FDB" w:rsidP="00DB2FDB">
      <w:pPr>
        <w:pStyle w:val="BodyParaBullet"/>
        <w:rPr>
          <w:rFonts w:ascii="Open Sans" w:hAnsi="Open Sans" w:cs="Open Sans"/>
          <w:sz w:val="22"/>
          <w:szCs w:val="18"/>
        </w:rPr>
      </w:pPr>
      <w:r w:rsidRPr="00CB660B">
        <w:rPr>
          <w:rFonts w:ascii="Open Sans" w:hAnsi="Open Sans" w:cs="Open Sans"/>
          <w:sz w:val="22"/>
          <w:szCs w:val="18"/>
        </w:rPr>
        <w:t xml:space="preserve">an instrument that is a direction to a delegate. </w:t>
      </w:r>
    </w:p>
    <w:p w14:paraId="22CE9F52" w14:textId="77777777" w:rsidR="00DB2FDB" w:rsidRPr="00CB660B" w:rsidRDefault="00DB2FDB" w:rsidP="00DB2FDB">
      <w:pPr>
        <w:pStyle w:val="BodyNum"/>
        <w:rPr>
          <w:rFonts w:ascii="Open Sans" w:hAnsi="Open Sans" w:cs="Open Sans"/>
          <w:sz w:val="22"/>
          <w:szCs w:val="18"/>
        </w:rPr>
      </w:pPr>
      <w:r w:rsidRPr="00CB660B">
        <w:rPr>
          <w:rFonts w:ascii="Open Sans" w:hAnsi="Open Sans" w:cs="Open Sans"/>
          <w:sz w:val="22"/>
          <w:szCs w:val="18"/>
        </w:rPr>
        <w:t>As a result, delegations and directions to delegates are not subject to disallowance or sunsetting. Nor do they need to be registered on the Federal Register of Legislation to have legal effect.</w:t>
      </w:r>
    </w:p>
    <w:p w14:paraId="6BC2C3B6" w14:textId="77777777" w:rsidR="00DB2FDB" w:rsidRPr="00CB660B" w:rsidRDefault="00DB2FDB" w:rsidP="00DB2FDB">
      <w:pPr>
        <w:pStyle w:val="BodyNum"/>
        <w:rPr>
          <w:rFonts w:ascii="Open Sans" w:hAnsi="Open Sans" w:cs="Open Sans"/>
          <w:sz w:val="22"/>
          <w:szCs w:val="18"/>
        </w:rPr>
      </w:pPr>
      <w:r w:rsidRPr="00CB660B">
        <w:rPr>
          <w:rFonts w:ascii="Open Sans" w:hAnsi="Open Sans" w:cs="Open Sans"/>
          <w:sz w:val="22"/>
          <w:szCs w:val="18"/>
        </w:rPr>
        <w:t>Note, however, that a legislative instrument made by a delegate under a delegated power:</w:t>
      </w:r>
    </w:p>
    <w:p w14:paraId="29DAFC6D" w14:textId="77777777" w:rsidR="00DB2FDB" w:rsidRPr="00CB660B" w:rsidRDefault="00DB2FDB" w:rsidP="00DB2FDB">
      <w:pPr>
        <w:pStyle w:val="BodyParaBullet"/>
        <w:rPr>
          <w:rFonts w:ascii="Open Sans" w:hAnsi="Open Sans" w:cs="Open Sans"/>
          <w:sz w:val="22"/>
          <w:szCs w:val="18"/>
        </w:rPr>
      </w:pPr>
      <w:r w:rsidRPr="00CB660B">
        <w:rPr>
          <w:rFonts w:ascii="Open Sans" w:hAnsi="Open Sans" w:cs="Open Sans"/>
          <w:sz w:val="22"/>
          <w:szCs w:val="18"/>
        </w:rPr>
        <w:t>may well be subject to disallowance and sunsetting or both; and</w:t>
      </w:r>
    </w:p>
    <w:p w14:paraId="5112BD3C" w14:textId="77777777" w:rsidR="00DB2FDB" w:rsidRPr="00CB660B" w:rsidRDefault="00DB2FDB" w:rsidP="00DB2FDB">
      <w:pPr>
        <w:pStyle w:val="BodyParaBullet"/>
        <w:rPr>
          <w:rFonts w:ascii="Open Sans" w:hAnsi="Open Sans" w:cs="Open Sans"/>
          <w:sz w:val="22"/>
          <w:szCs w:val="18"/>
        </w:rPr>
      </w:pPr>
      <w:r w:rsidRPr="00CB660B">
        <w:rPr>
          <w:rFonts w:ascii="Open Sans" w:hAnsi="Open Sans" w:cs="Open Sans"/>
          <w:sz w:val="22"/>
          <w:szCs w:val="18"/>
        </w:rPr>
        <w:t xml:space="preserve">must be registered to be enforceable (subsection 15K(1) of the </w:t>
      </w:r>
      <w:r w:rsidRPr="00CB660B">
        <w:rPr>
          <w:rFonts w:ascii="Open Sans" w:hAnsi="Open Sans" w:cs="Open Sans"/>
          <w:i/>
          <w:iCs/>
          <w:sz w:val="22"/>
          <w:szCs w:val="18"/>
        </w:rPr>
        <w:t>Legislation Act 2003</w:t>
      </w:r>
      <w:r w:rsidRPr="00CB660B">
        <w:rPr>
          <w:rFonts w:ascii="Open Sans" w:hAnsi="Open Sans" w:cs="Open Sans"/>
          <w:sz w:val="22"/>
          <w:szCs w:val="18"/>
        </w:rPr>
        <w:t>).</w:t>
      </w:r>
    </w:p>
    <w:p w14:paraId="56F28641" w14:textId="77777777" w:rsidR="00DB2FDB" w:rsidRPr="00CB660B" w:rsidRDefault="00DB2FDB" w:rsidP="00DB2FDB">
      <w:pPr>
        <w:pStyle w:val="Heading2"/>
      </w:pPr>
      <w:r w:rsidRPr="00CB660B">
        <w:t>More information</w:t>
      </w:r>
    </w:p>
    <w:p w14:paraId="31155530" w14:textId="77777777" w:rsidR="00DB2FDB" w:rsidRPr="00CB660B" w:rsidRDefault="00DB2FDB" w:rsidP="00DB2FDB">
      <w:pPr>
        <w:pStyle w:val="BodyParaBullet"/>
        <w:rPr>
          <w:rFonts w:ascii="Open Sans" w:hAnsi="Open Sans" w:cs="Open Sans"/>
          <w:sz w:val="22"/>
          <w:szCs w:val="18"/>
        </w:rPr>
      </w:pPr>
      <w:r w:rsidRPr="00CB660B">
        <w:rPr>
          <w:rFonts w:ascii="Open Sans" w:hAnsi="Open Sans" w:cs="Open Sans"/>
          <w:sz w:val="22"/>
          <w:szCs w:val="18"/>
        </w:rPr>
        <w:t xml:space="preserve">Delegation template on </w:t>
      </w:r>
      <w:proofErr w:type="spellStart"/>
      <w:r w:rsidRPr="00CB660B">
        <w:rPr>
          <w:rFonts w:ascii="Open Sans" w:hAnsi="Open Sans" w:cs="Open Sans"/>
          <w:sz w:val="22"/>
          <w:szCs w:val="18"/>
        </w:rPr>
        <w:t>OPC’s</w:t>
      </w:r>
      <w:proofErr w:type="spellEnd"/>
      <w:r w:rsidRPr="00CB660B">
        <w:rPr>
          <w:rFonts w:ascii="Open Sans" w:hAnsi="Open Sans" w:cs="Open Sans"/>
          <w:sz w:val="22"/>
          <w:szCs w:val="18"/>
        </w:rPr>
        <w:t xml:space="preserve"> website</w:t>
      </w:r>
    </w:p>
    <w:p w14:paraId="1A71E9A8" w14:textId="77777777" w:rsidR="00DB2FDB" w:rsidRPr="001B4D2B" w:rsidRDefault="00DB2FDB" w:rsidP="00DB2FDB">
      <w:pPr>
        <w:pStyle w:val="BodyParaBullet"/>
        <w:rPr>
          <w:rFonts w:ascii="Open Sans" w:hAnsi="Open Sans" w:cs="Open Sans"/>
          <w:sz w:val="22"/>
          <w:szCs w:val="18"/>
        </w:rPr>
      </w:pPr>
      <w:r w:rsidRPr="00CB660B">
        <w:rPr>
          <w:rFonts w:ascii="Open Sans" w:hAnsi="Open Sans" w:cs="Open Sans"/>
          <w:i/>
          <w:iCs/>
          <w:sz w:val="22"/>
          <w:szCs w:val="18"/>
        </w:rPr>
        <w:t>Instructor Guidance Note—Automated decision</w:t>
      </w:r>
      <w:r w:rsidRPr="00CB660B">
        <w:rPr>
          <w:rFonts w:ascii="Open Sans" w:hAnsi="Open Sans" w:cs="Open Sans"/>
          <w:i/>
          <w:iCs/>
          <w:sz w:val="22"/>
          <w:szCs w:val="18"/>
        </w:rPr>
        <w:noBreakHyphen/>
        <w:t>making</w:t>
      </w:r>
    </w:p>
    <w:p w14:paraId="1F1D95FE" w14:textId="77777777" w:rsidR="00DB2FDB" w:rsidRPr="00CB660B" w:rsidRDefault="00DB2FDB" w:rsidP="00DB2FDB">
      <w:pPr>
        <w:pStyle w:val="BodyParaBullet"/>
        <w:numPr>
          <w:ilvl w:val="0"/>
          <w:numId w:val="0"/>
        </w:numPr>
        <w:ind w:left="1440"/>
        <w:rPr>
          <w:rFonts w:ascii="Open Sans" w:hAnsi="Open Sans" w:cs="Open Sans"/>
          <w:sz w:val="22"/>
          <w:szCs w:val="18"/>
        </w:rPr>
      </w:pPr>
    </w:p>
    <w:tbl>
      <w:tblPr>
        <w:tblStyle w:val="TableGrid"/>
        <w:tblW w:w="0" w:type="auto"/>
        <w:tblLook w:val="04A0" w:firstRow="1" w:lastRow="0" w:firstColumn="1" w:lastColumn="0" w:noHBand="0" w:noVBand="1"/>
      </w:tblPr>
      <w:tblGrid>
        <w:gridCol w:w="9016"/>
      </w:tblGrid>
      <w:tr w:rsidR="00DB2FDB" w:rsidRPr="00F951F6" w14:paraId="7A1459E3" w14:textId="77777777" w:rsidTr="00F01C1E">
        <w:tc>
          <w:tcPr>
            <w:tcW w:w="9016" w:type="dxa"/>
            <w:tcBorders>
              <w:top w:val="nil"/>
              <w:left w:val="nil"/>
              <w:bottom w:val="nil"/>
              <w:right w:val="nil"/>
            </w:tcBorders>
            <w:shd w:val="clear" w:color="auto" w:fill="A9D9DB"/>
          </w:tcPr>
          <w:p w14:paraId="4D100172" w14:textId="77777777" w:rsidR="00DB2FDB" w:rsidRPr="00DB2FDB" w:rsidRDefault="00DB2FDB" w:rsidP="00F01C1E">
            <w:pPr>
              <w:spacing w:before="120" w:after="120"/>
              <w:rPr>
                <w:rFonts w:ascii="Open Sans" w:hAnsi="Open Sans" w:cs="Open Sans"/>
                <w:szCs w:val="22"/>
              </w:rPr>
            </w:pPr>
            <w:bookmarkStart w:id="1" w:name="_Hlk202188723"/>
            <w:r w:rsidRPr="00DB2FDB">
              <w:rPr>
                <w:rFonts w:ascii="Open Sans" w:hAnsi="Open Sans" w:cs="Open Sans"/>
                <w:color w:val="084D5E"/>
                <w:szCs w:val="22"/>
              </w:rPr>
              <w:t>The purpose of Instructor Guidance Notes is to assist agencies with general legislative drafting issues and preparing drafting instructions for Bills and instruments. The series is intended to be a starting point for instructors' own engagement with the matters covered. Instructor Guidance Notes are not statements of official policy and are not intended to be a comprehensive statement of the law. This Instructor Guidance Note should not be relied on as a substitute for legal advice.</w:t>
            </w:r>
          </w:p>
        </w:tc>
      </w:tr>
      <w:bookmarkEnd w:id="1"/>
    </w:tbl>
    <w:p w14:paraId="79C953BF" w14:textId="77777777" w:rsidR="00DB2FDB" w:rsidRPr="004551BE" w:rsidRDefault="00DB2FDB" w:rsidP="00DB2FDB">
      <w:pPr>
        <w:spacing w:before="120" w:after="120"/>
        <w:rPr>
          <w:sz w:val="21"/>
          <w:szCs w:val="22"/>
        </w:rPr>
      </w:pPr>
    </w:p>
    <w:p w14:paraId="5A02B2D4" w14:textId="060688C8" w:rsidR="008026EA" w:rsidRPr="00DB2FDB" w:rsidRDefault="008026EA" w:rsidP="00DB2FDB"/>
    <w:sectPr w:rsidR="008026EA" w:rsidRPr="00DB2FDB" w:rsidSect="000F6F0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4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6F1B8" w14:textId="77777777" w:rsidR="00DD7898" w:rsidRDefault="00DD7898" w:rsidP="008E17F3">
      <w:pPr>
        <w:spacing w:line="240" w:lineRule="auto"/>
      </w:pPr>
      <w:r>
        <w:separator/>
      </w:r>
    </w:p>
  </w:endnote>
  <w:endnote w:type="continuationSeparator" w:id="0">
    <w:p w14:paraId="352AD761" w14:textId="77777777" w:rsidR="00DD7898" w:rsidRDefault="00DD7898"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Open Sans">
    <w:charset w:val="00"/>
    <w:family w:val="swiss"/>
    <w:pitch w:val="variable"/>
    <w:sig w:usb0="E00002EF" w:usb1="4000205B" w:usb2="00000028" w:usb3="00000000" w:csb0="0000019F" w:csb1="00000000"/>
    <w:embedRegular r:id="rId1" w:fontKey="{0C3B1239-DE00-4D4E-B266-5EE4926A6A7D}"/>
    <w:embedBold r:id="rId2" w:fontKey="{ECF5F19F-525C-4F46-B25C-1A41F6E14A43}"/>
    <w:embedItalic r:id="rId3" w:fontKey="{6BD1E30E-975C-4F2A-BD6A-E19E8550A201}"/>
    <w:embedBoldItalic r:id="rId4" w:fontKey="{7DB60D46-E8B7-48B8-A797-9B9362A2A497}"/>
  </w:font>
  <w:font w:name="Open Sans ExtraBold">
    <w:charset w:val="00"/>
    <w:family w:val="swiss"/>
    <w:pitch w:val="variable"/>
    <w:sig w:usb0="E00002EF" w:usb1="4000205B" w:usb2="00000028" w:usb3="00000000" w:csb0="0000019F" w:csb1="00000000"/>
    <w:embedRegular r:id="rId5" w:fontKey="{0F0DCBE5-DBB3-41A3-A050-95CB3D37C248}"/>
    <w:embedBold r:id="rId6" w:fontKey="{255062A4-283D-4793-84A3-13784875A486}"/>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 Garamond">
    <w:altName w:val="Calibri"/>
    <w:charset w:val="00"/>
    <w:family w:val="auto"/>
    <w:pitch w:val="variable"/>
    <w:sig w:usb0="E00002FF" w:usb1="020004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793D5" w14:textId="0394CF65"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separate"/>
    </w:r>
    <w:r w:rsidR="00B7568C">
      <w:rPr>
        <w:rStyle w:val="PageNumber"/>
        <w:noProof/>
      </w:rPr>
      <w:t>5</w:t>
    </w:r>
    <w:r>
      <w:rPr>
        <w:rStyle w:val="PageNumber"/>
      </w:rPr>
      <w:fldChar w:fldCharType="end"/>
    </w:r>
  </w:p>
  <w:p w14:paraId="33CF3BF4" w14:textId="77777777" w:rsidR="008E17F3" w:rsidRDefault="008E17F3" w:rsidP="008E17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AB11" w14:textId="77777777" w:rsidR="000F6F0C" w:rsidRPr="000F6F0C" w:rsidRDefault="000F6F0C">
    <w:pPr>
      <w:pStyle w:val="Footer"/>
      <w:jc w:val="right"/>
      <w:rPr>
        <w:rFonts w:ascii="Open Sans" w:hAnsi="Open Sans" w:cs="Open Sans"/>
        <w:sz w:val="20"/>
        <w:szCs w:val="20"/>
      </w:rPr>
    </w:pPr>
  </w:p>
  <w:p w14:paraId="6B452C29" w14:textId="17B8BE52" w:rsidR="000F6F0C" w:rsidRPr="000F6F0C" w:rsidRDefault="000F6F0C" w:rsidP="000F6F0C">
    <w:pPr>
      <w:pStyle w:val="Footer"/>
      <w:ind w:left="-567" w:firstLine="567"/>
      <w:jc w:val="right"/>
      <w:rPr>
        <w:rFonts w:ascii="Open Sans" w:hAnsi="Open Sans" w:cs="Open Sans"/>
        <w:sz w:val="20"/>
        <w:szCs w:val="20"/>
      </w:rPr>
    </w:pPr>
    <w:r w:rsidRPr="000F6F0C">
      <w:rPr>
        <w:rFonts w:ascii="Open Sans" w:hAnsi="Open Sans" w:cs="Open Sans"/>
        <w:sz w:val="20"/>
        <w:szCs w:val="20"/>
      </w:rPr>
      <w:br/>
      <w:t>[S25EP112.docx]</w:t>
    </w:r>
    <w:r w:rsidRPr="000F6F0C">
      <w:rPr>
        <w:rFonts w:ascii="Open Sans" w:hAnsi="Open Sans" w:cs="Open Sans"/>
        <w:sz w:val="20"/>
        <w:szCs w:val="20"/>
      </w:rPr>
      <w:tab/>
    </w:r>
    <w:r w:rsidRPr="000F6F0C">
      <w:rPr>
        <w:rFonts w:ascii="Open Sans" w:hAnsi="Open Sans" w:cs="Open Sans"/>
        <w:sz w:val="20"/>
        <w:szCs w:val="20"/>
      </w:rPr>
      <w:tab/>
      <w:t>Last updated: 13 October 2025</w:t>
    </w:r>
  </w:p>
  <w:sdt>
    <w:sdtPr>
      <w:rPr>
        <w:rFonts w:ascii="Open Sans" w:hAnsi="Open Sans" w:cs="Open Sans"/>
        <w:sz w:val="20"/>
        <w:szCs w:val="20"/>
      </w:rPr>
      <w:id w:val="1256246196"/>
      <w:docPartObj>
        <w:docPartGallery w:val="Page Numbers (Bottom of Page)"/>
        <w:docPartUnique/>
      </w:docPartObj>
    </w:sdtPr>
    <w:sdtEndPr/>
    <w:sdtContent>
      <w:p w14:paraId="02AE79E3" w14:textId="2382B06D" w:rsidR="008E17F3" w:rsidRPr="000F6F0C" w:rsidRDefault="000F6F0C" w:rsidP="000F6F0C">
        <w:pPr>
          <w:pStyle w:val="Footer"/>
          <w:jc w:val="right"/>
          <w:rPr>
            <w:rFonts w:ascii="Open Sans" w:hAnsi="Open Sans" w:cs="Open Sans"/>
            <w:sz w:val="20"/>
            <w:szCs w:val="20"/>
          </w:rPr>
        </w:pPr>
        <w:r w:rsidRPr="000F6F0C">
          <w:rPr>
            <w:rFonts w:ascii="Open Sans" w:hAnsi="Open Sans" w:cs="Open Sans"/>
            <w:sz w:val="20"/>
            <w:szCs w:val="20"/>
          </w:rPr>
          <w:t xml:space="preserve">Page | </w:t>
        </w:r>
        <w:r w:rsidRPr="000F6F0C">
          <w:rPr>
            <w:rFonts w:ascii="Open Sans" w:hAnsi="Open Sans" w:cs="Open Sans"/>
            <w:sz w:val="20"/>
            <w:szCs w:val="20"/>
          </w:rPr>
          <w:fldChar w:fldCharType="begin"/>
        </w:r>
        <w:r w:rsidRPr="000F6F0C">
          <w:rPr>
            <w:rFonts w:ascii="Open Sans" w:hAnsi="Open Sans" w:cs="Open Sans"/>
            <w:sz w:val="20"/>
            <w:szCs w:val="20"/>
          </w:rPr>
          <w:instrText xml:space="preserve"> PAGE   \* MERGEFORMAT </w:instrText>
        </w:r>
        <w:r w:rsidRPr="000F6F0C">
          <w:rPr>
            <w:rFonts w:ascii="Open Sans" w:hAnsi="Open Sans" w:cs="Open Sans"/>
            <w:sz w:val="20"/>
            <w:szCs w:val="20"/>
          </w:rPr>
          <w:fldChar w:fldCharType="separate"/>
        </w:r>
        <w:r w:rsidRPr="000F6F0C">
          <w:rPr>
            <w:rFonts w:ascii="Open Sans" w:hAnsi="Open Sans" w:cs="Open Sans"/>
            <w:noProof/>
            <w:sz w:val="20"/>
            <w:szCs w:val="20"/>
          </w:rPr>
          <w:t>2</w:t>
        </w:r>
        <w:r w:rsidRPr="000F6F0C">
          <w:rPr>
            <w:rFonts w:ascii="Open Sans" w:hAnsi="Open Sans" w:cs="Open Sans"/>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708721"/>
      <w:docPartObj>
        <w:docPartGallery w:val="Page Numbers (Bottom of Page)"/>
        <w:docPartUnique/>
      </w:docPartObj>
    </w:sdtPr>
    <w:sdtEndPr/>
    <w:sdtContent>
      <w:p w14:paraId="67BD954C" w14:textId="6BFEF8FB" w:rsidR="000F6F0C" w:rsidRPr="000F6F0C" w:rsidRDefault="000F6F0C">
        <w:pPr>
          <w:pStyle w:val="Footer"/>
          <w:jc w:val="right"/>
          <w:rPr>
            <w:rFonts w:ascii="Open Sans" w:hAnsi="Open Sans" w:cs="Open Sans"/>
            <w:sz w:val="20"/>
            <w:szCs w:val="20"/>
          </w:rPr>
        </w:pPr>
        <w:r w:rsidRPr="000F6F0C">
          <w:rPr>
            <w:rFonts w:ascii="Open Sans" w:hAnsi="Open Sans" w:cs="Open Sans"/>
            <w:sz w:val="20"/>
            <w:szCs w:val="20"/>
          </w:rPr>
          <w:br/>
          <w:t>[S25EP112.docx]</w:t>
        </w:r>
        <w:r w:rsidRPr="000F6F0C">
          <w:rPr>
            <w:rFonts w:ascii="Open Sans" w:hAnsi="Open Sans" w:cs="Open Sans"/>
            <w:sz w:val="20"/>
            <w:szCs w:val="20"/>
          </w:rPr>
          <w:tab/>
        </w:r>
        <w:r w:rsidRPr="000F6F0C">
          <w:rPr>
            <w:rFonts w:ascii="Open Sans" w:hAnsi="Open Sans" w:cs="Open Sans"/>
            <w:sz w:val="20"/>
            <w:szCs w:val="20"/>
          </w:rPr>
          <w:tab/>
          <w:t>Last updated: 13 October 2025</w:t>
        </w:r>
      </w:p>
      <w:p w14:paraId="005FC6A6" w14:textId="3445759B" w:rsidR="000F6F0C" w:rsidRDefault="000F6F0C">
        <w:pPr>
          <w:pStyle w:val="Footer"/>
          <w:jc w:val="right"/>
        </w:pPr>
        <w:r w:rsidRPr="000F6F0C">
          <w:rPr>
            <w:rFonts w:ascii="Open Sans" w:hAnsi="Open Sans" w:cs="Open Sans"/>
            <w:sz w:val="20"/>
            <w:szCs w:val="20"/>
          </w:rPr>
          <w:t xml:space="preserve">Page | </w:t>
        </w:r>
        <w:r w:rsidRPr="000F6F0C">
          <w:rPr>
            <w:rFonts w:ascii="Open Sans" w:hAnsi="Open Sans" w:cs="Open Sans"/>
            <w:sz w:val="20"/>
            <w:szCs w:val="20"/>
          </w:rPr>
          <w:fldChar w:fldCharType="begin"/>
        </w:r>
        <w:r w:rsidRPr="000F6F0C">
          <w:rPr>
            <w:rFonts w:ascii="Open Sans" w:hAnsi="Open Sans" w:cs="Open Sans"/>
            <w:sz w:val="20"/>
            <w:szCs w:val="20"/>
          </w:rPr>
          <w:instrText xml:space="preserve"> PAGE   \* MERGEFORMAT </w:instrText>
        </w:r>
        <w:r w:rsidRPr="000F6F0C">
          <w:rPr>
            <w:rFonts w:ascii="Open Sans" w:hAnsi="Open Sans" w:cs="Open Sans"/>
            <w:sz w:val="20"/>
            <w:szCs w:val="20"/>
          </w:rPr>
          <w:fldChar w:fldCharType="separate"/>
        </w:r>
        <w:r w:rsidRPr="000F6F0C">
          <w:rPr>
            <w:rFonts w:ascii="Open Sans" w:hAnsi="Open Sans" w:cs="Open Sans"/>
            <w:noProof/>
            <w:sz w:val="20"/>
            <w:szCs w:val="20"/>
          </w:rPr>
          <w:t>2</w:t>
        </w:r>
        <w:r w:rsidRPr="000F6F0C">
          <w:rPr>
            <w:rFonts w:ascii="Open Sans" w:hAnsi="Open Sans" w:cs="Open Sans"/>
            <w:noProof/>
            <w:sz w:val="20"/>
            <w:szCs w:val="20"/>
          </w:rPr>
          <w:fldChar w:fldCharType="end"/>
        </w:r>
        <w:r>
          <w:t xml:space="preserve"> </w:t>
        </w:r>
      </w:p>
    </w:sdtContent>
  </w:sdt>
  <w:p w14:paraId="66C47C15" w14:textId="28668742" w:rsidR="00F917BD" w:rsidRDefault="00F9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87E8" w14:textId="77777777" w:rsidR="00DD7898" w:rsidRDefault="00DD7898" w:rsidP="008E17F3">
      <w:pPr>
        <w:spacing w:line="240" w:lineRule="auto"/>
      </w:pPr>
      <w:r>
        <w:separator/>
      </w:r>
    </w:p>
  </w:footnote>
  <w:footnote w:type="continuationSeparator" w:id="0">
    <w:p w14:paraId="62420EA1" w14:textId="77777777" w:rsidR="00DD7898" w:rsidRDefault="00DD7898"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CC19" w14:textId="77777777" w:rsidR="000F6F0C" w:rsidRDefault="000F6F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451F" w14:textId="77777777" w:rsidR="00DB2FDB" w:rsidRDefault="00DB2FDB" w:rsidP="00DB2FDB">
    <w:pPr>
      <w:pStyle w:val="Header"/>
      <w:rPr>
        <w:b/>
        <w:bCs/>
        <w:color w:val="BBBABA"/>
      </w:rPr>
    </w:pPr>
  </w:p>
  <w:p w14:paraId="25563CEF" w14:textId="77777777" w:rsidR="00DB2FDB" w:rsidRDefault="00DB2FDB" w:rsidP="00DB2FDB">
    <w:pPr>
      <w:pStyle w:val="Header"/>
      <w:rPr>
        <w:b/>
        <w:bCs/>
        <w:color w:val="BBBABA"/>
      </w:rPr>
    </w:pPr>
  </w:p>
  <w:p w14:paraId="211281FD" w14:textId="146943AF" w:rsidR="00DB2FDB" w:rsidRPr="00DB2FDB" w:rsidRDefault="00DB2FDB" w:rsidP="00890D12">
    <w:pPr>
      <w:pStyle w:val="Heading1"/>
      <w:spacing w:before="0" w:after="0"/>
      <w:jc w:val="left"/>
      <w:rPr>
        <w:b/>
        <w:bCs/>
        <w:color w:val="BFBFBF" w:themeColor="background1" w:themeShade="BF"/>
        <w:sz w:val="20"/>
        <w:szCs w:val="20"/>
      </w:rPr>
    </w:pPr>
    <w:r w:rsidRPr="00DB2FDB">
      <w:rPr>
        <w:b/>
        <w:bCs/>
        <w:color w:val="BFBFBF" w:themeColor="background1" w:themeShade="BF"/>
        <w:sz w:val="20"/>
        <w:szCs w:val="20"/>
      </w:rPr>
      <w:t>Instructor Guidance Note—Delegations</w:t>
    </w:r>
  </w:p>
  <w:p w14:paraId="66FB8D43" w14:textId="2F25240D" w:rsidR="00C86942" w:rsidRDefault="00C86942" w:rsidP="00DB2F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8C40" w14:textId="517C6B93" w:rsidR="00DB2FDB" w:rsidRDefault="00DB2FDB">
    <w:pPr>
      <w:pStyle w:val="Header"/>
    </w:pPr>
    <w:r w:rsidRPr="00F951F6">
      <w:rPr>
        <w:rFonts w:cs="Open Sans"/>
        <w:noProof/>
      </w:rPr>
      <w:drawing>
        <wp:anchor distT="0" distB="0" distL="114300" distR="114300" simplePos="0" relativeHeight="251664384" behindDoc="0" locked="0" layoutInCell="1" allowOverlap="1" wp14:anchorId="017C3946" wp14:editId="2D37CBC8">
          <wp:simplePos x="0" y="0"/>
          <wp:positionH relativeFrom="margin">
            <wp:posOffset>-145415</wp:posOffset>
          </wp:positionH>
          <wp:positionV relativeFrom="paragraph">
            <wp:posOffset>-277495</wp:posOffset>
          </wp:positionV>
          <wp:extent cx="3228975" cy="748665"/>
          <wp:effectExtent l="0" t="0" r="0" b="0"/>
          <wp:wrapNone/>
          <wp:docPr id="1321023077" name="Picture 4"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22403" name="Picture 4" descr="A black and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8975" cy="7486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B5951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B90E9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4F8886D0"/>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36DAB140"/>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22D6E79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8A66F98A"/>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A6708700"/>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11D6FE0"/>
    <w:multiLevelType w:val="hybridMultilevel"/>
    <w:tmpl w:val="44E21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305A2F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4D7920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12053763">
    <w:abstractNumId w:val="11"/>
  </w:num>
  <w:num w:numId="2" w16cid:durableId="747920874">
    <w:abstractNumId w:val="9"/>
  </w:num>
  <w:num w:numId="3" w16cid:durableId="848913306">
    <w:abstractNumId w:val="8"/>
  </w:num>
  <w:num w:numId="4" w16cid:durableId="1167093804">
    <w:abstractNumId w:val="7"/>
  </w:num>
  <w:num w:numId="5" w16cid:durableId="1218973883">
    <w:abstractNumId w:val="6"/>
  </w:num>
  <w:num w:numId="6" w16cid:durableId="1261990703">
    <w:abstractNumId w:val="10"/>
  </w:num>
  <w:num w:numId="7" w16cid:durableId="605043132">
    <w:abstractNumId w:val="5"/>
  </w:num>
  <w:num w:numId="8" w16cid:durableId="2002271305">
    <w:abstractNumId w:val="4"/>
  </w:num>
  <w:num w:numId="9" w16cid:durableId="69935875">
    <w:abstractNumId w:val="3"/>
  </w:num>
  <w:num w:numId="10" w16cid:durableId="1089500370">
    <w:abstractNumId w:val="2"/>
  </w:num>
  <w:num w:numId="11" w16cid:durableId="133639459">
    <w:abstractNumId w:val="14"/>
  </w:num>
  <w:num w:numId="12" w16cid:durableId="1024483441">
    <w:abstractNumId w:val="15"/>
  </w:num>
  <w:num w:numId="13" w16cid:durableId="1594120377">
    <w:abstractNumId w:val="12"/>
  </w:num>
  <w:num w:numId="14" w16cid:durableId="1430661509">
    <w:abstractNumId w:val="16"/>
  </w:num>
  <w:num w:numId="15" w16cid:durableId="38169695">
    <w:abstractNumId w:val="0"/>
  </w:num>
  <w:num w:numId="16" w16cid:durableId="893781077">
    <w:abstractNumId w:val="17"/>
  </w:num>
  <w:num w:numId="17" w16cid:durableId="1998653758">
    <w:abstractNumId w:val="1"/>
  </w:num>
  <w:num w:numId="18" w16cid:durableId="14554405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98"/>
    <w:rsid w:val="000061D0"/>
    <w:rsid w:val="000136AF"/>
    <w:rsid w:val="00016693"/>
    <w:rsid w:val="00022B7E"/>
    <w:rsid w:val="000305A5"/>
    <w:rsid w:val="00035DFD"/>
    <w:rsid w:val="00036B0B"/>
    <w:rsid w:val="00037336"/>
    <w:rsid w:val="000461C3"/>
    <w:rsid w:val="00056743"/>
    <w:rsid w:val="000614BF"/>
    <w:rsid w:val="00080946"/>
    <w:rsid w:val="000A64FF"/>
    <w:rsid w:val="000A7B40"/>
    <w:rsid w:val="000B7E90"/>
    <w:rsid w:val="000C604C"/>
    <w:rsid w:val="000D05EF"/>
    <w:rsid w:val="000E7BC5"/>
    <w:rsid w:val="000F6F0C"/>
    <w:rsid w:val="0010745C"/>
    <w:rsid w:val="00124B99"/>
    <w:rsid w:val="00127B63"/>
    <w:rsid w:val="001466A8"/>
    <w:rsid w:val="001470CC"/>
    <w:rsid w:val="00147BE0"/>
    <w:rsid w:val="00153202"/>
    <w:rsid w:val="00155B25"/>
    <w:rsid w:val="001636E5"/>
    <w:rsid w:val="00166C2F"/>
    <w:rsid w:val="00167D7E"/>
    <w:rsid w:val="00172ED1"/>
    <w:rsid w:val="00174846"/>
    <w:rsid w:val="001939E1"/>
    <w:rsid w:val="0019417B"/>
    <w:rsid w:val="00195382"/>
    <w:rsid w:val="001B6B8D"/>
    <w:rsid w:val="001C69C4"/>
    <w:rsid w:val="001D79AB"/>
    <w:rsid w:val="001E1152"/>
    <w:rsid w:val="001E353F"/>
    <w:rsid w:val="001E3590"/>
    <w:rsid w:val="001E7407"/>
    <w:rsid w:val="001F4196"/>
    <w:rsid w:val="00215F8D"/>
    <w:rsid w:val="0022078A"/>
    <w:rsid w:val="00222B06"/>
    <w:rsid w:val="00222D2A"/>
    <w:rsid w:val="00253D1B"/>
    <w:rsid w:val="002637D9"/>
    <w:rsid w:val="0027055C"/>
    <w:rsid w:val="00275C5C"/>
    <w:rsid w:val="00280091"/>
    <w:rsid w:val="0029339A"/>
    <w:rsid w:val="00295FBA"/>
    <w:rsid w:val="002970D7"/>
    <w:rsid w:val="00297ECB"/>
    <w:rsid w:val="002C19A9"/>
    <w:rsid w:val="002C4252"/>
    <w:rsid w:val="002D043A"/>
    <w:rsid w:val="002D6A8E"/>
    <w:rsid w:val="00311448"/>
    <w:rsid w:val="0033064A"/>
    <w:rsid w:val="003361F8"/>
    <w:rsid w:val="00352B0F"/>
    <w:rsid w:val="00360FB0"/>
    <w:rsid w:val="003640A1"/>
    <w:rsid w:val="003A18FB"/>
    <w:rsid w:val="003B5735"/>
    <w:rsid w:val="003D0365"/>
    <w:rsid w:val="003D0BFE"/>
    <w:rsid w:val="003D24C6"/>
    <w:rsid w:val="003D5700"/>
    <w:rsid w:val="003D6F8A"/>
    <w:rsid w:val="003E4160"/>
    <w:rsid w:val="004116CD"/>
    <w:rsid w:val="00424CA9"/>
    <w:rsid w:val="00436E96"/>
    <w:rsid w:val="0044291A"/>
    <w:rsid w:val="00450A86"/>
    <w:rsid w:val="00455061"/>
    <w:rsid w:val="004560FB"/>
    <w:rsid w:val="004653F8"/>
    <w:rsid w:val="00466E12"/>
    <w:rsid w:val="00470298"/>
    <w:rsid w:val="00473441"/>
    <w:rsid w:val="004827A5"/>
    <w:rsid w:val="00496F97"/>
    <w:rsid w:val="004970F2"/>
    <w:rsid w:val="004A2172"/>
    <w:rsid w:val="004A6E58"/>
    <w:rsid w:val="004B7D10"/>
    <w:rsid w:val="004E7601"/>
    <w:rsid w:val="005148D9"/>
    <w:rsid w:val="00516B8D"/>
    <w:rsid w:val="005327A0"/>
    <w:rsid w:val="00537FBC"/>
    <w:rsid w:val="00542B03"/>
    <w:rsid w:val="005501E4"/>
    <w:rsid w:val="0055682E"/>
    <w:rsid w:val="005635F8"/>
    <w:rsid w:val="00573B54"/>
    <w:rsid w:val="00584607"/>
    <w:rsid w:val="00584811"/>
    <w:rsid w:val="00594161"/>
    <w:rsid w:val="00594749"/>
    <w:rsid w:val="00595525"/>
    <w:rsid w:val="005A48C6"/>
    <w:rsid w:val="005B6CA3"/>
    <w:rsid w:val="005C0191"/>
    <w:rsid w:val="005C08F2"/>
    <w:rsid w:val="005C7A43"/>
    <w:rsid w:val="005E50D6"/>
    <w:rsid w:val="005E6AA4"/>
    <w:rsid w:val="005F043F"/>
    <w:rsid w:val="005F601E"/>
    <w:rsid w:val="005F7B9F"/>
    <w:rsid w:val="00600219"/>
    <w:rsid w:val="00604C5A"/>
    <w:rsid w:val="006207A3"/>
    <w:rsid w:val="006279B8"/>
    <w:rsid w:val="00662127"/>
    <w:rsid w:val="006636B7"/>
    <w:rsid w:val="00667AF5"/>
    <w:rsid w:val="00677CC2"/>
    <w:rsid w:val="00680F77"/>
    <w:rsid w:val="0069207B"/>
    <w:rsid w:val="006C4E64"/>
    <w:rsid w:val="006C7F8C"/>
    <w:rsid w:val="006D610F"/>
    <w:rsid w:val="006D77BA"/>
    <w:rsid w:val="006D7FB7"/>
    <w:rsid w:val="006E2E9F"/>
    <w:rsid w:val="006F37A6"/>
    <w:rsid w:val="00703D35"/>
    <w:rsid w:val="00704A73"/>
    <w:rsid w:val="007157B4"/>
    <w:rsid w:val="00717113"/>
    <w:rsid w:val="00725E4F"/>
    <w:rsid w:val="007276BC"/>
    <w:rsid w:val="00731E00"/>
    <w:rsid w:val="00733990"/>
    <w:rsid w:val="00761891"/>
    <w:rsid w:val="0076250A"/>
    <w:rsid w:val="00766393"/>
    <w:rsid w:val="007715C9"/>
    <w:rsid w:val="00774609"/>
    <w:rsid w:val="00774EDD"/>
    <w:rsid w:val="00775577"/>
    <w:rsid w:val="007757EC"/>
    <w:rsid w:val="00780870"/>
    <w:rsid w:val="0078362E"/>
    <w:rsid w:val="007A3C0F"/>
    <w:rsid w:val="007A4B88"/>
    <w:rsid w:val="007B30FD"/>
    <w:rsid w:val="007B5EB5"/>
    <w:rsid w:val="007C2829"/>
    <w:rsid w:val="007C4B9F"/>
    <w:rsid w:val="007D10B8"/>
    <w:rsid w:val="007D39D7"/>
    <w:rsid w:val="007F1A59"/>
    <w:rsid w:val="008006B2"/>
    <w:rsid w:val="008026EA"/>
    <w:rsid w:val="00821023"/>
    <w:rsid w:val="00856346"/>
    <w:rsid w:val="00856A31"/>
    <w:rsid w:val="00864425"/>
    <w:rsid w:val="0086594C"/>
    <w:rsid w:val="00866E22"/>
    <w:rsid w:val="008754D0"/>
    <w:rsid w:val="008825AA"/>
    <w:rsid w:val="00890D12"/>
    <w:rsid w:val="008B21AD"/>
    <w:rsid w:val="008B4DB1"/>
    <w:rsid w:val="008D4979"/>
    <w:rsid w:val="008E17F3"/>
    <w:rsid w:val="008E3B8C"/>
    <w:rsid w:val="0090585E"/>
    <w:rsid w:val="0094622F"/>
    <w:rsid w:val="00985EF0"/>
    <w:rsid w:val="0098638B"/>
    <w:rsid w:val="009A5370"/>
    <w:rsid w:val="009D0CC1"/>
    <w:rsid w:val="00A074DB"/>
    <w:rsid w:val="00A1082A"/>
    <w:rsid w:val="00A231E2"/>
    <w:rsid w:val="00A27CE9"/>
    <w:rsid w:val="00A335DC"/>
    <w:rsid w:val="00A430CB"/>
    <w:rsid w:val="00A5504E"/>
    <w:rsid w:val="00A60B7E"/>
    <w:rsid w:val="00A646DA"/>
    <w:rsid w:val="00A64912"/>
    <w:rsid w:val="00A6626F"/>
    <w:rsid w:val="00A70A74"/>
    <w:rsid w:val="00A73E80"/>
    <w:rsid w:val="00A91B5C"/>
    <w:rsid w:val="00A91F25"/>
    <w:rsid w:val="00AD5641"/>
    <w:rsid w:val="00B1377E"/>
    <w:rsid w:val="00B14405"/>
    <w:rsid w:val="00B21182"/>
    <w:rsid w:val="00B22C64"/>
    <w:rsid w:val="00B33B3C"/>
    <w:rsid w:val="00B62DEE"/>
    <w:rsid w:val="00B7568C"/>
    <w:rsid w:val="00B76684"/>
    <w:rsid w:val="00B957BF"/>
    <w:rsid w:val="00BD35A6"/>
    <w:rsid w:val="00BE0B95"/>
    <w:rsid w:val="00BE426A"/>
    <w:rsid w:val="00BE719A"/>
    <w:rsid w:val="00BE720A"/>
    <w:rsid w:val="00C11870"/>
    <w:rsid w:val="00C24A26"/>
    <w:rsid w:val="00C42BF8"/>
    <w:rsid w:val="00C50043"/>
    <w:rsid w:val="00C51C43"/>
    <w:rsid w:val="00C61CDD"/>
    <w:rsid w:val="00C64C90"/>
    <w:rsid w:val="00C71DDE"/>
    <w:rsid w:val="00C7573B"/>
    <w:rsid w:val="00C83868"/>
    <w:rsid w:val="00C86942"/>
    <w:rsid w:val="00C86E68"/>
    <w:rsid w:val="00C906F9"/>
    <w:rsid w:val="00CB3CDC"/>
    <w:rsid w:val="00CB3D6B"/>
    <w:rsid w:val="00CB48D8"/>
    <w:rsid w:val="00CC24F4"/>
    <w:rsid w:val="00CC450F"/>
    <w:rsid w:val="00CD1E79"/>
    <w:rsid w:val="00CF0BB2"/>
    <w:rsid w:val="00D02C7E"/>
    <w:rsid w:val="00D12E59"/>
    <w:rsid w:val="00D13441"/>
    <w:rsid w:val="00D41CAC"/>
    <w:rsid w:val="00D70DFB"/>
    <w:rsid w:val="00D76247"/>
    <w:rsid w:val="00D766DF"/>
    <w:rsid w:val="00DA2EF6"/>
    <w:rsid w:val="00DB2FDB"/>
    <w:rsid w:val="00DB3CFE"/>
    <w:rsid w:val="00DB5741"/>
    <w:rsid w:val="00DB738A"/>
    <w:rsid w:val="00DC0D84"/>
    <w:rsid w:val="00DD7898"/>
    <w:rsid w:val="00DE7073"/>
    <w:rsid w:val="00E011D7"/>
    <w:rsid w:val="00E228AB"/>
    <w:rsid w:val="00E2580E"/>
    <w:rsid w:val="00E65696"/>
    <w:rsid w:val="00E74DC7"/>
    <w:rsid w:val="00E8660B"/>
    <w:rsid w:val="00EA4B68"/>
    <w:rsid w:val="00EB7ACA"/>
    <w:rsid w:val="00ED0C49"/>
    <w:rsid w:val="00ED2E4D"/>
    <w:rsid w:val="00ED6387"/>
    <w:rsid w:val="00EF2E3A"/>
    <w:rsid w:val="00F04811"/>
    <w:rsid w:val="00F078DC"/>
    <w:rsid w:val="00F07B04"/>
    <w:rsid w:val="00F23E5F"/>
    <w:rsid w:val="00F258BC"/>
    <w:rsid w:val="00F32687"/>
    <w:rsid w:val="00F36FF4"/>
    <w:rsid w:val="00F4292F"/>
    <w:rsid w:val="00F51269"/>
    <w:rsid w:val="00F678AB"/>
    <w:rsid w:val="00F71543"/>
    <w:rsid w:val="00F82591"/>
    <w:rsid w:val="00F83B36"/>
    <w:rsid w:val="00F917BD"/>
    <w:rsid w:val="00FD456C"/>
    <w:rsid w:val="00FD5F9F"/>
    <w:rsid w:val="00FE495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DE0EC48"/>
  <w15:docId w15:val="{3DF1FD9C-D24E-49E6-B0E2-7EB90500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69C4"/>
    <w:pPr>
      <w:spacing w:line="260" w:lineRule="atLeast"/>
    </w:pPr>
    <w:rPr>
      <w:sz w:val="22"/>
    </w:rPr>
  </w:style>
  <w:style w:type="paragraph" w:styleId="Heading1">
    <w:name w:val="heading 1"/>
    <w:next w:val="Heading2"/>
    <w:link w:val="Heading1Char"/>
    <w:uiPriority w:val="9"/>
    <w:qFormat/>
    <w:rsid w:val="00DB2FDB"/>
    <w:pPr>
      <w:keepNext/>
      <w:pageBreakBefore/>
      <w:autoSpaceDE w:val="0"/>
      <w:autoSpaceDN w:val="0"/>
      <w:adjustRightInd w:val="0"/>
      <w:spacing w:before="160" w:after="300"/>
      <w:jc w:val="center"/>
      <w:outlineLvl w:val="0"/>
    </w:pPr>
    <w:rPr>
      <w:rFonts w:ascii="Open Sans" w:hAnsi="Open Sans" w:cs="Open Sans"/>
      <w:color w:val="000000" w:themeColor="text1"/>
      <w:kern w:val="28"/>
      <w:sz w:val="56"/>
      <w:szCs w:val="56"/>
      <w:lang w:val="en-GB" w:eastAsia="en-AU"/>
    </w:rPr>
  </w:style>
  <w:style w:type="paragraph" w:styleId="Heading2">
    <w:name w:val="heading 2"/>
    <w:basedOn w:val="BodyNum"/>
    <w:next w:val="Normal"/>
    <w:link w:val="Heading2Char"/>
    <w:uiPriority w:val="9"/>
    <w:unhideWhenUsed/>
    <w:qFormat/>
    <w:rsid w:val="00DB2FDB"/>
    <w:pPr>
      <w:numPr>
        <w:numId w:val="0"/>
      </w:numPr>
      <w:outlineLvl w:val="1"/>
    </w:pPr>
    <w:rPr>
      <w:rFonts w:ascii="Open Sans ExtraBold" w:eastAsiaTheme="minorHAnsi" w:hAnsi="Open Sans ExtraBold" w:cs="Open Sans ExtraBold"/>
      <w:b/>
      <w:bCs/>
      <w:color w:val="084D5E"/>
      <w:kern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s>
      <w:spacing w:before="240" w:line="240" w:lineRule="auto"/>
      <w:ind w:hanging="36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tabs>
        <w:tab w:val="clear" w:pos="2160"/>
      </w:tabs>
      <w:spacing w:before="240" w:line="240" w:lineRule="auto"/>
      <w:ind w:left="2880" w:hanging="360"/>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uiPriority w:val="99"/>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 w:type="character" w:customStyle="1" w:styleId="Heading1Char">
    <w:name w:val="Heading 1 Char"/>
    <w:basedOn w:val="DefaultParagraphFont"/>
    <w:link w:val="Heading1"/>
    <w:uiPriority w:val="9"/>
    <w:rsid w:val="00DB2FDB"/>
    <w:rPr>
      <w:rFonts w:ascii="Open Sans" w:hAnsi="Open Sans" w:cs="Open Sans"/>
      <w:color w:val="000000" w:themeColor="text1"/>
      <w:kern w:val="28"/>
      <w:sz w:val="56"/>
      <w:szCs w:val="56"/>
      <w:lang w:val="en-GB" w:eastAsia="en-AU"/>
    </w:rPr>
  </w:style>
  <w:style w:type="character" w:customStyle="1" w:styleId="Heading2Char">
    <w:name w:val="Heading 2 Char"/>
    <w:basedOn w:val="DefaultParagraphFont"/>
    <w:link w:val="Heading2"/>
    <w:uiPriority w:val="9"/>
    <w:rsid w:val="00DB2FDB"/>
    <w:rPr>
      <w:rFonts w:ascii="Open Sans ExtraBold" w:hAnsi="Open Sans ExtraBold" w:cs="Open Sans ExtraBold"/>
      <w:b/>
      <w:bCs/>
      <w:color w:val="084D5E"/>
      <w:kern w:val="2"/>
      <w:sz w:val="24"/>
      <w:szCs w:val="24"/>
      <w:lang w:eastAsia="en-AU"/>
    </w:rPr>
  </w:style>
  <w:style w:type="table" w:styleId="TableGrid">
    <w:name w:val="Table Grid"/>
    <w:basedOn w:val="TableNormal"/>
    <w:uiPriority w:val="39"/>
    <w:rsid w:val="00DB2FDB"/>
    <w:rPr>
      <w:rFonts w:ascii="EB Garamond" w:hAnsi="EB Garamond" w:cs="EB Garamond"/>
      <w:color w:val="000000" w:themeColor="text1"/>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1696</Words>
  <Characters>8942</Characters>
  <Application>Microsoft Office Word</Application>
  <DocSecurity>0</DocSecurity>
  <Lines>162</Lines>
  <Paragraphs>64</Paragraphs>
  <ScaleCrop>false</ScaleCrop>
  <HeadingPairs>
    <vt:vector size="2" baseType="variant">
      <vt:variant>
        <vt:lpstr>Title</vt:lpstr>
      </vt:variant>
      <vt:variant>
        <vt:i4>1</vt:i4>
      </vt:variant>
    </vt:vector>
  </HeadingPairs>
  <TitlesOfParts>
    <vt:vector size="1" baseType="lpstr">
      <vt:lpstr>Delegations</vt:lpstr>
    </vt:vector>
  </TitlesOfParts>
  <Company>Office of Parliamentary Counsel</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Delegations</dc:title>
  <dc:subject/>
  <dc:creator>MilesA</dc:creator>
  <cp:keywords/>
  <dc:description/>
  <cp:lastModifiedBy>Phong, Karen</cp:lastModifiedBy>
  <cp:revision>2</cp:revision>
  <cp:lastPrinted>2025-09-04T00:28:00Z</cp:lastPrinted>
  <dcterms:created xsi:type="dcterms:W3CDTF">2025-11-09T23:45:00Z</dcterms:created>
  <dcterms:modified xsi:type="dcterms:W3CDTF">2025-11-09T23:45:00Z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ies>
</file>