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EC28" w14:textId="77777777" w:rsidR="008D2585" w:rsidRPr="00F951F6" w:rsidRDefault="008D2585" w:rsidP="008D2585">
      <w:pPr>
        <w:pStyle w:val="Heading1"/>
        <w:rPr>
          <w:rFonts w:cs="Open Sans ExtraBold"/>
        </w:rPr>
      </w:pPr>
      <w:bookmarkStart w:id="0" w:name="_Hlk211263534"/>
      <w:bookmarkStart w:id="1" w:name="_Hlk213659231"/>
      <w:r w:rsidRPr="00F951F6">
        <w:rPr>
          <w:rFonts w:cs="Open Sans ExtraBold"/>
        </w:rPr>
        <w:t>Instructor Guidance Note</w:t>
      </w:r>
      <w:r>
        <w:rPr>
          <w:rFonts w:cs="Open Sans ExtraBold"/>
        </w:rPr>
        <w:t>—</w:t>
      </w:r>
      <w:r w:rsidRPr="00E36023">
        <w:rPr>
          <w:rFonts w:cs="Open Sans ExtraBold"/>
        </w:rPr>
        <w:t>Glossary</w:t>
      </w:r>
    </w:p>
    <w:bookmarkEnd w:id="0"/>
    <w:p w14:paraId="31A559A1" w14:textId="77777777" w:rsidR="008D2585" w:rsidRPr="006F39AF" w:rsidRDefault="008D2585" w:rsidP="008D2585">
      <w:pPr>
        <w:pStyle w:val="BodyNum"/>
        <w:numPr>
          <w:ilvl w:val="0"/>
          <w:numId w:val="0"/>
        </w:numPr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sz w:val="22"/>
          <w:szCs w:val="18"/>
        </w:rPr>
        <w:t xml:space="preserve">This </w:t>
      </w:r>
      <w:r w:rsidRPr="006F39AF">
        <w:rPr>
          <w:rFonts w:ascii="Open Sans" w:hAnsi="Open Sans" w:cs="Open Sans"/>
          <w:i/>
          <w:iCs/>
          <w:sz w:val="22"/>
          <w:szCs w:val="18"/>
        </w:rPr>
        <w:t>Instructor Guidance Note</w:t>
      </w:r>
      <w:r w:rsidRPr="006F39AF">
        <w:rPr>
          <w:rFonts w:ascii="Open Sans" w:hAnsi="Open Sans" w:cs="Open Sans"/>
          <w:sz w:val="22"/>
          <w:szCs w:val="18"/>
        </w:rPr>
        <w:t xml:space="preserve"> explains terms and abbreviations commonly used by OPC, including in our publications.</w:t>
      </w:r>
    </w:p>
    <w:p w14:paraId="2F6C3794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Act</w:t>
      </w:r>
      <w:r w:rsidRPr="006F39AF">
        <w:rPr>
          <w:rFonts w:ascii="Open Sans" w:hAnsi="Open Sans" w:cs="Open Sans"/>
          <w:sz w:val="22"/>
          <w:szCs w:val="18"/>
        </w:rPr>
        <w:t>: This is a piece of primary legislation that has been passed by both Houses of the Parliament and that has received the Royal Assent.</w:t>
      </w:r>
    </w:p>
    <w:p w14:paraId="659CFB2F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Acts Interpretation Act</w:t>
      </w:r>
      <w:r w:rsidRPr="006F39AF">
        <w:rPr>
          <w:rFonts w:ascii="Open Sans" w:hAnsi="Open Sans" w:cs="Open Sans"/>
          <w:sz w:val="22"/>
          <w:szCs w:val="18"/>
        </w:rPr>
        <w:t xml:space="preserve">: </w:t>
      </w:r>
      <w:r w:rsidRPr="006F39AF">
        <w:rPr>
          <w:rFonts w:ascii="Open Sans" w:hAnsi="Open Sans" w:cs="Open Sans"/>
          <w:i/>
          <w:sz w:val="22"/>
          <w:szCs w:val="18"/>
        </w:rPr>
        <w:t>Acts Interpretation Act 1901</w:t>
      </w:r>
      <w:r w:rsidRPr="006F39AF">
        <w:rPr>
          <w:rFonts w:ascii="Open Sans" w:hAnsi="Open Sans" w:cs="Open Sans"/>
          <w:sz w:val="22"/>
          <w:szCs w:val="18"/>
        </w:rPr>
        <w:t>.</w:t>
      </w:r>
    </w:p>
    <w:p w14:paraId="525D32C8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AGD</w:t>
      </w:r>
      <w:r w:rsidRPr="006F39AF">
        <w:rPr>
          <w:rFonts w:ascii="Open Sans" w:hAnsi="Open Sans" w:cs="Open Sans"/>
          <w:sz w:val="22"/>
          <w:szCs w:val="18"/>
        </w:rPr>
        <w:t>: Attorney</w:t>
      </w:r>
      <w:r w:rsidRPr="006F39AF">
        <w:rPr>
          <w:rFonts w:ascii="Open Sans" w:hAnsi="Open Sans" w:cs="Open Sans"/>
          <w:sz w:val="22"/>
          <w:szCs w:val="18"/>
        </w:rPr>
        <w:noBreakHyphen/>
        <w:t>General’s Department (www.ag.gov.au).</w:t>
      </w:r>
    </w:p>
    <w:p w14:paraId="5C721465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AGS</w:t>
      </w:r>
      <w:r w:rsidRPr="006F39AF">
        <w:rPr>
          <w:rFonts w:ascii="Open Sans" w:hAnsi="Open Sans" w:cs="Open Sans"/>
          <w:sz w:val="22"/>
          <w:szCs w:val="18"/>
        </w:rPr>
        <w:t>: Australian Government Solicitor (www.ags.gov.au).</w:t>
      </w:r>
    </w:p>
    <w:p w14:paraId="1F855C8E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proofErr w:type="spellStart"/>
      <w:r w:rsidRPr="006F39AF">
        <w:rPr>
          <w:rFonts w:ascii="Open Sans" w:hAnsi="Open Sans" w:cs="Open Sans"/>
          <w:b/>
          <w:i/>
          <w:sz w:val="22"/>
          <w:szCs w:val="18"/>
        </w:rPr>
        <w:t>APSC</w:t>
      </w:r>
      <w:proofErr w:type="spellEnd"/>
      <w:r w:rsidRPr="006F39AF">
        <w:rPr>
          <w:rFonts w:ascii="Open Sans" w:hAnsi="Open Sans" w:cs="Open Sans"/>
          <w:sz w:val="22"/>
          <w:szCs w:val="18"/>
        </w:rPr>
        <w:t>: Australian Public Service Commission (www.apsc.gov.au).</w:t>
      </w:r>
    </w:p>
    <w:p w14:paraId="5A3C82B5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Bill</w:t>
      </w:r>
      <w:r w:rsidRPr="006F39AF">
        <w:rPr>
          <w:rFonts w:ascii="Open Sans" w:hAnsi="Open Sans" w:cs="Open Sans"/>
          <w:sz w:val="22"/>
          <w:szCs w:val="18"/>
        </w:rPr>
        <w:t>: This is a proposed piece of primary legislation that has not yet become an Act.</w:t>
      </w:r>
    </w:p>
    <w:p w14:paraId="5E6F52C3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Constitution</w:t>
      </w:r>
      <w:r w:rsidRPr="006F39AF">
        <w:rPr>
          <w:rFonts w:ascii="Open Sans" w:hAnsi="Open Sans" w:cs="Open Sans"/>
          <w:sz w:val="22"/>
          <w:szCs w:val="18"/>
        </w:rPr>
        <w:t>: Constitution of the Commonwealth of Australia.</w:t>
      </w:r>
    </w:p>
    <w:p w14:paraId="6FC6EA17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disallowance</w:t>
      </w:r>
      <w:r w:rsidRPr="006F39AF">
        <w:rPr>
          <w:rFonts w:ascii="Open Sans" w:hAnsi="Open Sans" w:cs="Open Sans"/>
          <w:sz w:val="22"/>
          <w:szCs w:val="18"/>
        </w:rPr>
        <w:t>: Disallowance is a form of repeal of disallowable instruments initiated by the Parliament. The Parliament, with a majority vote in either House of the Parliament, may disallow a disallowable instrument in part or in full. This may result in an instrument ceasing to have effect and reviving an earlier instrument. If an instrument is disallowed, generally the rule</w:t>
      </w:r>
      <w:r w:rsidRPr="006F39AF">
        <w:rPr>
          <w:rFonts w:ascii="Open Sans" w:hAnsi="Open Sans" w:cs="Open Sans"/>
          <w:sz w:val="22"/>
          <w:szCs w:val="18"/>
        </w:rPr>
        <w:noBreakHyphen/>
        <w:t>maker may not make an instrument similar in substance for 6 months.</w:t>
      </w:r>
    </w:p>
    <w:p w14:paraId="3D0F59BC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Electronic Transactions Act</w:t>
      </w:r>
      <w:r w:rsidRPr="006F39AF">
        <w:rPr>
          <w:rFonts w:ascii="Open Sans" w:hAnsi="Open Sans" w:cs="Open Sans"/>
          <w:sz w:val="22"/>
          <w:szCs w:val="18"/>
        </w:rPr>
        <w:t>:</w:t>
      </w:r>
      <w:r w:rsidRPr="006F39AF">
        <w:rPr>
          <w:rFonts w:ascii="Open Sans" w:hAnsi="Open Sans" w:cs="Open Sans"/>
          <w:b/>
          <w:sz w:val="22"/>
          <w:szCs w:val="18"/>
        </w:rPr>
        <w:t xml:space="preserve"> </w:t>
      </w:r>
      <w:r w:rsidRPr="006F39AF">
        <w:rPr>
          <w:rFonts w:ascii="Open Sans" w:hAnsi="Open Sans" w:cs="Open Sans"/>
          <w:i/>
          <w:sz w:val="22"/>
          <w:szCs w:val="18"/>
        </w:rPr>
        <w:t>Electronic Transactions Act 1999</w:t>
      </w:r>
      <w:r w:rsidRPr="006F39AF">
        <w:rPr>
          <w:rFonts w:ascii="Open Sans" w:hAnsi="Open Sans" w:cs="Open Sans"/>
          <w:sz w:val="22"/>
          <w:szCs w:val="18"/>
        </w:rPr>
        <w:t>.</w:t>
      </w:r>
    </w:p>
    <w:p w14:paraId="10F251FF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EM</w:t>
      </w:r>
      <w:r w:rsidRPr="006F39AF">
        <w:rPr>
          <w:rFonts w:ascii="Open Sans" w:hAnsi="Open Sans" w:cs="Open Sans"/>
          <w:sz w:val="22"/>
          <w:szCs w:val="18"/>
        </w:rPr>
        <w:t>: explanatory memorandum (for a Bill).</w:t>
      </w:r>
    </w:p>
    <w:p w14:paraId="3B406F2A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ES</w:t>
      </w:r>
      <w:r w:rsidRPr="006F39AF">
        <w:rPr>
          <w:rFonts w:ascii="Open Sans" w:hAnsi="Open Sans" w:cs="Open Sans"/>
          <w:sz w:val="22"/>
          <w:szCs w:val="18"/>
        </w:rPr>
        <w:t>: explanatory statement (for a legislative instrument).</w:t>
      </w:r>
    </w:p>
    <w:p w14:paraId="31F57BB2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ExCo</w:t>
      </w:r>
      <w:r w:rsidRPr="006F39AF">
        <w:rPr>
          <w:rFonts w:ascii="Open Sans" w:hAnsi="Open Sans" w:cs="Open Sans"/>
          <w:sz w:val="22"/>
          <w:szCs w:val="18"/>
        </w:rPr>
        <w:t>: This is the Federal Executive Council, which advises the Governor</w:t>
      </w:r>
      <w:r w:rsidRPr="006F39AF">
        <w:rPr>
          <w:rFonts w:ascii="Open Sans" w:hAnsi="Open Sans" w:cs="Open Sans"/>
          <w:sz w:val="22"/>
          <w:szCs w:val="18"/>
        </w:rPr>
        <w:noBreakHyphen/>
        <w:t>General on the exercise of the Governor</w:t>
      </w:r>
      <w:r w:rsidRPr="006F39AF">
        <w:rPr>
          <w:rFonts w:ascii="Open Sans" w:hAnsi="Open Sans" w:cs="Open Sans"/>
          <w:sz w:val="22"/>
          <w:szCs w:val="18"/>
        </w:rPr>
        <w:noBreakHyphen/>
        <w:t>General’s powers.</w:t>
      </w:r>
    </w:p>
    <w:p w14:paraId="3197228C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ExCo instrument</w:t>
      </w:r>
      <w:r w:rsidRPr="006F39AF">
        <w:rPr>
          <w:rFonts w:ascii="Open Sans" w:hAnsi="Open Sans" w:cs="Open Sans"/>
          <w:sz w:val="22"/>
          <w:szCs w:val="18"/>
        </w:rPr>
        <w:t>: This is an instrument made or approved by the Governor</w:t>
      </w:r>
      <w:r w:rsidRPr="006F39AF">
        <w:rPr>
          <w:rFonts w:ascii="Open Sans" w:hAnsi="Open Sans" w:cs="Open Sans"/>
          <w:sz w:val="22"/>
          <w:szCs w:val="18"/>
        </w:rPr>
        <w:noBreakHyphen/>
        <w:t xml:space="preserve">General. </w:t>
      </w:r>
    </w:p>
    <w:p w14:paraId="0E152842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FPC</w:t>
      </w:r>
      <w:r w:rsidRPr="006F39AF">
        <w:rPr>
          <w:rFonts w:ascii="Open Sans" w:hAnsi="Open Sans" w:cs="Open Sans"/>
          <w:sz w:val="22"/>
          <w:szCs w:val="18"/>
        </w:rPr>
        <w:t>: First Parliamentary Counsel (the head of OPC).</w:t>
      </w:r>
    </w:p>
    <w:p w14:paraId="5CB625D2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instrument</w:t>
      </w:r>
      <w:r w:rsidRPr="006F39AF">
        <w:rPr>
          <w:rFonts w:ascii="Open Sans" w:hAnsi="Open Sans" w:cs="Open Sans"/>
          <w:sz w:val="22"/>
          <w:szCs w:val="18"/>
        </w:rPr>
        <w:t>: In OPC, this word is used for anything (other than an Act or a Bill) that is done, in writing, in the exercise of a power. We use the word to cover all legislative instruments and other subordinate legislation, and also to cover things that are not legislative in nature, such as appointments and delegations.</w:t>
      </w:r>
    </w:p>
    <w:p w14:paraId="52D5CBD2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lastRenderedPageBreak/>
        <w:t>Instruments Handbook</w:t>
      </w:r>
      <w:r w:rsidRPr="006F39AF">
        <w:rPr>
          <w:rFonts w:ascii="Open Sans" w:hAnsi="Open Sans" w:cs="Open Sans"/>
          <w:sz w:val="22"/>
          <w:szCs w:val="18"/>
        </w:rPr>
        <w:t xml:space="preserve">: This is the </w:t>
      </w:r>
      <w:r w:rsidRPr="006F39AF">
        <w:rPr>
          <w:rFonts w:ascii="Open Sans" w:hAnsi="Open Sans" w:cs="Open Sans"/>
          <w:i/>
          <w:sz w:val="22"/>
          <w:szCs w:val="18"/>
        </w:rPr>
        <w:t>Instruments Handbook</w:t>
      </w:r>
      <w:r w:rsidRPr="006F39AF">
        <w:rPr>
          <w:rFonts w:ascii="Open Sans" w:hAnsi="Open Sans" w:cs="Open Sans"/>
          <w:sz w:val="22"/>
          <w:szCs w:val="18"/>
        </w:rPr>
        <w:t xml:space="preserve"> which is published by OPC and is available on the OPC website. </w:t>
      </w:r>
    </w:p>
    <w:p w14:paraId="6EF90BA8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LAP</w:t>
      </w:r>
      <w:r w:rsidRPr="006F39AF">
        <w:rPr>
          <w:rFonts w:ascii="Open Sans" w:hAnsi="Open Sans" w:cs="Open Sans"/>
          <w:sz w:val="22"/>
          <w:szCs w:val="18"/>
        </w:rPr>
        <w:t>: Legislation Approval Process. This is a clearance process that all government Bills must go through before being introduced into the Parliament.</w:t>
      </w:r>
    </w:p>
    <w:p w14:paraId="63411A19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Legislation Act</w:t>
      </w:r>
      <w:r w:rsidRPr="006F39AF">
        <w:rPr>
          <w:rFonts w:ascii="Open Sans" w:hAnsi="Open Sans" w:cs="Open Sans"/>
          <w:sz w:val="22"/>
          <w:szCs w:val="18"/>
        </w:rPr>
        <w:t xml:space="preserve">: </w:t>
      </w:r>
      <w:r w:rsidRPr="006F39AF">
        <w:rPr>
          <w:rFonts w:ascii="Open Sans" w:hAnsi="Open Sans" w:cs="Open Sans"/>
          <w:i/>
          <w:sz w:val="22"/>
          <w:szCs w:val="18"/>
        </w:rPr>
        <w:t>Legislation Act 2003</w:t>
      </w:r>
      <w:r w:rsidRPr="006F39AF">
        <w:rPr>
          <w:rFonts w:ascii="Open Sans" w:hAnsi="Open Sans" w:cs="Open Sans"/>
          <w:sz w:val="22"/>
          <w:szCs w:val="18"/>
        </w:rPr>
        <w:t>.</w:t>
      </w:r>
    </w:p>
    <w:p w14:paraId="53932AD7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Legislation Handbook</w:t>
      </w:r>
      <w:r w:rsidRPr="006F39AF">
        <w:rPr>
          <w:rFonts w:ascii="Open Sans" w:hAnsi="Open Sans" w:cs="Open Sans"/>
          <w:sz w:val="22"/>
          <w:szCs w:val="18"/>
        </w:rPr>
        <w:t xml:space="preserve">: This is the </w:t>
      </w:r>
      <w:r w:rsidRPr="006F39AF">
        <w:rPr>
          <w:rFonts w:ascii="Open Sans" w:hAnsi="Open Sans" w:cs="Open Sans"/>
          <w:i/>
          <w:sz w:val="22"/>
          <w:szCs w:val="18"/>
        </w:rPr>
        <w:t>Legislation Handbook</w:t>
      </w:r>
      <w:r w:rsidRPr="006F39AF">
        <w:rPr>
          <w:rFonts w:ascii="Open Sans" w:hAnsi="Open Sans" w:cs="Open Sans"/>
          <w:sz w:val="22"/>
          <w:szCs w:val="18"/>
        </w:rPr>
        <w:t xml:space="preserve"> which is published by </w:t>
      </w:r>
      <w:proofErr w:type="spellStart"/>
      <w:r w:rsidRPr="006F39AF">
        <w:rPr>
          <w:rFonts w:ascii="Open Sans" w:hAnsi="Open Sans" w:cs="Open Sans"/>
          <w:sz w:val="22"/>
          <w:szCs w:val="18"/>
        </w:rPr>
        <w:t>PM&amp;C</w:t>
      </w:r>
      <w:proofErr w:type="spellEnd"/>
      <w:r w:rsidRPr="006F39AF">
        <w:rPr>
          <w:rFonts w:ascii="Open Sans" w:hAnsi="Open Sans" w:cs="Open Sans"/>
          <w:sz w:val="22"/>
          <w:szCs w:val="18"/>
        </w:rPr>
        <w:t xml:space="preserve"> and is available on the </w:t>
      </w:r>
      <w:proofErr w:type="spellStart"/>
      <w:r w:rsidRPr="006F39AF">
        <w:rPr>
          <w:rFonts w:ascii="Open Sans" w:hAnsi="Open Sans" w:cs="Open Sans"/>
          <w:sz w:val="22"/>
          <w:szCs w:val="18"/>
        </w:rPr>
        <w:t>PM&amp;C</w:t>
      </w:r>
      <w:proofErr w:type="spellEnd"/>
      <w:r w:rsidRPr="006F39AF">
        <w:rPr>
          <w:rFonts w:ascii="Open Sans" w:hAnsi="Open Sans" w:cs="Open Sans"/>
          <w:sz w:val="22"/>
          <w:szCs w:val="18"/>
        </w:rPr>
        <w:t xml:space="preserve"> website. </w:t>
      </w:r>
    </w:p>
    <w:p w14:paraId="4FDF5A50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legislative instrument</w:t>
      </w:r>
      <w:r w:rsidRPr="006F39AF">
        <w:rPr>
          <w:rFonts w:ascii="Open Sans" w:hAnsi="Open Sans" w:cs="Open Sans"/>
          <w:sz w:val="22"/>
          <w:szCs w:val="18"/>
        </w:rPr>
        <w:t>: This is defined in section 8 of the Legislation Act. In broad terms, the intention of the definition is to capture instruments that are legislative, rather than administrative, in character.</w:t>
      </w:r>
    </w:p>
    <w:p w14:paraId="46989198" w14:textId="77777777" w:rsidR="008D2585" w:rsidRPr="006F39AF" w:rsidRDefault="008D2585" w:rsidP="008D2585">
      <w:pPr>
        <w:pStyle w:val="Body"/>
        <w:rPr>
          <w:rFonts w:ascii="Open Sans" w:hAnsi="Open Sans" w:cs="Open Sans"/>
          <w:bCs/>
          <w:iCs/>
          <w:sz w:val="22"/>
          <w:szCs w:val="18"/>
        </w:rPr>
      </w:pPr>
      <w:proofErr w:type="spellStart"/>
      <w:r w:rsidRPr="006F39AF">
        <w:rPr>
          <w:rFonts w:ascii="Open Sans" w:hAnsi="Open Sans" w:cs="Open Sans"/>
          <w:b/>
          <w:i/>
          <w:sz w:val="22"/>
          <w:szCs w:val="18"/>
        </w:rPr>
        <w:t>OLSC</w:t>
      </w:r>
      <w:proofErr w:type="spellEnd"/>
      <w:r w:rsidRPr="006F39AF">
        <w:rPr>
          <w:rFonts w:ascii="Open Sans" w:hAnsi="Open Sans" w:cs="Open Sans"/>
          <w:bCs/>
          <w:iCs/>
          <w:sz w:val="22"/>
          <w:szCs w:val="18"/>
        </w:rPr>
        <w:t>: Office of Legal Services Coordination in the Attorney-General’s Department.</w:t>
      </w:r>
    </w:p>
    <w:p w14:paraId="66164896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OPC</w:t>
      </w:r>
      <w:r w:rsidRPr="006F39AF">
        <w:rPr>
          <w:rFonts w:ascii="Open Sans" w:hAnsi="Open Sans" w:cs="Open Sans"/>
          <w:sz w:val="22"/>
          <w:szCs w:val="18"/>
        </w:rPr>
        <w:t>: Office of Parliamentary Counsel (www.opc.gov.au).</w:t>
      </w:r>
    </w:p>
    <w:p w14:paraId="7FEB908F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proofErr w:type="spellStart"/>
      <w:r w:rsidRPr="006F39AF">
        <w:rPr>
          <w:rFonts w:ascii="Open Sans" w:hAnsi="Open Sans" w:cs="Open Sans"/>
          <w:b/>
          <w:i/>
          <w:sz w:val="22"/>
          <w:szCs w:val="18"/>
        </w:rPr>
        <w:t>PAMs</w:t>
      </w:r>
      <w:proofErr w:type="spellEnd"/>
      <w:r w:rsidRPr="006F39AF">
        <w:rPr>
          <w:rFonts w:ascii="Open Sans" w:hAnsi="Open Sans" w:cs="Open Sans"/>
          <w:sz w:val="22"/>
          <w:szCs w:val="18"/>
        </w:rPr>
        <w:t>: Parliamentary amendments of a Bill that is in the Parliament.</w:t>
      </w:r>
    </w:p>
    <w:p w14:paraId="0B15B7A3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proofErr w:type="spellStart"/>
      <w:r w:rsidRPr="006F39AF">
        <w:rPr>
          <w:rFonts w:ascii="Open Sans" w:hAnsi="Open Sans" w:cs="Open Sans"/>
          <w:b/>
          <w:i/>
          <w:sz w:val="22"/>
          <w:szCs w:val="18"/>
        </w:rPr>
        <w:t>PBC</w:t>
      </w:r>
      <w:proofErr w:type="spellEnd"/>
      <w:r w:rsidRPr="006F39AF">
        <w:rPr>
          <w:rFonts w:ascii="Open Sans" w:hAnsi="Open Sans" w:cs="Open Sans"/>
          <w:sz w:val="22"/>
          <w:szCs w:val="18"/>
        </w:rPr>
        <w:t>: Parliamentary Business Committee of Cabinet.</w:t>
      </w:r>
    </w:p>
    <w:p w14:paraId="5B329B17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proofErr w:type="spellStart"/>
      <w:r w:rsidRPr="006F39AF">
        <w:rPr>
          <w:rFonts w:ascii="Open Sans" w:hAnsi="Open Sans" w:cs="Open Sans"/>
          <w:b/>
          <w:i/>
          <w:sz w:val="22"/>
          <w:szCs w:val="18"/>
        </w:rPr>
        <w:t>PM&amp;C</w:t>
      </w:r>
      <w:proofErr w:type="spellEnd"/>
      <w:r w:rsidRPr="006F39AF">
        <w:rPr>
          <w:rFonts w:ascii="Open Sans" w:hAnsi="Open Sans" w:cs="Open Sans"/>
          <w:sz w:val="22"/>
          <w:szCs w:val="18"/>
        </w:rPr>
        <w:t>: Department of the Prime Minister and Cabinet (www.pmc.gov.au).</w:t>
      </w:r>
    </w:p>
    <w:p w14:paraId="3F74A802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primary legislation</w:t>
      </w:r>
      <w:r w:rsidRPr="006F39AF">
        <w:rPr>
          <w:rFonts w:ascii="Open Sans" w:hAnsi="Open Sans" w:cs="Open Sans"/>
          <w:sz w:val="22"/>
          <w:szCs w:val="18"/>
        </w:rPr>
        <w:t>: This is legislation that is made by the Parliament itself in the exercise of its powers (as distinct from subordinate legislation).</w:t>
      </w:r>
    </w:p>
    <w:p w14:paraId="795E28B8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Register</w:t>
      </w:r>
      <w:r w:rsidRPr="006F39AF">
        <w:rPr>
          <w:rFonts w:ascii="Open Sans" w:hAnsi="Open Sans" w:cs="Open Sans"/>
          <w:sz w:val="22"/>
          <w:szCs w:val="18"/>
        </w:rPr>
        <w:t>: Federal Register of Legislation (www.legislation.gov.au). The Register is maintained by OPC and provides comprehensive and free access to Commonwealth Acts, instruments and related material.</w:t>
      </w:r>
    </w:p>
    <w:p w14:paraId="2C4D0C70" w14:textId="77777777" w:rsidR="008D2585" w:rsidRPr="006F39AF" w:rsidRDefault="008D2585" w:rsidP="008D2585">
      <w:pPr>
        <w:pStyle w:val="Body"/>
        <w:rPr>
          <w:rFonts w:ascii="Open Sans" w:hAnsi="Open Sans" w:cs="Open Sans"/>
          <w:i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Regulatory Powers Act</w:t>
      </w:r>
      <w:r w:rsidRPr="006F39AF">
        <w:rPr>
          <w:rFonts w:ascii="Open Sans" w:hAnsi="Open Sans" w:cs="Open Sans"/>
          <w:sz w:val="22"/>
          <w:szCs w:val="18"/>
        </w:rPr>
        <w:t>:</w:t>
      </w:r>
      <w:r w:rsidRPr="006F39AF">
        <w:rPr>
          <w:rFonts w:ascii="Open Sans" w:hAnsi="Open Sans" w:cs="Open Sans"/>
          <w:i/>
          <w:sz w:val="22"/>
          <w:szCs w:val="18"/>
        </w:rPr>
        <w:t xml:space="preserve"> Regulatory Powers (Standard Provisions) Act 2014.</w:t>
      </w:r>
    </w:p>
    <w:p w14:paraId="22E2E640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Scrutiny of Bills Committee</w:t>
      </w:r>
      <w:r w:rsidRPr="006F39AF">
        <w:rPr>
          <w:rFonts w:ascii="Open Sans" w:hAnsi="Open Sans" w:cs="Open Sans"/>
          <w:sz w:val="22"/>
          <w:szCs w:val="18"/>
        </w:rPr>
        <w:t>: Senate Standing Committee for the Scrutiny of Bills (https://www.aph.gov.au/Parliamentary_Business/Committees/Senate/Scrutiny_of_Bills).</w:t>
      </w:r>
    </w:p>
    <w:p w14:paraId="75A7FC9D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Scrutiny of Delegated Legislation Committee</w:t>
      </w:r>
      <w:r w:rsidRPr="006F39AF">
        <w:rPr>
          <w:rFonts w:ascii="Open Sans" w:hAnsi="Open Sans" w:cs="Open Sans"/>
          <w:sz w:val="22"/>
          <w:szCs w:val="18"/>
        </w:rPr>
        <w:t>: Senate Standing Committee for the Scrutiny of Delegated Legislation (https://www.aph.gov.au/Parliamentary_Business/Committees/Senate/Scrutiny_of_Delegated_Legislation).</w:t>
      </w:r>
    </w:p>
    <w:p w14:paraId="48930B4B" w14:textId="77777777" w:rsidR="008D2585" w:rsidRPr="006F39AF" w:rsidRDefault="008D2585" w:rsidP="008D2585">
      <w:pPr>
        <w:pStyle w:val="Body"/>
        <w:rPr>
          <w:rFonts w:ascii="Open Sans" w:hAnsi="Open Sans" w:cs="Open Sans"/>
          <w:sz w:val="22"/>
          <w:szCs w:val="18"/>
        </w:rPr>
      </w:pPr>
      <w:r w:rsidRPr="006F39AF">
        <w:rPr>
          <w:rFonts w:ascii="Open Sans" w:hAnsi="Open Sans" w:cs="Open Sans"/>
          <w:b/>
          <w:i/>
          <w:sz w:val="22"/>
          <w:szCs w:val="18"/>
        </w:rPr>
        <w:t>subordinate legislation</w:t>
      </w:r>
      <w:r w:rsidRPr="006F39AF">
        <w:rPr>
          <w:rFonts w:ascii="Open Sans" w:hAnsi="Open Sans" w:cs="Open Sans"/>
          <w:sz w:val="22"/>
          <w:szCs w:val="18"/>
        </w:rPr>
        <w:t>: This is an instrument, of a legislative character, made by a person to whom the Parliament has delegated power by primary legislation.</w:t>
      </w:r>
    </w:p>
    <w:p w14:paraId="4C252A9D" w14:textId="77777777" w:rsidR="008D2585" w:rsidRDefault="008D2585" w:rsidP="008D2585">
      <w:pPr>
        <w:spacing w:before="120" w:after="120"/>
        <w:rPr>
          <w:rFonts w:ascii="Open Sans" w:hAnsi="Open Sans" w:cs="Open Sans"/>
          <w:sz w:val="21"/>
          <w:szCs w:val="22"/>
        </w:rPr>
      </w:pPr>
    </w:p>
    <w:p w14:paraId="52C53A86" w14:textId="77777777" w:rsidR="006F39AF" w:rsidRDefault="006F39AF" w:rsidP="008D2585">
      <w:pPr>
        <w:spacing w:before="120" w:after="120"/>
        <w:rPr>
          <w:rFonts w:ascii="Open Sans" w:hAnsi="Open Sans" w:cs="Open Sans"/>
          <w:sz w:val="21"/>
          <w:szCs w:val="22"/>
        </w:rPr>
      </w:pPr>
    </w:p>
    <w:p w14:paraId="166C15D9" w14:textId="77777777" w:rsidR="006F39AF" w:rsidRPr="00E36023" w:rsidRDefault="006F39AF" w:rsidP="008D2585">
      <w:pPr>
        <w:spacing w:before="120" w:after="120"/>
        <w:rPr>
          <w:rFonts w:ascii="Open Sans" w:hAnsi="Open Sans" w:cs="Open Sans"/>
          <w:sz w:val="2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2585" w:rsidRPr="00F951F6" w14:paraId="70087830" w14:textId="77777777" w:rsidTr="00F809B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9D9DB"/>
          </w:tcPr>
          <w:p w14:paraId="48E0B83B" w14:textId="77777777" w:rsidR="008D2585" w:rsidRPr="008D2585" w:rsidRDefault="008D2585" w:rsidP="00F809BC">
            <w:pPr>
              <w:spacing w:before="120" w:after="120"/>
              <w:rPr>
                <w:rFonts w:ascii="Open Sans" w:hAnsi="Open Sans" w:cs="Open Sans"/>
                <w:szCs w:val="22"/>
              </w:rPr>
            </w:pPr>
            <w:bookmarkStart w:id="2" w:name="_Hlk202188723"/>
            <w:r w:rsidRPr="008D2585">
              <w:rPr>
                <w:rFonts w:ascii="Open Sans" w:hAnsi="Open Sans" w:cs="Open Sans"/>
                <w:color w:val="084D5E"/>
                <w:szCs w:val="22"/>
              </w:rPr>
              <w:lastRenderedPageBreak/>
              <w:t>The purpose of Instructor Guidance Notes is to assist agencies with general legislative drafting issues and preparing drafting instructions for Bills and instruments. The series is intended to be a starting point for instructors' own engagement with the matters covered. Instructor Guidance Notes are not statements of official policy and are not intended to be a comprehensive statement of the law. This Instructor Guidance Note should not be relied on as a substitute for legal advice.</w:t>
            </w:r>
          </w:p>
        </w:tc>
      </w:tr>
      <w:bookmarkEnd w:id="1"/>
      <w:bookmarkEnd w:id="2"/>
    </w:tbl>
    <w:p w14:paraId="0FF7B197" w14:textId="77777777" w:rsidR="008D2585" w:rsidRDefault="008D2585" w:rsidP="008D2585"/>
    <w:p w14:paraId="45B89EC6" w14:textId="66E9C3C7" w:rsidR="008E17F3" w:rsidRPr="008D2585" w:rsidRDefault="008E17F3" w:rsidP="008D2585"/>
    <w:sectPr w:rsidR="008E17F3" w:rsidRPr="008D2585" w:rsidSect="008D2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AEF3" w14:textId="77777777" w:rsidR="00A86D1B" w:rsidRDefault="00A86D1B" w:rsidP="008E17F3">
      <w:pPr>
        <w:spacing w:line="240" w:lineRule="auto"/>
      </w:pPr>
      <w:r>
        <w:separator/>
      </w:r>
    </w:p>
  </w:endnote>
  <w:endnote w:type="continuationSeparator" w:id="0">
    <w:p w14:paraId="03A25C0D" w14:textId="77777777" w:rsidR="00A86D1B" w:rsidRDefault="00A86D1B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  <w:embedRegular r:id="rId1" w:subsetted="1" w:fontKey="{3E1597EA-0E67-48C6-9CBF-AC471A62E5D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2" w:fontKey="{672CD029-4A81-4F40-914C-1BF3F12C6DA6}"/>
    <w:embedBold r:id="rId3" w:fontKey="{C37DBCAA-6E8B-4491-B987-4A83A4F80B9C}"/>
    <w:embedItalic r:id="rId4" w:fontKey="{BBCF6E8C-1222-40C0-9D4A-B4FE4BB4552F}"/>
    <w:embedBoldItalic r:id="rId5" w:fontKey="{CD49707C-737E-4057-8833-F6CE9A9CD61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563D" w14:textId="47505AA0" w:rsidR="008E17F3" w:rsidRDefault="006E2E9F" w:rsidP="008E17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7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3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4F577F" w14:textId="77777777" w:rsidR="008E17F3" w:rsidRDefault="008E17F3" w:rsidP="008E1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2008399855"/>
      <w:docPartObj>
        <w:docPartGallery w:val="Page Numbers (Bottom of Page)"/>
        <w:docPartUnique/>
      </w:docPartObj>
    </w:sdtPr>
    <w:sdtEndPr/>
    <w:sdtContent>
      <w:p w14:paraId="45B467A9" w14:textId="0425695A" w:rsidR="008946A3" w:rsidRPr="008946A3" w:rsidRDefault="008946A3" w:rsidP="008946A3">
        <w:pPr>
          <w:pStyle w:val="Footer"/>
          <w:ind w:left="-709"/>
          <w:jc w:val="right"/>
          <w:rPr>
            <w:rFonts w:ascii="Open Sans" w:hAnsi="Open Sans" w:cs="Open Sans"/>
          </w:rPr>
        </w:pPr>
        <w:r w:rsidRPr="008946A3">
          <w:rPr>
            <w:rFonts w:ascii="Open Sans" w:hAnsi="Open Sans" w:cs="Open Sans"/>
          </w:rPr>
          <w:t>[S25gv110.docx]</w:t>
        </w:r>
        <w:r w:rsidRPr="008946A3">
          <w:rPr>
            <w:rFonts w:ascii="Open Sans" w:hAnsi="Open Sans" w:cs="Open Sans"/>
          </w:rPr>
          <w:tab/>
        </w:r>
        <w:r w:rsidRPr="008946A3">
          <w:rPr>
            <w:rFonts w:ascii="Open Sans" w:hAnsi="Open Sans" w:cs="Open Sans"/>
          </w:rPr>
          <w:tab/>
          <w:t>Last updated: 10 November 2025</w:t>
        </w:r>
      </w:p>
      <w:p w14:paraId="634E367D" w14:textId="63B72578" w:rsidR="008E17F3" w:rsidRPr="008946A3" w:rsidRDefault="008946A3" w:rsidP="008946A3">
        <w:pPr>
          <w:pStyle w:val="Footer"/>
          <w:jc w:val="right"/>
          <w:rPr>
            <w:rFonts w:ascii="Open Sans" w:hAnsi="Open Sans" w:cs="Open Sans"/>
          </w:rPr>
        </w:pPr>
        <w:r w:rsidRPr="008946A3">
          <w:rPr>
            <w:rFonts w:ascii="Open Sans" w:hAnsi="Open Sans" w:cs="Open Sans"/>
          </w:rPr>
          <w:t xml:space="preserve">Page | </w:t>
        </w:r>
        <w:r w:rsidRPr="008946A3">
          <w:rPr>
            <w:rFonts w:ascii="Open Sans" w:hAnsi="Open Sans" w:cs="Open Sans"/>
          </w:rPr>
          <w:fldChar w:fldCharType="begin"/>
        </w:r>
        <w:r w:rsidRPr="008946A3">
          <w:rPr>
            <w:rFonts w:ascii="Open Sans" w:hAnsi="Open Sans" w:cs="Open Sans"/>
          </w:rPr>
          <w:instrText xml:space="preserve"> PAGE   \* MERGEFORMAT </w:instrText>
        </w:r>
        <w:r w:rsidRPr="008946A3">
          <w:rPr>
            <w:rFonts w:ascii="Open Sans" w:hAnsi="Open Sans" w:cs="Open Sans"/>
          </w:rPr>
          <w:fldChar w:fldCharType="separate"/>
        </w:r>
        <w:r w:rsidRPr="008946A3">
          <w:rPr>
            <w:rFonts w:ascii="Open Sans" w:hAnsi="Open Sans" w:cs="Open Sans"/>
          </w:rPr>
          <w:t>1</w:t>
        </w:r>
        <w:r w:rsidRPr="008946A3">
          <w:rPr>
            <w:rFonts w:ascii="Open Sans" w:hAnsi="Open Sans" w:cs="Open Sans"/>
            <w:noProof/>
          </w:rPr>
          <w:fldChar w:fldCharType="end"/>
        </w:r>
        <w:r w:rsidRPr="008946A3">
          <w:rPr>
            <w:rFonts w:ascii="Open Sans" w:hAnsi="Open Sans" w:cs="Open San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-1106421691"/>
      <w:docPartObj>
        <w:docPartGallery w:val="Page Numbers (Bottom of Page)"/>
        <w:docPartUnique/>
      </w:docPartObj>
    </w:sdtPr>
    <w:sdtEndPr/>
    <w:sdtContent>
      <w:p w14:paraId="026A50CA" w14:textId="505B8B2F" w:rsidR="008946A3" w:rsidRPr="008946A3" w:rsidRDefault="008946A3" w:rsidP="008946A3">
        <w:pPr>
          <w:pStyle w:val="Footer"/>
          <w:ind w:hanging="709"/>
          <w:jc w:val="right"/>
          <w:rPr>
            <w:rFonts w:ascii="Open Sans" w:hAnsi="Open Sans" w:cs="Open Sans"/>
          </w:rPr>
        </w:pPr>
        <w:r w:rsidRPr="008946A3">
          <w:rPr>
            <w:rFonts w:ascii="Open Sans" w:hAnsi="Open Sans" w:cs="Open Sans"/>
          </w:rPr>
          <w:t>[S25gv110.docx]</w:t>
        </w:r>
        <w:r w:rsidRPr="008946A3">
          <w:rPr>
            <w:rFonts w:ascii="Open Sans" w:hAnsi="Open Sans" w:cs="Open Sans"/>
          </w:rPr>
          <w:tab/>
        </w:r>
        <w:r w:rsidRPr="008946A3">
          <w:rPr>
            <w:rFonts w:ascii="Open Sans" w:hAnsi="Open Sans" w:cs="Open Sans"/>
          </w:rPr>
          <w:tab/>
          <w:t>Last updated: 10 November 2025</w:t>
        </w:r>
      </w:p>
      <w:p w14:paraId="03781F49" w14:textId="53AE4135" w:rsidR="008946A3" w:rsidRPr="008946A3" w:rsidRDefault="008946A3" w:rsidP="008946A3">
        <w:pPr>
          <w:pStyle w:val="Footer"/>
          <w:jc w:val="right"/>
          <w:rPr>
            <w:rFonts w:ascii="Open Sans" w:hAnsi="Open Sans" w:cs="Open Sans"/>
          </w:rPr>
        </w:pPr>
        <w:r w:rsidRPr="008946A3">
          <w:rPr>
            <w:rFonts w:ascii="Open Sans" w:hAnsi="Open Sans" w:cs="Open Sans"/>
          </w:rPr>
          <w:t xml:space="preserve">Page | </w:t>
        </w:r>
        <w:r w:rsidRPr="008946A3">
          <w:rPr>
            <w:rFonts w:ascii="Open Sans" w:hAnsi="Open Sans" w:cs="Open Sans"/>
          </w:rPr>
          <w:fldChar w:fldCharType="begin"/>
        </w:r>
        <w:r w:rsidRPr="008946A3">
          <w:rPr>
            <w:rFonts w:ascii="Open Sans" w:hAnsi="Open Sans" w:cs="Open Sans"/>
          </w:rPr>
          <w:instrText xml:space="preserve"> PAGE   \* MERGEFORMAT </w:instrText>
        </w:r>
        <w:r w:rsidRPr="008946A3">
          <w:rPr>
            <w:rFonts w:ascii="Open Sans" w:hAnsi="Open Sans" w:cs="Open Sans"/>
          </w:rPr>
          <w:fldChar w:fldCharType="separate"/>
        </w:r>
        <w:r w:rsidRPr="008946A3">
          <w:rPr>
            <w:rFonts w:ascii="Open Sans" w:hAnsi="Open Sans" w:cs="Open Sans"/>
            <w:noProof/>
          </w:rPr>
          <w:t>2</w:t>
        </w:r>
        <w:r w:rsidRPr="008946A3">
          <w:rPr>
            <w:rFonts w:ascii="Open Sans" w:hAnsi="Open Sans" w:cs="Open San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9859" w14:textId="77777777" w:rsidR="00A86D1B" w:rsidRDefault="00A86D1B" w:rsidP="008E17F3">
      <w:pPr>
        <w:spacing w:line="240" w:lineRule="auto"/>
      </w:pPr>
      <w:r>
        <w:separator/>
      </w:r>
    </w:p>
  </w:footnote>
  <w:footnote w:type="continuationSeparator" w:id="0">
    <w:p w14:paraId="40B96995" w14:textId="77777777" w:rsidR="00A86D1B" w:rsidRDefault="00A86D1B" w:rsidP="008E1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578B" w14:textId="77777777" w:rsidR="008946A3" w:rsidRDefault="00894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6CBA" w14:textId="77777777" w:rsidR="008D2585" w:rsidRDefault="008D2585" w:rsidP="008D2585">
    <w:pPr>
      <w:pStyle w:val="Header"/>
      <w:spacing w:line="240" w:lineRule="auto"/>
      <w:rPr>
        <w:rFonts w:ascii="Open Sans" w:hAnsi="Open Sans" w:cs="Open Sans"/>
        <w:b/>
        <w:bCs/>
        <w:color w:val="BBBABA"/>
        <w:sz w:val="22"/>
        <w:szCs w:val="22"/>
      </w:rPr>
    </w:pPr>
    <w:bookmarkStart w:id="3" w:name="_Hlk213658637"/>
    <w:bookmarkStart w:id="4" w:name="_Hlk211263768"/>
    <w:bookmarkStart w:id="5" w:name="_Hlk211263769"/>
    <w:bookmarkStart w:id="6" w:name="_Hlk211264820"/>
    <w:bookmarkStart w:id="7" w:name="_Hlk211264821"/>
    <w:bookmarkStart w:id="8" w:name="_Hlk213658297"/>
    <w:bookmarkStart w:id="9" w:name="_Hlk213658298"/>
  </w:p>
  <w:p w14:paraId="5163AE87" w14:textId="7342EA5F" w:rsidR="008D2585" w:rsidRPr="008D2585" w:rsidRDefault="008D2585" w:rsidP="008D2585">
    <w:pPr>
      <w:pStyle w:val="Header"/>
      <w:spacing w:line="240" w:lineRule="auto"/>
      <w:rPr>
        <w:rFonts w:ascii="Open Sans" w:hAnsi="Open Sans" w:cs="Open Sans"/>
        <w:b/>
        <w:bCs/>
        <w:color w:val="BBBABA"/>
        <w:sz w:val="22"/>
        <w:szCs w:val="22"/>
      </w:rPr>
    </w:pPr>
    <w:r w:rsidRPr="008D2585">
      <w:rPr>
        <w:rFonts w:ascii="Open Sans" w:hAnsi="Open Sans" w:cs="Open Sans"/>
        <w:b/>
        <w:bCs/>
        <w:color w:val="BBBABA"/>
        <w:sz w:val="22"/>
        <w:szCs w:val="22"/>
      </w:rPr>
      <w:t>Instructor Guidance Note</w:t>
    </w:r>
    <w:bookmarkEnd w:id="3"/>
    <w:r w:rsidRPr="008D2585">
      <w:rPr>
        <w:rFonts w:ascii="Open Sans" w:hAnsi="Open Sans" w:cs="Open Sans"/>
        <w:b/>
        <w:bCs/>
        <w:color w:val="BBBABA"/>
        <w:sz w:val="22"/>
        <w:szCs w:val="22"/>
      </w:rPr>
      <w:t>—</w:t>
    </w:r>
    <w:bookmarkEnd w:id="4"/>
    <w:bookmarkEnd w:id="5"/>
    <w:bookmarkEnd w:id="6"/>
    <w:bookmarkEnd w:id="7"/>
    <w:bookmarkEnd w:id="8"/>
    <w:bookmarkEnd w:id="9"/>
    <w:r w:rsidRPr="008D2585">
      <w:rPr>
        <w:rFonts w:ascii="Open Sans" w:hAnsi="Open Sans" w:cs="Open Sans"/>
        <w:b/>
        <w:bCs/>
        <w:color w:val="BBBABA"/>
        <w:sz w:val="22"/>
        <w:szCs w:val="22"/>
      </w:rPr>
      <w:t>Glossary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2835" w14:textId="7B84E7D8" w:rsidR="000B5C85" w:rsidRDefault="008D2585">
    <w:pPr>
      <w:pStyle w:val="Header"/>
    </w:pPr>
    <w:r w:rsidRPr="00F951F6">
      <w:rPr>
        <w:rFonts w:cs="Open Sans"/>
        <w:noProof/>
      </w:rPr>
      <w:drawing>
        <wp:anchor distT="0" distB="0" distL="114300" distR="114300" simplePos="0" relativeHeight="251663360" behindDoc="0" locked="0" layoutInCell="1" allowOverlap="1" wp14:anchorId="34BF41F4" wp14:editId="5F6FF7CA">
          <wp:simplePos x="0" y="0"/>
          <wp:positionH relativeFrom="margin">
            <wp:posOffset>-228600</wp:posOffset>
          </wp:positionH>
          <wp:positionV relativeFrom="paragraph">
            <wp:posOffset>-262043</wp:posOffset>
          </wp:positionV>
          <wp:extent cx="3229347" cy="748862"/>
          <wp:effectExtent l="0" t="0" r="0" b="0"/>
          <wp:wrapNone/>
          <wp:docPr id="1530798283" name="Picture 4" descr="Australian Government Office of Parliamentary Couns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747286" name="Picture 4" descr="Australian Government Office of Parliamentary Counsel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9347" cy="74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888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DAB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D6E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66F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7A3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6A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6AC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6F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08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DA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7258442">
    <w:abstractNumId w:val="9"/>
  </w:num>
  <w:num w:numId="2" w16cid:durableId="1099791224">
    <w:abstractNumId w:val="7"/>
  </w:num>
  <w:num w:numId="3" w16cid:durableId="725489593">
    <w:abstractNumId w:val="6"/>
  </w:num>
  <w:num w:numId="4" w16cid:durableId="408499960">
    <w:abstractNumId w:val="5"/>
  </w:num>
  <w:num w:numId="5" w16cid:durableId="86049944">
    <w:abstractNumId w:val="4"/>
  </w:num>
  <w:num w:numId="6" w16cid:durableId="1601916451">
    <w:abstractNumId w:val="8"/>
  </w:num>
  <w:num w:numId="7" w16cid:durableId="588464842">
    <w:abstractNumId w:val="3"/>
  </w:num>
  <w:num w:numId="8" w16cid:durableId="2136370086">
    <w:abstractNumId w:val="2"/>
  </w:num>
  <w:num w:numId="9" w16cid:durableId="1819036343">
    <w:abstractNumId w:val="1"/>
  </w:num>
  <w:num w:numId="10" w16cid:durableId="1741978366">
    <w:abstractNumId w:val="0"/>
  </w:num>
  <w:num w:numId="11" w16cid:durableId="203635318">
    <w:abstractNumId w:val="11"/>
  </w:num>
  <w:num w:numId="12" w16cid:durableId="1130049336">
    <w:abstractNumId w:val="12"/>
  </w:num>
  <w:num w:numId="13" w16cid:durableId="2093817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B"/>
    <w:rsid w:val="000136AF"/>
    <w:rsid w:val="00022B7E"/>
    <w:rsid w:val="00036B0B"/>
    <w:rsid w:val="00040786"/>
    <w:rsid w:val="00056743"/>
    <w:rsid w:val="000614BF"/>
    <w:rsid w:val="000B5C85"/>
    <w:rsid w:val="000C604C"/>
    <w:rsid w:val="000D05EF"/>
    <w:rsid w:val="0010745C"/>
    <w:rsid w:val="00166C2F"/>
    <w:rsid w:val="00174846"/>
    <w:rsid w:val="001939E1"/>
    <w:rsid w:val="00195382"/>
    <w:rsid w:val="001C69C4"/>
    <w:rsid w:val="001E3590"/>
    <w:rsid w:val="001E7407"/>
    <w:rsid w:val="00253D1B"/>
    <w:rsid w:val="00285905"/>
    <w:rsid w:val="00295FBA"/>
    <w:rsid w:val="002970D7"/>
    <w:rsid w:val="00297ECB"/>
    <w:rsid w:val="002B2043"/>
    <w:rsid w:val="002D043A"/>
    <w:rsid w:val="002D6A8E"/>
    <w:rsid w:val="00311448"/>
    <w:rsid w:val="00352B0F"/>
    <w:rsid w:val="00360FB0"/>
    <w:rsid w:val="003B5735"/>
    <w:rsid w:val="003D0BFE"/>
    <w:rsid w:val="003D5700"/>
    <w:rsid w:val="003D6F8A"/>
    <w:rsid w:val="003E4160"/>
    <w:rsid w:val="003E7625"/>
    <w:rsid w:val="00410D8F"/>
    <w:rsid w:val="004116CD"/>
    <w:rsid w:val="00424CA9"/>
    <w:rsid w:val="0044291A"/>
    <w:rsid w:val="00450A86"/>
    <w:rsid w:val="004560FB"/>
    <w:rsid w:val="004653F8"/>
    <w:rsid w:val="00467F22"/>
    <w:rsid w:val="00496F97"/>
    <w:rsid w:val="004970F2"/>
    <w:rsid w:val="00516B8D"/>
    <w:rsid w:val="00525733"/>
    <w:rsid w:val="005327A0"/>
    <w:rsid w:val="00537FBC"/>
    <w:rsid w:val="00584811"/>
    <w:rsid w:val="00594161"/>
    <w:rsid w:val="00594749"/>
    <w:rsid w:val="00600219"/>
    <w:rsid w:val="006207A3"/>
    <w:rsid w:val="006279B8"/>
    <w:rsid w:val="006413ED"/>
    <w:rsid w:val="00677CC2"/>
    <w:rsid w:val="00680F77"/>
    <w:rsid w:val="0069207B"/>
    <w:rsid w:val="006A20B0"/>
    <w:rsid w:val="006C7F8C"/>
    <w:rsid w:val="006D77BA"/>
    <w:rsid w:val="006E2E9F"/>
    <w:rsid w:val="006F39AF"/>
    <w:rsid w:val="00704A73"/>
    <w:rsid w:val="007276BC"/>
    <w:rsid w:val="00731E00"/>
    <w:rsid w:val="00733990"/>
    <w:rsid w:val="00766393"/>
    <w:rsid w:val="007715C9"/>
    <w:rsid w:val="00774EDD"/>
    <w:rsid w:val="00775577"/>
    <w:rsid w:val="007757EC"/>
    <w:rsid w:val="007F26FD"/>
    <w:rsid w:val="008006B2"/>
    <w:rsid w:val="00856A31"/>
    <w:rsid w:val="008754D0"/>
    <w:rsid w:val="00893687"/>
    <w:rsid w:val="008946A3"/>
    <w:rsid w:val="008D2585"/>
    <w:rsid w:val="008E17F3"/>
    <w:rsid w:val="008E3B8C"/>
    <w:rsid w:val="0094622F"/>
    <w:rsid w:val="0098638B"/>
    <w:rsid w:val="009B40FD"/>
    <w:rsid w:val="009C4E23"/>
    <w:rsid w:val="009E05B4"/>
    <w:rsid w:val="00A231E2"/>
    <w:rsid w:val="00A3326C"/>
    <w:rsid w:val="00A64912"/>
    <w:rsid w:val="00A70A74"/>
    <w:rsid w:val="00A86D1B"/>
    <w:rsid w:val="00A91B5C"/>
    <w:rsid w:val="00A92A75"/>
    <w:rsid w:val="00AD5641"/>
    <w:rsid w:val="00B12470"/>
    <w:rsid w:val="00B33B3C"/>
    <w:rsid w:val="00BE719A"/>
    <w:rsid w:val="00BE720A"/>
    <w:rsid w:val="00C04CF3"/>
    <w:rsid w:val="00C42BF8"/>
    <w:rsid w:val="00C50043"/>
    <w:rsid w:val="00C61CDD"/>
    <w:rsid w:val="00C7532A"/>
    <w:rsid w:val="00C7573B"/>
    <w:rsid w:val="00C8376A"/>
    <w:rsid w:val="00C83868"/>
    <w:rsid w:val="00C915C2"/>
    <w:rsid w:val="00CB3D6B"/>
    <w:rsid w:val="00CB48D8"/>
    <w:rsid w:val="00CD1E79"/>
    <w:rsid w:val="00CF0BB2"/>
    <w:rsid w:val="00D13441"/>
    <w:rsid w:val="00D70DFB"/>
    <w:rsid w:val="00D766DF"/>
    <w:rsid w:val="00DA5D11"/>
    <w:rsid w:val="00DB3CFE"/>
    <w:rsid w:val="00DE7073"/>
    <w:rsid w:val="00E07EB6"/>
    <w:rsid w:val="00E53AA9"/>
    <w:rsid w:val="00E74DC7"/>
    <w:rsid w:val="00ED0C49"/>
    <w:rsid w:val="00EE1B5E"/>
    <w:rsid w:val="00EF2E3A"/>
    <w:rsid w:val="00F04811"/>
    <w:rsid w:val="00F078DC"/>
    <w:rsid w:val="00F23E5F"/>
    <w:rsid w:val="00F51269"/>
    <w:rsid w:val="00FD456C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D82F3B"/>
  <w15:docId w15:val="{43C8C163-F4DF-4F5B-9567-BE92DADD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paragraph" w:styleId="Heading1">
    <w:name w:val="heading 1"/>
    <w:next w:val="Heading2"/>
    <w:link w:val="Heading1Char"/>
    <w:uiPriority w:val="9"/>
    <w:qFormat/>
    <w:rsid w:val="008D2585"/>
    <w:pPr>
      <w:keepNext/>
      <w:pageBreakBefore/>
      <w:autoSpaceDE w:val="0"/>
      <w:autoSpaceDN w:val="0"/>
      <w:adjustRightInd w:val="0"/>
      <w:spacing w:before="160" w:after="300"/>
      <w:outlineLvl w:val="0"/>
    </w:pPr>
    <w:rPr>
      <w:rFonts w:ascii="Open Sans ExtraBold" w:eastAsiaTheme="minorEastAsia" w:hAnsi="Open Sans ExtraBold" w:cs="Open Sans"/>
      <w:color w:val="084D5E"/>
      <w:kern w:val="28"/>
      <w:sz w:val="56"/>
      <w:szCs w:val="56"/>
      <w:lang w:eastAsia="en-AU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uiPriority w:val="99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859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D2585"/>
    <w:rPr>
      <w:rFonts w:ascii="Open Sans ExtraBold" w:eastAsiaTheme="minorEastAsia" w:hAnsi="Open Sans ExtraBold" w:cs="Open Sans"/>
      <w:color w:val="084D5E"/>
      <w:kern w:val="28"/>
      <w:sz w:val="56"/>
      <w:szCs w:val="56"/>
      <w:lang w:eastAsia="en-AU" w:bidi="th-TH"/>
      <w14:ligatures w14:val="standardContextual"/>
    </w:rPr>
  </w:style>
  <w:style w:type="table" w:styleId="TableGrid">
    <w:name w:val="Table Grid"/>
    <w:basedOn w:val="TableNormal"/>
    <w:uiPriority w:val="39"/>
    <w:rsid w:val="008D2585"/>
    <w:rPr>
      <w:rFonts w:ascii="EB Garamond" w:hAnsi="EB Garamond" w:cs="EB Garamond"/>
      <w:color w:val="000000" w:themeColor="text1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D2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3683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Guidance Note—Glossary</vt:lpstr>
    </vt:vector>
  </TitlesOfParts>
  <Company>Office of Parliamentary Counsel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Guidance Note—Glossary</dc:title>
  <dc:subject/>
  <dc:creator>BurmesterG</dc:creator>
  <cp:keywords/>
  <dc:description/>
  <cp:lastModifiedBy>Phong, Karen</cp:lastModifiedBy>
  <cp:revision>2</cp:revision>
  <cp:lastPrinted>2025-09-24T07:11:00Z</cp:lastPrinted>
  <dcterms:created xsi:type="dcterms:W3CDTF">2025-11-10T02:20:00Z</dcterms:created>
  <dcterms:modified xsi:type="dcterms:W3CDTF">2025-11-10T02:20:00Z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</vt:lpwstr>
  </property>
  <property fmtid="{D5CDD505-2E9C-101B-9397-08002B2CF9AE}" pid="3" name="DLM">
    <vt:lpwstr> </vt:lpwstr>
  </property>
  <property fmtid="{D5CDD505-2E9C-101B-9397-08002B2CF9AE}" pid="4" name="DoNotAsk">
    <vt:lpwstr>0</vt:lpwstr>
  </property>
  <property fmtid="{D5CDD505-2E9C-101B-9397-08002B2CF9AE}" pid="5" name="ChangedTitle">
    <vt:lpwstr/>
  </property>
</Properties>
</file>