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4078" w14:textId="77777777" w:rsidR="00B13670" w:rsidRPr="00482AEB" w:rsidRDefault="00B13670" w:rsidP="00B13670">
      <w:pPr>
        <w:pStyle w:val="Heading1"/>
        <w:rPr>
          <w:rFonts w:cs="Open Sans ExtraBold"/>
        </w:rPr>
      </w:pPr>
      <w:bookmarkStart w:id="0" w:name="_Hlk211263534"/>
      <w:r w:rsidRPr="00482AEB">
        <w:rPr>
          <w:rFonts w:cs="Open Sans ExtraBold"/>
        </w:rPr>
        <w:t>Instructor Guidance Note—Instrument issues for Bills</w:t>
      </w:r>
    </w:p>
    <w:p w14:paraId="254D2120" w14:textId="77777777" w:rsidR="00B13670" w:rsidRPr="002A4DA0" w:rsidRDefault="00B13670" w:rsidP="00B13670">
      <w:pPr>
        <w:pStyle w:val="BodyNum"/>
        <w:rPr>
          <w:rFonts w:ascii="Open Sans" w:hAnsi="Open Sans" w:cs="Open Sans"/>
          <w:sz w:val="22"/>
          <w:szCs w:val="18"/>
        </w:rPr>
      </w:pPr>
      <w:bookmarkStart w:id="1" w:name="_Hlk211264749"/>
      <w:bookmarkEnd w:id="0"/>
      <w:r w:rsidRPr="002A4DA0">
        <w:rPr>
          <w:rFonts w:ascii="Open Sans" w:hAnsi="Open Sans" w:cs="Open Sans"/>
          <w:sz w:val="22"/>
          <w:szCs w:val="18"/>
        </w:rPr>
        <w:t xml:space="preserve">A legislative scheme often comprises an Act and instruments made under the Act (such as regulations, rules or determinations). This guidance covers considerations when drafting a Bill that authorises the making of such instruments. </w:t>
      </w:r>
      <w:proofErr w:type="spellStart"/>
      <w:r w:rsidRPr="002A4DA0">
        <w:rPr>
          <w:rFonts w:ascii="Open Sans" w:hAnsi="Open Sans" w:cs="Open Sans"/>
          <w:sz w:val="22"/>
          <w:szCs w:val="18"/>
        </w:rPr>
        <w:t>OPC’s</w:t>
      </w:r>
      <w:proofErr w:type="spellEnd"/>
      <w:r w:rsidRPr="002A4DA0">
        <w:rPr>
          <w:rFonts w:ascii="Open Sans" w:hAnsi="Open Sans" w:cs="Open Sans"/>
          <w:sz w:val="22"/>
          <w:szCs w:val="18"/>
        </w:rPr>
        <w:t xml:space="preserve"> </w:t>
      </w:r>
      <w:r w:rsidRPr="002A4DA0">
        <w:rPr>
          <w:rFonts w:ascii="Open Sans" w:hAnsi="Open Sans" w:cs="Open Sans"/>
          <w:i/>
          <w:iCs/>
          <w:sz w:val="22"/>
          <w:szCs w:val="18"/>
        </w:rPr>
        <w:t>Instructor Guidance Note—Key considerations in drafting instruments</w:t>
      </w:r>
      <w:r w:rsidRPr="002A4DA0">
        <w:rPr>
          <w:rFonts w:ascii="Open Sans" w:hAnsi="Open Sans" w:cs="Open Sans"/>
          <w:sz w:val="22"/>
          <w:szCs w:val="18"/>
        </w:rPr>
        <w:t xml:space="preserve"> relates to considerations when drafting the instruments themselves. </w:t>
      </w:r>
    </w:p>
    <w:bookmarkEnd w:id="1"/>
    <w:p w14:paraId="1AFC80E6" w14:textId="77777777" w:rsidR="00B13670" w:rsidRPr="00482AEB" w:rsidRDefault="00B13670" w:rsidP="00B13670">
      <w:pPr>
        <w:pStyle w:val="BodyNum"/>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Planning the legislative scheme</w:t>
      </w:r>
    </w:p>
    <w:p w14:paraId="63E9BAD7"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When a Bill is being drafted, it is helpful to understand the kinds of issues that will need to be dealt with in subordinate legislation. This approach helps to ensure that enabling provisions are drafted in appropriate terms. For example, a head of power in an enabling Act authorising a legislative instrument to specify </w:t>
      </w:r>
      <w:r w:rsidRPr="002A4DA0">
        <w:rPr>
          <w:rFonts w:ascii="Open Sans" w:hAnsi="Open Sans" w:cs="Open Sans"/>
          <w:i/>
          <w:iCs/>
          <w:sz w:val="22"/>
          <w:szCs w:val="18"/>
        </w:rPr>
        <w:t>an amount</w:t>
      </w:r>
      <w:r w:rsidRPr="002A4DA0">
        <w:rPr>
          <w:rFonts w:ascii="Open Sans" w:hAnsi="Open Sans" w:cs="Open Sans"/>
          <w:sz w:val="22"/>
          <w:szCs w:val="18"/>
        </w:rPr>
        <w:t xml:space="preserve"> is unlikely to cover an instrument that specifies a </w:t>
      </w:r>
      <w:r w:rsidRPr="002A4DA0">
        <w:rPr>
          <w:rFonts w:ascii="Open Sans" w:hAnsi="Open Sans" w:cs="Open Sans"/>
          <w:i/>
          <w:iCs/>
          <w:sz w:val="22"/>
          <w:szCs w:val="18"/>
        </w:rPr>
        <w:t>way of working</w:t>
      </w:r>
      <w:r w:rsidRPr="002A4DA0">
        <w:rPr>
          <w:rFonts w:ascii="Open Sans" w:hAnsi="Open Sans" w:cs="Open Sans"/>
          <w:sz w:val="22"/>
          <w:szCs w:val="18"/>
        </w:rPr>
        <w:t xml:space="preserve"> out an amount. Similarly, an enabling provision that allows an instrument to </w:t>
      </w:r>
      <w:r w:rsidRPr="002A4DA0">
        <w:rPr>
          <w:rFonts w:ascii="Open Sans" w:hAnsi="Open Sans" w:cs="Open Sans"/>
          <w:i/>
          <w:iCs/>
          <w:sz w:val="22"/>
          <w:szCs w:val="18"/>
        </w:rPr>
        <w:t>regulate</w:t>
      </w:r>
      <w:r w:rsidRPr="002A4DA0">
        <w:rPr>
          <w:rFonts w:ascii="Open Sans" w:hAnsi="Open Sans" w:cs="Open Sans"/>
          <w:sz w:val="22"/>
          <w:szCs w:val="18"/>
        </w:rPr>
        <w:t xml:space="preserve"> a specified activity is unlikely to extend to </w:t>
      </w:r>
      <w:r w:rsidRPr="002A4DA0">
        <w:rPr>
          <w:rFonts w:ascii="Open Sans" w:hAnsi="Open Sans" w:cs="Open Sans"/>
          <w:i/>
          <w:iCs/>
          <w:sz w:val="22"/>
          <w:szCs w:val="18"/>
        </w:rPr>
        <w:t>prohibiting</w:t>
      </w:r>
      <w:r w:rsidRPr="002A4DA0">
        <w:rPr>
          <w:rFonts w:ascii="Open Sans" w:hAnsi="Open Sans" w:cs="Open Sans"/>
          <w:sz w:val="22"/>
          <w:szCs w:val="18"/>
        </w:rPr>
        <w:t xml:space="preserve"> that activity.</w:t>
      </w:r>
    </w:p>
    <w:p w14:paraId="18B1A84B" w14:textId="77777777" w:rsidR="00B13670" w:rsidRPr="00482AEB" w:rsidRDefault="00B13670" w:rsidP="00B13670">
      <w:pPr>
        <w:pStyle w:val="BodyNum"/>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Rules or regulations?</w:t>
      </w:r>
    </w:p>
    <w:p w14:paraId="72920515"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Regulations are made by the Governor-General, but other legislative instruments (such as rules) can be made by whoever the Act specifies as the rule-maker (this will often be a Minister, a statutory body or officer). </w:t>
      </w:r>
    </w:p>
    <w:p w14:paraId="66D9ED8A" w14:textId="77777777" w:rsidR="00B13670" w:rsidRPr="002A4DA0" w:rsidRDefault="00B13670" w:rsidP="00B13670">
      <w:pPr>
        <w:pStyle w:val="BodyNum"/>
        <w:rPr>
          <w:rFonts w:ascii="Open Sans" w:hAnsi="Open Sans" w:cs="Open Sans"/>
          <w:sz w:val="22"/>
          <w:szCs w:val="18"/>
        </w:rPr>
      </w:pPr>
      <w:proofErr w:type="spellStart"/>
      <w:r w:rsidRPr="002A4DA0">
        <w:rPr>
          <w:rFonts w:ascii="Open Sans" w:hAnsi="Open Sans" w:cs="Open Sans"/>
          <w:sz w:val="22"/>
          <w:szCs w:val="18"/>
        </w:rPr>
        <w:t>OPC’s</w:t>
      </w:r>
      <w:proofErr w:type="spellEnd"/>
      <w:r w:rsidRPr="002A4DA0">
        <w:rPr>
          <w:rFonts w:ascii="Open Sans" w:hAnsi="Open Sans" w:cs="Open Sans"/>
          <w:sz w:val="22"/>
          <w:szCs w:val="18"/>
        </w:rPr>
        <w:t xml:space="preserve"> starting point is that subordinate legislation should </w:t>
      </w:r>
      <w:r w:rsidRPr="002A4DA0">
        <w:rPr>
          <w:rFonts w:ascii="Open Sans" w:hAnsi="Open Sans" w:cs="Open Sans"/>
          <w:i/>
          <w:iCs/>
          <w:sz w:val="22"/>
          <w:szCs w:val="18"/>
        </w:rPr>
        <w:t>not</w:t>
      </w:r>
      <w:r w:rsidRPr="002A4DA0">
        <w:rPr>
          <w:rFonts w:ascii="Open Sans" w:hAnsi="Open Sans" w:cs="Open Sans"/>
          <w:sz w:val="22"/>
          <w:szCs w:val="18"/>
        </w:rPr>
        <w:t xml:space="preserve"> be made in the form of regulations unless there is a good reason to do so. However, the following kinds of provisions </w:t>
      </w:r>
      <w:r w:rsidRPr="002A4DA0">
        <w:rPr>
          <w:rFonts w:ascii="Open Sans" w:hAnsi="Open Sans" w:cs="Open Sans"/>
          <w:i/>
          <w:iCs/>
          <w:sz w:val="22"/>
          <w:szCs w:val="18"/>
        </w:rPr>
        <w:t>should</w:t>
      </w:r>
      <w:r w:rsidRPr="002A4DA0">
        <w:rPr>
          <w:rFonts w:ascii="Open Sans" w:hAnsi="Open Sans" w:cs="Open Sans"/>
          <w:sz w:val="22"/>
          <w:szCs w:val="18"/>
        </w:rPr>
        <w:t xml:space="preserve"> be included in regulations unless there is a strong justification for prescribing those provisions in another type of legislative instrument:</w:t>
      </w:r>
    </w:p>
    <w:p w14:paraId="517AAB29"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offence or civil penalty provisions;</w:t>
      </w:r>
    </w:p>
    <w:p w14:paraId="6A05308A"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powers of arrest or detention;</w:t>
      </w:r>
    </w:p>
    <w:p w14:paraId="64240682"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entry, search or seizure provisions;</w:t>
      </w:r>
    </w:p>
    <w:p w14:paraId="551A840A"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impositions of taxes;</w:t>
      </w:r>
    </w:p>
    <w:p w14:paraId="7548532A"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provisions setting the amount to be appropriated, where the Act provides the appropriation and authority to set the amount;</w:t>
      </w:r>
    </w:p>
    <w:p w14:paraId="72AB62CC"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direct amendments of the text of an Act (as opposed to modifying the operation of an Act).</w:t>
      </w:r>
    </w:p>
    <w:p w14:paraId="33FA25B8"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lastRenderedPageBreak/>
        <w:t>It is possible for an Act to include 2 (or possibly more) general instrument</w:t>
      </w:r>
      <w:r w:rsidRPr="002A4DA0">
        <w:rPr>
          <w:rFonts w:ascii="Open Sans" w:hAnsi="Open Sans" w:cs="Open Sans"/>
          <w:sz w:val="22"/>
          <w:szCs w:val="18"/>
        </w:rPr>
        <w:noBreakHyphen/>
        <w:t>making powers (for example, a regulation</w:t>
      </w:r>
      <w:r w:rsidRPr="002A4DA0">
        <w:rPr>
          <w:rFonts w:ascii="Open Sans" w:hAnsi="Open Sans" w:cs="Open Sans"/>
          <w:sz w:val="22"/>
          <w:szCs w:val="18"/>
        </w:rPr>
        <w:noBreakHyphen/>
        <w:t>making power and a rule</w:t>
      </w:r>
      <w:r w:rsidRPr="002A4DA0">
        <w:rPr>
          <w:rFonts w:ascii="Open Sans" w:hAnsi="Open Sans" w:cs="Open Sans"/>
          <w:sz w:val="22"/>
          <w:szCs w:val="18"/>
        </w:rPr>
        <w:noBreakHyphen/>
        <w:t>making power). In such a case, a provision will be required to clarify which instrument prevails in the event of an inconsistency.</w:t>
      </w:r>
    </w:p>
    <w:p w14:paraId="1E85D631" w14:textId="77777777" w:rsidR="00B13670" w:rsidRPr="00482AEB" w:rsidRDefault="00B13670" w:rsidP="00B13670">
      <w:pPr>
        <w:pStyle w:val="BodyNum"/>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Usual form of instrument</w:t>
      </w:r>
      <w:r w:rsidRPr="00482AEB">
        <w:rPr>
          <w:rFonts w:ascii="Open Sans ExtraBold" w:eastAsiaTheme="minorEastAsia" w:hAnsi="Open Sans ExtraBold" w:cs="Open Sans ExtraBold"/>
          <w:b/>
          <w:bCs/>
          <w:color w:val="084D5E"/>
          <w:kern w:val="2"/>
          <w:szCs w:val="30"/>
          <w:lang w:bidi="th-TH"/>
          <w14:ligatures w14:val="standardContextual"/>
        </w:rPr>
        <w:noBreakHyphen/>
        <w:t xml:space="preserve">making power </w:t>
      </w:r>
    </w:p>
    <w:p w14:paraId="0F76E12F"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The standard, general instrument</w:t>
      </w:r>
      <w:r w:rsidRPr="002A4DA0">
        <w:rPr>
          <w:rFonts w:ascii="Open Sans" w:hAnsi="Open Sans" w:cs="Open Sans"/>
          <w:sz w:val="22"/>
          <w:szCs w:val="18"/>
        </w:rPr>
        <w:noBreakHyphen/>
        <w:t>making power authorises the making of legislative instruments prescribing matters that are:</w:t>
      </w:r>
    </w:p>
    <w:p w14:paraId="5EA97135"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“required or permitted” to be prescribed by the enabling Act; or</w:t>
      </w:r>
    </w:p>
    <w:p w14:paraId="2568F3BE"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“necessary or convenient” to be prescribed for carrying out or giving effect to the enabling Act.</w:t>
      </w:r>
    </w:p>
    <w:p w14:paraId="465B92AB"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The “required or permitted” aspect of the instrument</w:t>
      </w:r>
      <w:r w:rsidRPr="002A4DA0">
        <w:rPr>
          <w:rFonts w:ascii="Open Sans" w:hAnsi="Open Sans" w:cs="Open Sans"/>
          <w:sz w:val="22"/>
          <w:szCs w:val="18"/>
        </w:rPr>
        <w:noBreakHyphen/>
        <w:t>making power operates in conjunction with other provisions in the enabling Act that provide for matters to be prescribed by legislative instrument. For example, a section dealing with the grant of a licence might contain a provision saying that the licensee must comply with any conditions on the licence specified by the rules.</w:t>
      </w:r>
    </w:p>
    <w:p w14:paraId="4216915F"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The “necessary or convenient” aspect of the instrument</w:t>
      </w:r>
      <w:r w:rsidRPr="002A4DA0">
        <w:rPr>
          <w:rFonts w:ascii="Open Sans" w:hAnsi="Open Sans" w:cs="Open Sans"/>
          <w:sz w:val="22"/>
          <w:szCs w:val="18"/>
        </w:rPr>
        <w:noBreakHyphen/>
        <w:t>making power allows a legislative instrument to provide for matters that might not be expressly “required or permitted” by a particular provision of the enabling Act but which are otherwise incidental or ancillary to the scheme established by the enabling Act. However, it cannot be used to extend the scope or general operation of the enabling Act. It is essentially a power to make a legislative instrument that complements, but does not supplement, the enabling Act. Its scope is typically narrower than might be presumed.</w:t>
      </w:r>
    </w:p>
    <w:p w14:paraId="76D3CEE3" w14:textId="77777777" w:rsidR="00B13670" w:rsidRPr="00482AEB" w:rsidRDefault="00B13670" w:rsidP="00B13670">
      <w:pPr>
        <w:pStyle w:val="BodyNum"/>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Statements about character of instrument</w:t>
      </w:r>
    </w:p>
    <w:p w14:paraId="36B4D174"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When drafting a stand</w:t>
      </w:r>
      <w:r w:rsidRPr="002A4DA0">
        <w:rPr>
          <w:rFonts w:ascii="Open Sans" w:hAnsi="Open Sans" w:cs="Open Sans"/>
          <w:sz w:val="22"/>
          <w:szCs w:val="18"/>
        </w:rPr>
        <w:noBreakHyphen/>
        <w:t>alone provision that empowers the making of an instrument (i.e. a provision that does not rely upon the general instrument</w:t>
      </w:r>
      <w:r w:rsidRPr="002A4DA0">
        <w:rPr>
          <w:rFonts w:ascii="Open Sans" w:hAnsi="Open Sans" w:cs="Open Sans"/>
          <w:sz w:val="22"/>
          <w:szCs w:val="18"/>
        </w:rPr>
        <w:noBreakHyphen/>
        <w:t>making power), it is usual drafting practice to state the character of the instrument made under the power (e.g. whether or not it is a legislative instrument or a notifiable instrument).</w:t>
      </w:r>
    </w:p>
    <w:p w14:paraId="51D413B3"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If an instrument-making power in a Bill contains a statement that an instrument made under the power is </w:t>
      </w:r>
      <w:r w:rsidRPr="002A4DA0">
        <w:rPr>
          <w:rFonts w:ascii="Open Sans" w:hAnsi="Open Sans" w:cs="Open Sans"/>
          <w:i/>
          <w:iCs/>
          <w:sz w:val="22"/>
          <w:szCs w:val="18"/>
        </w:rPr>
        <w:t>not</w:t>
      </w:r>
      <w:r w:rsidRPr="002A4DA0">
        <w:rPr>
          <w:rFonts w:ascii="Open Sans" w:hAnsi="Open Sans" w:cs="Open Sans"/>
          <w:sz w:val="22"/>
          <w:szCs w:val="18"/>
        </w:rPr>
        <w:t xml:space="preserve"> a legislative instrument, there are 2 possible explanations:</w:t>
      </w:r>
    </w:p>
    <w:p w14:paraId="50049B95"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 xml:space="preserve">the instrument is not of a legislative character (see paragraph 8(4)(b) of the </w:t>
      </w:r>
      <w:r w:rsidRPr="002A4DA0">
        <w:rPr>
          <w:rFonts w:ascii="Open Sans" w:hAnsi="Open Sans" w:cs="Open Sans"/>
          <w:i/>
          <w:iCs/>
          <w:sz w:val="22"/>
          <w:szCs w:val="18"/>
        </w:rPr>
        <w:t>Legislation Act 2003</w:t>
      </w:r>
      <w:r w:rsidRPr="002A4DA0">
        <w:rPr>
          <w:rFonts w:ascii="Open Sans" w:hAnsi="Open Sans" w:cs="Open Sans"/>
          <w:sz w:val="22"/>
          <w:szCs w:val="18"/>
        </w:rPr>
        <w:t>); or</w:t>
      </w:r>
    </w:p>
    <w:p w14:paraId="5BD19000"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 xml:space="preserve">the instrument is of a legislative character but it is intended to exempt the instrument from the requirements of the </w:t>
      </w:r>
      <w:r w:rsidRPr="002A4DA0">
        <w:rPr>
          <w:rFonts w:ascii="Open Sans" w:hAnsi="Open Sans" w:cs="Open Sans"/>
          <w:i/>
          <w:iCs/>
          <w:sz w:val="22"/>
          <w:szCs w:val="18"/>
        </w:rPr>
        <w:t>Legislation Act 2003</w:t>
      </w:r>
      <w:r w:rsidRPr="002A4DA0">
        <w:rPr>
          <w:rFonts w:ascii="Open Sans" w:hAnsi="Open Sans" w:cs="Open Sans"/>
          <w:sz w:val="22"/>
          <w:szCs w:val="18"/>
        </w:rPr>
        <w:t xml:space="preserve"> that would otherwise apply to it as a legislative instrument.</w:t>
      </w:r>
    </w:p>
    <w:p w14:paraId="118E26EC"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If the instrument is of a legislative character, but it is intended to exempt the instrument from the requirements of the </w:t>
      </w:r>
      <w:r w:rsidRPr="002A4DA0">
        <w:rPr>
          <w:rFonts w:ascii="Open Sans" w:hAnsi="Open Sans" w:cs="Open Sans"/>
          <w:i/>
          <w:iCs/>
          <w:sz w:val="22"/>
          <w:szCs w:val="18"/>
        </w:rPr>
        <w:t>Legislation Act 2003</w:t>
      </w:r>
      <w:r w:rsidRPr="002A4DA0">
        <w:rPr>
          <w:rFonts w:ascii="Open Sans" w:hAnsi="Open Sans" w:cs="Open Sans"/>
          <w:sz w:val="22"/>
          <w:szCs w:val="18"/>
        </w:rPr>
        <w:t xml:space="preserve">, the approval of the </w:t>
      </w:r>
      <w:r w:rsidRPr="002A4DA0">
        <w:rPr>
          <w:rFonts w:ascii="Open Sans" w:hAnsi="Open Sans" w:cs="Open Sans"/>
          <w:sz w:val="22"/>
          <w:szCs w:val="18"/>
        </w:rPr>
        <w:lastRenderedPageBreak/>
        <w:t>responsible Minister and the Attorney-General is required. Exceptional policy reasons will be required to exempt a kind of instrument that is otherwise likely to be of legislative character.</w:t>
      </w:r>
    </w:p>
    <w:p w14:paraId="1577D3D3"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In either case, the explanatory memorandum should expressly clarify why the Bill says that the instrument is not a legislative instrument.</w:t>
      </w:r>
    </w:p>
    <w:p w14:paraId="3105FFF3" w14:textId="77777777" w:rsidR="00B13670" w:rsidRPr="00482AEB" w:rsidRDefault="00B13670" w:rsidP="00B13670">
      <w:pPr>
        <w:pStyle w:val="BodyNum"/>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Instrument content that must be permitted by Act</w:t>
      </w:r>
    </w:p>
    <w:p w14:paraId="4E38CCE4"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If it is intended that an instrument contain any of the following provisions, it is sound practice to include a provision in the Bill that expressly permits it:</w:t>
      </w:r>
    </w:p>
    <w:p w14:paraId="741928D5"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a provision with retrospective operation;</w:t>
      </w:r>
    </w:p>
    <w:p w14:paraId="044063B3"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a provision imposing a penalty or civil liability;</w:t>
      </w:r>
    </w:p>
    <w:p w14:paraId="353D884B"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a provision imposing a fee;</w:t>
      </w:r>
    </w:p>
    <w:p w14:paraId="14A27CEA"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a provision conferring jurisdiction on a court;</w:t>
      </w:r>
    </w:p>
    <w:p w14:paraId="389EE46A"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a provision prohibiting conduct or an activity (as opposed to a provision authorising regulation of conduct or an activity);</w:t>
      </w:r>
    </w:p>
    <w:p w14:paraId="42AD9451"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 xml:space="preserve">a provision interfering with fundamental common law rights (which covers things like the presumption of innocence, the privilege against self-incrimination, legal professional privilege, access to courts and procedural fairness); </w:t>
      </w:r>
    </w:p>
    <w:p w14:paraId="181FD127" w14:textId="77777777" w:rsidR="00B13670" w:rsidRPr="002A4DA0" w:rsidRDefault="00B13670" w:rsidP="00B13670">
      <w:pPr>
        <w:pStyle w:val="BodyParaBullet"/>
        <w:rPr>
          <w:rFonts w:ascii="Open Sans" w:hAnsi="Open Sans" w:cs="Open Sans"/>
          <w:sz w:val="22"/>
          <w:szCs w:val="18"/>
        </w:rPr>
      </w:pPr>
      <w:r w:rsidRPr="002A4DA0">
        <w:rPr>
          <w:rFonts w:ascii="Open Sans" w:hAnsi="Open Sans" w:cs="Open Sans"/>
          <w:sz w:val="22"/>
          <w:szCs w:val="18"/>
        </w:rPr>
        <w:t>a provisions that directly amends, or modifies the operation of, the enabling Act (often called “Henry VIII clauses”).</w:t>
      </w:r>
    </w:p>
    <w:p w14:paraId="17A783F6"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In the absence of an express provision, it is possible that the text, context and purpose of an Act will be construed as permitting an instrument to contain a provision doing one of the things above in particular circumstances, but this is by no means certain.</w:t>
      </w:r>
    </w:p>
    <w:p w14:paraId="107E3017" w14:textId="77777777" w:rsidR="00B13670" w:rsidRPr="00482AEB" w:rsidRDefault="00B13670" w:rsidP="0055789A">
      <w:pPr>
        <w:pStyle w:val="BodyNum"/>
        <w:keepNext/>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Conditions on the exercise of instrument</w:t>
      </w:r>
      <w:r w:rsidRPr="00482AEB">
        <w:rPr>
          <w:rFonts w:ascii="Open Sans ExtraBold" w:eastAsiaTheme="minorEastAsia" w:hAnsi="Open Sans ExtraBold" w:cs="Open Sans ExtraBold"/>
          <w:b/>
          <w:bCs/>
          <w:color w:val="084D5E"/>
          <w:kern w:val="2"/>
          <w:szCs w:val="30"/>
          <w:lang w:bidi="th-TH"/>
          <w14:ligatures w14:val="standardContextual"/>
        </w:rPr>
        <w:noBreakHyphen/>
        <w:t xml:space="preserve">making power </w:t>
      </w:r>
    </w:p>
    <w:p w14:paraId="54078CEA"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The enabling Act may specify conditions that must be met, or processes that must be followed, before a legislative instrument can be made. For example, an enabling Act might require a specified group of people to be consulted, or for a report to be obtained and considered, before a legislative instrument is made.</w:t>
      </w:r>
    </w:p>
    <w:p w14:paraId="40B5CD71"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If such conditions are included, consider how they interact with the general power to amend or revoke instruments in subsection 33(3) of the </w:t>
      </w:r>
      <w:r w:rsidRPr="002A4DA0">
        <w:rPr>
          <w:rFonts w:ascii="Open Sans" w:hAnsi="Open Sans" w:cs="Open Sans"/>
          <w:i/>
          <w:iCs/>
          <w:sz w:val="22"/>
          <w:szCs w:val="18"/>
        </w:rPr>
        <w:t>Acts Interpretation Act 1901</w:t>
      </w:r>
      <w:r w:rsidRPr="002A4DA0">
        <w:rPr>
          <w:rFonts w:ascii="Open Sans" w:hAnsi="Open Sans" w:cs="Open Sans"/>
          <w:sz w:val="22"/>
          <w:szCs w:val="18"/>
        </w:rPr>
        <w:t>. It may be preferable to include specific po</w:t>
      </w:r>
      <w:r w:rsidRPr="002A4DA0">
        <w:rPr>
          <w:rFonts w:ascii="Open Sans" w:hAnsi="Open Sans" w:cs="Open Sans"/>
          <w:sz w:val="21"/>
          <w:szCs w:val="16"/>
        </w:rPr>
        <w:t xml:space="preserve">wers of </w:t>
      </w:r>
      <w:r w:rsidRPr="002A4DA0">
        <w:rPr>
          <w:rFonts w:ascii="Open Sans" w:hAnsi="Open Sans" w:cs="Open Sans"/>
          <w:sz w:val="22"/>
          <w:szCs w:val="18"/>
        </w:rPr>
        <w:t>amendment or revocation that are not subject to any conditions, or that are subject to different conditions.</w:t>
      </w:r>
    </w:p>
    <w:p w14:paraId="19973920" w14:textId="74BD15B3" w:rsidR="00B13670" w:rsidRPr="00482AEB" w:rsidRDefault="00B13670" w:rsidP="002A4DA0">
      <w:pPr>
        <w:pStyle w:val="BodyNum"/>
        <w:keepNext/>
        <w:numPr>
          <w:ilvl w:val="0"/>
          <w:numId w:val="0"/>
        </w:numPr>
        <w:rPr>
          <w:rFonts w:ascii="Open Sans ExtraBold" w:eastAsiaTheme="minorEastAsia" w:hAnsi="Open Sans ExtraBold" w:cs="Open Sans ExtraBold"/>
          <w:b/>
          <w:bCs/>
          <w:color w:val="084D5E"/>
          <w:kern w:val="2"/>
          <w:szCs w:val="30"/>
          <w:lang w:bidi="th-TH"/>
          <w14:ligatures w14:val="standardContextual"/>
        </w:rPr>
      </w:pPr>
      <w:proofErr w:type="spellStart"/>
      <w:r w:rsidRPr="00482AEB">
        <w:rPr>
          <w:rFonts w:ascii="Open Sans ExtraBold" w:eastAsiaTheme="minorEastAsia" w:hAnsi="Open Sans ExtraBold" w:cs="Open Sans ExtraBold"/>
          <w:b/>
          <w:bCs/>
          <w:color w:val="084D5E"/>
          <w:kern w:val="2"/>
          <w:szCs w:val="30"/>
          <w:lang w:bidi="th-TH"/>
          <w14:ligatures w14:val="standardContextual"/>
        </w:rPr>
        <w:lastRenderedPageBreak/>
        <w:t>Subdelegation</w:t>
      </w:r>
      <w:proofErr w:type="spellEnd"/>
      <w:r w:rsidRPr="00482AEB">
        <w:rPr>
          <w:rFonts w:ascii="Open Sans ExtraBold" w:eastAsiaTheme="minorEastAsia" w:hAnsi="Open Sans ExtraBold" w:cs="Open Sans ExtraBold"/>
          <w:b/>
          <w:bCs/>
          <w:color w:val="084D5E"/>
          <w:kern w:val="2"/>
          <w:szCs w:val="30"/>
          <w:lang w:bidi="th-TH"/>
          <w14:ligatures w14:val="standardContextual"/>
        </w:rPr>
        <w:t xml:space="preserve"> of legislative power</w:t>
      </w:r>
    </w:p>
    <w:p w14:paraId="597748A1"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A rule</w:t>
      </w:r>
      <w:r w:rsidRPr="002A4DA0">
        <w:rPr>
          <w:rFonts w:ascii="Open Sans" w:hAnsi="Open Sans" w:cs="Open Sans"/>
          <w:sz w:val="22"/>
          <w:szCs w:val="18"/>
        </w:rPr>
        <w:noBreakHyphen/>
        <w:t>maker who makes a legislative instrument under a head of power in enabling legislation is exercising delegated legislative power. Issues about validity may arise if the instrument purports to further delegate legislative power to a person or body. This issue is commonly called “</w:t>
      </w:r>
      <w:proofErr w:type="spellStart"/>
      <w:r w:rsidRPr="002A4DA0">
        <w:rPr>
          <w:rFonts w:ascii="Open Sans" w:hAnsi="Open Sans" w:cs="Open Sans"/>
          <w:sz w:val="22"/>
          <w:szCs w:val="18"/>
        </w:rPr>
        <w:t>subdelegation</w:t>
      </w:r>
      <w:proofErr w:type="spellEnd"/>
      <w:r w:rsidRPr="002A4DA0">
        <w:rPr>
          <w:rFonts w:ascii="Open Sans" w:hAnsi="Open Sans" w:cs="Open Sans"/>
          <w:sz w:val="22"/>
          <w:szCs w:val="18"/>
        </w:rPr>
        <w:t xml:space="preserve"> of legislative power”. The basic principle is that </w:t>
      </w:r>
      <w:proofErr w:type="spellStart"/>
      <w:r w:rsidRPr="002A4DA0">
        <w:rPr>
          <w:rFonts w:ascii="Open Sans" w:hAnsi="Open Sans" w:cs="Open Sans"/>
          <w:sz w:val="22"/>
          <w:szCs w:val="18"/>
        </w:rPr>
        <w:t>subdelegation</w:t>
      </w:r>
      <w:proofErr w:type="spellEnd"/>
      <w:r w:rsidRPr="002A4DA0">
        <w:rPr>
          <w:rFonts w:ascii="Open Sans" w:hAnsi="Open Sans" w:cs="Open Sans"/>
          <w:sz w:val="22"/>
          <w:szCs w:val="18"/>
        </w:rPr>
        <w:t xml:space="preserve"> is not permitted unless the enabling legislation expressly permits it.</w:t>
      </w:r>
    </w:p>
    <w:p w14:paraId="502A37AE"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For example, an enabling Act conferred a power on the Governor</w:t>
      </w:r>
      <w:r w:rsidRPr="002A4DA0">
        <w:rPr>
          <w:rFonts w:ascii="Open Sans" w:hAnsi="Open Sans" w:cs="Open Sans"/>
          <w:sz w:val="22"/>
          <w:szCs w:val="18"/>
        </w:rPr>
        <w:noBreakHyphen/>
        <w:t xml:space="preserve">General to list “prohibited goods” by regulation. A regulation was made under this power and it defined “prohibited goods” as “goods which, in the opinion of the Minister, are of a dangerous character”. This regulation was found by a court to be an invalid </w:t>
      </w:r>
      <w:proofErr w:type="spellStart"/>
      <w:r w:rsidRPr="002A4DA0">
        <w:rPr>
          <w:rFonts w:ascii="Open Sans" w:hAnsi="Open Sans" w:cs="Open Sans"/>
          <w:sz w:val="22"/>
          <w:szCs w:val="18"/>
        </w:rPr>
        <w:t>subdelegation</w:t>
      </w:r>
      <w:proofErr w:type="spellEnd"/>
      <w:r w:rsidRPr="002A4DA0">
        <w:rPr>
          <w:rFonts w:ascii="Open Sans" w:hAnsi="Open Sans" w:cs="Open Sans"/>
          <w:sz w:val="22"/>
          <w:szCs w:val="18"/>
        </w:rPr>
        <w:t xml:space="preserve"> because it resulted in the Minister, not the Governor</w:t>
      </w:r>
      <w:r w:rsidRPr="002A4DA0">
        <w:rPr>
          <w:rFonts w:ascii="Open Sans" w:hAnsi="Open Sans" w:cs="Open Sans"/>
          <w:sz w:val="22"/>
          <w:szCs w:val="18"/>
        </w:rPr>
        <w:noBreakHyphen/>
        <w:t>General, determining what was a prohibited good.</w:t>
      </w:r>
    </w:p>
    <w:p w14:paraId="7EA6FD53"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The principle against </w:t>
      </w:r>
      <w:proofErr w:type="spellStart"/>
      <w:r w:rsidRPr="002A4DA0">
        <w:rPr>
          <w:rFonts w:ascii="Open Sans" w:hAnsi="Open Sans" w:cs="Open Sans"/>
          <w:sz w:val="22"/>
          <w:szCs w:val="18"/>
        </w:rPr>
        <w:t>subdelegation</w:t>
      </w:r>
      <w:proofErr w:type="spellEnd"/>
      <w:r w:rsidRPr="002A4DA0">
        <w:rPr>
          <w:rFonts w:ascii="Open Sans" w:hAnsi="Open Sans" w:cs="Open Sans"/>
          <w:sz w:val="22"/>
          <w:szCs w:val="18"/>
        </w:rPr>
        <w:t xml:space="preserve"> is subject to a contrary intention. Accordingly, if it is intended that a person who is given power to make a legislative instrument under the enabling Act should be able to further delegate the making of the instrument, or it is intended that the instrument allow another person to determine or specify a matter, then a provision expressly permitting the </w:t>
      </w:r>
      <w:proofErr w:type="spellStart"/>
      <w:r w:rsidRPr="002A4DA0">
        <w:rPr>
          <w:rFonts w:ascii="Open Sans" w:hAnsi="Open Sans" w:cs="Open Sans"/>
          <w:sz w:val="22"/>
          <w:szCs w:val="18"/>
        </w:rPr>
        <w:t>subdelegation</w:t>
      </w:r>
      <w:proofErr w:type="spellEnd"/>
      <w:r w:rsidRPr="002A4DA0">
        <w:rPr>
          <w:rFonts w:ascii="Open Sans" w:hAnsi="Open Sans" w:cs="Open Sans"/>
          <w:sz w:val="22"/>
          <w:szCs w:val="18"/>
        </w:rPr>
        <w:t xml:space="preserve"> should be included in the enabling Act.</w:t>
      </w:r>
    </w:p>
    <w:p w14:paraId="675167AA" w14:textId="77777777" w:rsidR="00B13670" w:rsidRPr="00482AEB" w:rsidRDefault="00B13670" w:rsidP="00B13670">
      <w:pPr>
        <w:pStyle w:val="BodyNum"/>
        <w:numPr>
          <w:ilvl w:val="0"/>
          <w:numId w:val="0"/>
        </w:numPr>
        <w:rPr>
          <w:rFonts w:ascii="Open Sans ExtraBold" w:eastAsiaTheme="minorEastAsia" w:hAnsi="Open Sans ExtraBold" w:cs="Open Sans ExtraBold"/>
          <w:b/>
          <w:bCs/>
          <w:color w:val="084D5E"/>
          <w:kern w:val="2"/>
          <w:szCs w:val="30"/>
          <w:lang w:bidi="th-TH"/>
          <w14:ligatures w14:val="standardContextual"/>
        </w:rPr>
      </w:pPr>
      <w:r w:rsidRPr="00482AEB">
        <w:rPr>
          <w:rFonts w:ascii="Open Sans ExtraBold" w:eastAsiaTheme="minorEastAsia" w:hAnsi="Open Sans ExtraBold" w:cs="Open Sans ExtraBold"/>
          <w:b/>
          <w:bCs/>
          <w:color w:val="084D5E"/>
          <w:kern w:val="2"/>
          <w:szCs w:val="30"/>
          <w:lang w:bidi="th-TH"/>
          <w14:ligatures w14:val="standardContextual"/>
        </w:rPr>
        <w:t>Incorporation by reference</w:t>
      </w:r>
    </w:p>
    <w:p w14:paraId="3902D12E"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Under section 14 of the </w:t>
      </w:r>
      <w:r w:rsidRPr="002A4DA0">
        <w:rPr>
          <w:rFonts w:ascii="Open Sans" w:hAnsi="Open Sans" w:cs="Open Sans"/>
          <w:i/>
          <w:iCs/>
          <w:sz w:val="22"/>
          <w:szCs w:val="18"/>
        </w:rPr>
        <w:t>Legislation Act 2003</w:t>
      </w:r>
      <w:r w:rsidRPr="002A4DA0">
        <w:rPr>
          <w:rFonts w:ascii="Open Sans" w:hAnsi="Open Sans" w:cs="Open Sans"/>
          <w:sz w:val="22"/>
          <w:szCs w:val="18"/>
        </w:rPr>
        <w:t>, a legislative or notifiable instrument may apply, adopt or incorporate some or all of another document, with or without modification. This is commonly called “incorporation by reference”.</w:t>
      </w:r>
    </w:p>
    <w:p w14:paraId="3C1FA52E"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 xml:space="preserve">The other document may be applied, adopted or incorporated as it is in force or existing at the time the instrument commences or at a time before the instrument commences. However, </w:t>
      </w:r>
      <w:r w:rsidRPr="002A4DA0">
        <w:rPr>
          <w:rFonts w:ascii="Open Sans" w:hAnsi="Open Sans" w:cs="Open Sans"/>
          <w:i/>
          <w:iCs/>
          <w:sz w:val="22"/>
          <w:szCs w:val="18"/>
        </w:rPr>
        <w:t xml:space="preserve">future versions </w:t>
      </w:r>
      <w:r w:rsidRPr="002A4DA0">
        <w:rPr>
          <w:rFonts w:ascii="Open Sans" w:hAnsi="Open Sans" w:cs="Open Sans"/>
          <w:sz w:val="22"/>
          <w:szCs w:val="18"/>
        </w:rPr>
        <w:t>of the other document can be applied, adopted or incorporated only if:</w:t>
      </w:r>
    </w:p>
    <w:p w14:paraId="2510BCE4" w14:textId="77777777" w:rsidR="00B13670" w:rsidRPr="002A4DA0" w:rsidRDefault="00B13670" w:rsidP="00B13670">
      <w:pPr>
        <w:pStyle w:val="BodyPara"/>
        <w:rPr>
          <w:rFonts w:ascii="Open Sans" w:hAnsi="Open Sans" w:cs="Open Sans"/>
          <w:sz w:val="22"/>
          <w:szCs w:val="18"/>
        </w:rPr>
      </w:pPr>
      <w:r w:rsidRPr="002A4DA0">
        <w:rPr>
          <w:rFonts w:ascii="Open Sans" w:hAnsi="Open Sans" w:cs="Open Sans"/>
          <w:sz w:val="22"/>
          <w:szCs w:val="18"/>
        </w:rPr>
        <w:t xml:space="preserve">the other document is a Commonwealth Act, disallowable legislative instrument or rules of court; or </w:t>
      </w:r>
    </w:p>
    <w:p w14:paraId="0E2B2EE1" w14:textId="77777777" w:rsidR="00B13670" w:rsidRPr="002A4DA0" w:rsidRDefault="00B13670" w:rsidP="00B13670">
      <w:pPr>
        <w:pStyle w:val="BodyPara"/>
        <w:rPr>
          <w:rFonts w:ascii="Open Sans" w:hAnsi="Open Sans" w:cs="Open Sans"/>
          <w:sz w:val="22"/>
          <w:szCs w:val="18"/>
        </w:rPr>
      </w:pPr>
      <w:r w:rsidRPr="002A4DA0">
        <w:rPr>
          <w:rFonts w:ascii="Open Sans" w:hAnsi="Open Sans" w:cs="Open Sans"/>
          <w:sz w:val="22"/>
          <w:szCs w:val="18"/>
        </w:rPr>
        <w:t>the enabling legislation authorises incorporation of the other document as in force or existing from time to time.</w:t>
      </w:r>
    </w:p>
    <w:p w14:paraId="29B21C1F" w14:textId="77777777" w:rsidR="00B13670" w:rsidRPr="002A4DA0" w:rsidRDefault="00B13670" w:rsidP="00B13670">
      <w:pPr>
        <w:pStyle w:val="BodyNum"/>
        <w:rPr>
          <w:rFonts w:ascii="Open Sans" w:hAnsi="Open Sans" w:cs="Open Sans"/>
          <w:sz w:val="22"/>
          <w:szCs w:val="18"/>
        </w:rPr>
      </w:pPr>
      <w:r w:rsidRPr="002A4DA0">
        <w:rPr>
          <w:rFonts w:ascii="Open Sans" w:hAnsi="Open Sans" w:cs="Open Sans"/>
          <w:sz w:val="22"/>
          <w:szCs w:val="18"/>
        </w:rPr>
        <w:t>Accordingly, if it is intended that an instrument incorporate another document that is not a Commonwealth Act, disallowable legislative instrument or rules of court as in force from time to time, it is necessary to include an express provision authorising such incorporation by reference.</w:t>
      </w:r>
    </w:p>
    <w:p w14:paraId="258B1B7F" w14:textId="0E2C14E5" w:rsidR="00B13670" w:rsidRPr="002A4DA0" w:rsidRDefault="00B13670" w:rsidP="002352FF">
      <w:pPr>
        <w:pStyle w:val="BodyNum"/>
        <w:rPr>
          <w:rFonts w:ascii="Open Sans" w:hAnsi="Open Sans" w:cs="Open Sans"/>
          <w:sz w:val="22"/>
          <w:szCs w:val="18"/>
        </w:rPr>
      </w:pPr>
      <w:r w:rsidRPr="002A4DA0">
        <w:rPr>
          <w:rFonts w:ascii="Open Sans" w:hAnsi="Open Sans" w:cs="Open Sans"/>
          <w:sz w:val="22"/>
          <w:szCs w:val="18"/>
        </w:rPr>
        <w:t xml:space="preserve">There are similar rules relating to incorporation by reference by instruments </w:t>
      </w:r>
      <w:r w:rsidRPr="002A4DA0">
        <w:rPr>
          <w:rFonts w:ascii="Open Sans" w:hAnsi="Open Sans" w:cs="Open Sans"/>
          <w:i/>
          <w:iCs/>
          <w:sz w:val="22"/>
          <w:szCs w:val="18"/>
        </w:rPr>
        <w:t xml:space="preserve">other </w:t>
      </w:r>
      <w:r w:rsidRPr="002A4DA0">
        <w:rPr>
          <w:rFonts w:ascii="Open Sans" w:hAnsi="Open Sans" w:cs="Open Sans"/>
          <w:sz w:val="22"/>
          <w:szCs w:val="18"/>
        </w:rPr>
        <w:t xml:space="preserve">than legislative instruments, notifiable instruments or rules of court in section 46AA of the </w:t>
      </w:r>
      <w:r w:rsidRPr="002A4DA0">
        <w:rPr>
          <w:rFonts w:ascii="Open Sans" w:hAnsi="Open Sans" w:cs="Open Sans"/>
          <w:i/>
          <w:iCs/>
          <w:sz w:val="22"/>
          <w:szCs w:val="18"/>
        </w:rPr>
        <w:t>Acts Interpretation Act 1901</w:t>
      </w:r>
      <w:r w:rsidRPr="002A4DA0">
        <w:rPr>
          <w:rFonts w:ascii="Open Sans" w:hAnsi="Open Sans" w:cs="Open Sans"/>
          <w:sz w:val="22"/>
          <w:szCs w:val="18"/>
        </w:rPr>
        <w:t>.</w:t>
      </w:r>
    </w:p>
    <w:p w14:paraId="0BF0A848" w14:textId="77777777" w:rsidR="002352FF" w:rsidRPr="002352FF" w:rsidRDefault="002352FF" w:rsidP="002352FF">
      <w:pPr>
        <w:pStyle w:val="BodyNum"/>
        <w:numPr>
          <w:ilvl w:val="0"/>
          <w:numId w:val="0"/>
        </w:numPr>
        <w:rPr>
          <w:rFonts w:ascii="Open Sans" w:hAnsi="Open Sans" w:cs="Open Sans"/>
        </w:rPr>
      </w:pPr>
    </w:p>
    <w:tbl>
      <w:tblPr>
        <w:tblStyle w:val="TableGrid"/>
        <w:tblW w:w="0" w:type="auto"/>
        <w:tblLook w:val="04A0" w:firstRow="1" w:lastRow="0" w:firstColumn="1" w:lastColumn="0" w:noHBand="0" w:noVBand="1"/>
      </w:tblPr>
      <w:tblGrid>
        <w:gridCol w:w="9016"/>
      </w:tblGrid>
      <w:tr w:rsidR="00B13670" w:rsidRPr="00482AEB" w14:paraId="7DC55881" w14:textId="77777777" w:rsidTr="00F809BC">
        <w:tc>
          <w:tcPr>
            <w:tcW w:w="9016" w:type="dxa"/>
            <w:tcBorders>
              <w:top w:val="nil"/>
              <w:left w:val="nil"/>
              <w:bottom w:val="nil"/>
              <w:right w:val="nil"/>
            </w:tcBorders>
            <w:shd w:val="clear" w:color="auto" w:fill="A9D9DB"/>
          </w:tcPr>
          <w:p w14:paraId="64AA8BE2" w14:textId="77777777" w:rsidR="00B13670" w:rsidRPr="00482AEB" w:rsidRDefault="00B13670" w:rsidP="00F809BC">
            <w:pPr>
              <w:spacing w:before="120" w:after="120"/>
              <w:rPr>
                <w:rFonts w:ascii="Open Sans" w:hAnsi="Open Sans" w:cs="Open Sans"/>
                <w:szCs w:val="22"/>
              </w:rPr>
            </w:pPr>
            <w:bookmarkStart w:id="2" w:name="_Hlk202188723"/>
            <w:r w:rsidRPr="00482AEB">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2"/>
    </w:tbl>
    <w:p w14:paraId="16E1534A" w14:textId="77777777" w:rsidR="00B13670" w:rsidRPr="00482AEB" w:rsidRDefault="00B13670" w:rsidP="00B13670">
      <w:pPr>
        <w:spacing w:before="120" w:after="120"/>
        <w:rPr>
          <w:rFonts w:ascii="Open Sans" w:hAnsi="Open Sans" w:cs="Open Sans"/>
          <w:sz w:val="21"/>
          <w:szCs w:val="22"/>
        </w:rPr>
      </w:pPr>
    </w:p>
    <w:p w14:paraId="5D44EC43" w14:textId="77777777" w:rsidR="00B13670" w:rsidRPr="00482AEB" w:rsidRDefault="00B13670" w:rsidP="00B13670">
      <w:pPr>
        <w:rPr>
          <w:rFonts w:ascii="Open Sans" w:hAnsi="Open Sans" w:cs="Open Sans"/>
        </w:rPr>
      </w:pPr>
    </w:p>
    <w:p w14:paraId="3060AE73" w14:textId="2C3A4C47" w:rsidR="009F30CB" w:rsidRPr="00B13670" w:rsidRDefault="009F30CB" w:rsidP="00B13670"/>
    <w:sectPr w:rsidR="009F30CB" w:rsidRPr="00B13670" w:rsidSect="00B1367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06C5" w14:textId="77777777" w:rsidR="001514A8" w:rsidRDefault="001514A8" w:rsidP="008E17F3">
      <w:pPr>
        <w:spacing w:line="240" w:lineRule="auto"/>
      </w:pPr>
      <w:r>
        <w:separator/>
      </w:r>
    </w:p>
  </w:endnote>
  <w:endnote w:type="continuationSeparator" w:id="0">
    <w:p w14:paraId="20371E0F" w14:textId="77777777" w:rsidR="001514A8" w:rsidRDefault="001514A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Regular r:id="rId1" w:subsetted="1" w:fontKey="{CFAA6B7F-5903-44F6-A0E9-24B0C88F3448}"/>
    <w:embedBold r:id="rId2" w:fontKey="{4ACE8ECA-50DE-42D2-A082-AE6272B91DB4}"/>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embedRegular r:id="rId3" w:fontKey="{0F6B1937-FA2D-46BA-9EF2-AD0C8D6241A2}"/>
    <w:embedBold r:id="rId4" w:fontKey="{3CC82B97-42E8-4EE8-A3C3-175B3741013B}"/>
    <w:embedItalic r:id="rId5" w:fontKey="{E6365DD1-0997-4ED0-AA4F-4D5DEBE47F77}"/>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B0BF"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14:paraId="7FED548B"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35262331"/>
      <w:docPartObj>
        <w:docPartGallery w:val="Page Numbers (Bottom of Page)"/>
        <w:docPartUnique/>
      </w:docPartObj>
    </w:sdtPr>
    <w:sdtEndPr>
      <w:rPr>
        <w:rFonts w:ascii="Open Sans" w:hAnsi="Open Sans" w:cs="Open Sans"/>
      </w:rPr>
    </w:sdtEndPr>
    <w:sdtContent>
      <w:p w14:paraId="54E32FBA" w14:textId="77777777" w:rsidR="00B13670" w:rsidRPr="00B13670" w:rsidRDefault="00B13670" w:rsidP="00B67695">
        <w:pPr>
          <w:pStyle w:val="Footer"/>
          <w:ind w:left="-567" w:hanging="284"/>
          <w:jc w:val="right"/>
          <w:rPr>
            <w:rFonts w:ascii="Open Sans" w:hAnsi="Open Sans" w:cs="Open Sans"/>
            <w:sz w:val="20"/>
            <w:szCs w:val="20"/>
          </w:rPr>
        </w:pPr>
        <w:r w:rsidRPr="00B13670">
          <w:rPr>
            <w:rFonts w:ascii="Open Sans" w:hAnsi="Open Sans" w:cs="Open Sans"/>
            <w:sz w:val="20"/>
            <w:szCs w:val="20"/>
          </w:rPr>
          <w:t>[S25EP114.docx]</w:t>
        </w:r>
        <w:r w:rsidRPr="00B13670">
          <w:rPr>
            <w:rFonts w:ascii="Open Sans" w:hAnsi="Open Sans" w:cs="Open Sans"/>
            <w:sz w:val="20"/>
            <w:szCs w:val="20"/>
          </w:rPr>
          <w:tab/>
        </w:r>
        <w:r w:rsidRPr="00B13670">
          <w:rPr>
            <w:rFonts w:ascii="Open Sans" w:hAnsi="Open Sans" w:cs="Open Sans"/>
            <w:sz w:val="20"/>
            <w:szCs w:val="20"/>
          </w:rPr>
          <w:tab/>
          <w:t xml:space="preserve">Last updated: 10 November 2025                                                                                                                                </w:t>
        </w:r>
      </w:p>
      <w:p w14:paraId="4E47D3BD" w14:textId="0082167E" w:rsidR="008E17F3" w:rsidRPr="00B67695" w:rsidRDefault="00B13670" w:rsidP="00B67695">
        <w:pPr>
          <w:pStyle w:val="Footer"/>
          <w:jc w:val="right"/>
          <w:rPr>
            <w:rFonts w:ascii="Open Sans" w:hAnsi="Open Sans" w:cs="Open Sans"/>
            <w:sz w:val="20"/>
            <w:szCs w:val="20"/>
          </w:rPr>
        </w:pPr>
        <w:r w:rsidRPr="00B13670">
          <w:rPr>
            <w:rFonts w:ascii="Open Sans" w:hAnsi="Open Sans" w:cs="Open Sans"/>
            <w:sz w:val="20"/>
            <w:szCs w:val="20"/>
          </w:rPr>
          <w:t xml:space="preserve">Page | </w:t>
        </w:r>
        <w:r w:rsidRPr="00B13670">
          <w:rPr>
            <w:rFonts w:ascii="Open Sans" w:hAnsi="Open Sans" w:cs="Open Sans"/>
            <w:sz w:val="20"/>
            <w:szCs w:val="20"/>
          </w:rPr>
          <w:fldChar w:fldCharType="begin"/>
        </w:r>
        <w:r w:rsidRPr="00B13670">
          <w:rPr>
            <w:rFonts w:ascii="Open Sans" w:hAnsi="Open Sans" w:cs="Open Sans"/>
            <w:sz w:val="20"/>
            <w:szCs w:val="20"/>
          </w:rPr>
          <w:instrText xml:space="preserve"> PAGE   \* MERGEFORMAT </w:instrText>
        </w:r>
        <w:r w:rsidRPr="00B13670">
          <w:rPr>
            <w:rFonts w:ascii="Open Sans" w:hAnsi="Open Sans" w:cs="Open Sans"/>
            <w:sz w:val="20"/>
            <w:szCs w:val="20"/>
          </w:rPr>
          <w:fldChar w:fldCharType="separate"/>
        </w:r>
        <w:r w:rsidRPr="00B13670">
          <w:rPr>
            <w:rFonts w:ascii="Open Sans" w:hAnsi="Open Sans" w:cs="Open Sans"/>
            <w:sz w:val="20"/>
            <w:szCs w:val="20"/>
          </w:rPr>
          <w:t>2</w:t>
        </w:r>
        <w:r w:rsidRPr="00B13670">
          <w:rPr>
            <w:rFonts w:ascii="Open Sans" w:hAnsi="Open Sans" w:cs="Open Sans"/>
            <w:sz w:val="20"/>
            <w:szCs w:val="20"/>
          </w:rPr>
          <w:fldChar w:fldCharType="end"/>
        </w:r>
        <w:r w:rsidRPr="00B13670">
          <w:rPr>
            <w:rFonts w:ascii="Open Sans" w:hAnsi="Open Sans" w:cs="Open Sans"/>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04163756"/>
      <w:docPartObj>
        <w:docPartGallery w:val="Page Numbers (Bottom of Page)"/>
        <w:docPartUnique/>
      </w:docPartObj>
    </w:sdtPr>
    <w:sdtEndPr>
      <w:rPr>
        <w:rFonts w:ascii="Open Sans" w:hAnsi="Open Sans" w:cs="Open Sans"/>
      </w:rPr>
    </w:sdtEndPr>
    <w:sdtContent>
      <w:p w14:paraId="1A1ED884" w14:textId="77777777" w:rsidR="00B13670" w:rsidRPr="00B13670" w:rsidRDefault="00B13670" w:rsidP="00B67695">
        <w:pPr>
          <w:pStyle w:val="Footer"/>
          <w:ind w:left="-709"/>
          <w:jc w:val="right"/>
          <w:rPr>
            <w:rFonts w:ascii="Open Sans" w:hAnsi="Open Sans" w:cs="Open Sans"/>
            <w:sz w:val="20"/>
            <w:szCs w:val="20"/>
          </w:rPr>
        </w:pPr>
        <w:r w:rsidRPr="00B13670">
          <w:rPr>
            <w:rFonts w:ascii="Open Sans" w:hAnsi="Open Sans" w:cs="Open Sans"/>
            <w:sz w:val="20"/>
            <w:szCs w:val="20"/>
          </w:rPr>
          <w:t>[S25EP114.docx]</w:t>
        </w:r>
        <w:r w:rsidRPr="00B13670">
          <w:rPr>
            <w:rFonts w:ascii="Open Sans" w:hAnsi="Open Sans" w:cs="Open Sans"/>
            <w:sz w:val="20"/>
            <w:szCs w:val="20"/>
          </w:rPr>
          <w:tab/>
        </w:r>
        <w:r w:rsidRPr="00B13670">
          <w:rPr>
            <w:rFonts w:ascii="Open Sans" w:hAnsi="Open Sans" w:cs="Open Sans"/>
            <w:sz w:val="20"/>
            <w:szCs w:val="20"/>
          </w:rPr>
          <w:tab/>
          <w:t xml:space="preserve">Last updated: 10 November 2025                                                                                                                                </w:t>
        </w:r>
      </w:p>
      <w:p w14:paraId="3EDF373A" w14:textId="6CE1D610" w:rsidR="009D714D" w:rsidRPr="00B13670" w:rsidRDefault="00B13670" w:rsidP="00B13670">
        <w:pPr>
          <w:pStyle w:val="Footer"/>
          <w:jc w:val="right"/>
          <w:rPr>
            <w:rFonts w:ascii="Open Sans" w:hAnsi="Open Sans" w:cs="Open Sans"/>
            <w:sz w:val="20"/>
            <w:szCs w:val="20"/>
          </w:rPr>
        </w:pPr>
        <w:r w:rsidRPr="00B13670">
          <w:rPr>
            <w:rFonts w:ascii="Open Sans" w:hAnsi="Open Sans" w:cs="Open Sans"/>
            <w:sz w:val="20"/>
            <w:szCs w:val="20"/>
          </w:rPr>
          <w:t xml:space="preserve">Page | </w:t>
        </w:r>
        <w:r w:rsidRPr="00B13670">
          <w:rPr>
            <w:rFonts w:ascii="Open Sans" w:hAnsi="Open Sans" w:cs="Open Sans"/>
            <w:sz w:val="20"/>
            <w:szCs w:val="20"/>
          </w:rPr>
          <w:fldChar w:fldCharType="begin"/>
        </w:r>
        <w:r w:rsidRPr="00B13670">
          <w:rPr>
            <w:rFonts w:ascii="Open Sans" w:hAnsi="Open Sans" w:cs="Open Sans"/>
            <w:sz w:val="20"/>
            <w:szCs w:val="20"/>
          </w:rPr>
          <w:instrText xml:space="preserve"> PAGE   \* MERGEFORMAT </w:instrText>
        </w:r>
        <w:r w:rsidRPr="00B13670">
          <w:rPr>
            <w:rFonts w:ascii="Open Sans" w:hAnsi="Open Sans" w:cs="Open Sans"/>
            <w:sz w:val="20"/>
            <w:szCs w:val="20"/>
          </w:rPr>
          <w:fldChar w:fldCharType="separate"/>
        </w:r>
        <w:r w:rsidRPr="00B13670">
          <w:rPr>
            <w:rFonts w:ascii="Open Sans" w:hAnsi="Open Sans" w:cs="Open Sans"/>
            <w:sz w:val="20"/>
            <w:szCs w:val="20"/>
          </w:rPr>
          <w:t>2</w:t>
        </w:r>
        <w:r w:rsidRPr="00B13670">
          <w:rPr>
            <w:rFonts w:ascii="Open Sans" w:hAnsi="Open Sans" w:cs="Open San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5240" w14:textId="77777777" w:rsidR="001514A8" w:rsidRDefault="001514A8" w:rsidP="008E17F3">
      <w:pPr>
        <w:spacing w:line="240" w:lineRule="auto"/>
      </w:pPr>
      <w:r>
        <w:separator/>
      </w:r>
    </w:p>
  </w:footnote>
  <w:footnote w:type="continuationSeparator" w:id="0">
    <w:p w14:paraId="76ECE8D3" w14:textId="77777777" w:rsidR="001514A8" w:rsidRDefault="001514A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E2EC" w14:textId="77777777" w:rsidR="002352FF" w:rsidRDefault="00235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8F2A" w14:textId="77777777" w:rsidR="002352FF" w:rsidRDefault="002352FF" w:rsidP="002352FF">
    <w:pPr>
      <w:pStyle w:val="Header"/>
      <w:spacing w:line="240" w:lineRule="auto"/>
      <w:rPr>
        <w:rFonts w:ascii="Open Sans" w:hAnsi="Open Sans" w:cs="Open Sans"/>
        <w:b/>
        <w:bCs/>
        <w:color w:val="BBBABA"/>
        <w:sz w:val="22"/>
        <w:szCs w:val="22"/>
      </w:rPr>
    </w:pPr>
    <w:bookmarkStart w:id="3" w:name="_Hlk213658637"/>
    <w:bookmarkStart w:id="4" w:name="_Hlk211263768"/>
    <w:bookmarkStart w:id="5" w:name="_Hlk211263769"/>
    <w:bookmarkStart w:id="6" w:name="_Hlk211264820"/>
    <w:bookmarkStart w:id="7" w:name="_Hlk211264821"/>
    <w:bookmarkStart w:id="8" w:name="_Hlk213658297"/>
    <w:bookmarkStart w:id="9" w:name="_Hlk213658298"/>
  </w:p>
  <w:p w14:paraId="069ADE65" w14:textId="6DED2B2C" w:rsidR="003C59C5" w:rsidRPr="003C59C5" w:rsidRDefault="003C59C5" w:rsidP="002352FF">
    <w:pPr>
      <w:pStyle w:val="Header"/>
      <w:spacing w:line="240" w:lineRule="auto"/>
      <w:rPr>
        <w:rFonts w:ascii="Open Sans" w:hAnsi="Open Sans" w:cs="Open Sans"/>
        <w:b/>
        <w:bCs/>
        <w:color w:val="BBBABA"/>
        <w:sz w:val="22"/>
        <w:szCs w:val="22"/>
      </w:rPr>
    </w:pPr>
    <w:r w:rsidRPr="003C59C5">
      <w:rPr>
        <w:rFonts w:ascii="Open Sans" w:hAnsi="Open Sans" w:cs="Open Sans"/>
        <w:b/>
        <w:bCs/>
        <w:color w:val="BBBABA"/>
        <w:sz w:val="22"/>
        <w:szCs w:val="22"/>
      </w:rPr>
      <w:t>Instructor Guidance Note</w:t>
    </w:r>
    <w:bookmarkEnd w:id="3"/>
    <w:r w:rsidRPr="003C59C5">
      <w:rPr>
        <w:rFonts w:ascii="Open Sans" w:hAnsi="Open Sans" w:cs="Open Sans"/>
        <w:b/>
        <w:bCs/>
        <w:color w:val="BBBABA"/>
        <w:sz w:val="22"/>
        <w:szCs w:val="22"/>
      </w:rPr>
      <w:t>—</w:t>
    </w:r>
    <w:bookmarkEnd w:id="4"/>
    <w:bookmarkEnd w:id="5"/>
    <w:bookmarkEnd w:id="6"/>
    <w:bookmarkEnd w:id="7"/>
    <w:bookmarkEnd w:id="8"/>
    <w:bookmarkEnd w:id="9"/>
    <w:r w:rsidRPr="003C59C5">
      <w:rPr>
        <w:rFonts w:ascii="Open Sans" w:hAnsi="Open Sans" w:cs="Open Sans"/>
        <w:b/>
        <w:bCs/>
        <w:color w:val="BBBABA"/>
        <w:sz w:val="22"/>
        <w:szCs w:val="22"/>
      </w:rPr>
      <w:t>Instrument issues for Bills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A770" w14:textId="0DA848BC" w:rsidR="003C59C5" w:rsidRDefault="003C59C5">
    <w:pPr>
      <w:pStyle w:val="Header"/>
    </w:pPr>
    <w:r w:rsidRPr="00F951F6">
      <w:rPr>
        <w:rFonts w:cs="Open Sans"/>
        <w:noProof/>
      </w:rPr>
      <w:drawing>
        <wp:anchor distT="0" distB="0" distL="114300" distR="114300" simplePos="0" relativeHeight="251659264" behindDoc="0" locked="0" layoutInCell="1" allowOverlap="1" wp14:anchorId="0BFB0DFF" wp14:editId="6E973613">
          <wp:simplePos x="0" y="0"/>
          <wp:positionH relativeFrom="margin">
            <wp:posOffset>0</wp:posOffset>
          </wp:positionH>
          <wp:positionV relativeFrom="paragraph">
            <wp:posOffset>-254000</wp:posOffset>
          </wp:positionV>
          <wp:extent cx="3229347" cy="748862"/>
          <wp:effectExtent l="0" t="0" r="0" b="0"/>
          <wp:wrapNone/>
          <wp:docPr id="635747286"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FA20AB"/>
    <w:multiLevelType w:val="hybridMultilevel"/>
    <w:tmpl w:val="F9F8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7671682">
    <w:abstractNumId w:val="9"/>
  </w:num>
  <w:num w:numId="2" w16cid:durableId="843663767">
    <w:abstractNumId w:val="7"/>
  </w:num>
  <w:num w:numId="3" w16cid:durableId="139807283">
    <w:abstractNumId w:val="6"/>
  </w:num>
  <w:num w:numId="4" w16cid:durableId="1148522748">
    <w:abstractNumId w:val="5"/>
  </w:num>
  <w:num w:numId="5" w16cid:durableId="1415737607">
    <w:abstractNumId w:val="4"/>
  </w:num>
  <w:num w:numId="6" w16cid:durableId="492725850">
    <w:abstractNumId w:val="8"/>
  </w:num>
  <w:num w:numId="7" w16cid:durableId="1532836105">
    <w:abstractNumId w:val="3"/>
  </w:num>
  <w:num w:numId="8" w16cid:durableId="1107307917">
    <w:abstractNumId w:val="2"/>
  </w:num>
  <w:num w:numId="9" w16cid:durableId="1026911004">
    <w:abstractNumId w:val="1"/>
  </w:num>
  <w:num w:numId="10" w16cid:durableId="808134584">
    <w:abstractNumId w:val="0"/>
  </w:num>
  <w:num w:numId="11" w16cid:durableId="1239250801">
    <w:abstractNumId w:val="12"/>
  </w:num>
  <w:num w:numId="12" w16cid:durableId="382751959">
    <w:abstractNumId w:val="13"/>
  </w:num>
  <w:num w:numId="13" w16cid:durableId="1423526366">
    <w:abstractNumId w:val="11"/>
  </w:num>
  <w:num w:numId="14" w16cid:durableId="218638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A8"/>
    <w:rsid w:val="00007FEA"/>
    <w:rsid w:val="000136AF"/>
    <w:rsid w:val="00022B7E"/>
    <w:rsid w:val="00036B0B"/>
    <w:rsid w:val="000506CA"/>
    <w:rsid w:val="00056743"/>
    <w:rsid w:val="000614BF"/>
    <w:rsid w:val="000A54C7"/>
    <w:rsid w:val="000C604C"/>
    <w:rsid w:val="000C7533"/>
    <w:rsid w:val="000D05EF"/>
    <w:rsid w:val="000E6996"/>
    <w:rsid w:val="00101BDF"/>
    <w:rsid w:val="00104013"/>
    <w:rsid w:val="0010745C"/>
    <w:rsid w:val="001279E1"/>
    <w:rsid w:val="00131624"/>
    <w:rsid w:val="00147FB5"/>
    <w:rsid w:val="001514A8"/>
    <w:rsid w:val="0015253A"/>
    <w:rsid w:val="00157E11"/>
    <w:rsid w:val="001636E5"/>
    <w:rsid w:val="00166C2F"/>
    <w:rsid w:val="00174846"/>
    <w:rsid w:val="00174CB6"/>
    <w:rsid w:val="001813DF"/>
    <w:rsid w:val="001939E1"/>
    <w:rsid w:val="00195382"/>
    <w:rsid w:val="001C69C4"/>
    <w:rsid w:val="001E3590"/>
    <w:rsid w:val="001E7407"/>
    <w:rsid w:val="001F1083"/>
    <w:rsid w:val="001F10E7"/>
    <w:rsid w:val="00204073"/>
    <w:rsid w:val="00227258"/>
    <w:rsid w:val="002352FF"/>
    <w:rsid w:val="00250947"/>
    <w:rsid w:val="00252C12"/>
    <w:rsid w:val="00253D1B"/>
    <w:rsid w:val="002921FA"/>
    <w:rsid w:val="00295FBA"/>
    <w:rsid w:val="002970D7"/>
    <w:rsid w:val="00297ECB"/>
    <w:rsid w:val="002A4DA0"/>
    <w:rsid w:val="002B113D"/>
    <w:rsid w:val="002B1ECF"/>
    <w:rsid w:val="002B3F85"/>
    <w:rsid w:val="002C223C"/>
    <w:rsid w:val="002D043A"/>
    <w:rsid w:val="002D6A8E"/>
    <w:rsid w:val="002F75C8"/>
    <w:rsid w:val="0030057E"/>
    <w:rsid w:val="00306046"/>
    <w:rsid w:val="00311448"/>
    <w:rsid w:val="00323FD3"/>
    <w:rsid w:val="003314DF"/>
    <w:rsid w:val="00332F01"/>
    <w:rsid w:val="00352B0F"/>
    <w:rsid w:val="00360FB0"/>
    <w:rsid w:val="003820F8"/>
    <w:rsid w:val="00382344"/>
    <w:rsid w:val="003B5735"/>
    <w:rsid w:val="003C296D"/>
    <w:rsid w:val="003C59C5"/>
    <w:rsid w:val="003D0BFE"/>
    <w:rsid w:val="003D32CD"/>
    <w:rsid w:val="003D5700"/>
    <w:rsid w:val="003D6F8A"/>
    <w:rsid w:val="003E4160"/>
    <w:rsid w:val="003E522D"/>
    <w:rsid w:val="003E6D29"/>
    <w:rsid w:val="003F6DD2"/>
    <w:rsid w:val="004116CD"/>
    <w:rsid w:val="00424CA9"/>
    <w:rsid w:val="0044291A"/>
    <w:rsid w:val="00450A86"/>
    <w:rsid w:val="004560FB"/>
    <w:rsid w:val="004653F8"/>
    <w:rsid w:val="00496F97"/>
    <w:rsid w:val="004970F2"/>
    <w:rsid w:val="004B1B6B"/>
    <w:rsid w:val="004B6EA5"/>
    <w:rsid w:val="004C2625"/>
    <w:rsid w:val="004C33F5"/>
    <w:rsid w:val="004F018F"/>
    <w:rsid w:val="00516B8D"/>
    <w:rsid w:val="005229D5"/>
    <w:rsid w:val="005327A0"/>
    <w:rsid w:val="00537FBC"/>
    <w:rsid w:val="0055789A"/>
    <w:rsid w:val="00584811"/>
    <w:rsid w:val="00594161"/>
    <w:rsid w:val="00594749"/>
    <w:rsid w:val="005F1BF4"/>
    <w:rsid w:val="00600219"/>
    <w:rsid w:val="006017F2"/>
    <w:rsid w:val="006207A3"/>
    <w:rsid w:val="006273E3"/>
    <w:rsid w:val="006279B8"/>
    <w:rsid w:val="00630133"/>
    <w:rsid w:val="00677CC2"/>
    <w:rsid w:val="00680F77"/>
    <w:rsid w:val="0068266A"/>
    <w:rsid w:val="00690D87"/>
    <w:rsid w:val="0069207B"/>
    <w:rsid w:val="00697556"/>
    <w:rsid w:val="006B6DC5"/>
    <w:rsid w:val="006C19D8"/>
    <w:rsid w:val="006C7E3B"/>
    <w:rsid w:val="006C7F8C"/>
    <w:rsid w:val="006D77BA"/>
    <w:rsid w:val="006E0386"/>
    <w:rsid w:val="006E2E9F"/>
    <w:rsid w:val="006F616A"/>
    <w:rsid w:val="006F73F2"/>
    <w:rsid w:val="00704A73"/>
    <w:rsid w:val="00705059"/>
    <w:rsid w:val="007276BC"/>
    <w:rsid w:val="00731E00"/>
    <w:rsid w:val="00733990"/>
    <w:rsid w:val="00766393"/>
    <w:rsid w:val="007715C9"/>
    <w:rsid w:val="00774EDD"/>
    <w:rsid w:val="00775577"/>
    <w:rsid w:val="007757EC"/>
    <w:rsid w:val="0078688F"/>
    <w:rsid w:val="008006B2"/>
    <w:rsid w:val="00804FC2"/>
    <w:rsid w:val="00844728"/>
    <w:rsid w:val="008505D2"/>
    <w:rsid w:val="00856A31"/>
    <w:rsid w:val="00857094"/>
    <w:rsid w:val="008619BD"/>
    <w:rsid w:val="00864C20"/>
    <w:rsid w:val="008754D0"/>
    <w:rsid w:val="008C0A66"/>
    <w:rsid w:val="008D4979"/>
    <w:rsid w:val="008E17F3"/>
    <w:rsid w:val="008E3B8C"/>
    <w:rsid w:val="00934511"/>
    <w:rsid w:val="0094622F"/>
    <w:rsid w:val="00947C96"/>
    <w:rsid w:val="00956E94"/>
    <w:rsid w:val="009631C5"/>
    <w:rsid w:val="00974AE2"/>
    <w:rsid w:val="009823D9"/>
    <w:rsid w:val="0098638B"/>
    <w:rsid w:val="009D714D"/>
    <w:rsid w:val="009F0D9B"/>
    <w:rsid w:val="009F30CB"/>
    <w:rsid w:val="009F6874"/>
    <w:rsid w:val="009F7F2C"/>
    <w:rsid w:val="00A12A73"/>
    <w:rsid w:val="00A231E2"/>
    <w:rsid w:val="00A61CFB"/>
    <w:rsid w:val="00A64331"/>
    <w:rsid w:val="00A64912"/>
    <w:rsid w:val="00A70A74"/>
    <w:rsid w:val="00A91B5C"/>
    <w:rsid w:val="00A967E7"/>
    <w:rsid w:val="00AB3770"/>
    <w:rsid w:val="00AB388B"/>
    <w:rsid w:val="00AD5641"/>
    <w:rsid w:val="00AD700D"/>
    <w:rsid w:val="00AF0ABD"/>
    <w:rsid w:val="00B13670"/>
    <w:rsid w:val="00B230B6"/>
    <w:rsid w:val="00B33B3C"/>
    <w:rsid w:val="00B5268E"/>
    <w:rsid w:val="00B5426A"/>
    <w:rsid w:val="00B626D6"/>
    <w:rsid w:val="00B67695"/>
    <w:rsid w:val="00B94A2A"/>
    <w:rsid w:val="00BA3886"/>
    <w:rsid w:val="00BE719A"/>
    <w:rsid w:val="00BE720A"/>
    <w:rsid w:val="00BE7990"/>
    <w:rsid w:val="00BF5A6A"/>
    <w:rsid w:val="00C02EC0"/>
    <w:rsid w:val="00C42BF8"/>
    <w:rsid w:val="00C43768"/>
    <w:rsid w:val="00C50043"/>
    <w:rsid w:val="00C53CB6"/>
    <w:rsid w:val="00C61CDD"/>
    <w:rsid w:val="00C7573B"/>
    <w:rsid w:val="00C77FBD"/>
    <w:rsid w:val="00C83868"/>
    <w:rsid w:val="00CB3D6B"/>
    <w:rsid w:val="00CB48D8"/>
    <w:rsid w:val="00CD1E79"/>
    <w:rsid w:val="00CF0BB2"/>
    <w:rsid w:val="00D0039E"/>
    <w:rsid w:val="00D07065"/>
    <w:rsid w:val="00D13441"/>
    <w:rsid w:val="00D70DFB"/>
    <w:rsid w:val="00D766DF"/>
    <w:rsid w:val="00D87C63"/>
    <w:rsid w:val="00DB3CFE"/>
    <w:rsid w:val="00DC26A4"/>
    <w:rsid w:val="00DE7073"/>
    <w:rsid w:val="00E02B4B"/>
    <w:rsid w:val="00E57F13"/>
    <w:rsid w:val="00E74DC7"/>
    <w:rsid w:val="00E85E71"/>
    <w:rsid w:val="00E868B7"/>
    <w:rsid w:val="00EB1FBD"/>
    <w:rsid w:val="00EB7EF1"/>
    <w:rsid w:val="00ED0C49"/>
    <w:rsid w:val="00ED28A4"/>
    <w:rsid w:val="00EF2E3A"/>
    <w:rsid w:val="00EF7326"/>
    <w:rsid w:val="00F04811"/>
    <w:rsid w:val="00F078DC"/>
    <w:rsid w:val="00F106E4"/>
    <w:rsid w:val="00F20090"/>
    <w:rsid w:val="00F204A8"/>
    <w:rsid w:val="00F21EB4"/>
    <w:rsid w:val="00F23E5F"/>
    <w:rsid w:val="00F51269"/>
    <w:rsid w:val="00F8251F"/>
    <w:rsid w:val="00F977B9"/>
    <w:rsid w:val="00FD05A5"/>
    <w:rsid w:val="00FD456C"/>
    <w:rsid w:val="00FE495E"/>
    <w:rsid w:val="00FF0DF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C8E334"/>
  <w15:docId w15:val="{FF548E50-B857-4851-92CD-E382D283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B13670"/>
    <w:pPr>
      <w:keepNext/>
      <w:pageBreakBefore/>
      <w:autoSpaceDE w:val="0"/>
      <w:autoSpaceDN w:val="0"/>
      <w:adjustRightInd w:val="0"/>
      <w:spacing w:before="160" w:after="300"/>
      <w:outlineLvl w:val="0"/>
    </w:pPr>
    <w:rPr>
      <w:rFonts w:ascii="Open Sans ExtraBold" w:eastAsiaTheme="minorEastAsia" w:hAnsi="Open Sans ExtraBold" w:cs="Open Sans"/>
      <w:color w:val="084D5E"/>
      <w:kern w:val="28"/>
      <w:sz w:val="56"/>
      <w:szCs w:val="56"/>
      <w:lang w:eastAsia="en-AU" w:bidi="th-TH"/>
      <w14:ligatures w14:val="standardContextual"/>
    </w:rPr>
  </w:style>
  <w:style w:type="paragraph" w:styleId="Heading2">
    <w:name w:val="heading 2"/>
    <w:basedOn w:val="Normal"/>
    <w:next w:val="Normal"/>
    <w:link w:val="Heading2Char"/>
    <w:uiPriority w:val="9"/>
    <w:semiHidden/>
    <w:unhideWhenUsed/>
    <w:qFormat/>
    <w:rsid w:val="00B136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B13670"/>
    <w:rPr>
      <w:rFonts w:ascii="Open Sans ExtraBold" w:eastAsiaTheme="minorEastAsia" w:hAnsi="Open Sans ExtraBold" w:cs="Open Sans"/>
      <w:color w:val="084D5E"/>
      <w:kern w:val="28"/>
      <w:sz w:val="56"/>
      <w:szCs w:val="56"/>
      <w:lang w:eastAsia="en-AU" w:bidi="th-TH"/>
      <w14:ligatures w14:val="standardContextual"/>
    </w:rPr>
  </w:style>
  <w:style w:type="table" w:styleId="TableGrid">
    <w:name w:val="Table Grid"/>
    <w:basedOn w:val="TableNormal"/>
    <w:uiPriority w:val="39"/>
    <w:rsid w:val="00B13670"/>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1367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1529</Words>
  <Characters>8214</Characters>
  <Application>Microsoft Office Word</Application>
  <DocSecurity>0</DocSecurity>
  <Lines>146</Lines>
  <Paragraphs>60</Paragraphs>
  <ScaleCrop>false</ScaleCrop>
  <HeadingPairs>
    <vt:vector size="2" baseType="variant">
      <vt:variant>
        <vt:lpstr>Title</vt:lpstr>
      </vt:variant>
      <vt:variant>
        <vt:i4>1</vt:i4>
      </vt:variant>
    </vt:vector>
  </HeadingPairs>
  <TitlesOfParts>
    <vt:vector size="1" baseType="lpstr">
      <vt:lpstr>Instrument issues for Bills</vt:lpstr>
    </vt:vector>
  </TitlesOfParts>
  <Company>Office of Parliamentary Counsel</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issues for Bills</dc:title>
  <dc:subject/>
  <dc:creator>MilesA</dc:creator>
  <cp:keywords/>
  <dc:description/>
  <cp:lastModifiedBy>Phong, Karen</cp:lastModifiedBy>
  <cp:revision>2</cp:revision>
  <dcterms:created xsi:type="dcterms:W3CDTF">2025-11-10T02:15:00Z</dcterms:created>
  <dcterms:modified xsi:type="dcterms:W3CDTF">2025-11-10T02:15:00Z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