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95CC" w14:textId="77777777" w:rsidR="00FD07DA" w:rsidRPr="00F951F6" w:rsidRDefault="00FD07DA" w:rsidP="00FD07DA">
      <w:pPr>
        <w:pStyle w:val="Heading1"/>
        <w:rPr>
          <w:rFonts w:cs="Open Sans ExtraBold"/>
        </w:rPr>
      </w:pPr>
      <w:bookmarkStart w:id="0" w:name="_Hlk211263534"/>
      <w:bookmarkStart w:id="1" w:name="_Hlk213659231"/>
      <w:r w:rsidRPr="00F951F6">
        <w:rPr>
          <w:rFonts w:cs="Open Sans ExtraBold"/>
        </w:rPr>
        <w:t>Instructor Guidance Note</w:t>
      </w:r>
      <w:r>
        <w:rPr>
          <w:rFonts w:cs="Open Sans ExtraBold"/>
        </w:rPr>
        <w:t>—</w:t>
      </w:r>
      <w:r w:rsidRPr="008D2A4E">
        <w:rPr>
          <w:rFonts w:cs="Open Sans ExtraBold"/>
        </w:rPr>
        <w:t>Key considerations in making legislative instruments</w:t>
      </w:r>
    </w:p>
    <w:bookmarkEnd w:id="0"/>
    <w:p w14:paraId="3D538A8D"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Purpose of guidance</w:t>
      </w:r>
    </w:p>
    <w:p w14:paraId="48F71C16" w14:textId="77777777" w:rsidR="00FD07DA" w:rsidRPr="001E329B" w:rsidRDefault="00FD07DA" w:rsidP="00FD07DA">
      <w:pPr>
        <w:pStyle w:val="BodyNum"/>
        <w:rPr>
          <w:rFonts w:ascii="Open Sans" w:hAnsi="Open Sans" w:cs="Open Sans"/>
          <w:sz w:val="22"/>
          <w:szCs w:val="22"/>
        </w:rPr>
      </w:pPr>
      <w:r w:rsidRPr="001E329B">
        <w:rPr>
          <w:rFonts w:ascii="Open Sans" w:hAnsi="Open Sans" w:cs="Open Sans"/>
          <w:sz w:val="22"/>
          <w:szCs w:val="22"/>
        </w:rPr>
        <w:t>This guidance mentions a range of matters to assist agencies when making legislative instruments.</w:t>
      </w:r>
    </w:p>
    <w:p w14:paraId="4AFD622A"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Consultation on legislative instruments</w:t>
      </w:r>
    </w:p>
    <w:p w14:paraId="75ABCDDB" w14:textId="77777777" w:rsidR="00FD07DA" w:rsidRPr="001E329B" w:rsidRDefault="00FD07DA" w:rsidP="00FD07DA">
      <w:pPr>
        <w:pStyle w:val="BodyNum"/>
        <w:rPr>
          <w:rFonts w:ascii="Open Sans" w:hAnsi="Open Sans" w:cs="Open Sans"/>
          <w:sz w:val="22"/>
          <w:szCs w:val="22"/>
        </w:rPr>
      </w:pPr>
      <w:r w:rsidRPr="001E329B">
        <w:rPr>
          <w:rFonts w:ascii="Open Sans" w:hAnsi="Open Sans" w:cs="Open Sans"/>
          <w:sz w:val="22"/>
          <w:szCs w:val="22"/>
        </w:rPr>
        <w:t>Before a legislative instrument is made, the rule</w:t>
      </w:r>
      <w:r w:rsidRPr="001E329B">
        <w:rPr>
          <w:rFonts w:ascii="Open Sans" w:hAnsi="Open Sans" w:cs="Open Sans"/>
          <w:sz w:val="22"/>
          <w:szCs w:val="22"/>
        </w:rPr>
        <w:noBreakHyphen/>
        <w:t>maker must be satisfied that any consultation that the rule</w:t>
      </w:r>
      <w:r w:rsidRPr="001E329B">
        <w:rPr>
          <w:rFonts w:ascii="Open Sans" w:hAnsi="Open Sans" w:cs="Open Sans"/>
          <w:sz w:val="22"/>
          <w:szCs w:val="22"/>
        </w:rPr>
        <w:noBreakHyphen/>
        <w:t xml:space="preserve">maker considers to be appropriate and reasonably practicable has been undertaken (see section 17 of the </w:t>
      </w:r>
      <w:r w:rsidRPr="001E329B">
        <w:rPr>
          <w:rFonts w:ascii="Open Sans" w:hAnsi="Open Sans" w:cs="Open Sans"/>
          <w:i/>
          <w:iCs/>
          <w:sz w:val="22"/>
          <w:szCs w:val="22"/>
        </w:rPr>
        <w:t>Legislation Act 2003</w:t>
      </w:r>
      <w:r w:rsidRPr="001E329B">
        <w:rPr>
          <w:rFonts w:ascii="Open Sans" w:hAnsi="Open Sans" w:cs="Open Sans"/>
          <w:sz w:val="22"/>
          <w:szCs w:val="22"/>
        </w:rPr>
        <w:t>). Inadequate consultation is one of the most frequent grounds of criticism by the Senate Scrutiny of Delegated Legislation Committee.</w:t>
      </w:r>
    </w:p>
    <w:p w14:paraId="5B053A46" w14:textId="77777777" w:rsidR="00FD07DA" w:rsidRPr="001E329B" w:rsidRDefault="00FD07DA" w:rsidP="00FD07DA">
      <w:pPr>
        <w:pStyle w:val="BodyNum"/>
        <w:rPr>
          <w:rFonts w:ascii="Open Sans" w:hAnsi="Open Sans" w:cs="Open Sans"/>
          <w:sz w:val="22"/>
          <w:szCs w:val="22"/>
        </w:rPr>
      </w:pPr>
      <w:r w:rsidRPr="001E329B">
        <w:rPr>
          <w:rFonts w:ascii="Open Sans" w:hAnsi="Open Sans" w:cs="Open Sans"/>
          <w:sz w:val="22"/>
          <w:szCs w:val="22"/>
        </w:rPr>
        <w:t>It is the role of instructors:</w:t>
      </w:r>
    </w:p>
    <w:p w14:paraId="72998909"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to establish what the rule</w:t>
      </w:r>
      <w:r w:rsidRPr="001E329B">
        <w:rPr>
          <w:rFonts w:ascii="Open Sans" w:hAnsi="Open Sans" w:cs="Open Sans"/>
          <w:sz w:val="22"/>
          <w:szCs w:val="22"/>
        </w:rPr>
        <w:noBreakHyphen/>
        <w:t>maker considers to be the most appropriate form of consultation at an early stage of the drafting process; and</w:t>
      </w:r>
    </w:p>
    <w:p w14:paraId="072B16E8"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to satisfy the rule</w:t>
      </w:r>
      <w:r w:rsidRPr="001E329B">
        <w:rPr>
          <w:rFonts w:ascii="Open Sans" w:hAnsi="Open Sans" w:cs="Open Sans"/>
          <w:sz w:val="22"/>
          <w:szCs w:val="22"/>
        </w:rPr>
        <w:noBreakHyphen/>
        <w:t>maker that consultation has been undertaken to the required standard before the instrument is made; and</w:t>
      </w:r>
    </w:p>
    <w:p w14:paraId="1B1A86D8"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to ensure that the explanatory statement for the instrument includes a description of the consultation undertaken or, if there was no consultation, an explanation for its absence.</w:t>
      </w:r>
    </w:p>
    <w:p w14:paraId="63B3C7A9"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Further information on how to meet the consultation requirement may be found on the Committee’s website.</w:t>
      </w:r>
    </w:p>
    <w:p w14:paraId="02FF8B45"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Finalisation of legislative instruments</w:t>
      </w:r>
    </w:p>
    <w:p w14:paraId="208E869F"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When a legislative instrument drafted by OPC is ready to be made, OPC will provide instructors with a final version of the instrument in a form that is suitable for signature by the rule</w:t>
      </w:r>
      <w:r w:rsidRPr="001E329B">
        <w:rPr>
          <w:rFonts w:ascii="Open Sans" w:hAnsi="Open Sans" w:cs="Open Sans"/>
          <w:sz w:val="22"/>
          <w:szCs w:val="22"/>
        </w:rPr>
        <w:noBreakHyphen/>
        <w:t>maker. The final version is provided electronically and instructors are responsible for arranging for the instrument to be printed and signed by the rule</w:t>
      </w:r>
      <w:r w:rsidRPr="001E329B">
        <w:rPr>
          <w:rFonts w:ascii="Open Sans" w:hAnsi="Open Sans" w:cs="Open Sans"/>
          <w:sz w:val="22"/>
          <w:szCs w:val="22"/>
        </w:rPr>
        <w:noBreakHyphen/>
        <w:t>maker.</w:t>
      </w:r>
    </w:p>
    <w:p w14:paraId="16CF5038"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 xml:space="preserve">In general, the minimum time that OPC needs for a settled draft of a legislative instrument to be finalised is 2 working days. This is because of the large volume of other editorial work (for both Bills and instruments) that generally coincides with the times that draft instruments are required to be finalised. If there are a large number of </w:t>
      </w:r>
      <w:r w:rsidRPr="001E329B">
        <w:rPr>
          <w:rFonts w:ascii="Open Sans" w:hAnsi="Open Sans" w:cs="Open Sans"/>
          <w:sz w:val="22"/>
          <w:szCs w:val="22"/>
        </w:rPr>
        <w:lastRenderedPageBreak/>
        <w:t>changes required before an instrument can be finalised, obviously, the turnaround time will be greater.</w:t>
      </w:r>
    </w:p>
    <w:p w14:paraId="2A451F48"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Federal Executive Council requirements</w:t>
      </w:r>
    </w:p>
    <w:p w14:paraId="38CDC3B4"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If the legislative instrument is made by the Governor</w:t>
      </w:r>
      <w:r w:rsidRPr="001E329B">
        <w:rPr>
          <w:rFonts w:ascii="Open Sans" w:hAnsi="Open Sans" w:cs="Open Sans"/>
          <w:sz w:val="22"/>
          <w:szCs w:val="22"/>
        </w:rPr>
        <w:noBreakHyphen/>
        <w:t>General, the instrument must be lodged by the instructing agency with the Secretariat of the Executive Council (</w:t>
      </w:r>
      <w:r w:rsidRPr="001E329B">
        <w:rPr>
          <w:rFonts w:ascii="Open Sans" w:hAnsi="Open Sans" w:cs="Open Sans"/>
          <w:b/>
          <w:bCs/>
          <w:i/>
          <w:iCs/>
          <w:sz w:val="22"/>
          <w:szCs w:val="22"/>
        </w:rPr>
        <w:t>ExCo</w:t>
      </w:r>
      <w:r w:rsidRPr="001E329B">
        <w:rPr>
          <w:rFonts w:ascii="Open Sans" w:hAnsi="Open Sans" w:cs="Open Sans"/>
          <w:sz w:val="22"/>
          <w:szCs w:val="22"/>
        </w:rPr>
        <w:t xml:space="preserve">). More information about ExCo processes and requirements can be found in the </w:t>
      </w:r>
      <w:r w:rsidRPr="001E329B">
        <w:rPr>
          <w:rFonts w:ascii="Open Sans" w:hAnsi="Open Sans" w:cs="Open Sans"/>
          <w:i/>
          <w:sz w:val="22"/>
          <w:szCs w:val="22"/>
        </w:rPr>
        <w:t>Federal Executive Council Handbook</w:t>
      </w:r>
      <w:r w:rsidRPr="001E329B">
        <w:rPr>
          <w:rFonts w:ascii="Open Sans" w:hAnsi="Open Sans" w:cs="Open Sans"/>
          <w:iCs/>
          <w:sz w:val="22"/>
          <w:szCs w:val="22"/>
        </w:rPr>
        <w:t xml:space="preserve">, available from the Department of the Prime Minister and Cabinet’s </w:t>
      </w:r>
      <w:r w:rsidRPr="001E329B">
        <w:rPr>
          <w:rFonts w:ascii="Open Sans" w:hAnsi="Open Sans" w:cs="Open Sans"/>
          <w:sz w:val="22"/>
          <w:szCs w:val="22"/>
        </w:rPr>
        <w:t>website.</w:t>
      </w:r>
    </w:p>
    <w:p w14:paraId="48D9B339"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Explanatory statement</w:t>
      </w:r>
    </w:p>
    <w:p w14:paraId="62BD5B96"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An explanatory statement must be approved by the rule</w:t>
      </w:r>
      <w:r w:rsidRPr="001E329B">
        <w:rPr>
          <w:rFonts w:ascii="Open Sans" w:hAnsi="Open Sans" w:cs="Open Sans"/>
          <w:sz w:val="22"/>
          <w:szCs w:val="22"/>
        </w:rPr>
        <w:noBreakHyphen/>
        <w:t xml:space="preserve">maker for each new legislative instrument. The statement needs to comply with section 15J of the </w:t>
      </w:r>
      <w:r w:rsidRPr="001E329B">
        <w:rPr>
          <w:rFonts w:ascii="Open Sans" w:hAnsi="Open Sans" w:cs="Open Sans"/>
          <w:i/>
          <w:iCs/>
          <w:sz w:val="22"/>
          <w:szCs w:val="22"/>
        </w:rPr>
        <w:t>Legislation Act 2003</w:t>
      </w:r>
      <w:r w:rsidRPr="001E329B">
        <w:rPr>
          <w:rFonts w:ascii="Open Sans" w:hAnsi="Open Sans" w:cs="Open Sans"/>
          <w:sz w:val="22"/>
          <w:szCs w:val="22"/>
        </w:rPr>
        <w:t>. Among other things, the explanatory statement must:</w:t>
      </w:r>
    </w:p>
    <w:p w14:paraId="156F6715"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explain the purpose and operation of the instrument; and</w:t>
      </w:r>
    </w:p>
    <w:p w14:paraId="6DD23F15"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describe any document that has been incorporated in the instrument by reference and indicate how it may be obtained; and</w:t>
      </w:r>
    </w:p>
    <w:p w14:paraId="35CAFA25"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sz w:val="22"/>
          <w:szCs w:val="22"/>
        </w:rPr>
        <w:t>include a statement of compatibility with human rights (if the instrument is disallowable).</w:t>
      </w:r>
    </w:p>
    <w:p w14:paraId="46EB3E79"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As is the case with the explanatory memorandum for a Bill, the explanatory statement can be used by courts to interpret a legislative instrument. Further, the Senate Scrutiny of Delegated Legislation Committee places considerable reliance on the explanatory statement to understand the instrument and to assess its purpose. For these reasons, the explanatory statement should be as clear and informative as possible. Further information on the Committee’s expectations for explanatory statements may be found on the Committee’s website.</w:t>
      </w:r>
    </w:p>
    <w:p w14:paraId="49C88A6A" w14:textId="77777777" w:rsidR="00FD07DA" w:rsidRPr="008D2A4E" w:rsidRDefault="00FD07DA" w:rsidP="00FD07DA">
      <w:pPr>
        <w:pStyle w:val="Heading2"/>
        <w:rPr>
          <w:rFonts w:ascii="Open Sans ExtraBold" w:hAnsi="Open Sans ExtraBold" w:cs="Open Sans ExtraBold"/>
          <w:lang w:val="en-AU"/>
        </w:rPr>
      </w:pPr>
      <w:bookmarkStart w:id="2" w:name="_Toc414880213"/>
      <w:r w:rsidRPr="008D2A4E">
        <w:rPr>
          <w:rFonts w:ascii="Open Sans ExtraBold" w:hAnsi="Open Sans ExtraBold" w:cs="Open Sans ExtraBold"/>
          <w:lang w:val="en-AU"/>
        </w:rPr>
        <w:t>Lodgement of legislative instruments</w:t>
      </w:r>
      <w:bookmarkEnd w:id="2"/>
    </w:p>
    <w:p w14:paraId="2D72D1E9"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All legislative instruments (and their explanatory statements) must be lodged online by the instructing agency with OPC for registration on the Federal Register of Legislation. A legislative instrument will not be enforceable unless it is registered.</w:t>
      </w:r>
    </w:p>
    <w:p w14:paraId="28EBA379"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Once an instrument is registered, it becomes the law and so will never be removed from the Federal Register of Legislation. For this reason, the agency lodging the instrument should check the instrument carefully before lodging it to ensure that it is the correct version and does not include any inappropriate material (such as personal information).</w:t>
      </w:r>
    </w:p>
    <w:p w14:paraId="72EB2BE6"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Generally, instruments will be registered within 2 working days. If express registration or registration on a specific day is required, then contact the OPC helpdesk early to discuss this (lodge@legislation.gov.au or (02) 6120 1350).</w:t>
      </w:r>
    </w:p>
    <w:p w14:paraId="430019AE"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lastRenderedPageBreak/>
        <w:t>The person from the instructing agency who lodges the instrument for registration will be notified by email as soon as the instrument is registered and available on the Federal Register of Legislation.</w:t>
      </w:r>
    </w:p>
    <w:p w14:paraId="75E5FD40" w14:textId="77777777" w:rsidR="00FD07DA" w:rsidRPr="001E329B" w:rsidRDefault="00FD07DA" w:rsidP="00FD07DA">
      <w:pPr>
        <w:pStyle w:val="BodyNum"/>
        <w:numPr>
          <w:ilvl w:val="0"/>
          <w:numId w:val="14"/>
        </w:numPr>
        <w:rPr>
          <w:rFonts w:ascii="Open Sans" w:hAnsi="Open Sans" w:cs="Open Sans"/>
          <w:sz w:val="22"/>
          <w:szCs w:val="22"/>
        </w:rPr>
      </w:pPr>
      <w:bookmarkStart w:id="3" w:name="_Hlk198285849"/>
      <w:r w:rsidRPr="001E329B">
        <w:rPr>
          <w:rFonts w:ascii="Open Sans" w:hAnsi="Open Sans" w:cs="Open Sans"/>
          <w:sz w:val="22"/>
          <w:szCs w:val="22"/>
        </w:rPr>
        <w:t>There is an annual fee that pays for all routine registrations. OPC only charges additional fees if the instructing agency requires a special arrangement or additional service, such as registration at a specific time or an express, after-hours or peak period service.</w:t>
      </w:r>
    </w:p>
    <w:bookmarkEnd w:id="3"/>
    <w:p w14:paraId="133186AD"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Compilations of legislative instruments</w:t>
      </w:r>
    </w:p>
    <w:p w14:paraId="6E08493A" w14:textId="77777777" w:rsidR="00FD07DA" w:rsidRPr="001E329B" w:rsidRDefault="00FD07DA" w:rsidP="00FD07DA">
      <w:pPr>
        <w:pStyle w:val="BodyNum"/>
        <w:numPr>
          <w:ilvl w:val="0"/>
          <w:numId w:val="14"/>
        </w:numPr>
        <w:rPr>
          <w:rFonts w:ascii="Open Sans" w:hAnsi="Open Sans" w:cs="Open Sans"/>
          <w:sz w:val="22"/>
          <w:szCs w:val="22"/>
        </w:rPr>
      </w:pPr>
      <w:bookmarkStart w:id="4" w:name="_Hlk198285867"/>
      <w:r w:rsidRPr="001E329B">
        <w:rPr>
          <w:rFonts w:ascii="Open Sans" w:hAnsi="Open Sans" w:cs="Open Sans"/>
          <w:sz w:val="22"/>
          <w:szCs w:val="22"/>
        </w:rPr>
        <w:t>A compilation shows the text of a law as amended and in force on a specified date.</w:t>
      </w:r>
      <w:bookmarkEnd w:id="4"/>
      <w:r w:rsidRPr="001E329B">
        <w:rPr>
          <w:rFonts w:ascii="Open Sans" w:hAnsi="Open Sans" w:cs="Open Sans"/>
          <w:sz w:val="22"/>
          <w:szCs w:val="22"/>
        </w:rPr>
        <w:t xml:space="preserve"> If a legislative instrument is amended, the </w:t>
      </w:r>
      <w:r w:rsidRPr="001E329B">
        <w:rPr>
          <w:rFonts w:ascii="Open Sans" w:hAnsi="Open Sans" w:cs="Open Sans"/>
          <w:i/>
          <w:iCs/>
          <w:sz w:val="22"/>
          <w:szCs w:val="22"/>
        </w:rPr>
        <w:t>Legislation Act 2003</w:t>
      </w:r>
      <w:r w:rsidRPr="001E329B">
        <w:rPr>
          <w:rFonts w:ascii="Open Sans" w:hAnsi="Open Sans" w:cs="Open Sans"/>
          <w:sz w:val="22"/>
          <w:szCs w:val="22"/>
        </w:rPr>
        <w:t xml:space="preserve"> requires a compilation of the amended instrument to be prepared and lodged with OPC for registration on the Federal Register of Legislation (see sections 15Q and 15R of that Act). A compilation is also required to be prepared and lodged if a provision of a legislative instrument is disallowed.</w:t>
      </w:r>
    </w:p>
    <w:p w14:paraId="4EEE209E"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 xml:space="preserve">If the drafting of the instrument is tied to OPC under the </w:t>
      </w:r>
      <w:r w:rsidRPr="001E329B">
        <w:rPr>
          <w:rFonts w:ascii="Open Sans" w:hAnsi="Open Sans" w:cs="Open Sans"/>
          <w:i/>
          <w:iCs/>
          <w:sz w:val="22"/>
          <w:szCs w:val="22"/>
        </w:rPr>
        <w:t>Legal Services Directions 2017</w:t>
      </w:r>
      <w:r w:rsidRPr="001E329B">
        <w:rPr>
          <w:rFonts w:ascii="Open Sans" w:hAnsi="Open Sans" w:cs="Open Sans"/>
          <w:sz w:val="22"/>
          <w:szCs w:val="22"/>
        </w:rPr>
        <w:t>, OPC will prepare the compilation without charge to agencies. OPC can prepare compilations of other instruments on a billable basis.</w:t>
      </w:r>
    </w:p>
    <w:p w14:paraId="206632A1" w14:textId="77777777" w:rsidR="00FD07DA" w:rsidRPr="008D2A4E" w:rsidRDefault="00FD07DA" w:rsidP="00FD07DA">
      <w:pPr>
        <w:pStyle w:val="Heading2"/>
        <w:rPr>
          <w:rFonts w:ascii="Open Sans ExtraBold" w:hAnsi="Open Sans ExtraBold" w:cs="Open Sans ExtraBold"/>
          <w:lang w:val="en-AU"/>
        </w:rPr>
      </w:pPr>
      <w:bookmarkStart w:id="5" w:name="_Toc414880214"/>
      <w:r w:rsidRPr="008D2A4E">
        <w:rPr>
          <w:rFonts w:ascii="Open Sans ExtraBold" w:hAnsi="Open Sans ExtraBold" w:cs="Open Sans ExtraBold"/>
          <w:lang w:val="en-AU"/>
        </w:rPr>
        <w:t>Tabling and disallowance</w:t>
      </w:r>
      <w:bookmarkEnd w:id="5"/>
    </w:p>
    <w:p w14:paraId="0BB10D2E"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 xml:space="preserve">Legislative instruments, and their explanatory statements, that have been registered on the Federal Register of Legislation must be tabled in each House of the Parliament (see sections 38 and 39 of the </w:t>
      </w:r>
      <w:r w:rsidRPr="001E329B">
        <w:rPr>
          <w:rFonts w:ascii="Open Sans" w:hAnsi="Open Sans" w:cs="Open Sans"/>
          <w:i/>
          <w:iCs/>
          <w:sz w:val="22"/>
          <w:szCs w:val="22"/>
        </w:rPr>
        <w:t>Legislation Act 2003</w:t>
      </w:r>
      <w:r w:rsidRPr="001E329B">
        <w:rPr>
          <w:rFonts w:ascii="Open Sans" w:hAnsi="Open Sans" w:cs="Open Sans"/>
          <w:sz w:val="22"/>
          <w:szCs w:val="22"/>
        </w:rPr>
        <w:t>).</w:t>
      </w:r>
    </w:p>
    <w:p w14:paraId="22534427"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OPC arranges for the tabling of all legislative instruments and explanatory statements that are registered (unless the instrument is exempt from tabling).</w:t>
      </w:r>
    </w:p>
    <w:p w14:paraId="6F6A469C"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 xml:space="preserve">Legislative instruments are subject to disallowance by either House for a period of 15 sitting days after tabling, unless the instrument is exempt (see sections 42 and 44 of the </w:t>
      </w:r>
      <w:r w:rsidRPr="001E329B">
        <w:rPr>
          <w:rFonts w:ascii="Open Sans" w:hAnsi="Open Sans" w:cs="Open Sans"/>
          <w:i/>
          <w:iCs/>
          <w:sz w:val="22"/>
          <w:szCs w:val="22"/>
        </w:rPr>
        <w:t>Legislation Act 2003</w:t>
      </w:r>
      <w:r w:rsidRPr="001E329B">
        <w:rPr>
          <w:rFonts w:ascii="Open Sans" w:hAnsi="Open Sans" w:cs="Open Sans"/>
          <w:sz w:val="22"/>
          <w:szCs w:val="22"/>
        </w:rPr>
        <w:t xml:space="preserve">). The enabling legislation for the instrument might provide that the instrument is exempt from disallowance. Alternatively, the instrument might be exempt because it is covered by the </w:t>
      </w:r>
      <w:r w:rsidRPr="001E329B">
        <w:rPr>
          <w:rFonts w:ascii="Open Sans" w:hAnsi="Open Sans" w:cs="Open Sans"/>
          <w:i/>
          <w:iCs/>
          <w:sz w:val="22"/>
          <w:szCs w:val="22"/>
        </w:rPr>
        <w:t>Legislation (Exemptions and Other Matters) Regulation 2015</w:t>
      </w:r>
      <w:r w:rsidRPr="001E329B">
        <w:rPr>
          <w:rFonts w:ascii="Open Sans" w:hAnsi="Open Sans" w:cs="Open Sans"/>
          <w:sz w:val="22"/>
          <w:szCs w:val="22"/>
        </w:rPr>
        <w:t>.</w:t>
      </w:r>
    </w:p>
    <w:p w14:paraId="5B23C296" w14:textId="77777777" w:rsidR="00FD07DA" w:rsidRPr="001E329B" w:rsidRDefault="00FD07DA" w:rsidP="00FD07DA">
      <w:pPr>
        <w:pStyle w:val="BodyNum"/>
        <w:numPr>
          <w:ilvl w:val="0"/>
          <w:numId w:val="14"/>
        </w:numPr>
        <w:rPr>
          <w:rFonts w:ascii="Open Sans" w:hAnsi="Open Sans" w:cs="Open Sans"/>
          <w:sz w:val="22"/>
          <w:szCs w:val="22"/>
        </w:rPr>
      </w:pPr>
      <w:r w:rsidRPr="001E329B">
        <w:rPr>
          <w:rFonts w:ascii="Open Sans" w:hAnsi="Open Sans" w:cs="Open Sans"/>
          <w:sz w:val="22"/>
          <w:szCs w:val="22"/>
        </w:rPr>
        <w:t>If a notice of motion to disallow an instrument (or a provision of an instrument) is either passed, or not dealt with, within 15 sitting days of the notice being given, the instrument (or provision) is disallowed and is repealed at that time.</w:t>
      </w:r>
    </w:p>
    <w:p w14:paraId="05ECCE56" w14:textId="77777777" w:rsidR="00FD07DA" w:rsidRPr="008D2A4E" w:rsidRDefault="00FD07DA" w:rsidP="00FD07DA">
      <w:pPr>
        <w:pStyle w:val="Heading2"/>
        <w:rPr>
          <w:rFonts w:ascii="Open Sans ExtraBold" w:hAnsi="Open Sans ExtraBold" w:cs="Open Sans ExtraBold"/>
          <w:lang w:val="en-AU"/>
        </w:rPr>
      </w:pPr>
      <w:r w:rsidRPr="008D2A4E">
        <w:rPr>
          <w:rFonts w:ascii="Open Sans ExtraBold" w:hAnsi="Open Sans ExtraBold" w:cs="Open Sans ExtraBold"/>
          <w:lang w:val="en-AU"/>
        </w:rPr>
        <w:t>More information</w:t>
      </w:r>
    </w:p>
    <w:p w14:paraId="68B4648C"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i/>
          <w:iCs/>
          <w:sz w:val="22"/>
          <w:szCs w:val="22"/>
        </w:rPr>
        <w:t>Instruments Handbook</w:t>
      </w:r>
      <w:r w:rsidRPr="001E329B">
        <w:rPr>
          <w:rFonts w:ascii="Open Sans" w:hAnsi="Open Sans" w:cs="Open Sans"/>
          <w:sz w:val="22"/>
          <w:szCs w:val="22"/>
        </w:rPr>
        <w:t xml:space="preserve"> available from </w:t>
      </w:r>
      <w:proofErr w:type="spellStart"/>
      <w:r w:rsidRPr="001E329B">
        <w:rPr>
          <w:rFonts w:ascii="Open Sans" w:hAnsi="Open Sans" w:cs="Open Sans"/>
          <w:sz w:val="22"/>
          <w:szCs w:val="22"/>
        </w:rPr>
        <w:t>OPC’s</w:t>
      </w:r>
      <w:proofErr w:type="spellEnd"/>
      <w:r w:rsidRPr="001E329B">
        <w:rPr>
          <w:rFonts w:ascii="Open Sans" w:hAnsi="Open Sans" w:cs="Open Sans"/>
          <w:sz w:val="22"/>
          <w:szCs w:val="22"/>
        </w:rPr>
        <w:t xml:space="preserve"> website</w:t>
      </w:r>
    </w:p>
    <w:p w14:paraId="6B824E9C" w14:textId="77777777" w:rsidR="00FD07DA" w:rsidRPr="001E329B" w:rsidRDefault="00FD07DA" w:rsidP="00FD07DA">
      <w:pPr>
        <w:pStyle w:val="BodyParaBullet"/>
        <w:numPr>
          <w:ilvl w:val="2"/>
          <w:numId w:val="14"/>
        </w:numPr>
        <w:rPr>
          <w:rFonts w:ascii="Open Sans" w:hAnsi="Open Sans" w:cs="Open Sans"/>
          <w:sz w:val="22"/>
          <w:szCs w:val="22"/>
        </w:rPr>
      </w:pPr>
      <w:r w:rsidRPr="001E329B">
        <w:rPr>
          <w:rFonts w:ascii="Open Sans" w:hAnsi="Open Sans" w:cs="Open Sans"/>
          <w:i/>
          <w:iCs/>
          <w:sz w:val="22"/>
          <w:szCs w:val="22"/>
        </w:rPr>
        <w:t>Instrument Drafting Guidance Note No. 1.4—Timeframes for the development of instruments</w:t>
      </w:r>
      <w:r w:rsidRPr="001E329B">
        <w:rPr>
          <w:rFonts w:ascii="Open Sans" w:hAnsi="Open Sans" w:cs="Open Sans"/>
          <w:sz w:val="22"/>
          <w:szCs w:val="22"/>
        </w:rPr>
        <w:t xml:space="preserve"> available from </w:t>
      </w:r>
      <w:proofErr w:type="spellStart"/>
      <w:r w:rsidRPr="001E329B">
        <w:rPr>
          <w:rFonts w:ascii="Open Sans" w:hAnsi="Open Sans" w:cs="Open Sans"/>
          <w:sz w:val="22"/>
          <w:szCs w:val="22"/>
        </w:rPr>
        <w:t>OPC’s</w:t>
      </w:r>
      <w:proofErr w:type="spellEnd"/>
      <w:r w:rsidRPr="001E329B">
        <w:rPr>
          <w:rFonts w:ascii="Open Sans" w:hAnsi="Open Sans" w:cs="Open Sans"/>
          <w:sz w:val="22"/>
          <w:szCs w:val="22"/>
        </w:rPr>
        <w:t xml:space="preserve"> website</w:t>
      </w:r>
    </w:p>
    <w:p w14:paraId="34488E29" w14:textId="3F8769D5" w:rsidR="00FD07DA" w:rsidRPr="00FD07DA" w:rsidRDefault="00FD07DA" w:rsidP="00FD07DA">
      <w:pPr>
        <w:pStyle w:val="BodyParaBullet"/>
        <w:numPr>
          <w:ilvl w:val="2"/>
          <w:numId w:val="14"/>
        </w:numPr>
        <w:rPr>
          <w:rFonts w:ascii="Open Sans" w:hAnsi="Open Sans" w:cs="Open Sans"/>
        </w:rPr>
      </w:pPr>
      <w:r w:rsidRPr="001E329B">
        <w:rPr>
          <w:rFonts w:ascii="Open Sans" w:hAnsi="Open Sans" w:cs="Open Sans"/>
          <w:i/>
          <w:sz w:val="22"/>
          <w:szCs w:val="22"/>
        </w:rPr>
        <w:lastRenderedPageBreak/>
        <w:t>Federal Executive Council Handbook</w:t>
      </w:r>
      <w:r w:rsidRPr="001E329B">
        <w:rPr>
          <w:rFonts w:ascii="Open Sans" w:hAnsi="Open Sans" w:cs="Open Sans"/>
          <w:sz w:val="22"/>
          <w:szCs w:val="22"/>
        </w:rPr>
        <w:t xml:space="preserve"> available from the Department of the Prime Minister and Cabinet’s website</w:t>
      </w:r>
      <w:r>
        <w:rPr>
          <w:rFonts w:ascii="Open Sans" w:hAnsi="Open Sans" w:cs="Open Sans"/>
        </w:rPr>
        <w:br/>
      </w:r>
    </w:p>
    <w:tbl>
      <w:tblPr>
        <w:tblStyle w:val="TableGrid"/>
        <w:tblW w:w="0" w:type="auto"/>
        <w:tblLook w:val="04A0" w:firstRow="1" w:lastRow="0" w:firstColumn="1" w:lastColumn="0" w:noHBand="0" w:noVBand="1"/>
      </w:tblPr>
      <w:tblGrid>
        <w:gridCol w:w="9016"/>
      </w:tblGrid>
      <w:tr w:rsidR="00FD07DA" w:rsidRPr="008D2A4E" w14:paraId="13E365B3" w14:textId="77777777" w:rsidTr="00F809BC">
        <w:tc>
          <w:tcPr>
            <w:tcW w:w="9016" w:type="dxa"/>
            <w:tcBorders>
              <w:top w:val="nil"/>
              <w:left w:val="nil"/>
              <w:bottom w:val="nil"/>
              <w:right w:val="nil"/>
            </w:tcBorders>
            <w:shd w:val="clear" w:color="auto" w:fill="A9D9DB"/>
          </w:tcPr>
          <w:p w14:paraId="2ACCF518" w14:textId="77777777" w:rsidR="00FD07DA" w:rsidRPr="008D2A4E" w:rsidRDefault="00FD07DA" w:rsidP="00F809BC">
            <w:pPr>
              <w:spacing w:before="120" w:after="120"/>
              <w:rPr>
                <w:rFonts w:ascii="Open Sans" w:hAnsi="Open Sans" w:cs="Open Sans"/>
                <w:szCs w:val="22"/>
              </w:rPr>
            </w:pPr>
            <w:bookmarkStart w:id="6" w:name="_Hlk202188723"/>
            <w:r w:rsidRPr="008D2A4E">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bookmarkEnd w:id="6"/>
    </w:tbl>
    <w:p w14:paraId="15C14A0D" w14:textId="77777777" w:rsidR="00FD07DA" w:rsidRPr="008D2A4E" w:rsidRDefault="00FD07DA" w:rsidP="00FD07DA">
      <w:pPr>
        <w:rPr>
          <w:rFonts w:ascii="Open Sans" w:hAnsi="Open Sans" w:cs="Open Sans"/>
        </w:rPr>
      </w:pPr>
    </w:p>
    <w:p w14:paraId="66C9C201" w14:textId="7D9DEA5E" w:rsidR="00B529DB" w:rsidRPr="00FD07DA" w:rsidRDefault="00B529DB" w:rsidP="00FD07DA"/>
    <w:sectPr w:rsidR="00B529DB" w:rsidRPr="00FD07DA" w:rsidSect="00FD07D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A71B" w14:textId="77777777" w:rsidR="00A7739D" w:rsidRDefault="00A7739D" w:rsidP="008E17F3">
      <w:pPr>
        <w:spacing w:line="240" w:lineRule="auto"/>
      </w:pPr>
      <w:r>
        <w:separator/>
      </w:r>
    </w:p>
  </w:endnote>
  <w:endnote w:type="continuationSeparator" w:id="0">
    <w:p w14:paraId="2830F6CE" w14:textId="77777777" w:rsidR="00A7739D" w:rsidRDefault="00A7739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1" w:subsetted="1" w:fontKey="{B6EEE4DC-E895-4ED5-B934-EA13E52584DA}"/>
    <w:embedBold r:id="rId2" w:subsetted="1" w:fontKey="{228ADE6D-EFC7-4F77-A614-C6BF49061C05}"/>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embedRegular r:id="rId3" w:fontKey="{75328ADA-69D5-433C-9A1E-B74D4D90BF07}"/>
    <w:embedBold r:id="rId4" w:fontKey="{2CA61550-4398-4367-985D-744B0DFC7EF9}"/>
    <w:embedItalic r:id="rId5" w:fontKey="{C05F33B5-94A1-484D-88CB-233337D05B55}"/>
    <w:embedBoldItalic r:id="rId6" w:fontKey="{BDB246AE-F740-4BCC-ADE0-E3C642C9E5F2}"/>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868D"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6853A550"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497145618"/>
      <w:docPartObj>
        <w:docPartGallery w:val="Page Numbers (Bottom of Page)"/>
        <w:docPartUnique/>
      </w:docPartObj>
    </w:sdtPr>
    <w:sdtEndPr/>
    <w:sdtContent>
      <w:p w14:paraId="49DEA858" w14:textId="208C4976" w:rsidR="00FD07DA" w:rsidRPr="00FD07DA" w:rsidRDefault="00FD07DA" w:rsidP="00FD07DA">
        <w:pPr>
          <w:pStyle w:val="Footer"/>
          <w:ind w:hanging="567"/>
          <w:jc w:val="right"/>
          <w:rPr>
            <w:rFonts w:ascii="Open Sans" w:hAnsi="Open Sans" w:cs="Open Sans"/>
            <w:sz w:val="20"/>
            <w:szCs w:val="20"/>
          </w:rPr>
        </w:pPr>
        <w:r w:rsidRPr="00FD07DA">
          <w:rPr>
            <w:rFonts w:ascii="Open Sans" w:hAnsi="Open Sans" w:cs="Open Sans"/>
            <w:sz w:val="20"/>
            <w:szCs w:val="20"/>
          </w:rPr>
          <w:t>[S25gv111.docx]</w:t>
        </w:r>
        <w:r w:rsidRPr="00FD07DA">
          <w:rPr>
            <w:rFonts w:ascii="Open Sans" w:hAnsi="Open Sans" w:cs="Open Sans"/>
            <w:sz w:val="20"/>
            <w:szCs w:val="20"/>
          </w:rPr>
          <w:tab/>
        </w:r>
        <w:r w:rsidRPr="00FD07DA">
          <w:rPr>
            <w:rFonts w:ascii="Open Sans" w:hAnsi="Open Sans" w:cs="Open Sans"/>
            <w:sz w:val="20"/>
            <w:szCs w:val="20"/>
          </w:rPr>
          <w:tab/>
          <w:t xml:space="preserve">Last updated: 10 November 2025                          Page | </w:t>
        </w:r>
        <w:r w:rsidRPr="00FD07DA">
          <w:rPr>
            <w:rFonts w:ascii="Open Sans" w:hAnsi="Open Sans" w:cs="Open Sans"/>
            <w:sz w:val="20"/>
            <w:szCs w:val="20"/>
          </w:rPr>
          <w:fldChar w:fldCharType="begin"/>
        </w:r>
        <w:r w:rsidRPr="00FD07DA">
          <w:rPr>
            <w:rFonts w:ascii="Open Sans" w:hAnsi="Open Sans" w:cs="Open Sans"/>
            <w:sz w:val="20"/>
            <w:szCs w:val="20"/>
          </w:rPr>
          <w:instrText xml:space="preserve"> PAGE   \* MERGEFORMAT </w:instrText>
        </w:r>
        <w:r w:rsidRPr="00FD07DA">
          <w:rPr>
            <w:rFonts w:ascii="Open Sans" w:hAnsi="Open Sans" w:cs="Open Sans"/>
            <w:sz w:val="20"/>
            <w:szCs w:val="20"/>
          </w:rPr>
          <w:fldChar w:fldCharType="separate"/>
        </w:r>
        <w:r w:rsidRPr="00FD07DA">
          <w:rPr>
            <w:rFonts w:ascii="Open Sans" w:hAnsi="Open Sans" w:cs="Open Sans"/>
            <w:sz w:val="20"/>
            <w:szCs w:val="20"/>
          </w:rPr>
          <w:t>1</w:t>
        </w:r>
        <w:r w:rsidRPr="00FD07DA">
          <w:rPr>
            <w:rFonts w:ascii="Open Sans" w:hAnsi="Open Sans" w:cs="Open Sans"/>
            <w:sz w:val="20"/>
            <w:szCs w:val="20"/>
          </w:rPr>
          <w:fldChar w:fldCharType="end"/>
        </w:r>
        <w:r w:rsidRPr="00FD07DA">
          <w:rPr>
            <w:rFonts w:ascii="Open Sans" w:hAnsi="Open Sans" w:cs="Open San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465515149"/>
      <w:docPartObj>
        <w:docPartGallery w:val="Page Numbers (Bottom of Page)"/>
        <w:docPartUnique/>
      </w:docPartObj>
    </w:sdtPr>
    <w:sdtEndPr/>
    <w:sdtContent>
      <w:p w14:paraId="0B1320E6" w14:textId="6E1A1BBF" w:rsidR="00FD07DA" w:rsidRPr="00FD07DA" w:rsidRDefault="00FD07DA" w:rsidP="00FD07DA">
        <w:pPr>
          <w:pStyle w:val="Footer"/>
          <w:ind w:hanging="567"/>
          <w:jc w:val="right"/>
          <w:rPr>
            <w:rFonts w:ascii="Open Sans" w:hAnsi="Open Sans" w:cs="Open Sans"/>
            <w:sz w:val="20"/>
            <w:szCs w:val="20"/>
          </w:rPr>
        </w:pPr>
        <w:r w:rsidRPr="00FD07DA">
          <w:rPr>
            <w:rFonts w:ascii="Open Sans" w:hAnsi="Open Sans" w:cs="Open Sans"/>
            <w:sz w:val="20"/>
            <w:szCs w:val="20"/>
          </w:rPr>
          <w:t>[S25gv111.docx]</w:t>
        </w:r>
        <w:r w:rsidRPr="00FD07DA">
          <w:rPr>
            <w:rFonts w:ascii="Open Sans" w:hAnsi="Open Sans" w:cs="Open Sans"/>
            <w:sz w:val="20"/>
            <w:szCs w:val="20"/>
          </w:rPr>
          <w:tab/>
        </w:r>
        <w:r w:rsidRPr="00FD07DA">
          <w:rPr>
            <w:rFonts w:ascii="Open Sans" w:hAnsi="Open Sans" w:cs="Open Sans"/>
            <w:sz w:val="20"/>
            <w:szCs w:val="20"/>
          </w:rPr>
          <w:tab/>
          <w:t xml:space="preserve">Last updated: 10 November 2025                          Page | </w:t>
        </w:r>
        <w:r w:rsidRPr="00FD07DA">
          <w:rPr>
            <w:rFonts w:ascii="Open Sans" w:hAnsi="Open Sans" w:cs="Open Sans"/>
            <w:sz w:val="20"/>
            <w:szCs w:val="20"/>
          </w:rPr>
          <w:fldChar w:fldCharType="begin"/>
        </w:r>
        <w:r w:rsidRPr="00FD07DA">
          <w:rPr>
            <w:rFonts w:ascii="Open Sans" w:hAnsi="Open Sans" w:cs="Open Sans"/>
            <w:sz w:val="20"/>
            <w:szCs w:val="20"/>
          </w:rPr>
          <w:instrText xml:space="preserve"> PAGE   \* MERGEFORMAT </w:instrText>
        </w:r>
        <w:r w:rsidRPr="00FD07DA">
          <w:rPr>
            <w:rFonts w:ascii="Open Sans" w:hAnsi="Open Sans" w:cs="Open Sans"/>
            <w:sz w:val="20"/>
            <w:szCs w:val="20"/>
          </w:rPr>
          <w:fldChar w:fldCharType="separate"/>
        </w:r>
        <w:r>
          <w:rPr>
            <w:rFonts w:ascii="Open Sans" w:hAnsi="Open Sans" w:cs="Open Sans"/>
            <w:sz w:val="20"/>
            <w:szCs w:val="20"/>
          </w:rPr>
          <w:t>2</w:t>
        </w:r>
        <w:r w:rsidRPr="00FD07DA">
          <w:rPr>
            <w:rFonts w:ascii="Open Sans" w:hAnsi="Open Sans" w:cs="Open Sans"/>
            <w:sz w:val="20"/>
            <w:szCs w:val="20"/>
          </w:rPr>
          <w:fldChar w:fldCharType="end"/>
        </w:r>
        <w:r w:rsidRPr="00FD07DA">
          <w:rPr>
            <w:rFonts w:ascii="Open Sans" w:hAnsi="Open Sans" w:cs="Open Sans"/>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25E" w14:textId="77777777" w:rsidR="00A7739D" w:rsidRDefault="00A7739D" w:rsidP="008E17F3">
      <w:pPr>
        <w:spacing w:line="240" w:lineRule="auto"/>
      </w:pPr>
      <w:r>
        <w:separator/>
      </w:r>
    </w:p>
  </w:footnote>
  <w:footnote w:type="continuationSeparator" w:id="0">
    <w:p w14:paraId="139A8E33" w14:textId="77777777" w:rsidR="00A7739D" w:rsidRDefault="00A7739D"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70E2" w14:textId="77777777" w:rsidR="00FD07DA" w:rsidRDefault="00FD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0DC8" w14:textId="77777777" w:rsidR="00FD07DA" w:rsidRDefault="00FD07DA" w:rsidP="00FD07DA">
    <w:pPr>
      <w:pStyle w:val="Header"/>
      <w:spacing w:line="240" w:lineRule="auto"/>
      <w:rPr>
        <w:rFonts w:ascii="Open Sans" w:hAnsi="Open Sans" w:cs="Open Sans"/>
        <w:b/>
        <w:bCs/>
        <w:color w:val="BBBABA"/>
        <w:sz w:val="22"/>
        <w:szCs w:val="22"/>
      </w:rPr>
    </w:pPr>
    <w:bookmarkStart w:id="7" w:name="_Hlk213658637"/>
    <w:bookmarkStart w:id="8" w:name="_Hlk211263768"/>
    <w:bookmarkStart w:id="9" w:name="_Hlk211263769"/>
    <w:bookmarkStart w:id="10" w:name="_Hlk211264820"/>
    <w:bookmarkStart w:id="11" w:name="_Hlk211264821"/>
    <w:bookmarkStart w:id="12" w:name="_Hlk213658297"/>
    <w:bookmarkStart w:id="13" w:name="_Hlk213658298"/>
  </w:p>
  <w:p w14:paraId="16C4A955" w14:textId="2EC6A6DC" w:rsidR="00FD07DA" w:rsidRPr="00FD07DA" w:rsidRDefault="00FD07DA" w:rsidP="00FD07DA">
    <w:pPr>
      <w:pStyle w:val="Header"/>
      <w:spacing w:line="240" w:lineRule="auto"/>
      <w:rPr>
        <w:rFonts w:ascii="Open Sans" w:hAnsi="Open Sans" w:cs="Open Sans"/>
        <w:b/>
        <w:bCs/>
        <w:color w:val="BBBABA"/>
        <w:sz w:val="22"/>
        <w:szCs w:val="22"/>
      </w:rPr>
    </w:pPr>
    <w:r w:rsidRPr="00FD07DA">
      <w:rPr>
        <w:rFonts w:ascii="Open Sans" w:hAnsi="Open Sans" w:cs="Open Sans"/>
        <w:b/>
        <w:bCs/>
        <w:color w:val="BBBABA"/>
        <w:sz w:val="22"/>
        <w:szCs w:val="22"/>
      </w:rPr>
      <w:t>Instructor Guidance Note</w:t>
    </w:r>
    <w:bookmarkEnd w:id="7"/>
    <w:r w:rsidRPr="00FD07DA">
      <w:rPr>
        <w:rFonts w:ascii="Open Sans" w:hAnsi="Open Sans" w:cs="Open Sans"/>
        <w:b/>
        <w:bCs/>
        <w:color w:val="BBBABA"/>
        <w:sz w:val="22"/>
        <w:szCs w:val="22"/>
      </w:rPr>
      <w:t>—</w:t>
    </w:r>
    <w:bookmarkEnd w:id="8"/>
    <w:bookmarkEnd w:id="9"/>
    <w:bookmarkEnd w:id="10"/>
    <w:bookmarkEnd w:id="11"/>
    <w:bookmarkEnd w:id="12"/>
    <w:bookmarkEnd w:id="13"/>
    <w:r w:rsidRPr="00FD07DA">
      <w:rPr>
        <w:rFonts w:ascii="Open Sans" w:hAnsi="Open Sans" w:cs="Open Sans"/>
        <w:b/>
        <w:bCs/>
        <w:color w:val="BBBABA"/>
        <w:sz w:val="22"/>
        <w:szCs w:val="22"/>
      </w:rPr>
      <w:t>Key considerations in making legislative instruments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FCDD" w14:textId="3BDA5949" w:rsidR="00FD07DA" w:rsidRDefault="00FD07DA">
    <w:pPr>
      <w:pStyle w:val="Header"/>
    </w:pPr>
    <w:r w:rsidRPr="00F951F6">
      <w:rPr>
        <w:rFonts w:cs="Open Sans"/>
        <w:noProof/>
      </w:rPr>
      <w:drawing>
        <wp:anchor distT="0" distB="0" distL="114300" distR="114300" simplePos="0" relativeHeight="251659264" behindDoc="0" locked="0" layoutInCell="1" allowOverlap="1" wp14:anchorId="42A01CA9" wp14:editId="6F2C8310">
          <wp:simplePos x="0" y="0"/>
          <wp:positionH relativeFrom="margin">
            <wp:posOffset>0</wp:posOffset>
          </wp:positionH>
          <wp:positionV relativeFrom="paragraph">
            <wp:posOffset>-296334</wp:posOffset>
          </wp:positionV>
          <wp:extent cx="3229347" cy="748862"/>
          <wp:effectExtent l="0" t="0" r="0" b="0"/>
          <wp:wrapNone/>
          <wp:docPr id="63574728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EF09D9"/>
    <w:multiLevelType w:val="hybridMultilevel"/>
    <w:tmpl w:val="16B4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2676344">
    <w:abstractNumId w:val="9"/>
  </w:num>
  <w:num w:numId="2" w16cid:durableId="560602357">
    <w:abstractNumId w:val="7"/>
  </w:num>
  <w:num w:numId="3" w16cid:durableId="1318152218">
    <w:abstractNumId w:val="6"/>
  </w:num>
  <w:num w:numId="4" w16cid:durableId="1357464963">
    <w:abstractNumId w:val="5"/>
  </w:num>
  <w:num w:numId="5" w16cid:durableId="1059860858">
    <w:abstractNumId w:val="4"/>
  </w:num>
  <w:num w:numId="6" w16cid:durableId="1721322576">
    <w:abstractNumId w:val="8"/>
  </w:num>
  <w:num w:numId="7" w16cid:durableId="774400486">
    <w:abstractNumId w:val="3"/>
  </w:num>
  <w:num w:numId="8" w16cid:durableId="1566529184">
    <w:abstractNumId w:val="2"/>
  </w:num>
  <w:num w:numId="9" w16cid:durableId="991183090">
    <w:abstractNumId w:val="1"/>
  </w:num>
  <w:num w:numId="10" w16cid:durableId="1133326608">
    <w:abstractNumId w:val="0"/>
  </w:num>
  <w:num w:numId="11" w16cid:durableId="679158086">
    <w:abstractNumId w:val="11"/>
  </w:num>
  <w:num w:numId="12" w16cid:durableId="334653102">
    <w:abstractNumId w:val="12"/>
  </w:num>
  <w:num w:numId="13" w16cid:durableId="1141268161">
    <w:abstractNumId w:val="10"/>
  </w:num>
  <w:num w:numId="14" w16cid:durableId="330643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0519443">
    <w:abstractNumId w:val="10"/>
  </w:num>
  <w:num w:numId="16" w16cid:durableId="1345326733">
    <w:abstractNumId w:val="10"/>
  </w:num>
  <w:num w:numId="17" w16cid:durableId="779107660">
    <w:abstractNumId w:val="10"/>
  </w:num>
  <w:num w:numId="18" w16cid:durableId="1338387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9D"/>
    <w:rsid w:val="00007D5D"/>
    <w:rsid w:val="000136AF"/>
    <w:rsid w:val="00017CF2"/>
    <w:rsid w:val="00022B7E"/>
    <w:rsid w:val="00036B0B"/>
    <w:rsid w:val="00056743"/>
    <w:rsid w:val="000614BF"/>
    <w:rsid w:val="000A6A10"/>
    <w:rsid w:val="000C604C"/>
    <w:rsid w:val="000C7884"/>
    <w:rsid w:val="000D05EF"/>
    <w:rsid w:val="000E35F7"/>
    <w:rsid w:val="000E3D01"/>
    <w:rsid w:val="0010745C"/>
    <w:rsid w:val="00110EE2"/>
    <w:rsid w:val="00116222"/>
    <w:rsid w:val="00166C2F"/>
    <w:rsid w:val="00174846"/>
    <w:rsid w:val="001939E1"/>
    <w:rsid w:val="00195382"/>
    <w:rsid w:val="001B6703"/>
    <w:rsid w:val="001C69C4"/>
    <w:rsid w:val="001E329B"/>
    <w:rsid w:val="001E3590"/>
    <w:rsid w:val="001E7407"/>
    <w:rsid w:val="002310E3"/>
    <w:rsid w:val="00253D1B"/>
    <w:rsid w:val="002712FC"/>
    <w:rsid w:val="00295FBA"/>
    <w:rsid w:val="002970D7"/>
    <w:rsid w:val="00297ECB"/>
    <w:rsid w:val="002B7421"/>
    <w:rsid w:val="002D043A"/>
    <w:rsid w:val="002D6A8E"/>
    <w:rsid w:val="002E4E0F"/>
    <w:rsid w:val="002F1995"/>
    <w:rsid w:val="00311448"/>
    <w:rsid w:val="00352B0F"/>
    <w:rsid w:val="00360FB0"/>
    <w:rsid w:val="003B5735"/>
    <w:rsid w:val="003D0BFE"/>
    <w:rsid w:val="003D3839"/>
    <w:rsid w:val="003D5700"/>
    <w:rsid w:val="003D6F8A"/>
    <w:rsid w:val="003E4160"/>
    <w:rsid w:val="004116CD"/>
    <w:rsid w:val="00413473"/>
    <w:rsid w:val="00424CA9"/>
    <w:rsid w:val="0044291A"/>
    <w:rsid w:val="00450A86"/>
    <w:rsid w:val="004560FB"/>
    <w:rsid w:val="004653F8"/>
    <w:rsid w:val="00496F97"/>
    <w:rsid w:val="004A3AA5"/>
    <w:rsid w:val="00500DA2"/>
    <w:rsid w:val="00516B8D"/>
    <w:rsid w:val="005327A0"/>
    <w:rsid w:val="0053552F"/>
    <w:rsid w:val="00537FBC"/>
    <w:rsid w:val="00547A02"/>
    <w:rsid w:val="00553601"/>
    <w:rsid w:val="00584811"/>
    <w:rsid w:val="00594161"/>
    <w:rsid w:val="00594749"/>
    <w:rsid w:val="005A6111"/>
    <w:rsid w:val="005B0727"/>
    <w:rsid w:val="005B1982"/>
    <w:rsid w:val="005F41B7"/>
    <w:rsid w:val="00600219"/>
    <w:rsid w:val="00603614"/>
    <w:rsid w:val="006207A3"/>
    <w:rsid w:val="00620819"/>
    <w:rsid w:val="006279B8"/>
    <w:rsid w:val="00677CC2"/>
    <w:rsid w:val="00680F77"/>
    <w:rsid w:val="0068738F"/>
    <w:rsid w:val="0069207B"/>
    <w:rsid w:val="006C7F8C"/>
    <w:rsid w:val="006D77BA"/>
    <w:rsid w:val="006E2E9F"/>
    <w:rsid w:val="00704A73"/>
    <w:rsid w:val="007169A8"/>
    <w:rsid w:val="007276BC"/>
    <w:rsid w:val="00731E00"/>
    <w:rsid w:val="00733990"/>
    <w:rsid w:val="00766393"/>
    <w:rsid w:val="007715C9"/>
    <w:rsid w:val="00774EDD"/>
    <w:rsid w:val="00775577"/>
    <w:rsid w:val="007757EC"/>
    <w:rsid w:val="008006B2"/>
    <w:rsid w:val="00856A31"/>
    <w:rsid w:val="008754D0"/>
    <w:rsid w:val="008B27F5"/>
    <w:rsid w:val="008C7441"/>
    <w:rsid w:val="008E17F3"/>
    <w:rsid w:val="008E398A"/>
    <w:rsid w:val="008E3B8C"/>
    <w:rsid w:val="0094622F"/>
    <w:rsid w:val="0098638B"/>
    <w:rsid w:val="009A5AF2"/>
    <w:rsid w:val="009D0483"/>
    <w:rsid w:val="00A04559"/>
    <w:rsid w:val="00A231E2"/>
    <w:rsid w:val="00A64912"/>
    <w:rsid w:val="00A70A74"/>
    <w:rsid w:val="00A7739D"/>
    <w:rsid w:val="00A91B5C"/>
    <w:rsid w:val="00A93950"/>
    <w:rsid w:val="00AA072A"/>
    <w:rsid w:val="00AC498D"/>
    <w:rsid w:val="00AD5641"/>
    <w:rsid w:val="00B046B2"/>
    <w:rsid w:val="00B3171C"/>
    <w:rsid w:val="00B33B3C"/>
    <w:rsid w:val="00B529DB"/>
    <w:rsid w:val="00B9223F"/>
    <w:rsid w:val="00B97F72"/>
    <w:rsid w:val="00BE719A"/>
    <w:rsid w:val="00BE720A"/>
    <w:rsid w:val="00C42BF8"/>
    <w:rsid w:val="00C50043"/>
    <w:rsid w:val="00C61CDD"/>
    <w:rsid w:val="00C7573B"/>
    <w:rsid w:val="00C8376A"/>
    <w:rsid w:val="00C83868"/>
    <w:rsid w:val="00CA7EFC"/>
    <w:rsid w:val="00CB3D6B"/>
    <w:rsid w:val="00CB48D8"/>
    <w:rsid w:val="00CD1E79"/>
    <w:rsid w:val="00CD45E6"/>
    <w:rsid w:val="00CF0BB2"/>
    <w:rsid w:val="00D03D05"/>
    <w:rsid w:val="00D13441"/>
    <w:rsid w:val="00D57F5A"/>
    <w:rsid w:val="00D61DB9"/>
    <w:rsid w:val="00D70DFB"/>
    <w:rsid w:val="00D766DF"/>
    <w:rsid w:val="00D8422D"/>
    <w:rsid w:val="00D96B6E"/>
    <w:rsid w:val="00D97711"/>
    <w:rsid w:val="00DB3CFE"/>
    <w:rsid w:val="00DC1089"/>
    <w:rsid w:val="00DE7073"/>
    <w:rsid w:val="00E07CA4"/>
    <w:rsid w:val="00E301D6"/>
    <w:rsid w:val="00E74DC7"/>
    <w:rsid w:val="00ED0C49"/>
    <w:rsid w:val="00EF2E3A"/>
    <w:rsid w:val="00F04811"/>
    <w:rsid w:val="00F078DC"/>
    <w:rsid w:val="00F1137E"/>
    <w:rsid w:val="00F23E5F"/>
    <w:rsid w:val="00F51269"/>
    <w:rsid w:val="00F81442"/>
    <w:rsid w:val="00F93FA1"/>
    <w:rsid w:val="00FD07DA"/>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D65D23"/>
  <w15:docId w15:val="{4F6ED13B-E89B-4078-BF90-FD4FAF75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FD07DA"/>
    <w:pPr>
      <w:keepNext/>
      <w:pageBreakBefore/>
      <w:autoSpaceDE w:val="0"/>
      <w:autoSpaceDN w:val="0"/>
      <w:adjustRightInd w:val="0"/>
      <w:spacing w:before="160" w:after="300"/>
      <w:outlineLvl w:val="0"/>
    </w:pPr>
    <w:rPr>
      <w:rFonts w:ascii="Open Sans ExtraBold" w:eastAsiaTheme="minorEastAsia" w:hAnsi="Open Sans ExtraBold" w:cs="Open Sans"/>
      <w:color w:val="084D5E"/>
      <w:kern w:val="28"/>
      <w:sz w:val="56"/>
      <w:szCs w:val="56"/>
      <w:lang w:eastAsia="en-AU" w:bidi="th-TH"/>
      <w14:ligatures w14:val="standardContextual"/>
    </w:rPr>
  </w:style>
  <w:style w:type="paragraph" w:styleId="Heading2">
    <w:name w:val="heading 2"/>
    <w:basedOn w:val="Heading3"/>
    <w:next w:val="Normal"/>
    <w:link w:val="Heading2Char"/>
    <w:uiPriority w:val="9"/>
    <w:unhideWhenUsed/>
    <w:qFormat/>
    <w:rsid w:val="00FD07DA"/>
    <w:pPr>
      <w:keepNext w:val="0"/>
      <w:keepLines w:val="0"/>
      <w:spacing w:before="120" w:after="120" w:line="240" w:lineRule="auto"/>
      <w:outlineLvl w:val="1"/>
    </w:pPr>
    <w:rPr>
      <w:rFonts w:ascii="Open Sans" w:eastAsiaTheme="minorEastAsia" w:hAnsi="Open Sans" w:cs="Open Sans"/>
      <w:b/>
      <w:bCs/>
      <w:color w:val="084D5E"/>
      <w:kern w:val="2"/>
      <w:szCs w:val="30"/>
      <w:lang w:val="fr-CA" w:eastAsia="en-AU" w:bidi="th-TH"/>
      <w14:ligatures w14:val="standardContextual"/>
    </w:rPr>
  </w:style>
  <w:style w:type="paragraph" w:styleId="Heading3">
    <w:name w:val="heading 3"/>
    <w:basedOn w:val="Normal"/>
    <w:next w:val="Normal"/>
    <w:link w:val="Heading3Char"/>
    <w:uiPriority w:val="9"/>
    <w:semiHidden/>
    <w:unhideWhenUsed/>
    <w:qFormat/>
    <w:rsid w:val="00FD07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AC498D"/>
    <w:rPr>
      <w:color w:val="0000FF" w:themeColor="hyperlink"/>
      <w:u w:val="single"/>
    </w:rPr>
  </w:style>
  <w:style w:type="character" w:styleId="UnresolvedMention">
    <w:name w:val="Unresolved Mention"/>
    <w:basedOn w:val="DefaultParagraphFont"/>
    <w:uiPriority w:val="99"/>
    <w:semiHidden/>
    <w:unhideWhenUsed/>
    <w:rsid w:val="00AC498D"/>
    <w:rPr>
      <w:color w:val="605E5C"/>
      <w:shd w:val="clear" w:color="auto" w:fill="E1DFDD"/>
    </w:rPr>
  </w:style>
  <w:style w:type="character" w:styleId="CommentReference">
    <w:name w:val="annotation reference"/>
    <w:basedOn w:val="DefaultParagraphFont"/>
    <w:uiPriority w:val="99"/>
    <w:semiHidden/>
    <w:unhideWhenUsed/>
    <w:rsid w:val="00110EE2"/>
    <w:rPr>
      <w:sz w:val="16"/>
      <w:szCs w:val="16"/>
    </w:rPr>
  </w:style>
  <w:style w:type="paragraph" w:styleId="CommentText">
    <w:name w:val="annotation text"/>
    <w:basedOn w:val="Normal"/>
    <w:link w:val="CommentTextChar"/>
    <w:uiPriority w:val="99"/>
    <w:unhideWhenUsed/>
    <w:rsid w:val="00110EE2"/>
    <w:pPr>
      <w:spacing w:line="240" w:lineRule="auto"/>
    </w:pPr>
    <w:rPr>
      <w:sz w:val="20"/>
    </w:rPr>
  </w:style>
  <w:style w:type="character" w:customStyle="1" w:styleId="CommentTextChar">
    <w:name w:val="Comment Text Char"/>
    <w:basedOn w:val="DefaultParagraphFont"/>
    <w:link w:val="CommentText"/>
    <w:uiPriority w:val="99"/>
    <w:rsid w:val="00110EE2"/>
  </w:style>
  <w:style w:type="paragraph" w:styleId="CommentSubject">
    <w:name w:val="annotation subject"/>
    <w:basedOn w:val="CommentText"/>
    <w:next w:val="CommentText"/>
    <w:link w:val="CommentSubjectChar"/>
    <w:uiPriority w:val="99"/>
    <w:semiHidden/>
    <w:unhideWhenUsed/>
    <w:rsid w:val="00110EE2"/>
    <w:rPr>
      <w:b/>
      <w:bCs/>
    </w:rPr>
  </w:style>
  <w:style w:type="character" w:customStyle="1" w:styleId="CommentSubjectChar">
    <w:name w:val="Comment Subject Char"/>
    <w:basedOn w:val="CommentTextChar"/>
    <w:link w:val="CommentSubject"/>
    <w:uiPriority w:val="99"/>
    <w:semiHidden/>
    <w:rsid w:val="00110EE2"/>
    <w:rPr>
      <w:b/>
      <w:bCs/>
    </w:rPr>
  </w:style>
  <w:style w:type="character" w:customStyle="1" w:styleId="Heading1Char">
    <w:name w:val="Heading 1 Char"/>
    <w:basedOn w:val="DefaultParagraphFont"/>
    <w:link w:val="Heading1"/>
    <w:uiPriority w:val="9"/>
    <w:rsid w:val="00FD07DA"/>
    <w:rPr>
      <w:rFonts w:ascii="Open Sans ExtraBold" w:eastAsiaTheme="minorEastAsia" w:hAnsi="Open Sans ExtraBold" w:cs="Open Sans"/>
      <w:color w:val="084D5E"/>
      <w:kern w:val="28"/>
      <w:sz w:val="56"/>
      <w:szCs w:val="56"/>
      <w:lang w:eastAsia="en-AU" w:bidi="th-TH"/>
      <w14:ligatures w14:val="standardContextual"/>
    </w:rPr>
  </w:style>
  <w:style w:type="character" w:customStyle="1" w:styleId="Heading2Char">
    <w:name w:val="Heading 2 Char"/>
    <w:basedOn w:val="DefaultParagraphFont"/>
    <w:link w:val="Heading2"/>
    <w:uiPriority w:val="9"/>
    <w:rsid w:val="00FD07DA"/>
    <w:rPr>
      <w:rFonts w:ascii="Open Sans" w:eastAsiaTheme="minorEastAsia" w:hAnsi="Open Sans" w:cs="Open Sans"/>
      <w:b/>
      <w:bCs/>
      <w:color w:val="084D5E"/>
      <w:kern w:val="2"/>
      <w:sz w:val="24"/>
      <w:szCs w:val="30"/>
      <w:lang w:val="fr-CA" w:eastAsia="en-AU" w:bidi="th-TH"/>
      <w14:ligatures w14:val="standardContextual"/>
    </w:rPr>
  </w:style>
  <w:style w:type="table" w:styleId="TableGrid">
    <w:name w:val="Table Grid"/>
    <w:basedOn w:val="TableNormal"/>
    <w:uiPriority w:val="39"/>
    <w:rsid w:val="00FD07DA"/>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D07D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9703">
      <w:bodyDiv w:val="1"/>
      <w:marLeft w:val="0"/>
      <w:marRight w:val="0"/>
      <w:marTop w:val="0"/>
      <w:marBottom w:val="0"/>
      <w:divBdr>
        <w:top w:val="none" w:sz="0" w:space="0" w:color="auto"/>
        <w:left w:val="none" w:sz="0" w:space="0" w:color="auto"/>
        <w:bottom w:val="none" w:sz="0" w:space="0" w:color="auto"/>
        <w:right w:val="none" w:sz="0" w:space="0" w:color="auto"/>
      </w:divBdr>
    </w:div>
    <w:div w:id="703136496">
      <w:bodyDiv w:val="1"/>
      <w:marLeft w:val="0"/>
      <w:marRight w:val="0"/>
      <w:marTop w:val="0"/>
      <w:marBottom w:val="0"/>
      <w:divBdr>
        <w:top w:val="none" w:sz="0" w:space="0" w:color="auto"/>
        <w:left w:val="none" w:sz="0" w:space="0" w:color="auto"/>
        <w:bottom w:val="none" w:sz="0" w:space="0" w:color="auto"/>
        <w:right w:val="none" w:sz="0" w:space="0" w:color="auto"/>
      </w:divBdr>
    </w:div>
    <w:div w:id="1001733469">
      <w:bodyDiv w:val="1"/>
      <w:marLeft w:val="0"/>
      <w:marRight w:val="0"/>
      <w:marTop w:val="0"/>
      <w:marBottom w:val="0"/>
      <w:divBdr>
        <w:top w:val="none" w:sz="0" w:space="0" w:color="auto"/>
        <w:left w:val="none" w:sz="0" w:space="0" w:color="auto"/>
        <w:bottom w:val="none" w:sz="0" w:space="0" w:color="auto"/>
        <w:right w:val="none" w:sz="0" w:space="0" w:color="auto"/>
      </w:divBdr>
    </w:div>
    <w:div w:id="18549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6256</Characters>
  <Application>Microsoft Office Word</Application>
  <DocSecurity>0</DocSecurity>
  <Lines>113</Lines>
  <Paragraphs>46</Paragraphs>
  <ScaleCrop>false</ScaleCrop>
  <HeadingPairs>
    <vt:vector size="2" baseType="variant">
      <vt:variant>
        <vt:lpstr>Title</vt:lpstr>
      </vt:variant>
      <vt:variant>
        <vt:i4>1</vt:i4>
      </vt:variant>
    </vt:vector>
  </HeadingPairs>
  <TitlesOfParts>
    <vt:vector size="1" baseType="lpstr">
      <vt:lpstr>Key considerations in making legislative instruments</vt:lpstr>
    </vt:vector>
  </TitlesOfParts>
  <Company>Office of Parliamentary Counsel</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Guidance Note—Key considerations in making legislative instruments</dc:title>
  <dc:subject/>
  <dc:creator>BurmesterG</dc:creator>
  <cp:keywords/>
  <dc:description/>
  <cp:lastModifiedBy>Phong, Karen</cp:lastModifiedBy>
  <cp:revision>2</cp:revision>
  <dcterms:created xsi:type="dcterms:W3CDTF">2025-11-10T02:24:00Z</dcterms:created>
  <dcterms:modified xsi:type="dcterms:W3CDTF">2025-11-10T02:24:00Z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