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19636" w14:textId="0B176944" w:rsidR="008E17F3" w:rsidRPr="003B4DF8" w:rsidRDefault="003B4DF8" w:rsidP="003B4DF8">
      <w:pPr>
        <w:pStyle w:val="Heading1"/>
        <w:jc w:val="left"/>
        <w:rPr>
          <w:rFonts w:ascii="Open Sans ExtraBold" w:hAnsi="Open Sans ExtraBold" w:cs="Open Sans ExtraBold"/>
          <w:color w:val="084D5E"/>
          <w:lang w:val="en-AU"/>
        </w:rPr>
      </w:pPr>
      <w:bookmarkStart w:id="0" w:name="_Hlk211263534"/>
      <w:r w:rsidRPr="00F951F6">
        <w:rPr>
          <w:rFonts w:ascii="Open Sans ExtraBold" w:hAnsi="Open Sans ExtraBold" w:cs="Open Sans ExtraBold"/>
          <w:color w:val="084D5E"/>
          <w:lang w:val="en-AU"/>
        </w:rPr>
        <w:t>Instructor Guidance Note</w:t>
      </w:r>
      <w:r>
        <w:rPr>
          <w:rFonts w:ascii="Open Sans ExtraBold" w:hAnsi="Open Sans ExtraBold" w:cs="Open Sans ExtraBold"/>
          <w:color w:val="084D5E"/>
          <w:lang w:val="en-AU"/>
        </w:rPr>
        <w:t>—</w:t>
      </w:r>
      <w:bookmarkEnd w:id="0"/>
      <w:r w:rsidR="0016394E" w:rsidRPr="003B4DF8">
        <w:rPr>
          <w:rFonts w:ascii="Open Sans ExtraBold" w:hAnsi="Open Sans ExtraBold" w:cs="Open Sans ExtraBold"/>
          <w:color w:val="084D5E"/>
          <w:lang w:val="en-AU"/>
        </w:rPr>
        <w:t>Sunsetting of legislative instruments</w:t>
      </w:r>
    </w:p>
    <w:p w14:paraId="54350FB3" w14:textId="0EF2EA31" w:rsidR="0016394E" w:rsidRPr="003B4DF8" w:rsidRDefault="00E05BE8" w:rsidP="003B4DF8">
      <w:pPr>
        <w:pStyle w:val="Heading2"/>
        <w:rPr>
          <w:rFonts w:ascii="Open Sans ExtraBold" w:hAnsi="Open Sans ExtraBold" w:cs="Open Sans ExtraBold"/>
          <w:color w:val="084D5E"/>
        </w:rPr>
      </w:pPr>
      <w:r w:rsidRPr="003B4DF8">
        <w:rPr>
          <w:rFonts w:ascii="Open Sans ExtraBold" w:hAnsi="Open Sans ExtraBold" w:cs="Open Sans ExtraBold"/>
          <w:color w:val="084D5E"/>
        </w:rPr>
        <w:t>Introduction</w:t>
      </w:r>
    </w:p>
    <w:p w14:paraId="09C7F69B" w14:textId="6601A503" w:rsidR="00160B59" w:rsidRPr="003B4DF8" w:rsidRDefault="00FE0192" w:rsidP="00FE0192">
      <w:pPr>
        <w:pStyle w:val="BodyNum"/>
        <w:rPr>
          <w:rFonts w:ascii="Open Sans" w:hAnsi="Open Sans" w:cs="Open Sans"/>
          <w:sz w:val="22"/>
          <w:szCs w:val="18"/>
        </w:rPr>
      </w:pPr>
      <w:r w:rsidRPr="003B4DF8">
        <w:rPr>
          <w:rFonts w:ascii="Open Sans" w:hAnsi="Open Sans" w:cs="Open Sans"/>
          <w:sz w:val="22"/>
          <w:szCs w:val="18"/>
        </w:rPr>
        <w:t xml:space="preserve">Many legislative instruments are automatically repealed on set dates (1 April or 1 October) 10 years after the instrument is registered—this process is known as “sunsetting” and is governed by Part 4 of Chapter 3 of the </w:t>
      </w:r>
      <w:r w:rsidRPr="003B4DF8">
        <w:rPr>
          <w:rFonts w:ascii="Open Sans" w:hAnsi="Open Sans" w:cs="Open Sans"/>
          <w:i/>
          <w:iCs/>
          <w:sz w:val="22"/>
          <w:szCs w:val="18"/>
        </w:rPr>
        <w:t>Legislation Act 2003</w:t>
      </w:r>
      <w:r w:rsidRPr="003B4DF8">
        <w:rPr>
          <w:rFonts w:ascii="Open Sans" w:hAnsi="Open Sans" w:cs="Open Sans"/>
          <w:sz w:val="22"/>
          <w:szCs w:val="18"/>
        </w:rPr>
        <w:t xml:space="preserve">. </w:t>
      </w:r>
      <w:r w:rsidR="00B64B39" w:rsidRPr="003B4DF8">
        <w:rPr>
          <w:rFonts w:ascii="Open Sans" w:hAnsi="Open Sans" w:cs="Open Sans"/>
          <w:sz w:val="22"/>
          <w:szCs w:val="18"/>
        </w:rPr>
        <w:t>Sunsetting ensures that legislative instruments are kept up</w:t>
      </w:r>
      <w:r w:rsidR="00DF0CF5" w:rsidRPr="003B4DF8">
        <w:rPr>
          <w:rFonts w:ascii="Open Sans" w:hAnsi="Open Sans" w:cs="Open Sans"/>
          <w:sz w:val="22"/>
          <w:szCs w:val="18"/>
        </w:rPr>
        <w:noBreakHyphen/>
      </w:r>
      <w:r w:rsidR="00B64B39" w:rsidRPr="003B4DF8">
        <w:rPr>
          <w:rFonts w:ascii="Open Sans" w:hAnsi="Open Sans" w:cs="Open Sans"/>
          <w:sz w:val="22"/>
          <w:szCs w:val="18"/>
        </w:rPr>
        <w:t>to</w:t>
      </w:r>
      <w:r w:rsidR="00DF0CF5" w:rsidRPr="003B4DF8">
        <w:rPr>
          <w:rFonts w:ascii="Open Sans" w:hAnsi="Open Sans" w:cs="Open Sans"/>
          <w:sz w:val="22"/>
          <w:szCs w:val="18"/>
        </w:rPr>
        <w:noBreakHyphen/>
      </w:r>
      <w:r w:rsidR="00B64B39" w:rsidRPr="003B4DF8">
        <w:rPr>
          <w:rFonts w:ascii="Open Sans" w:hAnsi="Open Sans" w:cs="Open Sans"/>
          <w:sz w:val="22"/>
          <w:szCs w:val="18"/>
        </w:rPr>
        <w:t>date and only remain in force for as long as they are needed.</w:t>
      </w:r>
    </w:p>
    <w:p w14:paraId="6A00FF7B" w14:textId="4A7A0170" w:rsidR="00C32AF0" w:rsidRPr="003B4DF8" w:rsidRDefault="00C32AF0" w:rsidP="00FE0192">
      <w:pPr>
        <w:pStyle w:val="BodyNum"/>
        <w:rPr>
          <w:rFonts w:ascii="Open Sans" w:hAnsi="Open Sans" w:cs="Open Sans"/>
          <w:sz w:val="22"/>
          <w:szCs w:val="18"/>
        </w:rPr>
      </w:pPr>
      <w:r w:rsidRPr="003B4DF8">
        <w:rPr>
          <w:rFonts w:ascii="Open Sans" w:hAnsi="Open Sans" w:cs="Open Sans"/>
          <w:sz w:val="22"/>
          <w:szCs w:val="18"/>
        </w:rPr>
        <w:t xml:space="preserve">To ensure continuity of the law, a new (replacement) instrument must be made and registered before an existing </w:t>
      </w:r>
      <w:r w:rsidR="00167FBF" w:rsidRPr="003B4DF8">
        <w:rPr>
          <w:rFonts w:ascii="Open Sans" w:hAnsi="Open Sans" w:cs="Open Sans"/>
          <w:sz w:val="22"/>
          <w:szCs w:val="18"/>
        </w:rPr>
        <w:t xml:space="preserve">legislative </w:t>
      </w:r>
      <w:r w:rsidRPr="003B4DF8">
        <w:rPr>
          <w:rFonts w:ascii="Open Sans" w:hAnsi="Open Sans" w:cs="Open Sans"/>
          <w:sz w:val="22"/>
          <w:szCs w:val="18"/>
        </w:rPr>
        <w:t>instrument sunsets. Failure to get a replacement instrument made and registered by the sunset</w:t>
      </w:r>
      <w:r w:rsidR="00245E40" w:rsidRPr="003B4DF8">
        <w:rPr>
          <w:rFonts w:ascii="Open Sans" w:hAnsi="Open Sans" w:cs="Open Sans"/>
          <w:sz w:val="22"/>
          <w:szCs w:val="18"/>
        </w:rPr>
        <w:t>ting</w:t>
      </w:r>
      <w:r w:rsidRPr="003B4DF8">
        <w:rPr>
          <w:rFonts w:ascii="Open Sans" w:hAnsi="Open Sans" w:cs="Open Sans"/>
          <w:sz w:val="22"/>
          <w:szCs w:val="18"/>
        </w:rPr>
        <w:t xml:space="preserve"> date can have significant legal and other consequences</w:t>
      </w:r>
      <w:r w:rsidR="00167FBF" w:rsidRPr="003B4DF8">
        <w:rPr>
          <w:rFonts w:ascii="Open Sans" w:hAnsi="Open Sans" w:cs="Open Sans"/>
          <w:sz w:val="22"/>
          <w:szCs w:val="18"/>
        </w:rPr>
        <w:t>.</w:t>
      </w:r>
    </w:p>
    <w:p w14:paraId="6F9BE5C5" w14:textId="37DD928E" w:rsidR="007D5737" w:rsidRPr="003B4DF8" w:rsidRDefault="0000362F" w:rsidP="007D5737">
      <w:pPr>
        <w:pStyle w:val="BodyNum"/>
        <w:rPr>
          <w:rFonts w:ascii="Open Sans" w:hAnsi="Open Sans" w:cs="Open Sans"/>
          <w:sz w:val="22"/>
          <w:szCs w:val="18"/>
        </w:rPr>
      </w:pPr>
      <w:r w:rsidRPr="003B4DF8">
        <w:rPr>
          <w:rFonts w:ascii="Open Sans" w:hAnsi="Open Sans" w:cs="Open Sans"/>
          <w:sz w:val="22"/>
          <w:szCs w:val="18"/>
        </w:rPr>
        <w:t>This requires agencies to plan ahead and</w:t>
      </w:r>
      <w:r w:rsidR="007D5737" w:rsidRPr="003B4DF8">
        <w:rPr>
          <w:rFonts w:ascii="Open Sans" w:hAnsi="Open Sans" w:cs="Open Sans"/>
          <w:sz w:val="22"/>
          <w:szCs w:val="18"/>
        </w:rPr>
        <w:t xml:space="preserve"> review whether a legislative instrument remains required.</w:t>
      </w:r>
      <w:r w:rsidRPr="003B4DF8">
        <w:rPr>
          <w:rFonts w:ascii="Open Sans" w:hAnsi="Open Sans" w:cs="Open Sans"/>
          <w:sz w:val="22"/>
          <w:szCs w:val="18"/>
        </w:rPr>
        <w:t xml:space="preserve"> </w:t>
      </w:r>
      <w:r w:rsidR="007D5737" w:rsidRPr="003B4DF8">
        <w:rPr>
          <w:rFonts w:ascii="Open Sans" w:hAnsi="Open Sans" w:cs="Open Sans"/>
          <w:sz w:val="22"/>
          <w:szCs w:val="18"/>
        </w:rPr>
        <w:t>If the review establishes that the instrument is still required, the agency should:</w:t>
      </w:r>
    </w:p>
    <w:p w14:paraId="4ACAA3F6" w14:textId="77777777" w:rsidR="007D5737" w:rsidRPr="003B4DF8" w:rsidRDefault="007D5737" w:rsidP="007D5737">
      <w:pPr>
        <w:pStyle w:val="BodyParaBullet"/>
        <w:rPr>
          <w:rFonts w:ascii="Open Sans" w:hAnsi="Open Sans" w:cs="Open Sans"/>
          <w:sz w:val="22"/>
          <w:szCs w:val="18"/>
        </w:rPr>
      </w:pPr>
      <w:r w:rsidRPr="003B4DF8">
        <w:rPr>
          <w:rFonts w:ascii="Open Sans" w:hAnsi="Open Sans" w:cs="Open Sans"/>
          <w:sz w:val="22"/>
          <w:szCs w:val="18"/>
        </w:rPr>
        <w:t xml:space="preserve">have the instrument remade and registered </w:t>
      </w:r>
      <w:r w:rsidRPr="003B4DF8">
        <w:rPr>
          <w:rFonts w:ascii="Open Sans" w:hAnsi="Open Sans" w:cs="Open Sans"/>
          <w:i/>
          <w:iCs/>
          <w:sz w:val="22"/>
          <w:szCs w:val="18"/>
        </w:rPr>
        <w:t>before</w:t>
      </w:r>
      <w:r w:rsidRPr="003B4DF8">
        <w:rPr>
          <w:rFonts w:ascii="Open Sans" w:hAnsi="Open Sans" w:cs="Open Sans"/>
          <w:sz w:val="22"/>
          <w:szCs w:val="18"/>
        </w:rPr>
        <w:t xml:space="preserve"> the instrument sunsets to ensure continuity of the law; or</w:t>
      </w:r>
    </w:p>
    <w:p w14:paraId="5B00F5B3" w14:textId="52379BD2" w:rsidR="007D5737" w:rsidRPr="003B4DF8" w:rsidRDefault="001D15D8" w:rsidP="007D5737">
      <w:pPr>
        <w:pStyle w:val="BodyParaBullet"/>
        <w:rPr>
          <w:rFonts w:ascii="Open Sans" w:hAnsi="Open Sans" w:cs="Open Sans"/>
          <w:sz w:val="22"/>
          <w:szCs w:val="18"/>
        </w:rPr>
      </w:pPr>
      <w:r w:rsidRPr="003B4DF8">
        <w:rPr>
          <w:rFonts w:ascii="Open Sans" w:hAnsi="Open Sans" w:cs="Open Sans"/>
          <w:sz w:val="22"/>
          <w:szCs w:val="18"/>
        </w:rPr>
        <w:t>contact the Attorney</w:t>
      </w:r>
      <w:r w:rsidR="00DF0CF5" w:rsidRPr="003B4DF8">
        <w:rPr>
          <w:rFonts w:ascii="Open Sans" w:hAnsi="Open Sans" w:cs="Open Sans"/>
          <w:sz w:val="22"/>
          <w:szCs w:val="18"/>
        </w:rPr>
        <w:noBreakHyphen/>
      </w:r>
      <w:r w:rsidRPr="003B4DF8">
        <w:rPr>
          <w:rFonts w:ascii="Open Sans" w:hAnsi="Open Sans" w:cs="Open Sans"/>
          <w:sz w:val="22"/>
          <w:szCs w:val="18"/>
        </w:rPr>
        <w:t xml:space="preserve">General’s Department to </w:t>
      </w:r>
      <w:r w:rsidR="007D5737" w:rsidRPr="003B4DF8">
        <w:rPr>
          <w:rFonts w:ascii="Open Sans" w:hAnsi="Open Sans" w:cs="Open Sans"/>
          <w:sz w:val="22"/>
          <w:szCs w:val="18"/>
        </w:rPr>
        <w:t xml:space="preserve">seek </w:t>
      </w:r>
      <w:r w:rsidR="00E07704" w:rsidRPr="003B4DF8">
        <w:rPr>
          <w:rFonts w:ascii="Open Sans" w:hAnsi="Open Sans" w:cs="Open Sans"/>
          <w:sz w:val="22"/>
          <w:szCs w:val="18"/>
        </w:rPr>
        <w:t xml:space="preserve">a deferral of </w:t>
      </w:r>
      <w:r w:rsidR="007D5737" w:rsidRPr="003B4DF8">
        <w:rPr>
          <w:rFonts w:ascii="Open Sans" w:hAnsi="Open Sans" w:cs="Open Sans"/>
          <w:sz w:val="22"/>
          <w:szCs w:val="18"/>
        </w:rPr>
        <w:t>the instrument’s sunsetting date</w:t>
      </w:r>
      <w:r w:rsidR="00BE623A" w:rsidRPr="003B4DF8">
        <w:rPr>
          <w:rFonts w:ascii="Open Sans" w:hAnsi="Open Sans" w:cs="Open Sans"/>
          <w:sz w:val="22"/>
          <w:szCs w:val="18"/>
        </w:rPr>
        <w:t xml:space="preserve"> (see below)</w:t>
      </w:r>
      <w:r w:rsidR="007D5737" w:rsidRPr="003B4DF8">
        <w:rPr>
          <w:rFonts w:ascii="Open Sans" w:hAnsi="Open Sans" w:cs="Open Sans"/>
          <w:sz w:val="22"/>
          <w:szCs w:val="18"/>
        </w:rPr>
        <w:t>.</w:t>
      </w:r>
    </w:p>
    <w:p w14:paraId="44097973" w14:textId="77777777" w:rsidR="00D96FF3" w:rsidRPr="003B4DF8" w:rsidRDefault="004150C5" w:rsidP="007D5737">
      <w:pPr>
        <w:pStyle w:val="BodyNum"/>
        <w:rPr>
          <w:rFonts w:ascii="Open Sans" w:hAnsi="Open Sans" w:cs="Open Sans"/>
          <w:sz w:val="22"/>
          <w:szCs w:val="18"/>
        </w:rPr>
      </w:pPr>
      <w:r w:rsidRPr="003B4DF8">
        <w:rPr>
          <w:rFonts w:ascii="Open Sans" w:hAnsi="Open Sans" w:cs="Open Sans"/>
          <w:sz w:val="22"/>
          <w:szCs w:val="18"/>
        </w:rPr>
        <w:t>If a request for deferral is unsuccessful, urgent action will need to be taken to have the instrument remade and registered before it sunsets.</w:t>
      </w:r>
    </w:p>
    <w:p w14:paraId="341AE61E" w14:textId="6DC4FCF7" w:rsidR="004150C5" w:rsidRPr="003B4DF8" w:rsidRDefault="00D96FF3" w:rsidP="00C13E7B">
      <w:pPr>
        <w:pStyle w:val="BodyNum"/>
        <w:spacing w:after="240"/>
        <w:rPr>
          <w:rFonts w:ascii="Open Sans" w:hAnsi="Open Sans" w:cs="Open Sans"/>
          <w:sz w:val="22"/>
          <w:szCs w:val="18"/>
        </w:rPr>
      </w:pPr>
      <w:r w:rsidRPr="003B4DF8">
        <w:rPr>
          <w:rFonts w:ascii="Open Sans" w:hAnsi="Open Sans" w:cs="Open Sans"/>
          <w:sz w:val="22"/>
          <w:szCs w:val="18"/>
        </w:rPr>
        <w:t xml:space="preserve">If the </w:t>
      </w:r>
      <w:r w:rsidR="00FD2278" w:rsidRPr="003B4DF8">
        <w:rPr>
          <w:rFonts w:ascii="Open Sans" w:hAnsi="Open Sans" w:cs="Open Sans"/>
          <w:sz w:val="22"/>
          <w:szCs w:val="18"/>
        </w:rPr>
        <w:t xml:space="preserve">agency’s </w:t>
      </w:r>
      <w:r w:rsidRPr="003B4DF8">
        <w:rPr>
          <w:rFonts w:ascii="Open Sans" w:hAnsi="Open Sans" w:cs="Open Sans"/>
          <w:sz w:val="22"/>
          <w:szCs w:val="18"/>
        </w:rPr>
        <w:t>review concludes that the instrument is no longer required, it should be repealed without delay.</w:t>
      </w:r>
    </w:p>
    <w:p w14:paraId="60ADC6EF" w14:textId="6F60E1FB" w:rsidR="004A5599" w:rsidRPr="003B4DF8" w:rsidRDefault="004A5599" w:rsidP="003B4DF8">
      <w:pPr>
        <w:pStyle w:val="Heading2"/>
        <w:rPr>
          <w:rFonts w:ascii="Open Sans ExtraBold" w:hAnsi="Open Sans ExtraBold" w:cs="Open Sans ExtraBold"/>
          <w:color w:val="084D5E"/>
        </w:rPr>
      </w:pPr>
      <w:r w:rsidRPr="003B4DF8">
        <w:rPr>
          <w:rFonts w:ascii="Open Sans ExtraBold" w:hAnsi="Open Sans ExtraBold" w:cs="Open Sans ExtraBold"/>
          <w:color w:val="084D5E"/>
        </w:rPr>
        <w:t xml:space="preserve">When </w:t>
      </w:r>
      <w:r w:rsidR="006F6D03" w:rsidRPr="003B4DF8">
        <w:rPr>
          <w:rFonts w:ascii="Open Sans ExtraBold" w:hAnsi="Open Sans ExtraBold" w:cs="Open Sans ExtraBold"/>
          <w:color w:val="084D5E"/>
        </w:rPr>
        <w:t xml:space="preserve">an </w:t>
      </w:r>
      <w:r w:rsidRPr="003B4DF8">
        <w:rPr>
          <w:rFonts w:ascii="Open Sans ExtraBold" w:hAnsi="Open Sans ExtraBold" w:cs="Open Sans ExtraBold"/>
          <w:color w:val="084D5E"/>
        </w:rPr>
        <w:t>instrument sunset</w:t>
      </w:r>
      <w:r w:rsidR="006F6D03" w:rsidRPr="003B4DF8">
        <w:rPr>
          <w:rFonts w:ascii="Open Sans ExtraBold" w:hAnsi="Open Sans ExtraBold" w:cs="Open Sans ExtraBold"/>
          <w:color w:val="084D5E"/>
        </w:rPr>
        <w:t>s</w:t>
      </w:r>
    </w:p>
    <w:p w14:paraId="2D6ECA01" w14:textId="2BA201BB" w:rsidR="00C16501" w:rsidRPr="003B4DF8" w:rsidRDefault="005D5BF5" w:rsidP="007A0B9D">
      <w:pPr>
        <w:pStyle w:val="BodyNum"/>
        <w:rPr>
          <w:rFonts w:ascii="Open Sans" w:hAnsi="Open Sans" w:cs="Open Sans"/>
          <w:sz w:val="22"/>
          <w:szCs w:val="18"/>
        </w:rPr>
      </w:pPr>
      <w:r w:rsidRPr="003B4DF8">
        <w:rPr>
          <w:rFonts w:ascii="Open Sans" w:hAnsi="Open Sans" w:cs="Open Sans"/>
          <w:sz w:val="22"/>
          <w:szCs w:val="18"/>
        </w:rPr>
        <w:t xml:space="preserve">Unless a legislative instrument is exempt from sunsetting, the </w:t>
      </w:r>
      <w:r w:rsidR="007A0B9D" w:rsidRPr="003B4DF8">
        <w:rPr>
          <w:rFonts w:ascii="Open Sans" w:hAnsi="Open Sans" w:cs="Open Sans"/>
          <w:sz w:val="22"/>
          <w:szCs w:val="18"/>
        </w:rPr>
        <w:t>instrument sunset</w:t>
      </w:r>
      <w:r w:rsidRPr="003B4DF8">
        <w:rPr>
          <w:rFonts w:ascii="Open Sans" w:hAnsi="Open Sans" w:cs="Open Sans"/>
          <w:sz w:val="22"/>
          <w:szCs w:val="18"/>
        </w:rPr>
        <w:t>s</w:t>
      </w:r>
      <w:r w:rsidR="007A0B9D" w:rsidRPr="003B4DF8">
        <w:rPr>
          <w:rFonts w:ascii="Open Sans" w:hAnsi="Open Sans" w:cs="Open Sans"/>
          <w:sz w:val="22"/>
          <w:szCs w:val="18"/>
        </w:rPr>
        <w:t xml:space="preserve"> on the first 1 April or 1 October falling on or after the 10th anniversary of </w:t>
      </w:r>
      <w:r w:rsidRPr="003B4DF8">
        <w:rPr>
          <w:rFonts w:ascii="Open Sans" w:hAnsi="Open Sans" w:cs="Open Sans"/>
          <w:sz w:val="22"/>
          <w:szCs w:val="18"/>
        </w:rPr>
        <w:t xml:space="preserve">the instrument’s </w:t>
      </w:r>
      <w:r w:rsidR="007A0B9D" w:rsidRPr="003B4DF8">
        <w:rPr>
          <w:rFonts w:ascii="Open Sans" w:hAnsi="Open Sans" w:cs="Open Sans"/>
          <w:sz w:val="22"/>
          <w:szCs w:val="18"/>
        </w:rPr>
        <w:t>registration (</w:t>
      </w:r>
      <w:r w:rsidR="00515567" w:rsidRPr="003B4DF8">
        <w:rPr>
          <w:rFonts w:ascii="Open Sans" w:hAnsi="Open Sans" w:cs="Open Sans"/>
          <w:i/>
          <w:iCs/>
          <w:sz w:val="22"/>
          <w:szCs w:val="18"/>
        </w:rPr>
        <w:t>Legislation Act 2003</w:t>
      </w:r>
      <w:r w:rsidR="00264CF9" w:rsidRPr="003B4DF8">
        <w:rPr>
          <w:rFonts w:ascii="Open Sans" w:hAnsi="Open Sans" w:cs="Open Sans"/>
          <w:sz w:val="22"/>
          <w:szCs w:val="18"/>
        </w:rPr>
        <w:t>,</w:t>
      </w:r>
      <w:r w:rsidR="007A0B9D" w:rsidRPr="003B4DF8">
        <w:rPr>
          <w:rFonts w:ascii="Open Sans" w:hAnsi="Open Sans" w:cs="Open Sans"/>
          <w:sz w:val="22"/>
          <w:szCs w:val="18"/>
        </w:rPr>
        <w:t xml:space="preserve"> s 50(1))</w:t>
      </w:r>
      <w:r w:rsidR="00346602" w:rsidRPr="003B4DF8">
        <w:rPr>
          <w:rFonts w:ascii="Open Sans" w:hAnsi="Open Sans" w:cs="Open Sans"/>
          <w:sz w:val="22"/>
          <w:szCs w:val="18"/>
        </w:rPr>
        <w:t>. This position can change if</w:t>
      </w:r>
      <w:r w:rsidR="00C16501" w:rsidRPr="003B4DF8">
        <w:rPr>
          <w:rFonts w:ascii="Open Sans" w:hAnsi="Open Sans" w:cs="Open Sans"/>
          <w:sz w:val="22"/>
          <w:szCs w:val="18"/>
        </w:rPr>
        <w:t>:</w:t>
      </w:r>
    </w:p>
    <w:p w14:paraId="57C93101" w14:textId="7EC6E51C" w:rsidR="00C16501" w:rsidRPr="003B4DF8" w:rsidRDefault="005D5BF5" w:rsidP="00C16501">
      <w:pPr>
        <w:pStyle w:val="BodyParaBullet"/>
        <w:rPr>
          <w:rFonts w:ascii="Open Sans" w:hAnsi="Open Sans" w:cs="Open Sans"/>
          <w:sz w:val="22"/>
          <w:szCs w:val="18"/>
        </w:rPr>
      </w:pPr>
      <w:r w:rsidRPr="003B4DF8">
        <w:rPr>
          <w:rFonts w:ascii="Open Sans" w:hAnsi="Open Sans" w:cs="Open Sans"/>
          <w:sz w:val="22"/>
          <w:szCs w:val="18"/>
        </w:rPr>
        <w:t>the instrument’s default sunsetting date is deferred; or</w:t>
      </w:r>
    </w:p>
    <w:p w14:paraId="2509EEC1" w14:textId="69A1D281" w:rsidR="005D5BF5" w:rsidRPr="003B4DF8" w:rsidRDefault="005D5BF5" w:rsidP="00C16501">
      <w:pPr>
        <w:pStyle w:val="BodyParaBullet"/>
        <w:rPr>
          <w:rFonts w:ascii="Open Sans" w:hAnsi="Open Sans" w:cs="Open Sans"/>
          <w:sz w:val="22"/>
          <w:szCs w:val="18"/>
        </w:rPr>
      </w:pPr>
      <w:r w:rsidRPr="003B4DF8">
        <w:rPr>
          <w:rFonts w:ascii="Open Sans" w:hAnsi="Open Sans" w:cs="Open Sans"/>
          <w:sz w:val="22"/>
          <w:szCs w:val="18"/>
        </w:rPr>
        <w:t xml:space="preserve">the instrument’s default sunsetting date is adjusted as part of a </w:t>
      </w:r>
      <w:r w:rsidR="004A131F" w:rsidRPr="003B4DF8">
        <w:rPr>
          <w:rFonts w:ascii="Open Sans" w:hAnsi="Open Sans" w:cs="Open Sans"/>
          <w:sz w:val="22"/>
          <w:szCs w:val="18"/>
        </w:rPr>
        <w:t>“</w:t>
      </w:r>
      <w:r w:rsidRPr="003B4DF8">
        <w:rPr>
          <w:rFonts w:ascii="Open Sans" w:hAnsi="Open Sans" w:cs="Open Sans"/>
          <w:sz w:val="22"/>
          <w:szCs w:val="18"/>
        </w:rPr>
        <w:t>thematic review</w:t>
      </w:r>
      <w:r w:rsidR="004A131F" w:rsidRPr="003B4DF8">
        <w:rPr>
          <w:rFonts w:ascii="Open Sans" w:hAnsi="Open Sans" w:cs="Open Sans"/>
          <w:sz w:val="22"/>
          <w:szCs w:val="18"/>
        </w:rPr>
        <w:t>”</w:t>
      </w:r>
      <w:r w:rsidRPr="003B4DF8">
        <w:rPr>
          <w:rFonts w:ascii="Open Sans" w:hAnsi="Open Sans" w:cs="Open Sans"/>
          <w:sz w:val="22"/>
          <w:szCs w:val="18"/>
        </w:rPr>
        <w:t>; or</w:t>
      </w:r>
    </w:p>
    <w:p w14:paraId="36F74963" w14:textId="1D7236D8" w:rsidR="00805E4E" w:rsidRPr="003B4DF8" w:rsidRDefault="00805E4E" w:rsidP="00C16501">
      <w:pPr>
        <w:pStyle w:val="BodyParaBullet"/>
        <w:rPr>
          <w:rFonts w:ascii="Open Sans" w:hAnsi="Open Sans" w:cs="Open Sans"/>
          <w:sz w:val="22"/>
          <w:szCs w:val="18"/>
        </w:rPr>
      </w:pPr>
      <w:r w:rsidRPr="003B4DF8">
        <w:rPr>
          <w:rFonts w:ascii="Open Sans" w:hAnsi="Open Sans" w:cs="Open Sans"/>
          <w:sz w:val="22"/>
          <w:szCs w:val="18"/>
        </w:rPr>
        <w:lastRenderedPageBreak/>
        <w:t xml:space="preserve">the sunsetting of the instrument is </w:t>
      </w:r>
      <w:r w:rsidR="004A131F" w:rsidRPr="003B4DF8">
        <w:rPr>
          <w:rFonts w:ascii="Open Sans" w:hAnsi="Open Sans" w:cs="Open Sans"/>
          <w:sz w:val="22"/>
          <w:szCs w:val="18"/>
        </w:rPr>
        <w:t>“</w:t>
      </w:r>
      <w:r w:rsidRPr="003B4DF8">
        <w:rPr>
          <w:rFonts w:ascii="Open Sans" w:hAnsi="Open Sans" w:cs="Open Sans"/>
          <w:sz w:val="22"/>
          <w:szCs w:val="18"/>
        </w:rPr>
        <w:t>rolled over</w:t>
      </w:r>
      <w:r w:rsidR="004A131F" w:rsidRPr="003B4DF8">
        <w:rPr>
          <w:rFonts w:ascii="Open Sans" w:hAnsi="Open Sans" w:cs="Open Sans"/>
          <w:sz w:val="22"/>
          <w:szCs w:val="18"/>
        </w:rPr>
        <w:t>”</w:t>
      </w:r>
      <w:r w:rsidRPr="003B4DF8">
        <w:rPr>
          <w:rFonts w:ascii="Open Sans" w:hAnsi="Open Sans" w:cs="Open Sans"/>
          <w:sz w:val="22"/>
          <w:szCs w:val="18"/>
        </w:rPr>
        <w:t>.</w:t>
      </w:r>
    </w:p>
    <w:p w14:paraId="19A835C4" w14:textId="73FBBA4B" w:rsidR="00375910" w:rsidRPr="003B4DF8" w:rsidRDefault="00375910" w:rsidP="00805E4E">
      <w:pPr>
        <w:pStyle w:val="BodyNum"/>
        <w:rPr>
          <w:rFonts w:ascii="Open Sans" w:hAnsi="Open Sans" w:cs="Open Sans"/>
          <w:sz w:val="22"/>
          <w:szCs w:val="18"/>
        </w:rPr>
      </w:pPr>
      <w:r w:rsidRPr="003B4DF8">
        <w:rPr>
          <w:rFonts w:ascii="Open Sans" w:hAnsi="Open Sans" w:cs="Open Sans"/>
          <w:sz w:val="22"/>
          <w:szCs w:val="18"/>
        </w:rPr>
        <w:t>For example</w:t>
      </w:r>
      <w:r w:rsidR="007A0B9D" w:rsidRPr="003B4DF8">
        <w:rPr>
          <w:rFonts w:ascii="Open Sans" w:hAnsi="Open Sans" w:cs="Open Sans"/>
          <w:sz w:val="22"/>
          <w:szCs w:val="18"/>
        </w:rPr>
        <w:t>:</w:t>
      </w:r>
    </w:p>
    <w:p w14:paraId="3F64A605" w14:textId="608AC246" w:rsidR="00CB3F24" w:rsidRPr="003B4DF8" w:rsidRDefault="00CB3F24" w:rsidP="00CB3F24">
      <w:pPr>
        <w:pStyle w:val="Tabletext"/>
        <w:rPr>
          <w:rFonts w:ascii="Open Sans" w:hAnsi="Open Sans" w:cs="Open Sans"/>
          <w:sz w:val="18"/>
          <w:szCs w:val="18"/>
        </w:rPr>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4513"/>
        <w:gridCol w:w="4513"/>
      </w:tblGrid>
      <w:tr w:rsidR="00CB3F24" w:rsidRPr="003B4DF8" w14:paraId="420E6627" w14:textId="77777777" w:rsidTr="00CB3F24">
        <w:trPr>
          <w:tblHeader/>
        </w:trPr>
        <w:tc>
          <w:tcPr>
            <w:tcW w:w="4513" w:type="dxa"/>
            <w:tcBorders>
              <w:top w:val="single" w:sz="12" w:space="0" w:color="auto"/>
              <w:bottom w:val="single" w:sz="12" w:space="0" w:color="auto"/>
            </w:tcBorders>
          </w:tcPr>
          <w:p w14:paraId="6485087D" w14:textId="5BD839E0" w:rsidR="00CB3F24" w:rsidRPr="003B4DF8" w:rsidRDefault="00CB3F24" w:rsidP="00CB3F24">
            <w:pPr>
              <w:pStyle w:val="TableHeading"/>
              <w:rPr>
                <w:rFonts w:ascii="Open Sans" w:hAnsi="Open Sans" w:cs="Open Sans"/>
                <w:sz w:val="18"/>
                <w:szCs w:val="18"/>
              </w:rPr>
            </w:pPr>
            <w:r w:rsidRPr="003B4DF8">
              <w:rPr>
                <w:rFonts w:ascii="Open Sans" w:hAnsi="Open Sans" w:cs="Open Sans"/>
                <w:sz w:val="18"/>
                <w:szCs w:val="18"/>
              </w:rPr>
              <w:t>An instrument registered on this date …</w:t>
            </w:r>
          </w:p>
        </w:tc>
        <w:tc>
          <w:tcPr>
            <w:tcW w:w="4513" w:type="dxa"/>
            <w:tcBorders>
              <w:top w:val="single" w:sz="12" w:space="0" w:color="auto"/>
              <w:bottom w:val="single" w:sz="12" w:space="0" w:color="auto"/>
            </w:tcBorders>
          </w:tcPr>
          <w:p w14:paraId="5EA38411" w14:textId="01CF0FD4" w:rsidR="00CB3F24" w:rsidRPr="003B4DF8" w:rsidRDefault="00CB3F24" w:rsidP="00CB3F24">
            <w:pPr>
              <w:pStyle w:val="TableHeading"/>
              <w:rPr>
                <w:rFonts w:ascii="Open Sans" w:hAnsi="Open Sans" w:cs="Open Sans"/>
                <w:sz w:val="18"/>
                <w:szCs w:val="18"/>
              </w:rPr>
            </w:pPr>
            <w:r w:rsidRPr="003B4DF8">
              <w:rPr>
                <w:rFonts w:ascii="Open Sans" w:hAnsi="Open Sans" w:cs="Open Sans"/>
                <w:sz w:val="18"/>
                <w:szCs w:val="18"/>
              </w:rPr>
              <w:t>… has this default sunsetting date:</w:t>
            </w:r>
          </w:p>
        </w:tc>
      </w:tr>
      <w:tr w:rsidR="00CB3F24" w:rsidRPr="003B4DF8" w14:paraId="4E5EDE87" w14:textId="77777777" w:rsidTr="00CB3F24">
        <w:tc>
          <w:tcPr>
            <w:tcW w:w="4513" w:type="dxa"/>
            <w:tcBorders>
              <w:top w:val="single" w:sz="12" w:space="0" w:color="auto"/>
            </w:tcBorders>
          </w:tcPr>
          <w:p w14:paraId="3D71C82D" w14:textId="38DF917D" w:rsidR="00CB3F24" w:rsidRPr="003B4DF8" w:rsidRDefault="00CB3F24" w:rsidP="00CB3F24">
            <w:pPr>
              <w:pStyle w:val="Tabletext"/>
              <w:rPr>
                <w:rFonts w:ascii="Open Sans" w:hAnsi="Open Sans" w:cs="Open Sans"/>
                <w:sz w:val="18"/>
                <w:szCs w:val="18"/>
              </w:rPr>
            </w:pPr>
            <w:r w:rsidRPr="003B4DF8">
              <w:rPr>
                <w:rFonts w:ascii="Open Sans" w:hAnsi="Open Sans" w:cs="Open Sans"/>
                <w:sz w:val="18"/>
                <w:szCs w:val="18"/>
              </w:rPr>
              <w:t>31 March 20</w:t>
            </w:r>
            <w:r w:rsidR="00B74FD9" w:rsidRPr="003B4DF8">
              <w:rPr>
                <w:rFonts w:ascii="Open Sans" w:hAnsi="Open Sans" w:cs="Open Sans"/>
                <w:sz w:val="18"/>
                <w:szCs w:val="18"/>
              </w:rPr>
              <w:t>15</w:t>
            </w:r>
          </w:p>
        </w:tc>
        <w:tc>
          <w:tcPr>
            <w:tcW w:w="4513" w:type="dxa"/>
            <w:tcBorders>
              <w:top w:val="single" w:sz="12" w:space="0" w:color="auto"/>
            </w:tcBorders>
          </w:tcPr>
          <w:p w14:paraId="5119304D" w14:textId="68832835" w:rsidR="00CB3F24" w:rsidRPr="003B4DF8" w:rsidRDefault="00B74FD9" w:rsidP="00CB3F24">
            <w:pPr>
              <w:pStyle w:val="Tabletext"/>
              <w:rPr>
                <w:rFonts w:ascii="Open Sans" w:hAnsi="Open Sans" w:cs="Open Sans"/>
                <w:sz w:val="18"/>
                <w:szCs w:val="18"/>
              </w:rPr>
            </w:pPr>
            <w:r w:rsidRPr="003B4DF8">
              <w:rPr>
                <w:rFonts w:ascii="Open Sans" w:hAnsi="Open Sans" w:cs="Open Sans"/>
                <w:sz w:val="18"/>
                <w:szCs w:val="18"/>
              </w:rPr>
              <w:t>1 April 2025</w:t>
            </w:r>
          </w:p>
        </w:tc>
      </w:tr>
      <w:tr w:rsidR="00CB3F24" w:rsidRPr="003B4DF8" w14:paraId="1F92ABA9" w14:textId="77777777" w:rsidTr="00CB3F24">
        <w:tc>
          <w:tcPr>
            <w:tcW w:w="4513" w:type="dxa"/>
          </w:tcPr>
          <w:p w14:paraId="288BB1BE" w14:textId="29B398DC" w:rsidR="00CB3F24" w:rsidRPr="003B4DF8" w:rsidRDefault="00B74FD9" w:rsidP="00CB3F24">
            <w:pPr>
              <w:pStyle w:val="Tabletext"/>
              <w:rPr>
                <w:rFonts w:ascii="Open Sans" w:hAnsi="Open Sans" w:cs="Open Sans"/>
                <w:sz w:val="18"/>
                <w:szCs w:val="18"/>
              </w:rPr>
            </w:pPr>
            <w:r w:rsidRPr="003B4DF8">
              <w:rPr>
                <w:rFonts w:ascii="Open Sans" w:hAnsi="Open Sans" w:cs="Open Sans"/>
                <w:sz w:val="18"/>
                <w:szCs w:val="18"/>
              </w:rPr>
              <w:t>1 April 2015</w:t>
            </w:r>
          </w:p>
        </w:tc>
        <w:tc>
          <w:tcPr>
            <w:tcW w:w="4513" w:type="dxa"/>
          </w:tcPr>
          <w:p w14:paraId="122E918E" w14:textId="4501C224" w:rsidR="00CB3F24" w:rsidRPr="003B4DF8" w:rsidRDefault="00B74FD9" w:rsidP="00CB3F24">
            <w:pPr>
              <w:pStyle w:val="Tabletext"/>
              <w:rPr>
                <w:rFonts w:ascii="Open Sans" w:hAnsi="Open Sans" w:cs="Open Sans"/>
                <w:sz w:val="18"/>
                <w:szCs w:val="18"/>
              </w:rPr>
            </w:pPr>
            <w:r w:rsidRPr="003B4DF8">
              <w:rPr>
                <w:rFonts w:ascii="Open Sans" w:hAnsi="Open Sans" w:cs="Open Sans"/>
                <w:sz w:val="18"/>
                <w:szCs w:val="18"/>
              </w:rPr>
              <w:t>1 April 2025</w:t>
            </w:r>
          </w:p>
        </w:tc>
      </w:tr>
      <w:tr w:rsidR="00CB3F24" w:rsidRPr="003B4DF8" w14:paraId="0DE95919" w14:textId="77777777" w:rsidTr="00CB3F24">
        <w:tc>
          <w:tcPr>
            <w:tcW w:w="4513" w:type="dxa"/>
            <w:tcBorders>
              <w:top w:val="single" w:sz="2" w:space="0" w:color="auto"/>
              <w:bottom w:val="single" w:sz="12" w:space="0" w:color="auto"/>
            </w:tcBorders>
          </w:tcPr>
          <w:p w14:paraId="30D65579" w14:textId="2BCB479A" w:rsidR="00CB3F24" w:rsidRPr="003B4DF8" w:rsidRDefault="00B74FD9" w:rsidP="00CB3F24">
            <w:pPr>
              <w:pStyle w:val="Tabletext"/>
              <w:rPr>
                <w:rFonts w:ascii="Open Sans" w:hAnsi="Open Sans" w:cs="Open Sans"/>
                <w:sz w:val="18"/>
                <w:szCs w:val="18"/>
              </w:rPr>
            </w:pPr>
            <w:r w:rsidRPr="003B4DF8">
              <w:rPr>
                <w:rFonts w:ascii="Open Sans" w:hAnsi="Open Sans" w:cs="Open Sans"/>
                <w:sz w:val="18"/>
                <w:szCs w:val="18"/>
              </w:rPr>
              <w:t>2 April 2015</w:t>
            </w:r>
          </w:p>
        </w:tc>
        <w:tc>
          <w:tcPr>
            <w:tcW w:w="4513" w:type="dxa"/>
            <w:tcBorders>
              <w:top w:val="single" w:sz="2" w:space="0" w:color="auto"/>
              <w:bottom w:val="single" w:sz="12" w:space="0" w:color="auto"/>
            </w:tcBorders>
          </w:tcPr>
          <w:p w14:paraId="2999D767" w14:textId="75BB3B0B" w:rsidR="00CB3F24" w:rsidRPr="003B4DF8" w:rsidRDefault="00B74FD9" w:rsidP="00CB3F24">
            <w:pPr>
              <w:pStyle w:val="Tabletext"/>
              <w:rPr>
                <w:rFonts w:ascii="Open Sans" w:hAnsi="Open Sans" w:cs="Open Sans"/>
                <w:sz w:val="18"/>
                <w:szCs w:val="18"/>
              </w:rPr>
            </w:pPr>
            <w:r w:rsidRPr="003B4DF8">
              <w:rPr>
                <w:rFonts w:ascii="Open Sans" w:hAnsi="Open Sans" w:cs="Open Sans"/>
                <w:sz w:val="18"/>
                <w:szCs w:val="18"/>
              </w:rPr>
              <w:t>1 October 2025</w:t>
            </w:r>
          </w:p>
        </w:tc>
      </w:tr>
    </w:tbl>
    <w:p w14:paraId="614CF61E" w14:textId="69201E2F" w:rsidR="00CB3F24" w:rsidRPr="003B4DF8" w:rsidRDefault="00C13E7B" w:rsidP="003B4DF8">
      <w:pPr>
        <w:pStyle w:val="Heading2"/>
        <w:rPr>
          <w:rFonts w:ascii="Open Sans ExtraBold" w:hAnsi="Open Sans ExtraBold" w:cs="Open Sans ExtraBold"/>
          <w:color w:val="084D5E"/>
        </w:rPr>
      </w:pPr>
      <w:r>
        <w:rPr>
          <w:rFonts w:ascii="Open Sans ExtraBold" w:hAnsi="Open Sans ExtraBold" w:cs="Open Sans ExtraBold"/>
          <w:color w:val="084D5E"/>
        </w:rPr>
        <w:br/>
      </w:r>
      <w:r w:rsidR="00264CF9" w:rsidRPr="003B4DF8">
        <w:rPr>
          <w:rFonts w:ascii="Open Sans ExtraBold" w:hAnsi="Open Sans ExtraBold" w:cs="Open Sans ExtraBold"/>
          <w:color w:val="084D5E"/>
        </w:rPr>
        <w:t>Tabling the sunsetting list</w:t>
      </w:r>
    </w:p>
    <w:p w14:paraId="3256F19C" w14:textId="737B904B" w:rsidR="005824CC" w:rsidRPr="003B4DF8" w:rsidRDefault="00264CF9" w:rsidP="00264CF9">
      <w:pPr>
        <w:pStyle w:val="BodyNum"/>
        <w:rPr>
          <w:rFonts w:ascii="Open Sans" w:hAnsi="Open Sans" w:cs="Open Sans"/>
          <w:sz w:val="22"/>
          <w:szCs w:val="22"/>
        </w:rPr>
      </w:pPr>
      <w:r w:rsidRPr="003B4DF8">
        <w:rPr>
          <w:rFonts w:ascii="Open Sans" w:hAnsi="Open Sans" w:cs="Open Sans"/>
          <w:sz w:val="22"/>
          <w:szCs w:val="22"/>
        </w:rPr>
        <w:t>The Attorney</w:t>
      </w:r>
      <w:r w:rsidR="00DF0CF5" w:rsidRPr="003B4DF8">
        <w:rPr>
          <w:rFonts w:ascii="Open Sans" w:hAnsi="Open Sans" w:cs="Open Sans"/>
          <w:sz w:val="22"/>
          <w:szCs w:val="22"/>
        </w:rPr>
        <w:noBreakHyphen/>
      </w:r>
      <w:r w:rsidRPr="003B4DF8">
        <w:rPr>
          <w:rFonts w:ascii="Open Sans" w:hAnsi="Open Sans" w:cs="Open Sans"/>
          <w:sz w:val="22"/>
          <w:szCs w:val="22"/>
        </w:rPr>
        <w:t>General is required to table a list of all the legislative instruments due to sunset on a given sunse</w:t>
      </w:r>
      <w:r w:rsidR="00245E40" w:rsidRPr="003B4DF8">
        <w:rPr>
          <w:rFonts w:ascii="Open Sans" w:hAnsi="Open Sans" w:cs="Open Sans"/>
          <w:sz w:val="22"/>
          <w:szCs w:val="22"/>
        </w:rPr>
        <w:t>tting</w:t>
      </w:r>
      <w:r w:rsidRPr="003B4DF8">
        <w:rPr>
          <w:rFonts w:ascii="Open Sans" w:hAnsi="Open Sans" w:cs="Open Sans"/>
          <w:sz w:val="22"/>
          <w:szCs w:val="22"/>
        </w:rPr>
        <w:t xml:space="preserve"> date. The list must be tabled in each House of the Parliament on the first sitting day within 18 months before that date (</w:t>
      </w:r>
      <w:r w:rsidR="00515567" w:rsidRPr="003B4DF8">
        <w:rPr>
          <w:rFonts w:ascii="Open Sans" w:hAnsi="Open Sans" w:cs="Open Sans"/>
          <w:i/>
          <w:iCs/>
          <w:sz w:val="22"/>
          <w:szCs w:val="22"/>
        </w:rPr>
        <w:t>Legislation Act 2003</w:t>
      </w:r>
      <w:r w:rsidRPr="003B4DF8">
        <w:rPr>
          <w:rFonts w:ascii="Open Sans" w:hAnsi="Open Sans" w:cs="Open Sans"/>
          <w:sz w:val="22"/>
          <w:szCs w:val="22"/>
        </w:rPr>
        <w:t xml:space="preserve">, s 52). The exact date of tabling will vary, but </w:t>
      </w:r>
      <w:r w:rsidR="005824CC" w:rsidRPr="003B4DF8">
        <w:rPr>
          <w:rFonts w:ascii="Open Sans" w:hAnsi="Open Sans" w:cs="Open Sans"/>
          <w:sz w:val="22"/>
          <w:szCs w:val="22"/>
        </w:rPr>
        <w:t>for example</w:t>
      </w:r>
      <w:r w:rsidRPr="003B4DF8">
        <w:rPr>
          <w:rFonts w:ascii="Open Sans" w:hAnsi="Open Sans" w:cs="Open Sans"/>
          <w:sz w:val="22"/>
          <w:szCs w:val="22"/>
        </w:rPr>
        <w:t>:</w:t>
      </w:r>
    </w:p>
    <w:p w14:paraId="490FE767" w14:textId="77777777" w:rsidR="00BF2654" w:rsidRPr="003B4DF8" w:rsidRDefault="00BF2654" w:rsidP="00BF2654">
      <w:pPr>
        <w:pStyle w:val="Tabletext"/>
        <w:rPr>
          <w:rFonts w:ascii="Open Sans" w:hAnsi="Open Sans" w:cs="Open Sans"/>
          <w:sz w:val="22"/>
          <w:szCs w:val="22"/>
        </w:rPr>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4513"/>
        <w:gridCol w:w="4513"/>
      </w:tblGrid>
      <w:tr w:rsidR="005824CC" w:rsidRPr="003B4DF8" w14:paraId="04C45239" w14:textId="77777777" w:rsidTr="00F51B2F">
        <w:trPr>
          <w:tblHeader/>
        </w:trPr>
        <w:tc>
          <w:tcPr>
            <w:tcW w:w="4513" w:type="dxa"/>
            <w:tcBorders>
              <w:top w:val="single" w:sz="12" w:space="0" w:color="auto"/>
              <w:bottom w:val="single" w:sz="12" w:space="0" w:color="auto"/>
            </w:tcBorders>
          </w:tcPr>
          <w:p w14:paraId="6D948C16" w14:textId="5467F1A4" w:rsidR="005824CC" w:rsidRPr="00DE42A8" w:rsidRDefault="005824CC" w:rsidP="00F51B2F">
            <w:pPr>
              <w:pStyle w:val="TableHeading"/>
              <w:rPr>
                <w:rFonts w:ascii="Open Sans" w:hAnsi="Open Sans" w:cs="Open Sans"/>
                <w:sz w:val="18"/>
                <w:szCs w:val="18"/>
              </w:rPr>
            </w:pPr>
            <w:r w:rsidRPr="00DE42A8">
              <w:rPr>
                <w:rFonts w:ascii="Open Sans" w:hAnsi="Open Sans" w:cs="Open Sans"/>
                <w:sz w:val="18"/>
                <w:szCs w:val="18"/>
              </w:rPr>
              <w:t xml:space="preserve">An instrument </w:t>
            </w:r>
            <w:r w:rsidR="00BF2654" w:rsidRPr="00DE42A8">
              <w:rPr>
                <w:rFonts w:ascii="Open Sans" w:hAnsi="Open Sans" w:cs="Open Sans"/>
                <w:sz w:val="18"/>
                <w:szCs w:val="18"/>
              </w:rPr>
              <w:t xml:space="preserve">with </w:t>
            </w:r>
            <w:r w:rsidRPr="00DE42A8">
              <w:rPr>
                <w:rFonts w:ascii="Open Sans" w:hAnsi="Open Sans" w:cs="Open Sans"/>
                <w:sz w:val="18"/>
                <w:szCs w:val="18"/>
              </w:rPr>
              <w:t xml:space="preserve">this </w:t>
            </w:r>
            <w:r w:rsidR="00BF2654" w:rsidRPr="00DE42A8">
              <w:rPr>
                <w:rFonts w:ascii="Open Sans" w:hAnsi="Open Sans" w:cs="Open Sans"/>
                <w:sz w:val="18"/>
                <w:szCs w:val="18"/>
              </w:rPr>
              <w:t xml:space="preserve">sunsetting </w:t>
            </w:r>
            <w:r w:rsidRPr="00DE42A8">
              <w:rPr>
                <w:rFonts w:ascii="Open Sans" w:hAnsi="Open Sans" w:cs="Open Sans"/>
                <w:sz w:val="18"/>
                <w:szCs w:val="18"/>
              </w:rPr>
              <w:t>date …</w:t>
            </w:r>
          </w:p>
        </w:tc>
        <w:tc>
          <w:tcPr>
            <w:tcW w:w="4513" w:type="dxa"/>
            <w:tcBorders>
              <w:top w:val="single" w:sz="12" w:space="0" w:color="auto"/>
              <w:bottom w:val="single" w:sz="12" w:space="0" w:color="auto"/>
            </w:tcBorders>
          </w:tcPr>
          <w:p w14:paraId="76CF2B7D" w14:textId="5963D967" w:rsidR="005824CC" w:rsidRPr="00DE42A8" w:rsidRDefault="005824CC" w:rsidP="00F51B2F">
            <w:pPr>
              <w:pStyle w:val="TableHeading"/>
              <w:rPr>
                <w:rFonts w:ascii="Open Sans" w:hAnsi="Open Sans" w:cs="Open Sans"/>
                <w:sz w:val="18"/>
                <w:szCs w:val="18"/>
              </w:rPr>
            </w:pPr>
            <w:r w:rsidRPr="00DE42A8">
              <w:rPr>
                <w:rFonts w:ascii="Open Sans" w:hAnsi="Open Sans" w:cs="Open Sans"/>
                <w:sz w:val="18"/>
                <w:szCs w:val="18"/>
              </w:rPr>
              <w:t xml:space="preserve">… </w:t>
            </w:r>
            <w:r w:rsidR="00C82B46" w:rsidRPr="00DE42A8">
              <w:rPr>
                <w:rFonts w:ascii="Open Sans" w:hAnsi="Open Sans" w:cs="Open Sans"/>
                <w:sz w:val="18"/>
                <w:szCs w:val="18"/>
              </w:rPr>
              <w:t xml:space="preserve">must be included in a list </w:t>
            </w:r>
            <w:r w:rsidR="00FD0121" w:rsidRPr="00DE42A8">
              <w:rPr>
                <w:rFonts w:ascii="Open Sans" w:hAnsi="Open Sans" w:cs="Open Sans"/>
                <w:sz w:val="18"/>
                <w:szCs w:val="18"/>
              </w:rPr>
              <w:t xml:space="preserve">tabled </w:t>
            </w:r>
            <w:r w:rsidR="00C82B46" w:rsidRPr="00DE42A8">
              <w:rPr>
                <w:rFonts w:ascii="Open Sans" w:hAnsi="Open Sans" w:cs="Open Sans"/>
                <w:sz w:val="18"/>
                <w:szCs w:val="18"/>
              </w:rPr>
              <w:t xml:space="preserve">on this </w:t>
            </w:r>
            <w:r w:rsidRPr="00DE42A8">
              <w:rPr>
                <w:rFonts w:ascii="Open Sans" w:hAnsi="Open Sans" w:cs="Open Sans"/>
                <w:sz w:val="18"/>
                <w:szCs w:val="18"/>
              </w:rPr>
              <w:t>date:</w:t>
            </w:r>
          </w:p>
        </w:tc>
      </w:tr>
      <w:tr w:rsidR="005824CC" w:rsidRPr="003B4DF8" w14:paraId="5D17FBFF" w14:textId="77777777" w:rsidTr="00F51B2F">
        <w:tc>
          <w:tcPr>
            <w:tcW w:w="4513" w:type="dxa"/>
            <w:tcBorders>
              <w:top w:val="single" w:sz="12" w:space="0" w:color="auto"/>
            </w:tcBorders>
          </w:tcPr>
          <w:p w14:paraId="7A931943" w14:textId="5EA0A65A" w:rsidR="005824CC" w:rsidRPr="00DE42A8" w:rsidRDefault="00BF2654" w:rsidP="00F51B2F">
            <w:pPr>
              <w:pStyle w:val="Tabletext"/>
              <w:rPr>
                <w:rFonts w:ascii="Open Sans" w:hAnsi="Open Sans" w:cs="Open Sans"/>
                <w:sz w:val="18"/>
                <w:szCs w:val="18"/>
              </w:rPr>
            </w:pPr>
            <w:r w:rsidRPr="00DE42A8">
              <w:rPr>
                <w:rFonts w:ascii="Open Sans" w:hAnsi="Open Sans" w:cs="Open Sans"/>
                <w:sz w:val="18"/>
                <w:szCs w:val="18"/>
              </w:rPr>
              <w:t>1 October 2027</w:t>
            </w:r>
          </w:p>
        </w:tc>
        <w:tc>
          <w:tcPr>
            <w:tcW w:w="4513" w:type="dxa"/>
            <w:tcBorders>
              <w:top w:val="single" w:sz="12" w:space="0" w:color="auto"/>
            </w:tcBorders>
          </w:tcPr>
          <w:p w14:paraId="783D2742" w14:textId="3C9596ED" w:rsidR="005824CC" w:rsidRPr="00DE42A8" w:rsidRDefault="007E224A" w:rsidP="00D856E6">
            <w:pPr>
              <w:pStyle w:val="Tabletext"/>
              <w:rPr>
                <w:rFonts w:ascii="Open Sans" w:hAnsi="Open Sans" w:cs="Open Sans"/>
                <w:sz w:val="18"/>
                <w:szCs w:val="18"/>
              </w:rPr>
            </w:pPr>
            <w:r w:rsidRPr="00DE42A8">
              <w:rPr>
                <w:rFonts w:ascii="Open Sans" w:hAnsi="Open Sans" w:cs="Open Sans"/>
                <w:sz w:val="18"/>
                <w:szCs w:val="18"/>
              </w:rPr>
              <w:t>f</w:t>
            </w:r>
            <w:r w:rsidR="00D856E6" w:rsidRPr="00DE42A8">
              <w:rPr>
                <w:rFonts w:ascii="Open Sans" w:hAnsi="Open Sans" w:cs="Open Sans"/>
                <w:sz w:val="18"/>
                <w:szCs w:val="18"/>
              </w:rPr>
              <w:t xml:space="preserve">irst sitting day on or after 1 April 2026 </w:t>
            </w:r>
          </w:p>
        </w:tc>
      </w:tr>
      <w:tr w:rsidR="005824CC" w:rsidRPr="003B4DF8" w14:paraId="4061ADA2" w14:textId="77777777" w:rsidTr="00F51B2F">
        <w:tc>
          <w:tcPr>
            <w:tcW w:w="4513" w:type="dxa"/>
          </w:tcPr>
          <w:p w14:paraId="7C2B4A90" w14:textId="4E8B2700" w:rsidR="005824CC" w:rsidRPr="00DE42A8" w:rsidRDefault="005824CC" w:rsidP="00F51B2F">
            <w:pPr>
              <w:pStyle w:val="Tabletext"/>
              <w:rPr>
                <w:rFonts w:ascii="Open Sans" w:hAnsi="Open Sans" w:cs="Open Sans"/>
                <w:sz w:val="18"/>
                <w:szCs w:val="18"/>
              </w:rPr>
            </w:pPr>
            <w:r w:rsidRPr="00DE42A8">
              <w:rPr>
                <w:rFonts w:ascii="Open Sans" w:hAnsi="Open Sans" w:cs="Open Sans"/>
                <w:sz w:val="18"/>
                <w:szCs w:val="18"/>
              </w:rPr>
              <w:t xml:space="preserve">1 April </w:t>
            </w:r>
            <w:r w:rsidR="00BF2654" w:rsidRPr="00DE42A8">
              <w:rPr>
                <w:rFonts w:ascii="Open Sans" w:hAnsi="Open Sans" w:cs="Open Sans"/>
                <w:sz w:val="18"/>
                <w:szCs w:val="18"/>
              </w:rPr>
              <w:t>2028</w:t>
            </w:r>
          </w:p>
        </w:tc>
        <w:tc>
          <w:tcPr>
            <w:tcW w:w="4513" w:type="dxa"/>
          </w:tcPr>
          <w:p w14:paraId="23D869DB" w14:textId="72D99C64" w:rsidR="005824CC" w:rsidRPr="00DE42A8" w:rsidRDefault="007E224A" w:rsidP="00F51B2F">
            <w:pPr>
              <w:pStyle w:val="Tabletext"/>
              <w:rPr>
                <w:rFonts w:ascii="Open Sans" w:hAnsi="Open Sans" w:cs="Open Sans"/>
                <w:sz w:val="18"/>
                <w:szCs w:val="18"/>
              </w:rPr>
            </w:pPr>
            <w:r w:rsidRPr="00DE42A8">
              <w:rPr>
                <w:rFonts w:ascii="Open Sans" w:hAnsi="Open Sans" w:cs="Open Sans"/>
                <w:sz w:val="18"/>
                <w:szCs w:val="18"/>
              </w:rPr>
              <w:t>f</w:t>
            </w:r>
            <w:r w:rsidR="00D856E6" w:rsidRPr="00DE42A8">
              <w:rPr>
                <w:rFonts w:ascii="Open Sans" w:hAnsi="Open Sans" w:cs="Open Sans"/>
                <w:sz w:val="18"/>
                <w:szCs w:val="18"/>
              </w:rPr>
              <w:t xml:space="preserve">irst sitting day on or after 1 October 2026 </w:t>
            </w:r>
          </w:p>
        </w:tc>
      </w:tr>
      <w:tr w:rsidR="005824CC" w:rsidRPr="003B4DF8" w14:paraId="14A69F96" w14:textId="77777777" w:rsidTr="00F51B2F">
        <w:tc>
          <w:tcPr>
            <w:tcW w:w="4513" w:type="dxa"/>
            <w:tcBorders>
              <w:top w:val="single" w:sz="2" w:space="0" w:color="auto"/>
              <w:bottom w:val="single" w:sz="12" w:space="0" w:color="auto"/>
            </w:tcBorders>
          </w:tcPr>
          <w:p w14:paraId="7E4EE6BB" w14:textId="1743EF98" w:rsidR="005824CC" w:rsidRPr="00DE42A8" w:rsidRDefault="00BF2654" w:rsidP="00F51B2F">
            <w:pPr>
              <w:pStyle w:val="Tabletext"/>
              <w:rPr>
                <w:rFonts w:ascii="Open Sans" w:hAnsi="Open Sans" w:cs="Open Sans"/>
                <w:sz w:val="18"/>
                <w:szCs w:val="18"/>
              </w:rPr>
            </w:pPr>
            <w:r w:rsidRPr="00DE42A8">
              <w:rPr>
                <w:rFonts w:ascii="Open Sans" w:hAnsi="Open Sans" w:cs="Open Sans"/>
                <w:sz w:val="18"/>
                <w:szCs w:val="18"/>
              </w:rPr>
              <w:t>1 October 2028</w:t>
            </w:r>
          </w:p>
        </w:tc>
        <w:tc>
          <w:tcPr>
            <w:tcW w:w="4513" w:type="dxa"/>
            <w:tcBorders>
              <w:top w:val="single" w:sz="2" w:space="0" w:color="auto"/>
              <w:bottom w:val="single" w:sz="12" w:space="0" w:color="auto"/>
            </w:tcBorders>
          </w:tcPr>
          <w:p w14:paraId="33F68DB1" w14:textId="0556CAED" w:rsidR="005824CC" w:rsidRPr="00DE42A8" w:rsidRDefault="007E224A" w:rsidP="00F51B2F">
            <w:pPr>
              <w:pStyle w:val="Tabletext"/>
              <w:rPr>
                <w:rFonts w:ascii="Open Sans" w:hAnsi="Open Sans" w:cs="Open Sans"/>
                <w:sz w:val="18"/>
                <w:szCs w:val="18"/>
              </w:rPr>
            </w:pPr>
            <w:r w:rsidRPr="00DE42A8">
              <w:rPr>
                <w:rFonts w:ascii="Open Sans" w:hAnsi="Open Sans" w:cs="Open Sans"/>
                <w:sz w:val="18"/>
                <w:szCs w:val="18"/>
              </w:rPr>
              <w:t>f</w:t>
            </w:r>
            <w:r w:rsidR="00D856E6" w:rsidRPr="00DE42A8">
              <w:rPr>
                <w:rFonts w:ascii="Open Sans" w:hAnsi="Open Sans" w:cs="Open Sans"/>
                <w:sz w:val="18"/>
                <w:szCs w:val="18"/>
              </w:rPr>
              <w:t xml:space="preserve">irst sitting day on or after 1 April 2027 </w:t>
            </w:r>
          </w:p>
        </w:tc>
      </w:tr>
    </w:tbl>
    <w:p w14:paraId="0DB7C824" w14:textId="46EAE39B" w:rsidR="006068C2" w:rsidRPr="003B4DF8" w:rsidRDefault="006068C2" w:rsidP="006068C2">
      <w:pPr>
        <w:pStyle w:val="BodyNum"/>
        <w:rPr>
          <w:rFonts w:ascii="Open Sans" w:hAnsi="Open Sans" w:cs="Open Sans"/>
          <w:sz w:val="22"/>
          <w:szCs w:val="22"/>
        </w:rPr>
      </w:pPr>
      <w:r w:rsidRPr="003B4DF8">
        <w:rPr>
          <w:rFonts w:ascii="Open Sans" w:hAnsi="Open Sans" w:cs="Open Sans"/>
          <w:sz w:val="22"/>
          <w:szCs w:val="22"/>
        </w:rPr>
        <w:t xml:space="preserve">Tabled lists are </w:t>
      </w:r>
      <w:r w:rsidR="00D3054F" w:rsidRPr="003B4DF8">
        <w:rPr>
          <w:rFonts w:ascii="Open Sans" w:hAnsi="Open Sans" w:cs="Open Sans"/>
          <w:sz w:val="22"/>
          <w:szCs w:val="22"/>
        </w:rPr>
        <w:t xml:space="preserve">made </w:t>
      </w:r>
      <w:r w:rsidRPr="003B4DF8">
        <w:rPr>
          <w:rFonts w:ascii="Open Sans" w:hAnsi="Open Sans" w:cs="Open Sans"/>
          <w:sz w:val="22"/>
          <w:szCs w:val="22"/>
        </w:rPr>
        <w:t xml:space="preserve">available on the </w:t>
      </w:r>
      <w:r w:rsidR="00D3054F" w:rsidRPr="003B4DF8">
        <w:rPr>
          <w:rFonts w:ascii="Open Sans" w:hAnsi="Open Sans" w:cs="Open Sans"/>
          <w:sz w:val="22"/>
          <w:szCs w:val="22"/>
        </w:rPr>
        <w:t xml:space="preserve">Federal </w:t>
      </w:r>
      <w:r w:rsidRPr="003B4DF8">
        <w:rPr>
          <w:rFonts w:ascii="Open Sans" w:hAnsi="Open Sans" w:cs="Open Sans"/>
          <w:sz w:val="22"/>
          <w:szCs w:val="22"/>
        </w:rPr>
        <w:t>Register</w:t>
      </w:r>
      <w:r w:rsidR="00D3054F" w:rsidRPr="003B4DF8">
        <w:rPr>
          <w:rFonts w:ascii="Open Sans" w:hAnsi="Open Sans" w:cs="Open Sans"/>
          <w:sz w:val="22"/>
          <w:szCs w:val="22"/>
        </w:rPr>
        <w:t xml:space="preserve"> of Legislation </w:t>
      </w:r>
      <w:r w:rsidRPr="003B4DF8">
        <w:rPr>
          <w:rFonts w:ascii="Open Sans" w:hAnsi="Open Sans" w:cs="Open Sans"/>
          <w:sz w:val="22"/>
          <w:szCs w:val="22"/>
        </w:rPr>
        <w:t>as soon as possible after tabling. OPC also provides the tabled list to each Departmental Secretary for distribution to each rule</w:t>
      </w:r>
      <w:r w:rsidR="00DF0CF5" w:rsidRPr="003B4DF8">
        <w:rPr>
          <w:rFonts w:ascii="Open Sans" w:hAnsi="Open Sans" w:cs="Open Sans"/>
          <w:sz w:val="22"/>
          <w:szCs w:val="22"/>
        </w:rPr>
        <w:noBreakHyphen/>
      </w:r>
      <w:r w:rsidRPr="003B4DF8">
        <w:rPr>
          <w:rFonts w:ascii="Open Sans" w:hAnsi="Open Sans" w:cs="Open Sans"/>
          <w:sz w:val="22"/>
          <w:szCs w:val="22"/>
        </w:rPr>
        <w:t>maker within the portfolio as soon as practicable after the list is tabled.</w:t>
      </w:r>
    </w:p>
    <w:p w14:paraId="5E85CF17" w14:textId="34045873" w:rsidR="006068C2" w:rsidRPr="003B4DF8" w:rsidRDefault="00D32EF6" w:rsidP="00C13E7B">
      <w:pPr>
        <w:pStyle w:val="BodyNum"/>
        <w:spacing w:after="240"/>
        <w:rPr>
          <w:rFonts w:ascii="Open Sans" w:hAnsi="Open Sans" w:cs="Open Sans"/>
          <w:sz w:val="22"/>
          <w:szCs w:val="22"/>
        </w:rPr>
      </w:pPr>
      <w:r w:rsidRPr="003B4DF8">
        <w:rPr>
          <w:rFonts w:ascii="Open Sans" w:hAnsi="Open Sans" w:cs="Open Sans"/>
          <w:sz w:val="22"/>
          <w:szCs w:val="22"/>
        </w:rPr>
        <w:t xml:space="preserve">Separately, </w:t>
      </w:r>
      <w:r w:rsidR="006068C2" w:rsidRPr="003B4DF8">
        <w:rPr>
          <w:rFonts w:ascii="Open Sans" w:hAnsi="Open Sans" w:cs="Open Sans"/>
          <w:sz w:val="22"/>
          <w:szCs w:val="22"/>
        </w:rPr>
        <w:t xml:space="preserve">OPC also provides a list of instruments due to sunset in 6 and 12 months to all agency Legislation Liaison Officers. This list is not tabled in each House of the Parliament but is provided for information only. This is so agencies can take into account any changes that have occurred </w:t>
      </w:r>
      <w:r w:rsidR="00326459" w:rsidRPr="003B4DF8">
        <w:rPr>
          <w:rFonts w:ascii="Open Sans" w:hAnsi="Open Sans" w:cs="Open Sans"/>
          <w:sz w:val="22"/>
          <w:szCs w:val="22"/>
        </w:rPr>
        <w:t xml:space="preserve">to the tabled </w:t>
      </w:r>
      <w:r w:rsidR="006068C2" w:rsidRPr="003B4DF8">
        <w:rPr>
          <w:rFonts w:ascii="Open Sans" w:hAnsi="Open Sans" w:cs="Open Sans"/>
          <w:sz w:val="22"/>
          <w:szCs w:val="22"/>
        </w:rPr>
        <w:t>list</w:t>
      </w:r>
      <w:r w:rsidR="00326459" w:rsidRPr="003B4DF8">
        <w:rPr>
          <w:rFonts w:ascii="Open Sans" w:hAnsi="Open Sans" w:cs="Open Sans"/>
          <w:sz w:val="22"/>
          <w:szCs w:val="22"/>
        </w:rPr>
        <w:t>,</w:t>
      </w:r>
      <w:r w:rsidR="006068C2" w:rsidRPr="003B4DF8">
        <w:rPr>
          <w:rFonts w:ascii="Open Sans" w:hAnsi="Open Sans" w:cs="Open Sans"/>
          <w:sz w:val="22"/>
          <w:szCs w:val="22"/>
        </w:rPr>
        <w:t xml:space="preserve"> and to assist agencies in managing their sunsetting instruments </w:t>
      </w:r>
      <w:r w:rsidR="00326459" w:rsidRPr="003B4DF8">
        <w:rPr>
          <w:rFonts w:ascii="Open Sans" w:hAnsi="Open Sans" w:cs="Open Sans"/>
          <w:sz w:val="22"/>
          <w:szCs w:val="22"/>
        </w:rPr>
        <w:t xml:space="preserve">by ensuring </w:t>
      </w:r>
      <w:r w:rsidR="006068C2" w:rsidRPr="003B4DF8">
        <w:rPr>
          <w:rFonts w:ascii="Open Sans" w:hAnsi="Open Sans" w:cs="Open Sans"/>
          <w:sz w:val="22"/>
          <w:szCs w:val="22"/>
        </w:rPr>
        <w:t>the timely remaking or repeal of sunsetting instruments.</w:t>
      </w:r>
    </w:p>
    <w:p w14:paraId="5DCAD61D" w14:textId="3E8EA0DB" w:rsidR="005824CC" w:rsidRPr="003B4DF8" w:rsidRDefault="00D16302" w:rsidP="003B4DF8">
      <w:pPr>
        <w:pStyle w:val="Heading2"/>
        <w:rPr>
          <w:rFonts w:ascii="Open Sans ExtraBold" w:hAnsi="Open Sans ExtraBold" w:cs="Open Sans ExtraBold"/>
          <w:color w:val="084D5E"/>
        </w:rPr>
      </w:pPr>
      <w:r w:rsidRPr="003B4DF8">
        <w:rPr>
          <w:rFonts w:ascii="Open Sans ExtraBold" w:hAnsi="Open Sans ExtraBold" w:cs="Open Sans ExtraBold"/>
          <w:color w:val="084D5E"/>
        </w:rPr>
        <w:t>Exemptions from sunsetting</w:t>
      </w:r>
    </w:p>
    <w:p w14:paraId="25C58968" w14:textId="1CC177EA" w:rsidR="00184E28" w:rsidRPr="003B4DF8" w:rsidRDefault="00184E28" w:rsidP="00AF5F4B">
      <w:pPr>
        <w:pStyle w:val="BodyNum"/>
        <w:rPr>
          <w:rFonts w:ascii="Open Sans" w:hAnsi="Open Sans" w:cs="Open Sans"/>
          <w:sz w:val="22"/>
          <w:szCs w:val="22"/>
        </w:rPr>
      </w:pPr>
      <w:r w:rsidRPr="003B4DF8">
        <w:rPr>
          <w:rFonts w:ascii="Open Sans" w:hAnsi="Open Sans" w:cs="Open Sans"/>
          <w:sz w:val="22"/>
          <w:szCs w:val="22"/>
        </w:rPr>
        <w:t>A</w:t>
      </w:r>
      <w:r w:rsidR="00AF5F4B" w:rsidRPr="003B4DF8">
        <w:rPr>
          <w:rFonts w:ascii="Open Sans" w:hAnsi="Open Sans" w:cs="Open Sans"/>
          <w:sz w:val="22"/>
          <w:szCs w:val="22"/>
        </w:rPr>
        <w:t>ll legislative instruments are subject to sunsetting unless</w:t>
      </w:r>
      <w:r w:rsidRPr="003B4DF8">
        <w:rPr>
          <w:rFonts w:ascii="Open Sans" w:hAnsi="Open Sans" w:cs="Open Sans"/>
          <w:sz w:val="22"/>
          <w:szCs w:val="22"/>
        </w:rPr>
        <w:t>:</w:t>
      </w:r>
    </w:p>
    <w:p w14:paraId="4EEF3210" w14:textId="50EFC8F7" w:rsidR="00693588" w:rsidRPr="003B4DF8" w:rsidRDefault="00693588" w:rsidP="00184E28">
      <w:pPr>
        <w:pStyle w:val="BodyParaBullet"/>
        <w:rPr>
          <w:rFonts w:ascii="Open Sans" w:hAnsi="Open Sans" w:cs="Open Sans"/>
          <w:sz w:val="22"/>
          <w:szCs w:val="22"/>
        </w:rPr>
      </w:pPr>
      <w:r w:rsidRPr="003B4DF8">
        <w:rPr>
          <w:rFonts w:ascii="Open Sans" w:hAnsi="Open Sans" w:cs="Open Sans"/>
          <w:sz w:val="22"/>
          <w:szCs w:val="22"/>
        </w:rPr>
        <w:t xml:space="preserve">the instrument relates to an intergovernmental body or scheme of a kind mentioned in subsection 54(1) of the </w:t>
      </w:r>
      <w:r w:rsidRPr="003B4DF8">
        <w:rPr>
          <w:rFonts w:ascii="Open Sans" w:hAnsi="Open Sans" w:cs="Open Sans"/>
          <w:i/>
          <w:iCs/>
          <w:sz w:val="22"/>
          <w:szCs w:val="22"/>
        </w:rPr>
        <w:t>Legislation Act</w:t>
      </w:r>
      <w:r w:rsidR="000A6F53" w:rsidRPr="003B4DF8">
        <w:rPr>
          <w:rFonts w:ascii="Open Sans" w:hAnsi="Open Sans" w:cs="Open Sans"/>
          <w:i/>
          <w:iCs/>
          <w:sz w:val="22"/>
          <w:szCs w:val="22"/>
        </w:rPr>
        <w:t xml:space="preserve"> 2003</w:t>
      </w:r>
      <w:r w:rsidRPr="003B4DF8">
        <w:rPr>
          <w:rFonts w:ascii="Open Sans" w:hAnsi="Open Sans" w:cs="Open Sans"/>
          <w:sz w:val="22"/>
          <w:szCs w:val="22"/>
        </w:rPr>
        <w:t>;</w:t>
      </w:r>
      <w:r w:rsidR="00F30197" w:rsidRPr="003B4DF8">
        <w:rPr>
          <w:rFonts w:ascii="Open Sans" w:hAnsi="Open Sans" w:cs="Open Sans"/>
          <w:sz w:val="22"/>
          <w:szCs w:val="22"/>
        </w:rPr>
        <w:t xml:space="preserve"> or</w:t>
      </w:r>
    </w:p>
    <w:p w14:paraId="2D94F130" w14:textId="2918DDB5" w:rsidR="00F30197" w:rsidRPr="003B4DF8" w:rsidRDefault="00693588" w:rsidP="00184E28">
      <w:pPr>
        <w:pStyle w:val="BodyParaBullet"/>
        <w:rPr>
          <w:rFonts w:ascii="Open Sans" w:hAnsi="Open Sans" w:cs="Open Sans"/>
          <w:sz w:val="22"/>
          <w:szCs w:val="22"/>
        </w:rPr>
      </w:pPr>
      <w:r w:rsidRPr="003B4DF8">
        <w:rPr>
          <w:rFonts w:ascii="Open Sans" w:hAnsi="Open Sans" w:cs="Open Sans"/>
          <w:sz w:val="22"/>
          <w:szCs w:val="22"/>
        </w:rPr>
        <w:t>the instrument is exemp</w:t>
      </w:r>
      <w:r w:rsidR="00F30197" w:rsidRPr="003B4DF8">
        <w:rPr>
          <w:rFonts w:ascii="Open Sans" w:hAnsi="Open Sans" w:cs="Open Sans"/>
          <w:sz w:val="22"/>
          <w:szCs w:val="22"/>
        </w:rPr>
        <w:t xml:space="preserve">t under section 11 or 12 of the </w:t>
      </w:r>
      <w:r w:rsidR="00F30197" w:rsidRPr="003B4DF8">
        <w:rPr>
          <w:rFonts w:ascii="Open Sans" w:hAnsi="Open Sans" w:cs="Open Sans"/>
          <w:i/>
          <w:iCs/>
          <w:sz w:val="22"/>
          <w:szCs w:val="22"/>
        </w:rPr>
        <w:t>Legislation (Exemptions and Other Matters</w:t>
      </w:r>
      <w:r w:rsidR="00C8098E" w:rsidRPr="003B4DF8">
        <w:rPr>
          <w:rFonts w:ascii="Open Sans" w:hAnsi="Open Sans" w:cs="Open Sans"/>
          <w:i/>
          <w:iCs/>
          <w:sz w:val="22"/>
          <w:szCs w:val="22"/>
        </w:rPr>
        <w:t>)</w:t>
      </w:r>
      <w:r w:rsidR="00F30197" w:rsidRPr="003B4DF8">
        <w:rPr>
          <w:rFonts w:ascii="Open Sans" w:hAnsi="Open Sans" w:cs="Open Sans"/>
          <w:i/>
          <w:iCs/>
          <w:sz w:val="22"/>
          <w:szCs w:val="22"/>
        </w:rPr>
        <w:t xml:space="preserve"> Regulation 2015</w:t>
      </w:r>
      <w:r w:rsidR="00F30197" w:rsidRPr="003B4DF8">
        <w:rPr>
          <w:rFonts w:ascii="Open Sans" w:hAnsi="Open Sans" w:cs="Open Sans"/>
          <w:sz w:val="22"/>
          <w:szCs w:val="22"/>
        </w:rPr>
        <w:t>; or</w:t>
      </w:r>
    </w:p>
    <w:p w14:paraId="5706FF3F" w14:textId="6A57C309" w:rsidR="00AF5F4B" w:rsidRPr="003B4DF8" w:rsidRDefault="00BE623A" w:rsidP="00184E28">
      <w:pPr>
        <w:pStyle w:val="BodyParaBullet"/>
        <w:rPr>
          <w:rFonts w:ascii="Open Sans" w:hAnsi="Open Sans" w:cs="Open Sans"/>
          <w:sz w:val="22"/>
          <w:szCs w:val="22"/>
        </w:rPr>
      </w:pPr>
      <w:r w:rsidRPr="003B4DF8">
        <w:rPr>
          <w:rFonts w:ascii="Open Sans" w:hAnsi="Open Sans" w:cs="Open Sans"/>
          <w:sz w:val="22"/>
          <w:szCs w:val="22"/>
        </w:rPr>
        <w:t xml:space="preserve">an Act </w:t>
      </w:r>
      <w:r w:rsidR="005543FD" w:rsidRPr="003B4DF8">
        <w:rPr>
          <w:rFonts w:ascii="Open Sans" w:hAnsi="Open Sans" w:cs="Open Sans"/>
          <w:sz w:val="22"/>
          <w:szCs w:val="22"/>
        </w:rPr>
        <w:t xml:space="preserve">exempts the instrument from </w:t>
      </w:r>
      <w:r w:rsidR="00AF5F4B" w:rsidRPr="003B4DF8">
        <w:rPr>
          <w:rFonts w:ascii="Open Sans" w:hAnsi="Open Sans" w:cs="Open Sans"/>
          <w:sz w:val="22"/>
          <w:szCs w:val="22"/>
        </w:rPr>
        <w:t>sunsetting.</w:t>
      </w:r>
    </w:p>
    <w:p w14:paraId="1C1B6D81" w14:textId="456E5665" w:rsidR="00CA29C3" w:rsidRPr="003B4DF8" w:rsidRDefault="005543FD" w:rsidP="005543FD">
      <w:pPr>
        <w:pStyle w:val="BodyNum"/>
        <w:rPr>
          <w:rFonts w:ascii="Open Sans" w:hAnsi="Open Sans" w:cs="Open Sans"/>
          <w:sz w:val="22"/>
          <w:szCs w:val="22"/>
        </w:rPr>
      </w:pPr>
      <w:r w:rsidRPr="003B4DF8">
        <w:rPr>
          <w:rFonts w:ascii="Open Sans" w:hAnsi="Open Sans" w:cs="Open Sans"/>
          <w:sz w:val="22"/>
          <w:szCs w:val="22"/>
        </w:rPr>
        <w:t>The formal policy approval of both the responsible Minister and the Attorney</w:t>
      </w:r>
      <w:r w:rsidR="00DF0CF5" w:rsidRPr="003B4DF8">
        <w:rPr>
          <w:rFonts w:ascii="Open Sans" w:hAnsi="Open Sans" w:cs="Open Sans"/>
          <w:sz w:val="22"/>
          <w:szCs w:val="22"/>
        </w:rPr>
        <w:noBreakHyphen/>
      </w:r>
      <w:r w:rsidRPr="003B4DF8">
        <w:rPr>
          <w:rFonts w:ascii="Open Sans" w:hAnsi="Open Sans" w:cs="Open Sans"/>
          <w:sz w:val="22"/>
          <w:szCs w:val="22"/>
        </w:rPr>
        <w:t>General is required to create a new exemption from sunsetting.</w:t>
      </w:r>
      <w:r w:rsidR="00DC688D" w:rsidRPr="003B4DF8">
        <w:rPr>
          <w:rFonts w:ascii="Open Sans" w:hAnsi="Open Sans" w:cs="Open Sans"/>
          <w:sz w:val="22"/>
          <w:szCs w:val="22"/>
        </w:rPr>
        <w:t xml:space="preserve"> </w:t>
      </w:r>
      <w:r w:rsidR="00BE52C4" w:rsidRPr="003B4DF8">
        <w:rPr>
          <w:rFonts w:ascii="Open Sans" w:hAnsi="Open Sans" w:cs="Open Sans"/>
          <w:sz w:val="22"/>
          <w:szCs w:val="22"/>
        </w:rPr>
        <w:t xml:space="preserve">The reason for the </w:t>
      </w:r>
      <w:r w:rsidR="00DC688D" w:rsidRPr="003B4DF8">
        <w:rPr>
          <w:rFonts w:ascii="Open Sans" w:hAnsi="Open Sans" w:cs="Open Sans"/>
          <w:sz w:val="22"/>
          <w:szCs w:val="22"/>
        </w:rPr>
        <w:t xml:space="preserve">exemption </w:t>
      </w:r>
      <w:r w:rsidR="00BE52C4" w:rsidRPr="003B4DF8">
        <w:rPr>
          <w:rFonts w:ascii="Open Sans" w:hAnsi="Open Sans" w:cs="Open Sans"/>
          <w:sz w:val="22"/>
          <w:szCs w:val="22"/>
        </w:rPr>
        <w:t xml:space="preserve">should be included in the explanatory materials for </w:t>
      </w:r>
      <w:r w:rsidR="00363363" w:rsidRPr="003B4DF8">
        <w:rPr>
          <w:rFonts w:ascii="Open Sans" w:hAnsi="Open Sans" w:cs="Open Sans"/>
          <w:sz w:val="22"/>
          <w:szCs w:val="22"/>
        </w:rPr>
        <w:t>the exemption.</w:t>
      </w:r>
    </w:p>
    <w:p w14:paraId="427B00AF" w14:textId="2EFF747F" w:rsidR="00AF5F4B" w:rsidRPr="003B4DF8" w:rsidRDefault="00AF5F4B" w:rsidP="00C13E7B">
      <w:pPr>
        <w:pStyle w:val="BodyNum"/>
        <w:spacing w:after="240"/>
        <w:rPr>
          <w:rFonts w:ascii="Open Sans" w:hAnsi="Open Sans" w:cs="Open Sans"/>
          <w:sz w:val="22"/>
          <w:szCs w:val="22"/>
        </w:rPr>
      </w:pPr>
      <w:r w:rsidRPr="003B4DF8">
        <w:rPr>
          <w:rFonts w:ascii="Open Sans" w:hAnsi="Open Sans" w:cs="Open Sans"/>
          <w:sz w:val="22"/>
          <w:szCs w:val="22"/>
        </w:rPr>
        <w:lastRenderedPageBreak/>
        <w:t>When an instrument is lodged for registration, the lodging agency is asked to certify whether an exemption from sunsetting applies and, if so, what legislation authorises the exemption.</w:t>
      </w:r>
    </w:p>
    <w:p w14:paraId="63232ED5" w14:textId="6B65969D" w:rsidR="00796ED4" w:rsidRPr="003B4DF8" w:rsidRDefault="00796ED4" w:rsidP="003B4DF8">
      <w:pPr>
        <w:pStyle w:val="Heading2"/>
        <w:rPr>
          <w:rFonts w:ascii="Open Sans ExtraBold" w:hAnsi="Open Sans ExtraBold" w:cs="Open Sans ExtraBold"/>
          <w:color w:val="084D5E"/>
        </w:rPr>
      </w:pPr>
      <w:r w:rsidRPr="003B4DF8">
        <w:rPr>
          <w:rFonts w:ascii="Open Sans ExtraBold" w:hAnsi="Open Sans ExtraBold" w:cs="Open Sans ExtraBold"/>
          <w:color w:val="084D5E"/>
        </w:rPr>
        <w:t>Key steps in a sunsetting rewrite project</w:t>
      </w:r>
    </w:p>
    <w:p w14:paraId="72B8910B" w14:textId="58B87038" w:rsidR="00835AAD" w:rsidRPr="003B4DF8" w:rsidRDefault="00796ED4" w:rsidP="00796ED4">
      <w:pPr>
        <w:pStyle w:val="BodyNum"/>
        <w:rPr>
          <w:rFonts w:ascii="Open Sans" w:hAnsi="Open Sans" w:cs="Open Sans"/>
          <w:sz w:val="22"/>
          <w:szCs w:val="22"/>
        </w:rPr>
      </w:pPr>
      <w:r w:rsidRPr="003B4DF8">
        <w:rPr>
          <w:rFonts w:ascii="Open Sans" w:hAnsi="Open Sans" w:cs="Open Sans"/>
        </w:rPr>
        <w:t>I</w:t>
      </w:r>
      <w:r w:rsidRPr="003B4DF8">
        <w:rPr>
          <w:rFonts w:ascii="Open Sans" w:hAnsi="Open Sans" w:cs="Open Sans"/>
          <w:sz w:val="22"/>
          <w:szCs w:val="22"/>
        </w:rPr>
        <w:t xml:space="preserve">nstructing agencies frequently underestimate the work involved, and time required, to effectively conduct a sunsetting rewrite project. </w:t>
      </w:r>
      <w:r w:rsidR="001E4220" w:rsidRPr="003B4DF8">
        <w:rPr>
          <w:rFonts w:ascii="Open Sans" w:hAnsi="Open Sans" w:cs="Open Sans"/>
          <w:sz w:val="22"/>
          <w:szCs w:val="22"/>
        </w:rPr>
        <w:t xml:space="preserve">OPC </w:t>
      </w:r>
      <w:r w:rsidR="00A5026F" w:rsidRPr="003B4DF8">
        <w:rPr>
          <w:rFonts w:ascii="Open Sans" w:hAnsi="Open Sans" w:cs="Open Sans"/>
          <w:sz w:val="22"/>
          <w:szCs w:val="22"/>
        </w:rPr>
        <w:t xml:space="preserve">has </w:t>
      </w:r>
      <w:r w:rsidR="008861F2" w:rsidRPr="003B4DF8">
        <w:rPr>
          <w:rFonts w:ascii="Open Sans" w:hAnsi="Open Sans" w:cs="Open Sans"/>
          <w:sz w:val="22"/>
          <w:szCs w:val="22"/>
        </w:rPr>
        <w:t xml:space="preserve">published the following </w:t>
      </w:r>
      <w:r w:rsidR="00835AAD" w:rsidRPr="003B4DF8">
        <w:rPr>
          <w:rFonts w:ascii="Open Sans" w:hAnsi="Open Sans" w:cs="Open Sans"/>
          <w:sz w:val="22"/>
          <w:szCs w:val="22"/>
        </w:rPr>
        <w:t xml:space="preserve">Instrument Drafting Guidance Notes </w:t>
      </w:r>
      <w:r w:rsidR="00A5026F" w:rsidRPr="003B4DF8">
        <w:rPr>
          <w:rFonts w:ascii="Open Sans" w:hAnsi="Open Sans" w:cs="Open Sans"/>
          <w:sz w:val="22"/>
          <w:szCs w:val="22"/>
        </w:rPr>
        <w:t xml:space="preserve">on its website </w:t>
      </w:r>
      <w:r w:rsidR="00835AAD" w:rsidRPr="003B4DF8">
        <w:rPr>
          <w:rFonts w:ascii="Open Sans" w:hAnsi="Open Sans" w:cs="Open Sans"/>
          <w:sz w:val="22"/>
          <w:szCs w:val="22"/>
        </w:rPr>
        <w:t xml:space="preserve">to assist instructing agencies </w:t>
      </w:r>
      <w:r w:rsidR="000A6F53" w:rsidRPr="003B4DF8">
        <w:rPr>
          <w:rFonts w:ascii="Open Sans" w:hAnsi="Open Sans" w:cs="Open Sans"/>
          <w:sz w:val="22"/>
          <w:szCs w:val="22"/>
        </w:rPr>
        <w:t xml:space="preserve">to plan </w:t>
      </w:r>
      <w:r w:rsidR="00835AAD" w:rsidRPr="003B4DF8">
        <w:rPr>
          <w:rFonts w:ascii="Open Sans" w:hAnsi="Open Sans" w:cs="Open Sans"/>
          <w:sz w:val="22"/>
          <w:szCs w:val="22"/>
        </w:rPr>
        <w:t>sunsetting rewrite projects:</w:t>
      </w:r>
    </w:p>
    <w:p w14:paraId="01987CD8" w14:textId="6533FDAA" w:rsidR="00835AAD" w:rsidRPr="003B4DF8" w:rsidRDefault="00835AAD" w:rsidP="00835AAD">
      <w:pPr>
        <w:pStyle w:val="BodyParaBullet"/>
        <w:rPr>
          <w:rFonts w:ascii="Open Sans" w:hAnsi="Open Sans" w:cs="Open Sans"/>
          <w:sz w:val="22"/>
          <w:szCs w:val="22"/>
        </w:rPr>
      </w:pPr>
      <w:r w:rsidRPr="003B4DF8">
        <w:rPr>
          <w:rFonts w:ascii="Open Sans" w:hAnsi="Open Sans" w:cs="Open Sans"/>
          <w:i/>
          <w:iCs/>
          <w:sz w:val="22"/>
          <w:szCs w:val="22"/>
        </w:rPr>
        <w:t xml:space="preserve">No. 1.2—Sunsetting </w:t>
      </w:r>
      <w:r w:rsidR="00F70BEB" w:rsidRPr="003B4DF8">
        <w:rPr>
          <w:rFonts w:ascii="Open Sans" w:hAnsi="Open Sans" w:cs="Open Sans"/>
          <w:i/>
          <w:iCs/>
          <w:sz w:val="22"/>
          <w:szCs w:val="22"/>
        </w:rPr>
        <w:t>c</w:t>
      </w:r>
      <w:r w:rsidRPr="003B4DF8">
        <w:rPr>
          <w:rFonts w:ascii="Open Sans" w:hAnsi="Open Sans" w:cs="Open Sans"/>
          <w:i/>
          <w:iCs/>
          <w:sz w:val="22"/>
          <w:szCs w:val="22"/>
        </w:rPr>
        <w:t>hecklist</w:t>
      </w:r>
      <w:r w:rsidRPr="003B4DF8">
        <w:rPr>
          <w:rFonts w:ascii="Open Sans" w:hAnsi="Open Sans" w:cs="Open Sans"/>
          <w:sz w:val="22"/>
          <w:szCs w:val="22"/>
        </w:rPr>
        <w:t>;</w:t>
      </w:r>
    </w:p>
    <w:p w14:paraId="6799CEE9" w14:textId="1BC554BD" w:rsidR="00F70BEB" w:rsidRPr="003B4DF8" w:rsidRDefault="00F70BEB" w:rsidP="00835AAD">
      <w:pPr>
        <w:pStyle w:val="BodyParaBullet"/>
        <w:rPr>
          <w:rFonts w:ascii="Open Sans" w:hAnsi="Open Sans" w:cs="Open Sans"/>
          <w:sz w:val="22"/>
          <w:szCs w:val="22"/>
        </w:rPr>
      </w:pPr>
      <w:r w:rsidRPr="003B4DF8">
        <w:rPr>
          <w:rFonts w:ascii="Open Sans" w:hAnsi="Open Sans" w:cs="Open Sans"/>
          <w:i/>
          <w:iCs/>
          <w:sz w:val="22"/>
          <w:szCs w:val="22"/>
        </w:rPr>
        <w:t>No. 1.3—Judging size and complexity for instrument projects</w:t>
      </w:r>
      <w:r w:rsidRPr="003B4DF8">
        <w:rPr>
          <w:rFonts w:ascii="Open Sans" w:hAnsi="Open Sans" w:cs="Open Sans"/>
          <w:sz w:val="22"/>
          <w:szCs w:val="22"/>
        </w:rPr>
        <w:t>;</w:t>
      </w:r>
    </w:p>
    <w:p w14:paraId="1DAE05F6" w14:textId="11F2CCED" w:rsidR="00F70BEB" w:rsidRPr="003B4DF8" w:rsidRDefault="00F70BEB" w:rsidP="00835AAD">
      <w:pPr>
        <w:pStyle w:val="BodyParaBullet"/>
        <w:rPr>
          <w:rFonts w:ascii="Open Sans" w:hAnsi="Open Sans" w:cs="Open Sans"/>
          <w:sz w:val="22"/>
          <w:szCs w:val="22"/>
        </w:rPr>
      </w:pPr>
      <w:r w:rsidRPr="003B4DF8">
        <w:rPr>
          <w:rFonts w:ascii="Open Sans" w:hAnsi="Open Sans" w:cs="Open Sans"/>
          <w:i/>
          <w:iCs/>
          <w:sz w:val="22"/>
          <w:szCs w:val="22"/>
        </w:rPr>
        <w:t xml:space="preserve">No. 1.4—Timeframes for the </w:t>
      </w:r>
      <w:r w:rsidR="000B678F" w:rsidRPr="003B4DF8">
        <w:rPr>
          <w:rFonts w:ascii="Open Sans" w:hAnsi="Open Sans" w:cs="Open Sans"/>
          <w:i/>
          <w:iCs/>
          <w:sz w:val="22"/>
          <w:szCs w:val="22"/>
        </w:rPr>
        <w:t>d</w:t>
      </w:r>
      <w:r w:rsidRPr="003B4DF8">
        <w:rPr>
          <w:rFonts w:ascii="Open Sans" w:hAnsi="Open Sans" w:cs="Open Sans"/>
          <w:i/>
          <w:iCs/>
          <w:sz w:val="22"/>
          <w:szCs w:val="22"/>
        </w:rPr>
        <w:t xml:space="preserve">evelopment of </w:t>
      </w:r>
      <w:r w:rsidR="000B678F" w:rsidRPr="003B4DF8">
        <w:rPr>
          <w:rFonts w:ascii="Open Sans" w:hAnsi="Open Sans" w:cs="Open Sans"/>
          <w:i/>
          <w:iCs/>
          <w:sz w:val="22"/>
          <w:szCs w:val="22"/>
        </w:rPr>
        <w:t>i</w:t>
      </w:r>
      <w:r w:rsidRPr="003B4DF8">
        <w:rPr>
          <w:rFonts w:ascii="Open Sans" w:hAnsi="Open Sans" w:cs="Open Sans"/>
          <w:i/>
          <w:iCs/>
          <w:sz w:val="22"/>
          <w:szCs w:val="22"/>
        </w:rPr>
        <w:t>nstruments</w:t>
      </w:r>
      <w:r w:rsidR="000B678F" w:rsidRPr="003B4DF8">
        <w:rPr>
          <w:rFonts w:ascii="Open Sans" w:hAnsi="Open Sans" w:cs="Open Sans"/>
          <w:sz w:val="22"/>
          <w:szCs w:val="22"/>
        </w:rPr>
        <w:t>.</w:t>
      </w:r>
    </w:p>
    <w:p w14:paraId="1F58D2A8" w14:textId="3CBD1C7F" w:rsidR="00796ED4" w:rsidRPr="003B4DF8" w:rsidRDefault="00796ED4" w:rsidP="00796ED4">
      <w:pPr>
        <w:pStyle w:val="BodyNum"/>
        <w:rPr>
          <w:rFonts w:ascii="Open Sans" w:hAnsi="Open Sans" w:cs="Open Sans"/>
          <w:sz w:val="22"/>
          <w:szCs w:val="22"/>
        </w:rPr>
      </w:pPr>
      <w:r w:rsidRPr="003B4DF8">
        <w:rPr>
          <w:rFonts w:ascii="Open Sans" w:hAnsi="Open Sans" w:cs="Open Sans"/>
          <w:sz w:val="22"/>
          <w:szCs w:val="22"/>
        </w:rPr>
        <w:t>The key steps in con</w:t>
      </w:r>
      <w:r w:rsidR="003C126D" w:rsidRPr="003B4DF8">
        <w:rPr>
          <w:rFonts w:ascii="Open Sans" w:hAnsi="Open Sans" w:cs="Open Sans"/>
          <w:sz w:val="22"/>
          <w:szCs w:val="22"/>
        </w:rPr>
        <w:t xml:space="preserve">ducting a </w:t>
      </w:r>
      <w:r w:rsidR="00A5026F" w:rsidRPr="003B4DF8">
        <w:rPr>
          <w:rFonts w:ascii="Open Sans" w:hAnsi="Open Sans" w:cs="Open Sans"/>
          <w:sz w:val="22"/>
          <w:szCs w:val="22"/>
        </w:rPr>
        <w:t xml:space="preserve">sunsetting rewrite </w:t>
      </w:r>
      <w:r w:rsidR="003C126D" w:rsidRPr="003B4DF8">
        <w:rPr>
          <w:rFonts w:ascii="Open Sans" w:hAnsi="Open Sans" w:cs="Open Sans"/>
          <w:sz w:val="22"/>
          <w:szCs w:val="22"/>
        </w:rPr>
        <w:t>project include the following:</w:t>
      </w:r>
    </w:p>
    <w:p w14:paraId="0982C871" w14:textId="6CB2DC00" w:rsidR="003C126D" w:rsidRPr="003B4DF8" w:rsidRDefault="003C126D" w:rsidP="003C126D">
      <w:pPr>
        <w:pStyle w:val="BodyParaBullet"/>
        <w:rPr>
          <w:rFonts w:ascii="Open Sans" w:hAnsi="Open Sans" w:cs="Open Sans"/>
          <w:sz w:val="22"/>
          <w:szCs w:val="22"/>
        </w:rPr>
      </w:pPr>
      <w:r w:rsidRPr="003B4DF8">
        <w:rPr>
          <w:rFonts w:ascii="Open Sans" w:hAnsi="Open Sans" w:cs="Open Sans"/>
          <w:sz w:val="22"/>
          <w:szCs w:val="22"/>
        </w:rPr>
        <w:t>reviewing the existing legislative instrument and considering its fitness for purpose;</w:t>
      </w:r>
    </w:p>
    <w:p w14:paraId="78B3B1C8" w14:textId="564A9E69" w:rsidR="003C126D" w:rsidRPr="003B4DF8" w:rsidRDefault="003C126D" w:rsidP="003C126D">
      <w:pPr>
        <w:pStyle w:val="BodyParaBullet"/>
        <w:rPr>
          <w:rFonts w:ascii="Open Sans" w:hAnsi="Open Sans" w:cs="Open Sans"/>
          <w:sz w:val="22"/>
          <w:szCs w:val="22"/>
        </w:rPr>
      </w:pPr>
      <w:r w:rsidRPr="003B4DF8">
        <w:rPr>
          <w:rFonts w:ascii="Open Sans" w:hAnsi="Open Sans" w:cs="Open Sans"/>
          <w:sz w:val="22"/>
          <w:szCs w:val="22"/>
        </w:rPr>
        <w:t>considering</w:t>
      </w:r>
      <w:r w:rsidR="002E7571" w:rsidRPr="003B4DF8">
        <w:rPr>
          <w:rFonts w:ascii="Open Sans" w:hAnsi="Open Sans" w:cs="Open Sans"/>
          <w:sz w:val="22"/>
          <w:szCs w:val="22"/>
        </w:rPr>
        <w:t xml:space="preserve"> </w:t>
      </w:r>
      <w:r w:rsidR="00D2364B" w:rsidRPr="003B4DF8">
        <w:rPr>
          <w:rFonts w:ascii="Open Sans" w:hAnsi="Open Sans" w:cs="Open Sans"/>
          <w:sz w:val="22"/>
          <w:szCs w:val="22"/>
        </w:rPr>
        <w:t>issues that have been raised in legal advices on the instrument</w:t>
      </w:r>
      <w:r w:rsidR="000A21D2" w:rsidRPr="003B4DF8">
        <w:rPr>
          <w:rFonts w:ascii="Open Sans" w:hAnsi="Open Sans" w:cs="Open Sans"/>
          <w:sz w:val="22"/>
          <w:szCs w:val="22"/>
        </w:rPr>
        <w:t>,</w:t>
      </w:r>
      <w:r w:rsidR="002E7571" w:rsidRPr="003B4DF8">
        <w:rPr>
          <w:rFonts w:ascii="Open Sans" w:hAnsi="Open Sans" w:cs="Open Sans"/>
          <w:sz w:val="22"/>
          <w:szCs w:val="22"/>
        </w:rPr>
        <w:t xml:space="preserve"> and working out how to address those issues</w:t>
      </w:r>
      <w:r w:rsidR="00D2364B" w:rsidRPr="003B4DF8">
        <w:rPr>
          <w:rFonts w:ascii="Open Sans" w:hAnsi="Open Sans" w:cs="Open Sans"/>
          <w:sz w:val="22"/>
          <w:szCs w:val="22"/>
        </w:rPr>
        <w:t>;</w:t>
      </w:r>
    </w:p>
    <w:p w14:paraId="66672EA0" w14:textId="59AFA33A" w:rsidR="00D2364B" w:rsidRPr="003B4DF8" w:rsidRDefault="00D2364B" w:rsidP="003C126D">
      <w:pPr>
        <w:pStyle w:val="BodyParaBullet"/>
        <w:rPr>
          <w:rFonts w:ascii="Open Sans" w:hAnsi="Open Sans" w:cs="Open Sans"/>
          <w:sz w:val="22"/>
          <w:szCs w:val="22"/>
        </w:rPr>
      </w:pPr>
      <w:r w:rsidRPr="003B4DF8">
        <w:rPr>
          <w:rFonts w:ascii="Open Sans" w:hAnsi="Open Sans" w:cs="Open Sans"/>
          <w:sz w:val="22"/>
          <w:szCs w:val="22"/>
        </w:rPr>
        <w:t>conducting appropriate consultation</w:t>
      </w:r>
      <w:r w:rsidR="006848A3" w:rsidRPr="003B4DF8">
        <w:rPr>
          <w:rFonts w:ascii="Open Sans" w:hAnsi="Open Sans" w:cs="Open Sans"/>
          <w:sz w:val="22"/>
          <w:szCs w:val="22"/>
        </w:rPr>
        <w:t xml:space="preserve"> on the policy to be incorporated in the new instrument;</w:t>
      </w:r>
    </w:p>
    <w:p w14:paraId="2CB172B5" w14:textId="3E2941A7" w:rsidR="006848A3" w:rsidRPr="003B4DF8" w:rsidRDefault="006848A3" w:rsidP="003C126D">
      <w:pPr>
        <w:pStyle w:val="BodyParaBullet"/>
        <w:rPr>
          <w:rFonts w:ascii="Open Sans" w:hAnsi="Open Sans" w:cs="Open Sans"/>
          <w:sz w:val="22"/>
          <w:szCs w:val="22"/>
        </w:rPr>
      </w:pPr>
      <w:r w:rsidRPr="003B4DF8">
        <w:rPr>
          <w:rFonts w:ascii="Open Sans" w:hAnsi="Open Sans" w:cs="Open Sans"/>
          <w:sz w:val="22"/>
          <w:szCs w:val="22"/>
        </w:rPr>
        <w:t>obtaining policy authority for the new instrument;</w:t>
      </w:r>
    </w:p>
    <w:p w14:paraId="17C77E28" w14:textId="5DE1DF53" w:rsidR="006848A3" w:rsidRPr="003B4DF8" w:rsidRDefault="006848A3" w:rsidP="003C126D">
      <w:pPr>
        <w:pStyle w:val="BodyParaBullet"/>
        <w:rPr>
          <w:rFonts w:ascii="Open Sans" w:hAnsi="Open Sans" w:cs="Open Sans"/>
          <w:sz w:val="22"/>
          <w:szCs w:val="22"/>
        </w:rPr>
      </w:pPr>
      <w:r w:rsidRPr="003B4DF8">
        <w:rPr>
          <w:rFonts w:ascii="Open Sans" w:hAnsi="Open Sans" w:cs="Open Sans"/>
          <w:sz w:val="22"/>
          <w:szCs w:val="22"/>
        </w:rPr>
        <w:t xml:space="preserve">for </w:t>
      </w:r>
      <w:r w:rsidR="00996180" w:rsidRPr="003B4DF8">
        <w:rPr>
          <w:rFonts w:ascii="Open Sans" w:hAnsi="Open Sans" w:cs="Open Sans"/>
          <w:sz w:val="22"/>
          <w:szCs w:val="22"/>
        </w:rPr>
        <w:t>an Executive Council instrument (e.g. regulations)—</w:t>
      </w:r>
      <w:r w:rsidR="005C5D6C" w:rsidRPr="003B4DF8">
        <w:rPr>
          <w:rFonts w:ascii="Open Sans" w:hAnsi="Open Sans" w:cs="Open Sans"/>
          <w:sz w:val="22"/>
          <w:szCs w:val="22"/>
        </w:rPr>
        <w:t>submitting a bid to OPC to get the instrument on the instrument</w:t>
      </w:r>
      <w:r w:rsidR="002E7571" w:rsidRPr="003B4DF8">
        <w:rPr>
          <w:rFonts w:ascii="Open Sans" w:hAnsi="Open Sans" w:cs="Open Sans"/>
          <w:sz w:val="22"/>
          <w:szCs w:val="22"/>
        </w:rPr>
        <w:t>s</w:t>
      </w:r>
      <w:r w:rsidR="005C5D6C" w:rsidRPr="003B4DF8">
        <w:rPr>
          <w:rFonts w:ascii="Open Sans" w:hAnsi="Open Sans" w:cs="Open Sans"/>
          <w:sz w:val="22"/>
          <w:szCs w:val="22"/>
        </w:rPr>
        <w:t xml:space="preserve"> </w:t>
      </w:r>
      <w:r w:rsidR="002E7571" w:rsidRPr="003B4DF8">
        <w:rPr>
          <w:rFonts w:ascii="Open Sans" w:hAnsi="Open Sans" w:cs="Open Sans"/>
          <w:sz w:val="22"/>
          <w:szCs w:val="22"/>
        </w:rPr>
        <w:t xml:space="preserve">drafting </w:t>
      </w:r>
      <w:r w:rsidR="005C5D6C" w:rsidRPr="003B4DF8">
        <w:rPr>
          <w:rFonts w:ascii="Open Sans" w:hAnsi="Open Sans" w:cs="Open Sans"/>
          <w:sz w:val="22"/>
          <w:szCs w:val="22"/>
        </w:rPr>
        <w:t xml:space="preserve">program </w:t>
      </w:r>
      <w:r w:rsidR="008861F2" w:rsidRPr="003B4DF8">
        <w:rPr>
          <w:rFonts w:ascii="Open Sans" w:hAnsi="Open Sans" w:cs="Open Sans"/>
          <w:sz w:val="22"/>
          <w:szCs w:val="22"/>
        </w:rPr>
        <w:t xml:space="preserve">so that </w:t>
      </w:r>
      <w:r w:rsidR="005C5D6C" w:rsidRPr="003B4DF8">
        <w:rPr>
          <w:rFonts w:ascii="Open Sans" w:hAnsi="Open Sans" w:cs="Open Sans"/>
          <w:sz w:val="22"/>
          <w:szCs w:val="22"/>
        </w:rPr>
        <w:t xml:space="preserve">drafting resources </w:t>
      </w:r>
      <w:r w:rsidR="008861F2" w:rsidRPr="003B4DF8">
        <w:rPr>
          <w:rFonts w:ascii="Open Sans" w:hAnsi="Open Sans" w:cs="Open Sans"/>
          <w:sz w:val="22"/>
          <w:szCs w:val="22"/>
        </w:rPr>
        <w:t xml:space="preserve">can be </w:t>
      </w:r>
      <w:r w:rsidR="005C5D6C" w:rsidRPr="003B4DF8">
        <w:rPr>
          <w:rFonts w:ascii="Open Sans" w:hAnsi="Open Sans" w:cs="Open Sans"/>
          <w:sz w:val="22"/>
          <w:szCs w:val="22"/>
        </w:rPr>
        <w:t>allocated to the instrument;</w:t>
      </w:r>
    </w:p>
    <w:p w14:paraId="1A8240F5" w14:textId="25586360" w:rsidR="007D595D" w:rsidRPr="003B4DF8" w:rsidRDefault="007D595D" w:rsidP="003C126D">
      <w:pPr>
        <w:pStyle w:val="BodyParaBullet"/>
        <w:rPr>
          <w:rFonts w:ascii="Open Sans" w:hAnsi="Open Sans" w:cs="Open Sans"/>
          <w:sz w:val="22"/>
          <w:szCs w:val="22"/>
        </w:rPr>
      </w:pPr>
      <w:r w:rsidRPr="003B4DF8">
        <w:rPr>
          <w:rFonts w:ascii="Open Sans" w:hAnsi="Open Sans" w:cs="Open Sans"/>
          <w:sz w:val="22"/>
          <w:szCs w:val="22"/>
        </w:rPr>
        <w:t>conducting consultation on an exposure draft</w:t>
      </w:r>
      <w:r w:rsidR="009E42B3" w:rsidRPr="003B4DF8">
        <w:rPr>
          <w:rFonts w:ascii="Open Sans" w:hAnsi="Open Sans" w:cs="Open Sans"/>
          <w:sz w:val="22"/>
          <w:szCs w:val="22"/>
        </w:rPr>
        <w:t xml:space="preserve"> of the instrument</w:t>
      </w:r>
      <w:r w:rsidRPr="003B4DF8">
        <w:rPr>
          <w:rFonts w:ascii="Open Sans" w:hAnsi="Open Sans" w:cs="Open Sans"/>
          <w:sz w:val="22"/>
          <w:szCs w:val="22"/>
        </w:rPr>
        <w:t>;</w:t>
      </w:r>
    </w:p>
    <w:p w14:paraId="098FFA0B" w14:textId="460E5C33" w:rsidR="009E42B3" w:rsidRPr="003B4DF8" w:rsidRDefault="009E42B3" w:rsidP="003C126D">
      <w:pPr>
        <w:pStyle w:val="BodyParaBullet"/>
        <w:rPr>
          <w:rFonts w:ascii="Open Sans" w:hAnsi="Open Sans" w:cs="Open Sans"/>
          <w:sz w:val="22"/>
          <w:szCs w:val="22"/>
        </w:rPr>
      </w:pPr>
      <w:r w:rsidRPr="003B4DF8">
        <w:rPr>
          <w:rFonts w:ascii="Open Sans" w:hAnsi="Open Sans" w:cs="Open Sans"/>
          <w:sz w:val="22"/>
          <w:szCs w:val="22"/>
        </w:rPr>
        <w:t>amending the draft instrument in response to consultation;</w:t>
      </w:r>
    </w:p>
    <w:p w14:paraId="7C3A68F2" w14:textId="256914E6" w:rsidR="007D595D" w:rsidRPr="003B4DF8" w:rsidRDefault="007D595D" w:rsidP="003C126D">
      <w:pPr>
        <w:pStyle w:val="BodyParaBullet"/>
        <w:rPr>
          <w:rFonts w:ascii="Open Sans" w:hAnsi="Open Sans" w:cs="Open Sans"/>
          <w:sz w:val="22"/>
          <w:szCs w:val="22"/>
        </w:rPr>
      </w:pPr>
      <w:r w:rsidRPr="003B4DF8">
        <w:rPr>
          <w:rFonts w:ascii="Open Sans" w:hAnsi="Open Sans" w:cs="Open Sans"/>
          <w:sz w:val="22"/>
          <w:szCs w:val="22"/>
        </w:rPr>
        <w:t>making and registering the new instrument in sufficient time to manage disallowance risk.</w:t>
      </w:r>
    </w:p>
    <w:p w14:paraId="777013C5" w14:textId="6230DA16" w:rsidR="007D595D" w:rsidRPr="003B4DF8" w:rsidRDefault="00260B9F" w:rsidP="007D595D">
      <w:pPr>
        <w:pStyle w:val="BodyNum"/>
        <w:rPr>
          <w:rFonts w:ascii="Open Sans" w:hAnsi="Open Sans" w:cs="Open Sans"/>
          <w:sz w:val="22"/>
          <w:szCs w:val="22"/>
        </w:rPr>
      </w:pPr>
      <w:r w:rsidRPr="003B4DF8">
        <w:rPr>
          <w:rFonts w:ascii="Open Sans" w:hAnsi="Open Sans" w:cs="Open Sans"/>
          <w:sz w:val="22"/>
          <w:szCs w:val="22"/>
        </w:rPr>
        <w:t xml:space="preserve">Agencies should </w:t>
      </w:r>
      <w:r w:rsidR="009E42B3" w:rsidRPr="003B4DF8">
        <w:rPr>
          <w:rFonts w:ascii="Open Sans" w:hAnsi="Open Sans" w:cs="Open Sans"/>
          <w:sz w:val="22"/>
          <w:szCs w:val="22"/>
        </w:rPr>
        <w:t xml:space="preserve">also </w:t>
      </w:r>
      <w:r w:rsidRPr="003B4DF8">
        <w:rPr>
          <w:rFonts w:ascii="Open Sans" w:hAnsi="Open Sans" w:cs="Open Sans"/>
          <w:sz w:val="22"/>
          <w:szCs w:val="22"/>
        </w:rPr>
        <w:t xml:space="preserve">expect that OPC will often suggest updates </w:t>
      </w:r>
      <w:r w:rsidR="001E4220" w:rsidRPr="003B4DF8">
        <w:rPr>
          <w:rFonts w:ascii="Open Sans" w:hAnsi="Open Sans" w:cs="Open Sans"/>
          <w:sz w:val="22"/>
          <w:szCs w:val="22"/>
        </w:rPr>
        <w:t>to the existing instrument during the drafting process to bring the new instrument into line with modern drafting standards.</w:t>
      </w:r>
    </w:p>
    <w:p w14:paraId="27D65C68" w14:textId="77777777" w:rsidR="008861F2" w:rsidRPr="003B4DF8" w:rsidRDefault="008861F2" w:rsidP="003B4DF8">
      <w:pPr>
        <w:pStyle w:val="Heading2"/>
        <w:rPr>
          <w:rFonts w:ascii="Open Sans ExtraBold" w:hAnsi="Open Sans ExtraBold" w:cs="Open Sans ExtraBold"/>
          <w:color w:val="084D5E"/>
        </w:rPr>
      </w:pPr>
      <w:r w:rsidRPr="003B4DF8">
        <w:rPr>
          <w:rFonts w:ascii="Open Sans ExtraBold" w:hAnsi="Open Sans ExtraBold" w:cs="Open Sans ExtraBold"/>
          <w:color w:val="084D5E"/>
        </w:rPr>
        <w:t>Particular issues in sunsetting rewrites</w:t>
      </w:r>
    </w:p>
    <w:p w14:paraId="65A3D733" w14:textId="77777777" w:rsidR="008861F2" w:rsidRPr="003B4DF8" w:rsidRDefault="008861F2" w:rsidP="008861F2">
      <w:pPr>
        <w:pStyle w:val="BodyNum"/>
        <w:rPr>
          <w:rFonts w:ascii="Open Sans" w:hAnsi="Open Sans" w:cs="Open Sans"/>
          <w:sz w:val="22"/>
          <w:szCs w:val="22"/>
        </w:rPr>
      </w:pPr>
      <w:r w:rsidRPr="003B4DF8">
        <w:rPr>
          <w:rFonts w:ascii="Open Sans" w:hAnsi="Open Sans" w:cs="Open Sans"/>
          <w:sz w:val="22"/>
          <w:szCs w:val="22"/>
        </w:rPr>
        <w:t>Particular attention should be paid if the sunsetting instrument:</w:t>
      </w:r>
    </w:p>
    <w:p w14:paraId="59839C10" w14:textId="77777777" w:rsidR="008861F2" w:rsidRPr="003B4DF8" w:rsidRDefault="008861F2" w:rsidP="008861F2">
      <w:pPr>
        <w:pStyle w:val="BodyParaBullet"/>
        <w:rPr>
          <w:rFonts w:ascii="Open Sans" w:hAnsi="Open Sans" w:cs="Open Sans"/>
          <w:sz w:val="22"/>
          <w:szCs w:val="22"/>
        </w:rPr>
      </w:pPr>
      <w:r w:rsidRPr="003B4DF8">
        <w:rPr>
          <w:rFonts w:ascii="Open Sans" w:hAnsi="Open Sans" w:cs="Open Sans"/>
          <w:sz w:val="22"/>
          <w:szCs w:val="22"/>
        </w:rPr>
        <w:t>enables the making of another instrument that is still in force; or</w:t>
      </w:r>
    </w:p>
    <w:p w14:paraId="2906F82B" w14:textId="67C457F7" w:rsidR="008861F2" w:rsidRPr="003B4DF8" w:rsidRDefault="008861F2" w:rsidP="008861F2">
      <w:pPr>
        <w:pStyle w:val="BodyParaBullet"/>
        <w:rPr>
          <w:rFonts w:ascii="Open Sans" w:hAnsi="Open Sans" w:cs="Open Sans"/>
          <w:sz w:val="22"/>
          <w:szCs w:val="22"/>
        </w:rPr>
      </w:pPr>
      <w:r w:rsidRPr="003B4DF8">
        <w:rPr>
          <w:rFonts w:ascii="Open Sans" w:hAnsi="Open Sans" w:cs="Open Sans"/>
          <w:sz w:val="22"/>
          <w:szCs w:val="22"/>
        </w:rPr>
        <w:lastRenderedPageBreak/>
        <w:t xml:space="preserve">incorporates </w:t>
      </w:r>
      <w:r w:rsidR="00895E1D" w:rsidRPr="003B4DF8">
        <w:rPr>
          <w:rFonts w:ascii="Open Sans" w:hAnsi="Open Sans" w:cs="Open Sans"/>
          <w:sz w:val="22"/>
          <w:szCs w:val="22"/>
        </w:rPr>
        <w:t xml:space="preserve">by reference </w:t>
      </w:r>
      <w:r w:rsidRPr="003B4DF8">
        <w:rPr>
          <w:rFonts w:ascii="Open Sans" w:hAnsi="Open Sans" w:cs="Open Sans"/>
          <w:sz w:val="22"/>
          <w:szCs w:val="22"/>
        </w:rPr>
        <w:t>documents other than Commonwealth Acts or disallowable legislative instruments; or</w:t>
      </w:r>
    </w:p>
    <w:p w14:paraId="0B6B41BF" w14:textId="77777777" w:rsidR="008861F2" w:rsidRPr="003B4DF8" w:rsidRDefault="008861F2" w:rsidP="008861F2">
      <w:pPr>
        <w:pStyle w:val="BodyParaBullet"/>
        <w:rPr>
          <w:rFonts w:ascii="Open Sans" w:hAnsi="Open Sans" w:cs="Open Sans"/>
          <w:sz w:val="22"/>
          <w:szCs w:val="22"/>
        </w:rPr>
      </w:pPr>
      <w:r w:rsidRPr="003B4DF8">
        <w:rPr>
          <w:rFonts w:ascii="Open Sans" w:hAnsi="Open Sans" w:cs="Open Sans"/>
          <w:sz w:val="22"/>
          <w:szCs w:val="22"/>
        </w:rPr>
        <w:t xml:space="preserve">is cited in other legislation that is in force; or </w:t>
      </w:r>
    </w:p>
    <w:p w14:paraId="2CC5F1BD" w14:textId="77777777" w:rsidR="008861F2" w:rsidRPr="003B4DF8" w:rsidRDefault="008861F2" w:rsidP="008861F2">
      <w:pPr>
        <w:pStyle w:val="BodyParaBullet"/>
        <w:rPr>
          <w:rFonts w:ascii="Open Sans" w:hAnsi="Open Sans" w:cs="Open Sans"/>
          <w:sz w:val="22"/>
          <w:szCs w:val="22"/>
        </w:rPr>
      </w:pPr>
      <w:r w:rsidRPr="003B4DF8">
        <w:rPr>
          <w:rFonts w:ascii="Open Sans" w:hAnsi="Open Sans" w:cs="Open Sans"/>
          <w:sz w:val="22"/>
          <w:szCs w:val="22"/>
        </w:rPr>
        <w:t>deals with a criminal offence, civil penalty or related enforcement issue; or</w:t>
      </w:r>
    </w:p>
    <w:p w14:paraId="40D79FB9" w14:textId="3C21641E" w:rsidR="008861F2" w:rsidRPr="003B4DF8" w:rsidRDefault="008861F2" w:rsidP="00C13E7B">
      <w:pPr>
        <w:pStyle w:val="BodyParaBullet"/>
        <w:spacing w:after="240"/>
        <w:rPr>
          <w:rFonts w:ascii="Open Sans" w:hAnsi="Open Sans" w:cs="Open Sans"/>
          <w:sz w:val="22"/>
          <w:szCs w:val="22"/>
        </w:rPr>
      </w:pPr>
      <w:r w:rsidRPr="003B4DF8">
        <w:rPr>
          <w:rFonts w:ascii="Open Sans" w:hAnsi="Open Sans" w:cs="Open Sans"/>
          <w:sz w:val="22"/>
          <w:szCs w:val="22"/>
        </w:rPr>
        <w:t>contains gender</w:t>
      </w:r>
      <w:r w:rsidR="00DF0CF5" w:rsidRPr="003B4DF8">
        <w:rPr>
          <w:rFonts w:ascii="Open Sans" w:hAnsi="Open Sans" w:cs="Open Sans"/>
          <w:sz w:val="22"/>
          <w:szCs w:val="22"/>
        </w:rPr>
        <w:noBreakHyphen/>
      </w:r>
      <w:r w:rsidRPr="003B4DF8">
        <w:rPr>
          <w:rFonts w:ascii="Open Sans" w:hAnsi="Open Sans" w:cs="Open Sans"/>
          <w:sz w:val="22"/>
          <w:szCs w:val="22"/>
        </w:rPr>
        <w:t>specific language.</w:t>
      </w:r>
    </w:p>
    <w:p w14:paraId="6366FA07" w14:textId="7B3E6F97" w:rsidR="00375910" w:rsidRPr="003B4DF8" w:rsidRDefault="00EE661B" w:rsidP="003B4DF8">
      <w:pPr>
        <w:pStyle w:val="Heading2"/>
        <w:rPr>
          <w:rFonts w:ascii="Open Sans ExtraBold" w:hAnsi="Open Sans ExtraBold" w:cs="Open Sans ExtraBold"/>
          <w:color w:val="084D5E"/>
        </w:rPr>
      </w:pPr>
      <w:r w:rsidRPr="003B4DF8">
        <w:rPr>
          <w:rFonts w:ascii="Open Sans ExtraBold" w:hAnsi="Open Sans ExtraBold" w:cs="Open Sans ExtraBold"/>
          <w:color w:val="084D5E"/>
        </w:rPr>
        <w:t>Attorney</w:t>
      </w:r>
      <w:r w:rsidR="00DF0CF5" w:rsidRPr="003B4DF8">
        <w:rPr>
          <w:rFonts w:ascii="Open Sans ExtraBold" w:hAnsi="Open Sans ExtraBold" w:cs="Open Sans ExtraBold"/>
          <w:color w:val="084D5E"/>
        </w:rPr>
        <w:noBreakHyphen/>
      </w:r>
      <w:r w:rsidRPr="003B4DF8">
        <w:rPr>
          <w:rFonts w:ascii="Open Sans ExtraBold" w:hAnsi="Open Sans ExtraBold" w:cs="Open Sans ExtraBold"/>
          <w:color w:val="084D5E"/>
        </w:rPr>
        <w:t xml:space="preserve">General’s deferral of </w:t>
      </w:r>
      <w:r w:rsidR="00C8098E" w:rsidRPr="003B4DF8">
        <w:rPr>
          <w:rFonts w:ascii="Open Sans ExtraBold" w:hAnsi="Open Sans ExtraBold" w:cs="Open Sans ExtraBold"/>
          <w:color w:val="084D5E"/>
        </w:rPr>
        <w:t>sunsetting</w:t>
      </w:r>
    </w:p>
    <w:p w14:paraId="630B38A0" w14:textId="6FC5658C" w:rsidR="002D0EDF" w:rsidRPr="003B4DF8" w:rsidRDefault="00176E5F" w:rsidP="00176E5F">
      <w:pPr>
        <w:pStyle w:val="BodyNum"/>
        <w:rPr>
          <w:rFonts w:ascii="Open Sans" w:hAnsi="Open Sans" w:cs="Open Sans"/>
          <w:sz w:val="22"/>
          <w:szCs w:val="22"/>
        </w:rPr>
      </w:pPr>
      <w:r w:rsidRPr="003B4DF8">
        <w:rPr>
          <w:rFonts w:ascii="Open Sans" w:hAnsi="Open Sans" w:cs="Open Sans"/>
          <w:sz w:val="22"/>
          <w:szCs w:val="22"/>
        </w:rPr>
        <w:t>If the Attorney</w:t>
      </w:r>
      <w:r w:rsidR="00DF0CF5" w:rsidRPr="003B4DF8">
        <w:rPr>
          <w:rFonts w:ascii="Open Sans" w:hAnsi="Open Sans" w:cs="Open Sans"/>
          <w:sz w:val="22"/>
          <w:szCs w:val="22"/>
        </w:rPr>
        <w:noBreakHyphen/>
      </w:r>
      <w:r w:rsidRPr="003B4DF8">
        <w:rPr>
          <w:rFonts w:ascii="Open Sans" w:hAnsi="Open Sans" w:cs="Open Sans"/>
          <w:sz w:val="22"/>
          <w:szCs w:val="22"/>
        </w:rPr>
        <w:t xml:space="preserve">General is satisfied that the statutory conditions in section 51 of the </w:t>
      </w:r>
      <w:r w:rsidR="00515567" w:rsidRPr="003B4DF8">
        <w:rPr>
          <w:rFonts w:ascii="Open Sans" w:hAnsi="Open Sans" w:cs="Open Sans"/>
          <w:i/>
          <w:iCs/>
          <w:sz w:val="22"/>
          <w:szCs w:val="22"/>
        </w:rPr>
        <w:t>Legislation Act 2003</w:t>
      </w:r>
      <w:r w:rsidRPr="003B4DF8">
        <w:rPr>
          <w:rFonts w:ascii="Open Sans" w:hAnsi="Open Sans" w:cs="Open Sans"/>
          <w:sz w:val="22"/>
          <w:szCs w:val="22"/>
        </w:rPr>
        <w:t xml:space="preserve"> are met, an instrument’s sunset</w:t>
      </w:r>
      <w:r w:rsidR="00245E40" w:rsidRPr="003B4DF8">
        <w:rPr>
          <w:rFonts w:ascii="Open Sans" w:hAnsi="Open Sans" w:cs="Open Sans"/>
          <w:sz w:val="22"/>
          <w:szCs w:val="22"/>
        </w:rPr>
        <w:t>ting</w:t>
      </w:r>
      <w:r w:rsidRPr="003B4DF8">
        <w:rPr>
          <w:rFonts w:ascii="Open Sans" w:hAnsi="Open Sans" w:cs="Open Sans"/>
          <w:sz w:val="22"/>
          <w:szCs w:val="22"/>
        </w:rPr>
        <w:t xml:space="preserve"> date can be deferred for</w:t>
      </w:r>
      <w:r w:rsidR="00515567" w:rsidRPr="003B4DF8">
        <w:rPr>
          <w:rFonts w:ascii="Open Sans" w:hAnsi="Open Sans" w:cs="Open Sans"/>
          <w:sz w:val="22"/>
          <w:szCs w:val="22"/>
        </w:rPr>
        <w:t xml:space="preserve"> up to 2 years</w:t>
      </w:r>
      <w:r w:rsidRPr="003B4DF8">
        <w:rPr>
          <w:rFonts w:ascii="Open Sans" w:hAnsi="Open Sans" w:cs="Open Sans"/>
          <w:sz w:val="22"/>
          <w:szCs w:val="22"/>
        </w:rPr>
        <w:t xml:space="preserve"> by means of a certificate made under that section.</w:t>
      </w:r>
    </w:p>
    <w:p w14:paraId="3ED54E57" w14:textId="23CD3E1E" w:rsidR="00FA3168" w:rsidRPr="003B4DF8" w:rsidRDefault="00690772" w:rsidP="00176E5F">
      <w:pPr>
        <w:pStyle w:val="BodyNum"/>
        <w:rPr>
          <w:rFonts w:ascii="Open Sans" w:hAnsi="Open Sans" w:cs="Open Sans"/>
          <w:sz w:val="22"/>
          <w:szCs w:val="22"/>
        </w:rPr>
      </w:pPr>
      <w:r w:rsidRPr="003B4DF8">
        <w:rPr>
          <w:rFonts w:ascii="Open Sans" w:hAnsi="Open Sans" w:cs="Open Sans"/>
          <w:sz w:val="22"/>
          <w:szCs w:val="22"/>
        </w:rPr>
        <w:t>T</w:t>
      </w:r>
      <w:r w:rsidR="00FA3168" w:rsidRPr="003B4DF8">
        <w:rPr>
          <w:rFonts w:ascii="Open Sans" w:hAnsi="Open Sans" w:cs="Open Sans"/>
          <w:sz w:val="22"/>
          <w:szCs w:val="22"/>
        </w:rPr>
        <w:t xml:space="preserve">he process for obtaining such a </w:t>
      </w:r>
      <w:r w:rsidR="002D0EDF" w:rsidRPr="003B4DF8">
        <w:rPr>
          <w:rFonts w:ascii="Open Sans" w:hAnsi="Open Sans" w:cs="Open Sans"/>
          <w:sz w:val="22"/>
          <w:szCs w:val="22"/>
        </w:rPr>
        <w:t>deferral</w:t>
      </w:r>
      <w:r w:rsidRPr="003B4DF8">
        <w:rPr>
          <w:rFonts w:ascii="Open Sans" w:hAnsi="Open Sans" w:cs="Open Sans"/>
          <w:sz w:val="22"/>
          <w:szCs w:val="22"/>
        </w:rPr>
        <w:t xml:space="preserve"> is as follows</w:t>
      </w:r>
      <w:r w:rsidR="00FA3168" w:rsidRPr="003B4DF8">
        <w:rPr>
          <w:rFonts w:ascii="Open Sans" w:hAnsi="Open Sans" w:cs="Open Sans"/>
          <w:sz w:val="22"/>
          <w:szCs w:val="22"/>
        </w:rPr>
        <w:t>:</w:t>
      </w:r>
    </w:p>
    <w:p w14:paraId="5360E8C3" w14:textId="1B958215" w:rsidR="00FA3168" w:rsidRPr="003B4DF8" w:rsidRDefault="00176E5F" w:rsidP="00FA3168">
      <w:pPr>
        <w:pStyle w:val="BodyParaBullet"/>
        <w:rPr>
          <w:rFonts w:ascii="Open Sans" w:hAnsi="Open Sans" w:cs="Open Sans"/>
          <w:sz w:val="22"/>
          <w:szCs w:val="22"/>
        </w:rPr>
      </w:pPr>
      <w:r w:rsidRPr="003B4DF8">
        <w:rPr>
          <w:rFonts w:ascii="Open Sans" w:hAnsi="Open Sans" w:cs="Open Sans"/>
          <w:sz w:val="22"/>
          <w:szCs w:val="22"/>
        </w:rPr>
        <w:t>the responsible rule</w:t>
      </w:r>
      <w:r w:rsidR="00DF0CF5" w:rsidRPr="003B4DF8">
        <w:rPr>
          <w:rFonts w:ascii="Open Sans" w:hAnsi="Open Sans" w:cs="Open Sans"/>
          <w:sz w:val="22"/>
          <w:szCs w:val="22"/>
        </w:rPr>
        <w:noBreakHyphen/>
      </w:r>
      <w:r w:rsidRPr="003B4DF8">
        <w:rPr>
          <w:rFonts w:ascii="Open Sans" w:hAnsi="Open Sans" w:cs="Open Sans"/>
          <w:sz w:val="22"/>
          <w:szCs w:val="22"/>
        </w:rPr>
        <w:t>maker appl</w:t>
      </w:r>
      <w:r w:rsidR="00FA3168" w:rsidRPr="003B4DF8">
        <w:rPr>
          <w:rFonts w:ascii="Open Sans" w:hAnsi="Open Sans" w:cs="Open Sans"/>
          <w:sz w:val="22"/>
          <w:szCs w:val="22"/>
        </w:rPr>
        <w:t>ies</w:t>
      </w:r>
      <w:r w:rsidRPr="003B4DF8">
        <w:rPr>
          <w:rFonts w:ascii="Open Sans" w:hAnsi="Open Sans" w:cs="Open Sans"/>
          <w:sz w:val="22"/>
          <w:szCs w:val="22"/>
        </w:rPr>
        <w:t xml:space="preserve"> to the Attorney</w:t>
      </w:r>
      <w:r w:rsidR="00DF0CF5" w:rsidRPr="003B4DF8">
        <w:rPr>
          <w:rFonts w:ascii="Open Sans" w:hAnsi="Open Sans" w:cs="Open Sans"/>
          <w:sz w:val="22"/>
          <w:szCs w:val="22"/>
        </w:rPr>
        <w:noBreakHyphen/>
      </w:r>
      <w:r w:rsidRPr="003B4DF8">
        <w:rPr>
          <w:rFonts w:ascii="Open Sans" w:hAnsi="Open Sans" w:cs="Open Sans"/>
          <w:sz w:val="22"/>
          <w:szCs w:val="22"/>
        </w:rPr>
        <w:t>General in writing;</w:t>
      </w:r>
    </w:p>
    <w:p w14:paraId="1EAD9CA6" w14:textId="535CCDD9" w:rsidR="00FA3168" w:rsidRPr="003B4DF8" w:rsidRDefault="00FA3168" w:rsidP="00FA3168">
      <w:pPr>
        <w:pStyle w:val="BodyParaBullet"/>
        <w:rPr>
          <w:rFonts w:ascii="Open Sans" w:hAnsi="Open Sans" w:cs="Open Sans"/>
          <w:sz w:val="22"/>
          <w:szCs w:val="22"/>
        </w:rPr>
      </w:pPr>
      <w:r w:rsidRPr="003B4DF8">
        <w:rPr>
          <w:rFonts w:ascii="Open Sans" w:hAnsi="Open Sans" w:cs="Open Sans"/>
          <w:sz w:val="22"/>
          <w:szCs w:val="22"/>
        </w:rPr>
        <w:t>the Attorney</w:t>
      </w:r>
      <w:r w:rsidR="00DF0CF5" w:rsidRPr="003B4DF8">
        <w:rPr>
          <w:rFonts w:ascii="Open Sans" w:hAnsi="Open Sans" w:cs="Open Sans"/>
          <w:sz w:val="22"/>
          <w:szCs w:val="22"/>
        </w:rPr>
        <w:noBreakHyphen/>
      </w:r>
      <w:r w:rsidRPr="003B4DF8">
        <w:rPr>
          <w:rFonts w:ascii="Open Sans" w:hAnsi="Open Sans" w:cs="Open Sans"/>
          <w:sz w:val="22"/>
          <w:szCs w:val="22"/>
        </w:rPr>
        <w:t>General must be satisfied that the instrument meets the statutory conditions in section 51;</w:t>
      </w:r>
    </w:p>
    <w:p w14:paraId="24015942" w14:textId="21E2869D" w:rsidR="00FA3168" w:rsidRPr="003B4DF8" w:rsidRDefault="00BA1AC1" w:rsidP="00FA3168">
      <w:pPr>
        <w:pStyle w:val="BodyParaBullet"/>
        <w:rPr>
          <w:rFonts w:ascii="Open Sans" w:hAnsi="Open Sans" w:cs="Open Sans"/>
          <w:sz w:val="22"/>
          <w:szCs w:val="22"/>
        </w:rPr>
      </w:pPr>
      <w:r w:rsidRPr="003B4DF8">
        <w:rPr>
          <w:rFonts w:ascii="Open Sans" w:hAnsi="Open Sans" w:cs="Open Sans"/>
          <w:sz w:val="22"/>
          <w:szCs w:val="22"/>
        </w:rPr>
        <w:t>the Attorney</w:t>
      </w:r>
      <w:r w:rsidR="00DF0CF5" w:rsidRPr="003B4DF8">
        <w:rPr>
          <w:rFonts w:ascii="Open Sans" w:hAnsi="Open Sans" w:cs="Open Sans"/>
          <w:sz w:val="22"/>
          <w:szCs w:val="22"/>
        </w:rPr>
        <w:noBreakHyphen/>
      </w:r>
      <w:r w:rsidRPr="003B4DF8">
        <w:rPr>
          <w:rFonts w:ascii="Open Sans" w:hAnsi="Open Sans" w:cs="Open Sans"/>
          <w:sz w:val="22"/>
          <w:szCs w:val="22"/>
        </w:rPr>
        <w:t>General makes a certificate that is itself a legislative instrument that must be registered (</w:t>
      </w:r>
      <w:r w:rsidR="00EE661B" w:rsidRPr="003B4DF8">
        <w:rPr>
          <w:rFonts w:ascii="Open Sans" w:hAnsi="Open Sans" w:cs="Open Sans"/>
          <w:sz w:val="22"/>
          <w:szCs w:val="22"/>
        </w:rPr>
        <w:t xml:space="preserve">however, </w:t>
      </w:r>
      <w:r w:rsidR="005D0578" w:rsidRPr="003B4DF8">
        <w:rPr>
          <w:rFonts w:ascii="Open Sans" w:hAnsi="Open Sans" w:cs="Open Sans"/>
          <w:sz w:val="22"/>
          <w:szCs w:val="22"/>
        </w:rPr>
        <w:t xml:space="preserve">note that </w:t>
      </w:r>
      <w:r w:rsidRPr="003B4DF8">
        <w:rPr>
          <w:rFonts w:ascii="Open Sans" w:hAnsi="Open Sans" w:cs="Open Sans"/>
          <w:sz w:val="22"/>
          <w:szCs w:val="22"/>
        </w:rPr>
        <w:t>a certificate of deferral for 6 or 12 months is exempt from disallowance)</w:t>
      </w:r>
      <w:r w:rsidR="00EE661B" w:rsidRPr="003B4DF8">
        <w:rPr>
          <w:rFonts w:ascii="Open Sans" w:hAnsi="Open Sans" w:cs="Open Sans"/>
          <w:sz w:val="22"/>
          <w:szCs w:val="22"/>
        </w:rPr>
        <w:t>.</w:t>
      </w:r>
    </w:p>
    <w:p w14:paraId="7D754584" w14:textId="1523324C" w:rsidR="00EE661B" w:rsidRPr="003B4DF8" w:rsidRDefault="00EE661B" w:rsidP="00C13E7B">
      <w:pPr>
        <w:pStyle w:val="BodyNum"/>
        <w:spacing w:after="240"/>
        <w:rPr>
          <w:rFonts w:ascii="Open Sans" w:hAnsi="Open Sans" w:cs="Open Sans"/>
          <w:sz w:val="22"/>
          <w:szCs w:val="22"/>
        </w:rPr>
      </w:pPr>
      <w:r w:rsidRPr="003B4DF8">
        <w:rPr>
          <w:rFonts w:ascii="Open Sans" w:hAnsi="Open Sans" w:cs="Open Sans"/>
          <w:sz w:val="22"/>
          <w:szCs w:val="22"/>
        </w:rPr>
        <w:t xml:space="preserve">The explanatory statement for the certificate must include a statement of reasons for the issue of the certificate. </w:t>
      </w:r>
      <w:r w:rsidR="00690772" w:rsidRPr="003B4DF8">
        <w:rPr>
          <w:rFonts w:ascii="Open Sans" w:hAnsi="Open Sans" w:cs="Open Sans"/>
          <w:sz w:val="22"/>
          <w:szCs w:val="22"/>
        </w:rPr>
        <w:t>A certificate cannot operate retrospectively by reviving an instrument that has already sunsetted, so it must be prepared, signed, and registered before the relevant sunset</w:t>
      </w:r>
      <w:r w:rsidR="00245E40" w:rsidRPr="003B4DF8">
        <w:rPr>
          <w:rFonts w:ascii="Open Sans" w:hAnsi="Open Sans" w:cs="Open Sans"/>
          <w:sz w:val="22"/>
          <w:szCs w:val="22"/>
        </w:rPr>
        <w:t>ting</w:t>
      </w:r>
      <w:r w:rsidR="00690772" w:rsidRPr="003B4DF8">
        <w:rPr>
          <w:rFonts w:ascii="Open Sans" w:hAnsi="Open Sans" w:cs="Open Sans"/>
          <w:sz w:val="22"/>
          <w:szCs w:val="22"/>
        </w:rPr>
        <w:t xml:space="preserve"> date to be effective.</w:t>
      </w:r>
    </w:p>
    <w:p w14:paraId="5E7825A7" w14:textId="3D09E8CF" w:rsidR="0091594E" w:rsidRPr="003B4DF8" w:rsidRDefault="0091594E" w:rsidP="003B4DF8">
      <w:pPr>
        <w:pStyle w:val="Heading2"/>
        <w:rPr>
          <w:rFonts w:ascii="Open Sans ExtraBold" w:hAnsi="Open Sans ExtraBold" w:cs="Open Sans ExtraBold"/>
          <w:color w:val="084D5E"/>
        </w:rPr>
      </w:pPr>
      <w:r w:rsidRPr="003B4DF8">
        <w:rPr>
          <w:rFonts w:ascii="Open Sans ExtraBold" w:hAnsi="Open Sans ExtraBold" w:cs="Open Sans ExtraBold"/>
          <w:color w:val="084D5E"/>
        </w:rPr>
        <w:t>Alignment of sunset</w:t>
      </w:r>
      <w:r w:rsidR="00245E40" w:rsidRPr="003B4DF8">
        <w:rPr>
          <w:rFonts w:ascii="Open Sans ExtraBold" w:hAnsi="Open Sans ExtraBold" w:cs="Open Sans ExtraBold"/>
          <w:color w:val="084D5E"/>
        </w:rPr>
        <w:t>ting</w:t>
      </w:r>
      <w:r w:rsidRPr="003B4DF8">
        <w:rPr>
          <w:rFonts w:ascii="Open Sans ExtraBold" w:hAnsi="Open Sans ExtraBold" w:cs="Open Sans ExtraBold"/>
          <w:color w:val="084D5E"/>
        </w:rPr>
        <w:t xml:space="preserve"> dates due to </w:t>
      </w:r>
      <w:r w:rsidR="004A131F" w:rsidRPr="003B4DF8">
        <w:rPr>
          <w:rFonts w:ascii="Open Sans ExtraBold" w:hAnsi="Open Sans ExtraBold" w:cs="Open Sans ExtraBold"/>
          <w:color w:val="084D5E"/>
        </w:rPr>
        <w:t>“</w:t>
      </w:r>
      <w:r w:rsidRPr="003B4DF8">
        <w:rPr>
          <w:rFonts w:ascii="Open Sans ExtraBold" w:hAnsi="Open Sans ExtraBold" w:cs="Open Sans ExtraBold"/>
          <w:color w:val="084D5E"/>
        </w:rPr>
        <w:t>thematic review</w:t>
      </w:r>
      <w:r w:rsidR="004A131F" w:rsidRPr="003B4DF8">
        <w:rPr>
          <w:rFonts w:ascii="Open Sans ExtraBold" w:hAnsi="Open Sans ExtraBold" w:cs="Open Sans ExtraBold"/>
          <w:color w:val="084D5E"/>
        </w:rPr>
        <w:t>”</w:t>
      </w:r>
    </w:p>
    <w:p w14:paraId="3571883E" w14:textId="6EADE6FC" w:rsidR="00321987" w:rsidRPr="003B4DF8" w:rsidRDefault="00DF569F" w:rsidP="0091594E">
      <w:pPr>
        <w:pStyle w:val="BodyNum"/>
        <w:rPr>
          <w:rFonts w:ascii="Open Sans" w:hAnsi="Open Sans" w:cs="Open Sans"/>
          <w:sz w:val="22"/>
          <w:szCs w:val="22"/>
        </w:rPr>
      </w:pPr>
      <w:r w:rsidRPr="003B4DF8">
        <w:rPr>
          <w:rFonts w:ascii="Open Sans" w:hAnsi="Open Sans" w:cs="Open Sans"/>
          <w:sz w:val="22"/>
          <w:szCs w:val="22"/>
        </w:rPr>
        <w:t>T</w:t>
      </w:r>
      <w:r w:rsidR="0091594E" w:rsidRPr="003B4DF8">
        <w:rPr>
          <w:rFonts w:ascii="Open Sans" w:hAnsi="Open Sans" w:cs="Open Sans"/>
          <w:sz w:val="22"/>
          <w:szCs w:val="22"/>
        </w:rPr>
        <w:t>he sunset</w:t>
      </w:r>
      <w:r w:rsidR="00245E40" w:rsidRPr="003B4DF8">
        <w:rPr>
          <w:rFonts w:ascii="Open Sans" w:hAnsi="Open Sans" w:cs="Open Sans"/>
          <w:sz w:val="22"/>
          <w:szCs w:val="22"/>
        </w:rPr>
        <w:t>ting</w:t>
      </w:r>
      <w:r w:rsidR="0091594E" w:rsidRPr="003B4DF8">
        <w:rPr>
          <w:rFonts w:ascii="Open Sans" w:hAnsi="Open Sans" w:cs="Open Sans"/>
          <w:sz w:val="22"/>
          <w:szCs w:val="22"/>
        </w:rPr>
        <w:t xml:space="preserve"> dates for a group of </w:t>
      </w:r>
      <w:r w:rsidRPr="003B4DF8">
        <w:rPr>
          <w:rFonts w:ascii="Open Sans" w:hAnsi="Open Sans" w:cs="Open Sans"/>
          <w:sz w:val="22"/>
          <w:szCs w:val="22"/>
        </w:rPr>
        <w:t xml:space="preserve">legislative </w:t>
      </w:r>
      <w:r w:rsidR="0091594E" w:rsidRPr="003B4DF8">
        <w:rPr>
          <w:rFonts w:ascii="Open Sans" w:hAnsi="Open Sans" w:cs="Open Sans"/>
          <w:sz w:val="22"/>
          <w:szCs w:val="22"/>
        </w:rPr>
        <w:t xml:space="preserve">instruments </w:t>
      </w:r>
      <w:r w:rsidRPr="003B4DF8">
        <w:rPr>
          <w:rFonts w:ascii="Open Sans" w:hAnsi="Open Sans" w:cs="Open Sans"/>
          <w:sz w:val="22"/>
          <w:szCs w:val="22"/>
        </w:rPr>
        <w:t xml:space="preserve">can be aligned </w:t>
      </w:r>
      <w:r w:rsidR="0091594E" w:rsidRPr="003B4DF8">
        <w:rPr>
          <w:rFonts w:ascii="Open Sans" w:hAnsi="Open Sans" w:cs="Open Sans"/>
          <w:sz w:val="22"/>
          <w:szCs w:val="22"/>
        </w:rPr>
        <w:t>to facilitate a thematic review</w:t>
      </w:r>
      <w:r w:rsidRPr="003B4DF8">
        <w:rPr>
          <w:rFonts w:ascii="Open Sans" w:hAnsi="Open Sans" w:cs="Open Sans"/>
          <w:sz w:val="22"/>
          <w:szCs w:val="22"/>
        </w:rPr>
        <w:t xml:space="preserve"> of the instruments (</w:t>
      </w:r>
      <w:r w:rsidR="00515567" w:rsidRPr="003B4DF8">
        <w:rPr>
          <w:rFonts w:ascii="Open Sans" w:hAnsi="Open Sans" w:cs="Open Sans"/>
          <w:i/>
          <w:iCs/>
          <w:sz w:val="22"/>
          <w:szCs w:val="22"/>
        </w:rPr>
        <w:t>Legislation Act 2003</w:t>
      </w:r>
      <w:r w:rsidRPr="003B4DF8">
        <w:rPr>
          <w:rFonts w:ascii="Open Sans" w:hAnsi="Open Sans" w:cs="Open Sans"/>
          <w:sz w:val="22"/>
          <w:szCs w:val="22"/>
        </w:rPr>
        <w:t>, s 51A)</w:t>
      </w:r>
      <w:r w:rsidR="0091594E" w:rsidRPr="003B4DF8">
        <w:rPr>
          <w:rFonts w:ascii="Open Sans" w:hAnsi="Open Sans" w:cs="Open Sans"/>
          <w:sz w:val="22"/>
          <w:szCs w:val="22"/>
        </w:rPr>
        <w:t>. This process may involve bringing forward some dates, and pushing others back by up to 5 years. It is not limited to instruments made under a single Act or administered by a single portfolio—instruments can be grouped on some other basis, such as a particular treaty or industry.</w:t>
      </w:r>
    </w:p>
    <w:p w14:paraId="42496C8E" w14:textId="3A9A93BE" w:rsidR="0091594E" w:rsidRPr="003B4DF8" w:rsidRDefault="00321987" w:rsidP="0091594E">
      <w:pPr>
        <w:pStyle w:val="BodyNum"/>
        <w:rPr>
          <w:rFonts w:ascii="Open Sans" w:hAnsi="Open Sans" w:cs="Open Sans"/>
          <w:sz w:val="22"/>
          <w:szCs w:val="22"/>
        </w:rPr>
      </w:pPr>
      <w:r w:rsidRPr="003B4DF8">
        <w:rPr>
          <w:rFonts w:ascii="Open Sans" w:hAnsi="Open Sans" w:cs="Open Sans"/>
          <w:sz w:val="22"/>
          <w:szCs w:val="22"/>
        </w:rPr>
        <w:t xml:space="preserve">The process for aligning sunsetting dates </w:t>
      </w:r>
      <w:r w:rsidR="00270752" w:rsidRPr="003B4DF8">
        <w:rPr>
          <w:rFonts w:ascii="Open Sans" w:hAnsi="Open Sans" w:cs="Open Sans"/>
          <w:sz w:val="22"/>
          <w:szCs w:val="22"/>
        </w:rPr>
        <w:t xml:space="preserve">for a thematic review </w:t>
      </w:r>
      <w:r w:rsidRPr="003B4DF8">
        <w:rPr>
          <w:rFonts w:ascii="Open Sans" w:hAnsi="Open Sans" w:cs="Open Sans"/>
          <w:sz w:val="22"/>
          <w:szCs w:val="22"/>
        </w:rPr>
        <w:t>is as follows:</w:t>
      </w:r>
    </w:p>
    <w:p w14:paraId="65CADB50" w14:textId="572A492A" w:rsidR="00321987" w:rsidRPr="003B4DF8" w:rsidRDefault="00321987" w:rsidP="00321987">
      <w:pPr>
        <w:pStyle w:val="BodyParaBullet"/>
        <w:rPr>
          <w:rFonts w:ascii="Open Sans" w:hAnsi="Open Sans" w:cs="Open Sans"/>
          <w:sz w:val="22"/>
          <w:szCs w:val="22"/>
        </w:rPr>
      </w:pPr>
      <w:r w:rsidRPr="003B4DF8">
        <w:rPr>
          <w:rFonts w:ascii="Open Sans" w:hAnsi="Open Sans" w:cs="Open Sans"/>
          <w:sz w:val="22"/>
          <w:szCs w:val="22"/>
        </w:rPr>
        <w:t>the responsible rule</w:t>
      </w:r>
      <w:r w:rsidR="00DF0CF5" w:rsidRPr="003B4DF8">
        <w:rPr>
          <w:rFonts w:ascii="Open Sans" w:hAnsi="Open Sans" w:cs="Open Sans"/>
          <w:sz w:val="22"/>
          <w:szCs w:val="22"/>
        </w:rPr>
        <w:noBreakHyphen/>
      </w:r>
      <w:r w:rsidRPr="003B4DF8">
        <w:rPr>
          <w:rFonts w:ascii="Open Sans" w:hAnsi="Open Sans" w:cs="Open Sans"/>
          <w:sz w:val="22"/>
          <w:szCs w:val="22"/>
        </w:rPr>
        <w:t>maker applies to the Attorney</w:t>
      </w:r>
      <w:r w:rsidR="00DF0CF5" w:rsidRPr="003B4DF8">
        <w:rPr>
          <w:rFonts w:ascii="Open Sans" w:hAnsi="Open Sans" w:cs="Open Sans"/>
          <w:sz w:val="22"/>
          <w:szCs w:val="22"/>
        </w:rPr>
        <w:noBreakHyphen/>
      </w:r>
      <w:r w:rsidRPr="003B4DF8">
        <w:rPr>
          <w:rFonts w:ascii="Open Sans" w:hAnsi="Open Sans" w:cs="Open Sans"/>
          <w:sz w:val="22"/>
          <w:szCs w:val="22"/>
        </w:rPr>
        <w:t>General in writing;</w:t>
      </w:r>
    </w:p>
    <w:p w14:paraId="25EA1192" w14:textId="57CF3DC6" w:rsidR="00DC3AF0" w:rsidRPr="003B4DF8" w:rsidRDefault="00DC3AF0" w:rsidP="00321987">
      <w:pPr>
        <w:pStyle w:val="BodyParaBullet"/>
        <w:rPr>
          <w:rFonts w:ascii="Open Sans" w:hAnsi="Open Sans" w:cs="Open Sans"/>
          <w:sz w:val="22"/>
          <w:szCs w:val="22"/>
        </w:rPr>
      </w:pPr>
      <w:r w:rsidRPr="003B4DF8">
        <w:rPr>
          <w:rFonts w:ascii="Open Sans" w:hAnsi="Open Sans" w:cs="Open Sans"/>
          <w:sz w:val="22"/>
          <w:szCs w:val="22"/>
        </w:rPr>
        <w:t>the Attorney</w:t>
      </w:r>
      <w:r w:rsidR="00DF0CF5" w:rsidRPr="003B4DF8">
        <w:rPr>
          <w:rFonts w:ascii="Open Sans" w:hAnsi="Open Sans" w:cs="Open Sans"/>
          <w:sz w:val="22"/>
          <w:szCs w:val="22"/>
        </w:rPr>
        <w:noBreakHyphen/>
      </w:r>
      <w:r w:rsidRPr="003B4DF8">
        <w:rPr>
          <w:rFonts w:ascii="Open Sans" w:hAnsi="Open Sans" w:cs="Open Sans"/>
          <w:sz w:val="22"/>
          <w:szCs w:val="22"/>
        </w:rPr>
        <w:t>General must be satisfied that</w:t>
      </w:r>
      <w:r w:rsidR="003D21F0" w:rsidRPr="003B4DF8">
        <w:rPr>
          <w:rFonts w:ascii="Open Sans" w:hAnsi="Open Sans" w:cs="Open Sans"/>
          <w:sz w:val="22"/>
          <w:szCs w:val="22"/>
        </w:rPr>
        <w:t xml:space="preserve"> all the legislative instruments are or will be subject to a single review, and that making the </w:t>
      </w:r>
      <w:r w:rsidR="00092652" w:rsidRPr="003B4DF8">
        <w:rPr>
          <w:rFonts w:ascii="Open Sans" w:hAnsi="Open Sans" w:cs="Open Sans"/>
          <w:sz w:val="22"/>
          <w:szCs w:val="22"/>
        </w:rPr>
        <w:t>sunset</w:t>
      </w:r>
      <w:r w:rsidR="00DF0CF5" w:rsidRPr="003B4DF8">
        <w:rPr>
          <w:rFonts w:ascii="Open Sans" w:hAnsi="Open Sans" w:cs="Open Sans"/>
          <w:sz w:val="22"/>
          <w:szCs w:val="22"/>
        </w:rPr>
        <w:noBreakHyphen/>
      </w:r>
      <w:r w:rsidR="00092652" w:rsidRPr="003B4DF8">
        <w:rPr>
          <w:rFonts w:ascii="Open Sans" w:hAnsi="Open Sans" w:cs="Open Sans"/>
          <w:sz w:val="22"/>
          <w:szCs w:val="22"/>
        </w:rPr>
        <w:t xml:space="preserve">altering instrument </w:t>
      </w:r>
      <w:r w:rsidR="003D21F0" w:rsidRPr="003B4DF8">
        <w:rPr>
          <w:rFonts w:ascii="Open Sans" w:hAnsi="Open Sans" w:cs="Open Sans"/>
          <w:sz w:val="22"/>
          <w:szCs w:val="22"/>
        </w:rPr>
        <w:t>sought will facilitate the review or implementing its findings;</w:t>
      </w:r>
    </w:p>
    <w:p w14:paraId="44DFF1B6" w14:textId="6322269C" w:rsidR="00DC3AF0" w:rsidRPr="003B4DF8" w:rsidRDefault="00E64C19" w:rsidP="00321987">
      <w:pPr>
        <w:pStyle w:val="BodyParaBullet"/>
        <w:rPr>
          <w:rFonts w:ascii="Open Sans" w:hAnsi="Open Sans" w:cs="Open Sans"/>
          <w:sz w:val="22"/>
          <w:szCs w:val="22"/>
        </w:rPr>
      </w:pPr>
      <w:r w:rsidRPr="003B4DF8">
        <w:rPr>
          <w:rFonts w:ascii="Open Sans" w:hAnsi="Open Sans" w:cs="Open Sans"/>
          <w:sz w:val="22"/>
          <w:szCs w:val="22"/>
        </w:rPr>
        <w:lastRenderedPageBreak/>
        <w:t>the Attorney</w:t>
      </w:r>
      <w:r w:rsidR="00DF0CF5" w:rsidRPr="003B4DF8">
        <w:rPr>
          <w:rFonts w:ascii="Open Sans" w:hAnsi="Open Sans" w:cs="Open Sans"/>
          <w:sz w:val="22"/>
          <w:szCs w:val="22"/>
        </w:rPr>
        <w:noBreakHyphen/>
      </w:r>
      <w:r w:rsidRPr="003B4DF8">
        <w:rPr>
          <w:rFonts w:ascii="Open Sans" w:hAnsi="Open Sans" w:cs="Open Sans"/>
          <w:sz w:val="22"/>
          <w:szCs w:val="22"/>
        </w:rPr>
        <w:t>General makes a sunset</w:t>
      </w:r>
      <w:r w:rsidR="00DF0CF5" w:rsidRPr="003B4DF8">
        <w:rPr>
          <w:rFonts w:ascii="Open Sans" w:hAnsi="Open Sans" w:cs="Open Sans"/>
          <w:sz w:val="22"/>
          <w:szCs w:val="22"/>
        </w:rPr>
        <w:noBreakHyphen/>
      </w:r>
      <w:r w:rsidRPr="003B4DF8">
        <w:rPr>
          <w:rFonts w:ascii="Open Sans" w:hAnsi="Open Sans" w:cs="Open Sans"/>
          <w:sz w:val="22"/>
          <w:szCs w:val="22"/>
        </w:rPr>
        <w:t xml:space="preserve">altering </w:t>
      </w:r>
      <w:r w:rsidR="004B7BAA" w:rsidRPr="003B4DF8">
        <w:rPr>
          <w:rFonts w:ascii="Open Sans" w:hAnsi="Open Sans" w:cs="Open Sans"/>
          <w:sz w:val="22"/>
          <w:szCs w:val="22"/>
        </w:rPr>
        <w:t xml:space="preserve">declaration </w:t>
      </w:r>
      <w:r w:rsidR="00286EDD" w:rsidRPr="003B4DF8">
        <w:rPr>
          <w:rFonts w:ascii="Open Sans" w:hAnsi="Open Sans" w:cs="Open Sans"/>
          <w:sz w:val="22"/>
          <w:szCs w:val="22"/>
        </w:rPr>
        <w:t xml:space="preserve">that is itself that </w:t>
      </w:r>
      <w:r w:rsidRPr="003B4DF8">
        <w:rPr>
          <w:rFonts w:ascii="Open Sans" w:hAnsi="Open Sans" w:cs="Open Sans"/>
          <w:sz w:val="22"/>
          <w:szCs w:val="22"/>
        </w:rPr>
        <w:t xml:space="preserve">legislative instrument </w:t>
      </w:r>
      <w:r w:rsidR="00092652" w:rsidRPr="003B4DF8">
        <w:rPr>
          <w:rFonts w:ascii="Open Sans" w:hAnsi="Open Sans" w:cs="Open Sans"/>
          <w:sz w:val="22"/>
          <w:szCs w:val="22"/>
        </w:rPr>
        <w:t xml:space="preserve">which </w:t>
      </w:r>
      <w:r w:rsidRPr="003B4DF8">
        <w:rPr>
          <w:rFonts w:ascii="Open Sans" w:hAnsi="Open Sans" w:cs="Open Sans"/>
          <w:sz w:val="22"/>
          <w:szCs w:val="22"/>
        </w:rPr>
        <w:t>must be registered and is subject to disallowance.</w:t>
      </w:r>
    </w:p>
    <w:p w14:paraId="4B9EE362" w14:textId="5087AC41" w:rsidR="0063617A" w:rsidRPr="003B4DF8" w:rsidRDefault="0063617A" w:rsidP="00C13E7B">
      <w:pPr>
        <w:pStyle w:val="BodyNum"/>
        <w:spacing w:after="240"/>
        <w:rPr>
          <w:rFonts w:ascii="Open Sans" w:hAnsi="Open Sans" w:cs="Open Sans"/>
          <w:sz w:val="22"/>
          <w:szCs w:val="22"/>
        </w:rPr>
      </w:pPr>
      <w:r w:rsidRPr="003B4DF8">
        <w:rPr>
          <w:rFonts w:ascii="Open Sans" w:hAnsi="Open Sans" w:cs="Open Sans"/>
          <w:sz w:val="22"/>
          <w:szCs w:val="22"/>
        </w:rPr>
        <w:t>A sunset</w:t>
      </w:r>
      <w:r w:rsidRPr="003B4DF8">
        <w:rPr>
          <w:rFonts w:ascii="Open Sans" w:hAnsi="Open Sans" w:cs="Open Sans"/>
          <w:sz w:val="22"/>
          <w:szCs w:val="22"/>
        </w:rPr>
        <w:noBreakHyphen/>
        <w:t>altering instrument for a thematic review cannot revive a legislative instrument that has already sunsetted. Also, if the sunset</w:t>
      </w:r>
      <w:r w:rsidRPr="003B4DF8">
        <w:rPr>
          <w:rFonts w:ascii="Open Sans" w:hAnsi="Open Sans" w:cs="Open Sans"/>
          <w:sz w:val="22"/>
          <w:szCs w:val="22"/>
        </w:rPr>
        <w:noBreakHyphen/>
        <w:t>altering instrument is disallowed, any legislative instrument named in it that has passed the instrument’s previous sunsetting date is repealed. Consequently, any application for a sunset</w:t>
      </w:r>
      <w:r w:rsidRPr="003B4DF8">
        <w:rPr>
          <w:rFonts w:ascii="Open Sans" w:hAnsi="Open Sans" w:cs="Open Sans"/>
          <w:sz w:val="22"/>
          <w:szCs w:val="22"/>
        </w:rPr>
        <w:noBreakHyphen/>
        <w:t>altering instrument on the basis of a thematic review should be made well in advance of the earliest sunsetting date.</w:t>
      </w:r>
    </w:p>
    <w:p w14:paraId="17A458A4" w14:textId="12AFB765" w:rsidR="00A64947" w:rsidRPr="003B4DF8" w:rsidRDefault="00A64947" w:rsidP="003B4DF8">
      <w:pPr>
        <w:pStyle w:val="Heading2"/>
        <w:rPr>
          <w:rFonts w:ascii="Open Sans ExtraBold" w:hAnsi="Open Sans ExtraBold" w:cs="Open Sans ExtraBold"/>
          <w:color w:val="084D5E"/>
        </w:rPr>
      </w:pPr>
      <w:r w:rsidRPr="003B4DF8">
        <w:rPr>
          <w:rFonts w:ascii="Open Sans ExtraBold" w:hAnsi="Open Sans ExtraBold" w:cs="Open Sans ExtraBold"/>
          <w:color w:val="084D5E"/>
        </w:rPr>
        <w:t>Further extensions</w:t>
      </w:r>
    </w:p>
    <w:p w14:paraId="4F10AABF" w14:textId="1BEABEBF" w:rsidR="00281210" w:rsidRPr="003B4DF8" w:rsidRDefault="00834E87" w:rsidP="00281210">
      <w:pPr>
        <w:pStyle w:val="BodyNum"/>
        <w:rPr>
          <w:rFonts w:ascii="Open Sans" w:hAnsi="Open Sans" w:cs="Open Sans"/>
          <w:sz w:val="22"/>
          <w:szCs w:val="22"/>
        </w:rPr>
      </w:pPr>
      <w:r w:rsidRPr="003B4DF8">
        <w:rPr>
          <w:rFonts w:ascii="Open Sans" w:hAnsi="Open Sans" w:cs="Open Sans"/>
          <w:sz w:val="22"/>
          <w:szCs w:val="22"/>
        </w:rPr>
        <w:t>A</w:t>
      </w:r>
      <w:r w:rsidR="00281210" w:rsidRPr="003B4DF8">
        <w:rPr>
          <w:rFonts w:ascii="Open Sans" w:hAnsi="Open Sans" w:cs="Open Sans"/>
          <w:sz w:val="22"/>
          <w:szCs w:val="22"/>
        </w:rPr>
        <w:t xml:space="preserve"> legislative instrument for which the sunset date has already been deferred by the Attorney</w:t>
      </w:r>
      <w:r w:rsidR="00DF0CF5" w:rsidRPr="003B4DF8">
        <w:rPr>
          <w:rFonts w:ascii="Open Sans" w:hAnsi="Open Sans" w:cs="Open Sans"/>
          <w:sz w:val="22"/>
          <w:szCs w:val="22"/>
        </w:rPr>
        <w:noBreakHyphen/>
      </w:r>
      <w:r w:rsidR="00281210" w:rsidRPr="003B4DF8">
        <w:rPr>
          <w:rFonts w:ascii="Open Sans" w:hAnsi="Open Sans" w:cs="Open Sans"/>
          <w:sz w:val="22"/>
          <w:szCs w:val="22"/>
        </w:rPr>
        <w:t>General under section 51 may be one of the instruments whose sunset date is altered for the purposes of a thematic review.</w:t>
      </w:r>
      <w:r w:rsidR="004B7BAA" w:rsidRPr="003B4DF8">
        <w:rPr>
          <w:rFonts w:ascii="Open Sans" w:hAnsi="Open Sans" w:cs="Open Sans"/>
          <w:sz w:val="22"/>
          <w:szCs w:val="22"/>
        </w:rPr>
        <w:t xml:space="preserve"> Additionally, a legislative instrument that has had its sunset date altered for the purposes of a thematic review may subsequently be the subject of a deferral certificate under section 51.</w:t>
      </w:r>
    </w:p>
    <w:p w14:paraId="28634DF6" w14:textId="0795A48C" w:rsidR="00A64947" w:rsidRPr="003B4DF8" w:rsidRDefault="00830261" w:rsidP="00C13E7B">
      <w:pPr>
        <w:pStyle w:val="BodyNum"/>
        <w:spacing w:after="240"/>
        <w:rPr>
          <w:rFonts w:ascii="Open Sans" w:hAnsi="Open Sans" w:cs="Open Sans"/>
          <w:sz w:val="22"/>
          <w:szCs w:val="22"/>
        </w:rPr>
      </w:pPr>
      <w:r w:rsidRPr="003B4DF8">
        <w:rPr>
          <w:rFonts w:ascii="Open Sans" w:hAnsi="Open Sans" w:cs="Open Sans"/>
          <w:sz w:val="22"/>
          <w:szCs w:val="22"/>
        </w:rPr>
        <w:t xml:space="preserve">Please contact the Attorney-General’s Department if seeking a further extension of a sunsetting date that has already been deferred or </w:t>
      </w:r>
      <w:r w:rsidR="00AC634C" w:rsidRPr="003B4DF8">
        <w:rPr>
          <w:rFonts w:ascii="Open Sans" w:hAnsi="Open Sans" w:cs="Open Sans"/>
          <w:sz w:val="22"/>
          <w:szCs w:val="22"/>
        </w:rPr>
        <w:t>altered</w:t>
      </w:r>
      <w:r w:rsidR="00A64947" w:rsidRPr="003B4DF8">
        <w:rPr>
          <w:rFonts w:ascii="Open Sans" w:hAnsi="Open Sans" w:cs="Open Sans"/>
          <w:sz w:val="22"/>
          <w:szCs w:val="22"/>
        </w:rPr>
        <w:t>.</w:t>
      </w:r>
    </w:p>
    <w:p w14:paraId="659BF6F1" w14:textId="47148DBE" w:rsidR="009F27E9" w:rsidRPr="003B4DF8" w:rsidRDefault="009F27E9" w:rsidP="003B4DF8">
      <w:pPr>
        <w:pStyle w:val="Heading2"/>
        <w:rPr>
          <w:rFonts w:ascii="Open Sans ExtraBold" w:hAnsi="Open Sans ExtraBold" w:cs="Open Sans ExtraBold"/>
          <w:color w:val="084D5E"/>
        </w:rPr>
      </w:pPr>
      <w:r w:rsidRPr="003B4DF8">
        <w:rPr>
          <w:rFonts w:ascii="Open Sans ExtraBold" w:hAnsi="Open Sans ExtraBold" w:cs="Open Sans ExtraBold"/>
          <w:color w:val="084D5E"/>
        </w:rPr>
        <w:t xml:space="preserve">Parliamentary </w:t>
      </w:r>
      <w:r w:rsidR="004A131F" w:rsidRPr="003B4DF8">
        <w:rPr>
          <w:rFonts w:ascii="Open Sans ExtraBold" w:hAnsi="Open Sans ExtraBold" w:cs="Open Sans ExtraBold"/>
          <w:color w:val="084D5E"/>
        </w:rPr>
        <w:t>“</w:t>
      </w:r>
      <w:r w:rsidRPr="003B4DF8">
        <w:rPr>
          <w:rFonts w:ascii="Open Sans ExtraBold" w:hAnsi="Open Sans ExtraBold" w:cs="Open Sans ExtraBold"/>
          <w:color w:val="084D5E"/>
        </w:rPr>
        <w:t>rollovers</w:t>
      </w:r>
      <w:r w:rsidR="004A131F" w:rsidRPr="003B4DF8">
        <w:rPr>
          <w:rFonts w:ascii="Open Sans ExtraBold" w:hAnsi="Open Sans ExtraBold" w:cs="Open Sans ExtraBold"/>
          <w:color w:val="084D5E"/>
        </w:rPr>
        <w:t>”</w:t>
      </w:r>
    </w:p>
    <w:p w14:paraId="27F9F953" w14:textId="2F61D1D2" w:rsidR="009F27E9" w:rsidRPr="003B4DF8" w:rsidRDefault="009F27E9" w:rsidP="009F27E9">
      <w:pPr>
        <w:pStyle w:val="BodyNum"/>
        <w:rPr>
          <w:rFonts w:ascii="Open Sans" w:hAnsi="Open Sans" w:cs="Open Sans"/>
          <w:sz w:val="22"/>
          <w:szCs w:val="22"/>
        </w:rPr>
      </w:pPr>
      <w:r w:rsidRPr="003B4DF8">
        <w:rPr>
          <w:rFonts w:ascii="Open Sans" w:hAnsi="Open Sans" w:cs="Open Sans"/>
          <w:sz w:val="22"/>
          <w:szCs w:val="22"/>
        </w:rPr>
        <w:t xml:space="preserve">Under section 53 of the </w:t>
      </w:r>
      <w:r w:rsidR="00515567" w:rsidRPr="003B4DF8">
        <w:rPr>
          <w:rFonts w:ascii="Open Sans" w:hAnsi="Open Sans" w:cs="Open Sans"/>
          <w:i/>
          <w:iCs/>
          <w:sz w:val="22"/>
          <w:szCs w:val="22"/>
        </w:rPr>
        <w:t>Legislation Act 2003</w:t>
      </w:r>
      <w:r w:rsidRPr="003B4DF8">
        <w:rPr>
          <w:rFonts w:ascii="Open Sans" w:hAnsi="Open Sans" w:cs="Open Sans"/>
          <w:sz w:val="22"/>
          <w:szCs w:val="22"/>
        </w:rPr>
        <w:t xml:space="preserve">, either House of the Parliament can resolve to continue in force (i.e. </w:t>
      </w:r>
      <w:r w:rsidR="004A131F" w:rsidRPr="003B4DF8">
        <w:rPr>
          <w:rFonts w:ascii="Open Sans" w:hAnsi="Open Sans" w:cs="Open Sans"/>
          <w:sz w:val="22"/>
          <w:szCs w:val="22"/>
        </w:rPr>
        <w:t>“</w:t>
      </w:r>
      <w:r w:rsidRPr="003B4DF8">
        <w:rPr>
          <w:rFonts w:ascii="Open Sans" w:hAnsi="Open Sans" w:cs="Open Sans"/>
          <w:sz w:val="22"/>
          <w:szCs w:val="22"/>
        </w:rPr>
        <w:t>rollover</w:t>
      </w:r>
      <w:r w:rsidR="004A131F" w:rsidRPr="003B4DF8">
        <w:rPr>
          <w:rFonts w:ascii="Open Sans" w:hAnsi="Open Sans" w:cs="Open Sans"/>
          <w:sz w:val="22"/>
          <w:szCs w:val="22"/>
        </w:rPr>
        <w:t>”</w:t>
      </w:r>
      <w:r w:rsidRPr="003B4DF8">
        <w:rPr>
          <w:rFonts w:ascii="Open Sans" w:hAnsi="Open Sans" w:cs="Open Sans"/>
          <w:sz w:val="22"/>
          <w:szCs w:val="22"/>
        </w:rPr>
        <w:t>) a legislative instrument that would otherwise sunset on the day mentioned in a section 51 deferral certificate or a sunsetting list laid before the House under section 52. The rollover defers the instrument’s sunset</w:t>
      </w:r>
      <w:r w:rsidR="00245E40" w:rsidRPr="003B4DF8">
        <w:rPr>
          <w:rFonts w:ascii="Open Sans" w:hAnsi="Open Sans" w:cs="Open Sans"/>
          <w:sz w:val="22"/>
          <w:szCs w:val="22"/>
        </w:rPr>
        <w:t>ting</w:t>
      </w:r>
      <w:r w:rsidRPr="003B4DF8">
        <w:rPr>
          <w:rFonts w:ascii="Open Sans" w:hAnsi="Open Sans" w:cs="Open Sans"/>
          <w:sz w:val="22"/>
          <w:szCs w:val="22"/>
        </w:rPr>
        <w:t xml:space="preserve"> date for 10 years.</w:t>
      </w:r>
    </w:p>
    <w:p w14:paraId="74F8A5AD" w14:textId="125DAC12" w:rsidR="009F27E9" w:rsidRPr="003B4DF8" w:rsidRDefault="009F27E9" w:rsidP="009F27E9">
      <w:pPr>
        <w:pStyle w:val="BodyNum"/>
        <w:rPr>
          <w:rFonts w:ascii="Open Sans" w:hAnsi="Open Sans" w:cs="Open Sans"/>
          <w:sz w:val="22"/>
          <w:szCs w:val="22"/>
        </w:rPr>
      </w:pPr>
      <w:r w:rsidRPr="003B4DF8">
        <w:rPr>
          <w:rFonts w:ascii="Open Sans" w:hAnsi="Open Sans" w:cs="Open Sans"/>
          <w:sz w:val="22"/>
          <w:szCs w:val="22"/>
        </w:rPr>
        <w:t>There is no requirement to remake, register or table an instrument that has been rolled over and, having already been the subject of parliamentary scrutiny, the instrument is not subject to further scrutiny in the form of disallowance.</w:t>
      </w:r>
    </w:p>
    <w:p w14:paraId="751DA55F" w14:textId="26D82FB6" w:rsidR="009F27E9" w:rsidRPr="003B4DF8" w:rsidRDefault="009F27E9" w:rsidP="009F27E9">
      <w:pPr>
        <w:pStyle w:val="BodyNum"/>
        <w:rPr>
          <w:rFonts w:ascii="Open Sans" w:hAnsi="Open Sans" w:cs="Open Sans"/>
          <w:sz w:val="22"/>
          <w:szCs w:val="22"/>
        </w:rPr>
      </w:pPr>
      <w:r w:rsidRPr="003B4DF8">
        <w:rPr>
          <w:rFonts w:ascii="Open Sans" w:hAnsi="Open Sans" w:cs="Open Sans"/>
          <w:sz w:val="22"/>
          <w:szCs w:val="22"/>
        </w:rPr>
        <w:t>Only Senators and Members of Parliament can move for a rollover under section 53. Consequently, unless the rule</w:t>
      </w:r>
      <w:r w:rsidR="00DF0CF5" w:rsidRPr="003B4DF8">
        <w:rPr>
          <w:rFonts w:ascii="Open Sans" w:hAnsi="Open Sans" w:cs="Open Sans"/>
          <w:sz w:val="22"/>
          <w:szCs w:val="22"/>
        </w:rPr>
        <w:noBreakHyphen/>
      </w:r>
      <w:r w:rsidRPr="003B4DF8">
        <w:rPr>
          <w:rFonts w:ascii="Open Sans" w:hAnsi="Open Sans" w:cs="Open Sans"/>
          <w:sz w:val="22"/>
          <w:szCs w:val="22"/>
        </w:rPr>
        <w:t>maker is a Minister, it will be necessary for the rule</w:t>
      </w:r>
      <w:r w:rsidR="00DF0CF5" w:rsidRPr="003B4DF8">
        <w:rPr>
          <w:rFonts w:ascii="Open Sans" w:hAnsi="Open Sans" w:cs="Open Sans"/>
          <w:sz w:val="22"/>
          <w:szCs w:val="22"/>
        </w:rPr>
        <w:noBreakHyphen/>
      </w:r>
      <w:r w:rsidRPr="003B4DF8">
        <w:rPr>
          <w:rFonts w:ascii="Open Sans" w:hAnsi="Open Sans" w:cs="Open Sans"/>
          <w:sz w:val="22"/>
          <w:szCs w:val="22"/>
        </w:rPr>
        <w:t>maker (for example, the Secretary of a Department or statutory body) to make the case for a rollover to the responsible Minister. This should be done well in advance of the deadline for rollover motions.</w:t>
      </w:r>
    </w:p>
    <w:p w14:paraId="0351EE04" w14:textId="77777777" w:rsidR="009F27E9" w:rsidRPr="003B4DF8" w:rsidRDefault="009F27E9" w:rsidP="009F27E9">
      <w:pPr>
        <w:pStyle w:val="BodyNum"/>
        <w:rPr>
          <w:rFonts w:ascii="Open Sans" w:hAnsi="Open Sans" w:cs="Open Sans"/>
          <w:sz w:val="22"/>
          <w:szCs w:val="22"/>
        </w:rPr>
      </w:pPr>
      <w:r w:rsidRPr="003B4DF8">
        <w:rPr>
          <w:rFonts w:ascii="Open Sans" w:hAnsi="Open Sans" w:cs="Open Sans"/>
          <w:sz w:val="22"/>
          <w:szCs w:val="22"/>
        </w:rPr>
        <w:t>Agencies considering a rollover motion should consult AGD before proceeding, to ensure that current policy and process requirements have been met. Agencies should also recognise that a rollover may not reduce overall workload compared with replacing an instrument. There could be significant workload and other consequences if, for example:</w:t>
      </w:r>
    </w:p>
    <w:p w14:paraId="4FE44E85" w14:textId="1B0F67D4" w:rsidR="009F27E9" w:rsidRPr="003B4DF8" w:rsidRDefault="009F27E9" w:rsidP="009F27E9">
      <w:pPr>
        <w:pStyle w:val="BodyParaBullet"/>
        <w:rPr>
          <w:rFonts w:ascii="Open Sans" w:hAnsi="Open Sans" w:cs="Open Sans"/>
          <w:sz w:val="22"/>
          <w:szCs w:val="22"/>
        </w:rPr>
      </w:pPr>
      <w:r w:rsidRPr="003B4DF8">
        <w:rPr>
          <w:rFonts w:ascii="Open Sans" w:hAnsi="Open Sans" w:cs="Open Sans"/>
          <w:sz w:val="22"/>
          <w:szCs w:val="22"/>
        </w:rPr>
        <w:t>a motion is controversial and referred to committee; or</w:t>
      </w:r>
    </w:p>
    <w:p w14:paraId="39FD1CCA" w14:textId="66FB1254" w:rsidR="00A578CB" w:rsidRPr="003B4DF8" w:rsidRDefault="00A578CB" w:rsidP="009F27E9">
      <w:pPr>
        <w:pStyle w:val="BodyParaBullet"/>
        <w:rPr>
          <w:rFonts w:ascii="Open Sans" w:hAnsi="Open Sans" w:cs="Open Sans"/>
          <w:sz w:val="22"/>
          <w:szCs w:val="22"/>
        </w:rPr>
      </w:pPr>
      <w:r w:rsidRPr="003B4DF8">
        <w:rPr>
          <w:rFonts w:ascii="Open Sans" w:hAnsi="Open Sans" w:cs="Open Sans"/>
          <w:sz w:val="22"/>
          <w:szCs w:val="22"/>
        </w:rPr>
        <w:lastRenderedPageBreak/>
        <w:t>public uncertainty about the instrument generates campaign correspondence; or</w:t>
      </w:r>
    </w:p>
    <w:p w14:paraId="3C1919BB" w14:textId="4C7F1FF8" w:rsidR="009F27E9" w:rsidRPr="003B4DF8" w:rsidRDefault="009F27E9" w:rsidP="009F27E9">
      <w:pPr>
        <w:pStyle w:val="BodyParaBullet"/>
        <w:rPr>
          <w:rFonts w:ascii="Open Sans" w:hAnsi="Open Sans" w:cs="Open Sans"/>
          <w:sz w:val="22"/>
          <w:szCs w:val="22"/>
        </w:rPr>
      </w:pPr>
      <w:r w:rsidRPr="003B4DF8">
        <w:rPr>
          <w:rFonts w:ascii="Open Sans" w:hAnsi="Open Sans" w:cs="Open Sans"/>
          <w:sz w:val="22"/>
          <w:szCs w:val="22"/>
        </w:rPr>
        <w:t>a motion is unsuccessful and the instrument has to be replaced within short timeframes.</w:t>
      </w:r>
    </w:p>
    <w:p w14:paraId="64B72606" w14:textId="77777777" w:rsidR="00C32AF0" w:rsidRPr="003B4DF8" w:rsidRDefault="00C32AF0" w:rsidP="009F27E9">
      <w:pPr>
        <w:pStyle w:val="BodyNum"/>
        <w:rPr>
          <w:rFonts w:ascii="Open Sans" w:hAnsi="Open Sans" w:cs="Open Sans"/>
          <w:sz w:val="22"/>
          <w:szCs w:val="22"/>
        </w:rPr>
      </w:pPr>
      <w:r w:rsidRPr="003B4DF8">
        <w:rPr>
          <w:rFonts w:ascii="Open Sans" w:hAnsi="Open Sans" w:cs="Open Sans"/>
          <w:sz w:val="22"/>
          <w:szCs w:val="22"/>
        </w:rPr>
        <w:t>If a document needs to be tabled in anticipation or support of a rollover motion, it cannot be lodged for tabling through OPC. The relevant agency will need to prepare and lodge it in accordance with the current Tabling Guidelines. It may also be appropriate to provide additional courtesy copies to relevant scrutiny bodies.</w:t>
      </w:r>
    </w:p>
    <w:p w14:paraId="29989B5F" w14:textId="137F0FDA" w:rsidR="009F27E9" w:rsidRPr="003B4DF8" w:rsidRDefault="00C32AF0" w:rsidP="00C13E7B">
      <w:pPr>
        <w:pStyle w:val="BodyNum"/>
        <w:spacing w:after="240"/>
        <w:rPr>
          <w:rFonts w:ascii="Open Sans" w:hAnsi="Open Sans" w:cs="Open Sans"/>
          <w:sz w:val="22"/>
          <w:szCs w:val="22"/>
        </w:rPr>
      </w:pPr>
      <w:r w:rsidRPr="003B4DF8">
        <w:rPr>
          <w:rFonts w:ascii="Open Sans" w:hAnsi="Open Sans" w:cs="Open Sans"/>
          <w:sz w:val="22"/>
          <w:szCs w:val="22"/>
        </w:rPr>
        <w:t>OPC monitors parliamentary proceedings and will notify agencies as soon as practicable if an instrument is subject to a motion for a rollover by a non</w:t>
      </w:r>
      <w:r w:rsidR="00DF0CF5" w:rsidRPr="003B4DF8">
        <w:rPr>
          <w:rFonts w:ascii="Open Sans" w:hAnsi="Open Sans" w:cs="Open Sans"/>
          <w:sz w:val="22"/>
          <w:szCs w:val="22"/>
        </w:rPr>
        <w:noBreakHyphen/>
      </w:r>
      <w:r w:rsidRPr="003B4DF8">
        <w:rPr>
          <w:rFonts w:ascii="Open Sans" w:hAnsi="Open Sans" w:cs="Open Sans"/>
          <w:sz w:val="22"/>
          <w:szCs w:val="22"/>
        </w:rPr>
        <w:t>government member of a House of the Parliament.</w:t>
      </w:r>
    </w:p>
    <w:p w14:paraId="16E4FCA2" w14:textId="605EA79C" w:rsidR="00203811" w:rsidRPr="003B4DF8" w:rsidRDefault="00ED5C8F" w:rsidP="003B4DF8">
      <w:pPr>
        <w:pStyle w:val="Heading2"/>
        <w:rPr>
          <w:rFonts w:ascii="Open Sans ExtraBold" w:hAnsi="Open Sans ExtraBold" w:cs="Open Sans ExtraBold"/>
          <w:color w:val="084D5E"/>
        </w:rPr>
      </w:pPr>
      <w:r w:rsidRPr="003B4DF8">
        <w:rPr>
          <w:rFonts w:ascii="Open Sans ExtraBold" w:hAnsi="Open Sans ExtraBold" w:cs="Open Sans ExtraBold"/>
          <w:color w:val="084D5E"/>
        </w:rPr>
        <w:t>Amending instruments and sunsetting</w:t>
      </w:r>
    </w:p>
    <w:p w14:paraId="5EF49DC6" w14:textId="0343727B" w:rsidR="00ED5C8F" w:rsidRPr="003B4DF8" w:rsidRDefault="00ED5C8F" w:rsidP="00C13E7B">
      <w:pPr>
        <w:pStyle w:val="BodyNum"/>
        <w:spacing w:after="240"/>
        <w:rPr>
          <w:rFonts w:ascii="Open Sans" w:hAnsi="Open Sans" w:cs="Open Sans"/>
          <w:sz w:val="22"/>
          <w:szCs w:val="22"/>
        </w:rPr>
      </w:pPr>
      <w:r w:rsidRPr="003B4DF8">
        <w:rPr>
          <w:rFonts w:ascii="Open Sans" w:hAnsi="Open Sans" w:cs="Open Sans"/>
          <w:sz w:val="22"/>
          <w:szCs w:val="22"/>
        </w:rPr>
        <w:t>Amending a legislative instrument does not change when it sunsets, so the date of amendment provided by the rule</w:t>
      </w:r>
      <w:r w:rsidR="00DF0CF5" w:rsidRPr="003B4DF8">
        <w:rPr>
          <w:rFonts w:ascii="Open Sans" w:hAnsi="Open Sans" w:cs="Open Sans"/>
          <w:sz w:val="22"/>
          <w:szCs w:val="22"/>
        </w:rPr>
        <w:noBreakHyphen/>
      </w:r>
      <w:r w:rsidRPr="003B4DF8">
        <w:rPr>
          <w:rFonts w:ascii="Open Sans" w:hAnsi="Open Sans" w:cs="Open Sans"/>
          <w:sz w:val="22"/>
          <w:szCs w:val="22"/>
        </w:rPr>
        <w:t>maker cannot be later than any sunset</w:t>
      </w:r>
      <w:r w:rsidR="00245E40" w:rsidRPr="003B4DF8">
        <w:rPr>
          <w:rFonts w:ascii="Open Sans" w:hAnsi="Open Sans" w:cs="Open Sans"/>
          <w:sz w:val="22"/>
          <w:szCs w:val="22"/>
        </w:rPr>
        <w:t>ting</w:t>
      </w:r>
      <w:r w:rsidRPr="003B4DF8">
        <w:rPr>
          <w:rFonts w:ascii="Open Sans" w:hAnsi="Open Sans" w:cs="Open Sans"/>
          <w:sz w:val="22"/>
          <w:szCs w:val="22"/>
        </w:rPr>
        <w:t xml:space="preserve"> date that already applies to the instrument. If the sunset</w:t>
      </w:r>
      <w:r w:rsidR="00245E40" w:rsidRPr="003B4DF8">
        <w:rPr>
          <w:rFonts w:ascii="Open Sans" w:hAnsi="Open Sans" w:cs="Open Sans"/>
          <w:sz w:val="22"/>
          <w:szCs w:val="22"/>
        </w:rPr>
        <w:t>ting</w:t>
      </w:r>
      <w:r w:rsidRPr="003B4DF8">
        <w:rPr>
          <w:rFonts w:ascii="Open Sans" w:hAnsi="Open Sans" w:cs="Open Sans"/>
          <w:sz w:val="22"/>
          <w:szCs w:val="22"/>
        </w:rPr>
        <w:t xml:space="preserve"> date is soon, there may be workload and other benefits in making a single replacement instrument that incorporates the </w:t>
      </w:r>
      <w:r w:rsidR="00A578CB" w:rsidRPr="003B4DF8">
        <w:rPr>
          <w:rFonts w:ascii="Open Sans" w:hAnsi="Open Sans" w:cs="Open Sans"/>
          <w:sz w:val="22"/>
          <w:szCs w:val="22"/>
        </w:rPr>
        <w:t xml:space="preserve">proposed </w:t>
      </w:r>
      <w:r w:rsidRPr="003B4DF8">
        <w:rPr>
          <w:rFonts w:ascii="Open Sans" w:hAnsi="Open Sans" w:cs="Open Sans"/>
          <w:sz w:val="22"/>
          <w:szCs w:val="22"/>
        </w:rPr>
        <w:t>amendments.</w:t>
      </w:r>
    </w:p>
    <w:p w14:paraId="4071CDD5" w14:textId="45EDE061" w:rsidR="00203811" w:rsidRPr="003B4DF8" w:rsidRDefault="00167FBF" w:rsidP="003B4DF8">
      <w:pPr>
        <w:pStyle w:val="Heading2"/>
        <w:rPr>
          <w:rFonts w:ascii="Open Sans ExtraBold" w:hAnsi="Open Sans ExtraBold" w:cs="Open Sans ExtraBold"/>
          <w:color w:val="084D5E"/>
        </w:rPr>
      </w:pPr>
      <w:r w:rsidRPr="003B4DF8">
        <w:rPr>
          <w:rFonts w:ascii="Open Sans ExtraBold" w:hAnsi="Open Sans ExtraBold" w:cs="Open Sans ExtraBold"/>
          <w:color w:val="084D5E"/>
        </w:rPr>
        <w:t>Sunsetting and disallowance</w:t>
      </w:r>
    </w:p>
    <w:p w14:paraId="049576DC" w14:textId="3F4C1759" w:rsidR="00344BAC" w:rsidRPr="003B4DF8" w:rsidRDefault="00200B33" w:rsidP="00167FBF">
      <w:pPr>
        <w:pStyle w:val="BodyNum"/>
        <w:rPr>
          <w:rFonts w:ascii="Open Sans" w:hAnsi="Open Sans" w:cs="Open Sans"/>
          <w:sz w:val="22"/>
          <w:szCs w:val="22"/>
        </w:rPr>
      </w:pPr>
      <w:r w:rsidRPr="003B4DF8">
        <w:rPr>
          <w:rFonts w:ascii="Open Sans" w:hAnsi="Open Sans" w:cs="Open Sans"/>
          <w:sz w:val="22"/>
          <w:szCs w:val="22"/>
        </w:rPr>
        <w:t xml:space="preserve">In redrafting a legislative instrument that is due to sunset, </w:t>
      </w:r>
      <w:r w:rsidR="00344BAC" w:rsidRPr="003B4DF8">
        <w:rPr>
          <w:rFonts w:ascii="Open Sans" w:hAnsi="Open Sans" w:cs="Open Sans"/>
          <w:sz w:val="22"/>
          <w:szCs w:val="22"/>
        </w:rPr>
        <w:t>best practice risk management is to register the replacement instrument in sufficient time to allow the whole of the disallowance period to expire before the replacement instrument commences. This requires good project planning by agencies.</w:t>
      </w:r>
    </w:p>
    <w:p w14:paraId="5A83BBAF" w14:textId="1D2C4C56" w:rsidR="00167FBF" w:rsidRPr="003B4DF8" w:rsidRDefault="00167FBF" w:rsidP="00C13E7B">
      <w:pPr>
        <w:pStyle w:val="BodyNum"/>
        <w:spacing w:after="240"/>
        <w:rPr>
          <w:rFonts w:ascii="Open Sans" w:hAnsi="Open Sans" w:cs="Open Sans"/>
          <w:sz w:val="22"/>
          <w:szCs w:val="22"/>
        </w:rPr>
      </w:pPr>
      <w:r w:rsidRPr="003B4DF8">
        <w:rPr>
          <w:rFonts w:ascii="Open Sans" w:hAnsi="Open Sans" w:cs="Open Sans"/>
          <w:sz w:val="22"/>
          <w:szCs w:val="22"/>
        </w:rPr>
        <w:t xml:space="preserve">Disallowance of a replacement instrument or provision may temporarily revive a previous instrument, but </w:t>
      </w:r>
      <w:r w:rsidR="00971AD5" w:rsidRPr="003B4DF8">
        <w:rPr>
          <w:rFonts w:ascii="Open Sans" w:hAnsi="Open Sans" w:cs="Open Sans"/>
          <w:sz w:val="22"/>
          <w:szCs w:val="22"/>
        </w:rPr>
        <w:t xml:space="preserve">it </w:t>
      </w:r>
      <w:r w:rsidRPr="003B4DF8">
        <w:rPr>
          <w:rFonts w:ascii="Open Sans" w:hAnsi="Open Sans" w:cs="Open Sans"/>
          <w:sz w:val="22"/>
          <w:szCs w:val="22"/>
        </w:rPr>
        <w:t xml:space="preserve">cannot prevent </w:t>
      </w:r>
      <w:r w:rsidR="00971AD5" w:rsidRPr="003B4DF8">
        <w:rPr>
          <w:rFonts w:ascii="Open Sans" w:hAnsi="Open Sans" w:cs="Open Sans"/>
          <w:sz w:val="22"/>
          <w:szCs w:val="22"/>
        </w:rPr>
        <w:t xml:space="preserve">the original </w:t>
      </w:r>
      <w:r w:rsidRPr="003B4DF8">
        <w:rPr>
          <w:rFonts w:ascii="Open Sans" w:hAnsi="Open Sans" w:cs="Open Sans"/>
          <w:sz w:val="22"/>
          <w:szCs w:val="22"/>
        </w:rPr>
        <w:t xml:space="preserve">instrument </w:t>
      </w:r>
      <w:r w:rsidR="00971AD5" w:rsidRPr="003B4DF8">
        <w:rPr>
          <w:rFonts w:ascii="Open Sans" w:hAnsi="Open Sans" w:cs="Open Sans"/>
          <w:sz w:val="22"/>
          <w:szCs w:val="22"/>
        </w:rPr>
        <w:t xml:space="preserve">from </w:t>
      </w:r>
      <w:r w:rsidRPr="003B4DF8">
        <w:rPr>
          <w:rFonts w:ascii="Open Sans" w:hAnsi="Open Sans" w:cs="Open Sans"/>
          <w:sz w:val="22"/>
          <w:szCs w:val="22"/>
        </w:rPr>
        <w:t xml:space="preserve">sunsetting or revive </w:t>
      </w:r>
      <w:r w:rsidR="00971AD5" w:rsidRPr="003B4DF8">
        <w:rPr>
          <w:rFonts w:ascii="Open Sans" w:hAnsi="Open Sans" w:cs="Open Sans"/>
          <w:sz w:val="22"/>
          <w:szCs w:val="22"/>
        </w:rPr>
        <w:t xml:space="preserve">the </w:t>
      </w:r>
      <w:r w:rsidRPr="003B4DF8">
        <w:rPr>
          <w:rFonts w:ascii="Open Sans" w:hAnsi="Open Sans" w:cs="Open Sans"/>
          <w:sz w:val="22"/>
          <w:szCs w:val="22"/>
        </w:rPr>
        <w:t xml:space="preserve">instrument </w:t>
      </w:r>
      <w:r w:rsidR="00971AD5" w:rsidRPr="003B4DF8">
        <w:rPr>
          <w:rFonts w:ascii="Open Sans" w:hAnsi="Open Sans" w:cs="Open Sans"/>
          <w:sz w:val="22"/>
          <w:szCs w:val="22"/>
        </w:rPr>
        <w:t xml:space="preserve">if it </w:t>
      </w:r>
      <w:r w:rsidRPr="003B4DF8">
        <w:rPr>
          <w:rFonts w:ascii="Open Sans" w:hAnsi="Open Sans" w:cs="Open Sans"/>
          <w:sz w:val="22"/>
          <w:szCs w:val="22"/>
        </w:rPr>
        <w:t>has already sunsetted</w:t>
      </w:r>
      <w:r w:rsidR="00971AD5" w:rsidRPr="003B4DF8">
        <w:rPr>
          <w:rFonts w:ascii="Open Sans" w:hAnsi="Open Sans" w:cs="Open Sans"/>
          <w:sz w:val="22"/>
          <w:szCs w:val="22"/>
        </w:rPr>
        <w:t xml:space="preserve"> (</w:t>
      </w:r>
      <w:r w:rsidR="00515567" w:rsidRPr="003B4DF8">
        <w:rPr>
          <w:rFonts w:ascii="Open Sans" w:hAnsi="Open Sans" w:cs="Open Sans"/>
          <w:i/>
          <w:iCs/>
          <w:sz w:val="22"/>
          <w:szCs w:val="22"/>
        </w:rPr>
        <w:t>Legislation Act 2003</w:t>
      </w:r>
      <w:r w:rsidR="00971AD5" w:rsidRPr="003B4DF8">
        <w:rPr>
          <w:rFonts w:ascii="Open Sans" w:hAnsi="Open Sans" w:cs="Open Sans"/>
          <w:sz w:val="22"/>
          <w:szCs w:val="22"/>
        </w:rPr>
        <w:t>, s 45)</w:t>
      </w:r>
      <w:r w:rsidRPr="003B4DF8">
        <w:rPr>
          <w:rFonts w:ascii="Open Sans" w:hAnsi="Open Sans" w:cs="Open Sans"/>
          <w:sz w:val="22"/>
          <w:szCs w:val="22"/>
        </w:rPr>
        <w:t>.</w:t>
      </w:r>
    </w:p>
    <w:p w14:paraId="36651EE1" w14:textId="13FAA266" w:rsidR="00C857D0" w:rsidRPr="003B4DF8" w:rsidRDefault="00C857D0" w:rsidP="003B4DF8">
      <w:pPr>
        <w:pStyle w:val="Heading2"/>
        <w:rPr>
          <w:rFonts w:ascii="Open Sans ExtraBold" w:hAnsi="Open Sans ExtraBold" w:cs="Open Sans ExtraBold"/>
          <w:color w:val="084D5E"/>
        </w:rPr>
      </w:pPr>
      <w:r w:rsidRPr="003B4DF8">
        <w:rPr>
          <w:rFonts w:ascii="Open Sans ExtraBold" w:hAnsi="Open Sans ExtraBold" w:cs="Open Sans ExtraBold"/>
          <w:color w:val="084D5E"/>
        </w:rPr>
        <w:t>Express repeals</w:t>
      </w:r>
    </w:p>
    <w:p w14:paraId="2537760B" w14:textId="263C1DFB" w:rsidR="00FA350D" w:rsidRPr="00DE42A8" w:rsidRDefault="00C857D0" w:rsidP="00DE42A8">
      <w:pPr>
        <w:pStyle w:val="BodyNum"/>
        <w:spacing w:after="240"/>
        <w:rPr>
          <w:rFonts w:ascii="Open Sans" w:hAnsi="Open Sans" w:cs="Open Sans"/>
          <w:sz w:val="22"/>
          <w:szCs w:val="22"/>
        </w:rPr>
      </w:pPr>
      <w:r w:rsidRPr="003B4DF8">
        <w:rPr>
          <w:rFonts w:ascii="Open Sans" w:hAnsi="Open Sans" w:cs="Open Sans"/>
          <w:sz w:val="22"/>
          <w:szCs w:val="22"/>
        </w:rPr>
        <w:t xml:space="preserve">In drafting a replacement instrument for a sunsetting legislative instrument, it is OPC’s practice to expressly repeal the sunsetting instrument (rather than rely the operation of the sunsetting provisions in the </w:t>
      </w:r>
      <w:r w:rsidR="00515567" w:rsidRPr="003B4DF8">
        <w:rPr>
          <w:rFonts w:ascii="Open Sans" w:hAnsi="Open Sans" w:cs="Open Sans"/>
          <w:i/>
          <w:iCs/>
          <w:sz w:val="22"/>
          <w:szCs w:val="22"/>
        </w:rPr>
        <w:t>Legislation Act 2003</w:t>
      </w:r>
      <w:r w:rsidRPr="003B4DF8">
        <w:rPr>
          <w:rFonts w:ascii="Open Sans" w:hAnsi="Open Sans" w:cs="Open Sans"/>
          <w:sz w:val="22"/>
          <w:szCs w:val="22"/>
        </w:rPr>
        <w:t>). The reason for this is to provide clarity and certainty as to when sunsetting instrument cease</w:t>
      </w:r>
      <w:r w:rsidR="00A578CB" w:rsidRPr="003B4DF8">
        <w:rPr>
          <w:rFonts w:ascii="Open Sans" w:hAnsi="Open Sans" w:cs="Open Sans"/>
          <w:sz w:val="22"/>
          <w:szCs w:val="22"/>
        </w:rPr>
        <w:t>s</w:t>
      </w:r>
      <w:r w:rsidRPr="003B4DF8">
        <w:rPr>
          <w:rFonts w:ascii="Open Sans" w:hAnsi="Open Sans" w:cs="Open Sans"/>
          <w:sz w:val="22"/>
          <w:szCs w:val="22"/>
        </w:rPr>
        <w:t xml:space="preserve"> to be in force.</w:t>
      </w:r>
    </w:p>
    <w:p w14:paraId="1CA491B0" w14:textId="1F2C297E" w:rsidR="00B403F7" w:rsidRPr="003B4DF8" w:rsidRDefault="00203811" w:rsidP="003B4DF8">
      <w:pPr>
        <w:pStyle w:val="Heading2"/>
        <w:rPr>
          <w:rFonts w:ascii="Open Sans ExtraBold" w:hAnsi="Open Sans ExtraBold" w:cs="Open Sans ExtraBold"/>
          <w:color w:val="084D5E"/>
        </w:rPr>
      </w:pPr>
      <w:r w:rsidRPr="003B4DF8">
        <w:rPr>
          <w:rFonts w:ascii="Open Sans ExtraBold" w:hAnsi="Open Sans ExtraBold" w:cs="Open Sans ExtraBold"/>
          <w:color w:val="084D5E"/>
        </w:rPr>
        <w:t>More information</w:t>
      </w:r>
    </w:p>
    <w:p w14:paraId="2C506068" w14:textId="6CE85B8F" w:rsidR="00203811" w:rsidRPr="003B4DF8" w:rsidRDefault="00203811" w:rsidP="00EC2FD6">
      <w:pPr>
        <w:pStyle w:val="BodyParaBullet"/>
        <w:rPr>
          <w:rFonts w:ascii="Open Sans" w:hAnsi="Open Sans" w:cs="Open Sans"/>
          <w:sz w:val="22"/>
          <w:szCs w:val="22"/>
        </w:rPr>
      </w:pPr>
      <w:r w:rsidRPr="003B4DF8">
        <w:rPr>
          <w:rFonts w:ascii="Open Sans" w:hAnsi="Open Sans" w:cs="Open Sans"/>
          <w:sz w:val="22"/>
          <w:szCs w:val="22"/>
        </w:rPr>
        <w:t xml:space="preserve">AGD </w:t>
      </w:r>
      <w:r w:rsidRPr="003B4DF8">
        <w:rPr>
          <w:rFonts w:ascii="Open Sans" w:hAnsi="Open Sans" w:cs="Open Sans"/>
          <w:i/>
          <w:iCs/>
          <w:sz w:val="22"/>
          <w:szCs w:val="22"/>
        </w:rPr>
        <w:t xml:space="preserve">Guide to Managing </w:t>
      </w:r>
      <w:r w:rsidR="00EC2FD6" w:rsidRPr="003B4DF8">
        <w:rPr>
          <w:rFonts w:ascii="Open Sans" w:hAnsi="Open Sans" w:cs="Open Sans"/>
          <w:i/>
          <w:iCs/>
          <w:sz w:val="22"/>
          <w:szCs w:val="22"/>
        </w:rPr>
        <w:t xml:space="preserve">the </w:t>
      </w:r>
      <w:r w:rsidRPr="003B4DF8">
        <w:rPr>
          <w:rFonts w:ascii="Open Sans" w:hAnsi="Open Sans" w:cs="Open Sans"/>
          <w:i/>
          <w:iCs/>
          <w:sz w:val="22"/>
          <w:szCs w:val="22"/>
        </w:rPr>
        <w:t>Sunsetting of Legislative Instruments</w:t>
      </w:r>
    </w:p>
    <w:p w14:paraId="6E6EC933" w14:textId="6C9ADAF7" w:rsidR="00EC2FD6" w:rsidRPr="003B4DF8" w:rsidRDefault="00EC2FD6" w:rsidP="00EC2FD6">
      <w:pPr>
        <w:pStyle w:val="BodyParaBullet"/>
        <w:rPr>
          <w:rFonts w:ascii="Open Sans" w:hAnsi="Open Sans" w:cs="Open Sans"/>
          <w:sz w:val="22"/>
          <w:szCs w:val="22"/>
        </w:rPr>
      </w:pPr>
      <w:r w:rsidRPr="003B4DF8">
        <w:rPr>
          <w:rFonts w:ascii="Open Sans" w:hAnsi="Open Sans" w:cs="Open Sans"/>
          <w:i/>
          <w:iCs/>
          <w:sz w:val="22"/>
          <w:szCs w:val="22"/>
        </w:rPr>
        <w:t>Instruments Handbook</w:t>
      </w:r>
      <w:r w:rsidRPr="003B4DF8">
        <w:rPr>
          <w:rFonts w:ascii="Open Sans" w:hAnsi="Open Sans" w:cs="Open Sans"/>
          <w:sz w:val="22"/>
          <w:szCs w:val="22"/>
        </w:rPr>
        <w:t xml:space="preserve"> </w:t>
      </w:r>
    </w:p>
    <w:p w14:paraId="2A59EA22" w14:textId="29351AF0" w:rsidR="003B4DF8" w:rsidRPr="003B4DF8" w:rsidRDefault="008861F2" w:rsidP="003B4DF8">
      <w:pPr>
        <w:pStyle w:val="BodyParaBullet"/>
        <w:rPr>
          <w:rFonts w:ascii="Open Sans" w:hAnsi="Open Sans" w:cs="Open Sans"/>
          <w:sz w:val="22"/>
          <w:szCs w:val="22"/>
        </w:rPr>
      </w:pPr>
      <w:r w:rsidRPr="003B4DF8">
        <w:rPr>
          <w:rFonts w:ascii="Open Sans" w:hAnsi="Open Sans" w:cs="Open Sans"/>
          <w:i/>
          <w:iCs/>
          <w:sz w:val="22"/>
          <w:szCs w:val="22"/>
        </w:rPr>
        <w:t>Instrument Drafting Guidance Note</w:t>
      </w:r>
      <w:r w:rsidR="00344BAC" w:rsidRPr="003B4DF8">
        <w:rPr>
          <w:rFonts w:ascii="Open Sans" w:hAnsi="Open Sans" w:cs="Open Sans"/>
          <w:i/>
          <w:iCs/>
          <w:sz w:val="22"/>
          <w:szCs w:val="22"/>
        </w:rPr>
        <w:t>s</w:t>
      </w:r>
      <w:r w:rsidRPr="003B4DF8">
        <w:rPr>
          <w:rFonts w:ascii="Open Sans" w:hAnsi="Open Sans" w:cs="Open Sans"/>
          <w:i/>
          <w:iCs/>
          <w:sz w:val="22"/>
          <w:szCs w:val="22"/>
        </w:rPr>
        <w:t xml:space="preserve"> 1.</w:t>
      </w:r>
      <w:r w:rsidR="00344BAC" w:rsidRPr="003B4DF8">
        <w:rPr>
          <w:rFonts w:ascii="Open Sans" w:hAnsi="Open Sans" w:cs="Open Sans"/>
          <w:i/>
          <w:iCs/>
          <w:sz w:val="22"/>
          <w:szCs w:val="22"/>
        </w:rPr>
        <w:t>2, 1.3 and 1.4</w:t>
      </w:r>
      <w:r w:rsidR="00C13E7B">
        <w:rPr>
          <w:rFonts w:ascii="Open Sans" w:hAnsi="Open Sans" w:cs="Open Sans"/>
          <w:i/>
          <w:iCs/>
          <w:sz w:val="22"/>
          <w:szCs w:val="22"/>
        </w:rPr>
        <w:br/>
      </w:r>
    </w:p>
    <w:tbl>
      <w:tblPr>
        <w:tblStyle w:val="TableGrid"/>
        <w:tblW w:w="0" w:type="auto"/>
        <w:tblLook w:val="04A0" w:firstRow="1" w:lastRow="0" w:firstColumn="1" w:lastColumn="0" w:noHBand="0" w:noVBand="1"/>
      </w:tblPr>
      <w:tblGrid>
        <w:gridCol w:w="9016"/>
      </w:tblGrid>
      <w:tr w:rsidR="003B4DF8" w:rsidRPr="003B4DF8" w14:paraId="6B5E8C53" w14:textId="77777777" w:rsidTr="00BF4F4A">
        <w:tc>
          <w:tcPr>
            <w:tcW w:w="9016" w:type="dxa"/>
            <w:tcBorders>
              <w:top w:val="nil"/>
              <w:left w:val="nil"/>
              <w:bottom w:val="nil"/>
              <w:right w:val="nil"/>
            </w:tcBorders>
            <w:shd w:val="clear" w:color="auto" w:fill="A9D9DB"/>
          </w:tcPr>
          <w:p w14:paraId="54736E62" w14:textId="77777777" w:rsidR="003B4DF8" w:rsidRPr="003B4DF8" w:rsidRDefault="003B4DF8" w:rsidP="00BF4F4A">
            <w:pPr>
              <w:spacing w:before="120" w:after="120"/>
              <w:rPr>
                <w:rFonts w:ascii="Open Sans" w:hAnsi="Open Sans" w:cs="Open Sans"/>
                <w:szCs w:val="22"/>
              </w:rPr>
            </w:pPr>
            <w:bookmarkStart w:id="1" w:name="_Hlk202188723"/>
            <w:r w:rsidRPr="003B4DF8">
              <w:rPr>
                <w:rFonts w:ascii="Open Sans" w:hAnsi="Open Sans" w:cs="Open Sans"/>
                <w:color w:val="084D5E"/>
                <w:szCs w:val="22"/>
              </w:rPr>
              <w:lastRenderedPageBreak/>
              <w:t>The purpose of Instructor Guidance Notes is to assist agencies with general legislative drafting issues and preparing drafting instructions for Bills and instruments. The series is intended to be a starting point for instructors' own engagement with the matters covered. Instructor Guidance Notes are not statements of official policy and are not intended to be a comprehensive statement of the law. This Instructor Guidance Note should not be relied on as a substitute for legal advice.</w:t>
            </w:r>
          </w:p>
        </w:tc>
      </w:tr>
      <w:bookmarkEnd w:id="1"/>
    </w:tbl>
    <w:p w14:paraId="07D7DCA0" w14:textId="77777777" w:rsidR="003B4DF8" w:rsidRPr="00DF0CF5" w:rsidRDefault="003B4DF8" w:rsidP="003B4DF8">
      <w:pPr>
        <w:pStyle w:val="BodyNum"/>
        <w:numPr>
          <w:ilvl w:val="0"/>
          <w:numId w:val="0"/>
        </w:numPr>
      </w:pPr>
    </w:p>
    <w:sectPr w:rsidR="003B4DF8" w:rsidRPr="00DF0CF5" w:rsidSect="00FA350D">
      <w:headerReference w:type="even" r:id="rId8"/>
      <w:headerReference w:type="default" r:id="rId9"/>
      <w:footerReference w:type="even" r:id="rId10"/>
      <w:footerReference w:type="default" r:id="rId11"/>
      <w:headerReference w:type="first" r:id="rId12"/>
      <w:footerReference w:type="first" r:id="rId13"/>
      <w:pgSz w:w="11907" w:h="16839"/>
      <w:pgMar w:top="1440" w:right="1440" w:bottom="851" w:left="1440" w:header="720"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3D48E" w14:textId="77777777" w:rsidR="0016394E" w:rsidRDefault="0016394E" w:rsidP="008E17F3">
      <w:pPr>
        <w:spacing w:line="240" w:lineRule="auto"/>
      </w:pPr>
      <w:r>
        <w:separator/>
      </w:r>
    </w:p>
  </w:endnote>
  <w:endnote w:type="continuationSeparator" w:id="0">
    <w:p w14:paraId="2477D99F" w14:textId="77777777" w:rsidR="0016394E" w:rsidRDefault="0016394E"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Open Sans">
    <w:charset w:val="00"/>
    <w:family w:val="swiss"/>
    <w:pitch w:val="variable"/>
    <w:sig w:usb0="E00002EF" w:usb1="4000205B" w:usb2="00000028" w:usb3="00000000" w:csb0="0000019F" w:csb1="00000000"/>
    <w:embedRegular r:id="rId1" w:fontKey="{E50C7909-2763-4543-BCC2-2C02A7E077FF}"/>
    <w:embedBold r:id="rId2" w:fontKey="{8F9F2EAD-2072-4176-BC4A-BE030880FA64}"/>
    <w:embedItalic r:id="rId3" w:fontKey="{0CA174F2-08EF-4B62-815F-DEEE86E30AB1}"/>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 Garamond">
    <w:altName w:val="Calibri"/>
    <w:charset w:val="00"/>
    <w:family w:val="auto"/>
    <w:pitch w:val="variable"/>
    <w:sig w:usb0="E00002FF" w:usb1="02000413" w:usb2="00000000" w:usb3="00000000" w:csb0="0000019F" w:csb1="00000000"/>
  </w:font>
  <w:font w:name="Open Sans ExtraBold">
    <w:charset w:val="00"/>
    <w:family w:val="swiss"/>
    <w:pitch w:val="variable"/>
    <w:sig w:usb0="E00002EF" w:usb1="4000205B" w:usb2="00000028" w:usb3="00000000" w:csb0="0000019F" w:csb1="00000000"/>
    <w:embedRegular r:id="rId4" w:fontKey="{9A35F819-4279-4BA0-A007-45A3A561A40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5EC8" w14:textId="3CA51727"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separate"/>
    </w:r>
    <w:r w:rsidR="00D2000B">
      <w:rPr>
        <w:rStyle w:val="PageNumber"/>
        <w:noProof/>
      </w:rPr>
      <w:t>6</w:t>
    </w:r>
    <w:r>
      <w:rPr>
        <w:rStyle w:val="PageNumber"/>
      </w:rPr>
      <w:fldChar w:fldCharType="end"/>
    </w:r>
  </w:p>
  <w:p w14:paraId="24471A24" w14:textId="77777777" w:rsidR="008E17F3" w:rsidRDefault="008E17F3" w:rsidP="008E17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75DA" w14:textId="4746A56C" w:rsidR="00FA350D" w:rsidRPr="00FA350D" w:rsidRDefault="00FA350D" w:rsidP="00FA350D">
    <w:pPr>
      <w:pStyle w:val="Footer"/>
      <w:ind w:left="-142" w:hanging="567"/>
      <w:jc w:val="right"/>
      <w:rPr>
        <w:rFonts w:ascii="Open Sans" w:hAnsi="Open Sans" w:cs="Open Sans"/>
        <w:sz w:val="21"/>
        <w:szCs w:val="22"/>
      </w:rPr>
    </w:pPr>
    <w:r>
      <w:rPr>
        <w:rFonts w:ascii="Open Sans" w:hAnsi="Open Sans" w:cs="Open Sans"/>
        <w:sz w:val="21"/>
        <w:szCs w:val="22"/>
      </w:rPr>
      <w:t xml:space="preserve">[S25EP115.docx] </w:t>
    </w:r>
    <w:r>
      <w:rPr>
        <w:rFonts w:ascii="Open Sans" w:hAnsi="Open Sans" w:cs="Open Sans"/>
        <w:sz w:val="21"/>
        <w:szCs w:val="22"/>
      </w:rPr>
      <w:tab/>
    </w:r>
    <w:r>
      <w:rPr>
        <w:rFonts w:ascii="Open Sans" w:hAnsi="Open Sans" w:cs="Open Sans"/>
        <w:sz w:val="21"/>
        <w:szCs w:val="22"/>
      </w:rPr>
      <w:tab/>
    </w:r>
    <w:r w:rsidRPr="00FA350D">
      <w:rPr>
        <w:rFonts w:ascii="Open Sans" w:hAnsi="Open Sans" w:cs="Open Sans"/>
        <w:sz w:val="21"/>
        <w:szCs w:val="22"/>
      </w:rPr>
      <w:t>Last updated: 22 October 2025</w:t>
    </w:r>
  </w:p>
  <w:sdt>
    <w:sdtPr>
      <w:rPr>
        <w:rFonts w:ascii="Open Sans" w:hAnsi="Open Sans" w:cs="Open Sans"/>
        <w:sz w:val="21"/>
        <w:szCs w:val="22"/>
      </w:rPr>
      <w:id w:val="505560075"/>
      <w:docPartObj>
        <w:docPartGallery w:val="Page Numbers (Bottom of Page)"/>
        <w:docPartUnique/>
      </w:docPartObj>
    </w:sdtPr>
    <w:sdtEndPr/>
    <w:sdtContent>
      <w:p w14:paraId="02442480" w14:textId="525FA073" w:rsidR="008E17F3" w:rsidRPr="00FA350D" w:rsidRDefault="00FA350D" w:rsidP="00FA350D">
        <w:pPr>
          <w:pStyle w:val="Footer"/>
          <w:jc w:val="right"/>
          <w:rPr>
            <w:rFonts w:ascii="Open Sans" w:hAnsi="Open Sans" w:cs="Open Sans"/>
            <w:sz w:val="21"/>
            <w:szCs w:val="22"/>
          </w:rPr>
        </w:pPr>
        <w:r w:rsidRPr="00FA350D">
          <w:rPr>
            <w:rFonts w:ascii="Open Sans" w:hAnsi="Open Sans" w:cs="Open Sans"/>
            <w:sz w:val="21"/>
            <w:szCs w:val="22"/>
          </w:rPr>
          <w:t xml:space="preserve">Page | </w:t>
        </w:r>
        <w:r w:rsidRPr="00FA350D">
          <w:rPr>
            <w:rFonts w:ascii="Open Sans" w:hAnsi="Open Sans" w:cs="Open Sans"/>
            <w:sz w:val="21"/>
            <w:szCs w:val="22"/>
          </w:rPr>
          <w:fldChar w:fldCharType="begin"/>
        </w:r>
        <w:r w:rsidRPr="00FA350D">
          <w:rPr>
            <w:rFonts w:ascii="Open Sans" w:hAnsi="Open Sans" w:cs="Open Sans"/>
            <w:sz w:val="21"/>
            <w:szCs w:val="22"/>
          </w:rPr>
          <w:instrText xml:space="preserve"> PAGE   \* MERGEFORMAT </w:instrText>
        </w:r>
        <w:r w:rsidRPr="00FA350D">
          <w:rPr>
            <w:rFonts w:ascii="Open Sans" w:hAnsi="Open Sans" w:cs="Open Sans"/>
            <w:sz w:val="21"/>
            <w:szCs w:val="22"/>
          </w:rPr>
          <w:fldChar w:fldCharType="separate"/>
        </w:r>
        <w:r w:rsidRPr="00FA350D">
          <w:rPr>
            <w:rFonts w:ascii="Open Sans" w:hAnsi="Open Sans" w:cs="Open Sans"/>
            <w:noProof/>
            <w:sz w:val="21"/>
            <w:szCs w:val="22"/>
          </w:rPr>
          <w:t>2</w:t>
        </w:r>
        <w:r w:rsidRPr="00FA350D">
          <w:rPr>
            <w:rFonts w:ascii="Open Sans" w:hAnsi="Open Sans" w:cs="Open Sans"/>
            <w:noProof/>
            <w:sz w:val="21"/>
            <w:szCs w:val="22"/>
          </w:rPr>
          <w:fldChar w:fldCharType="end"/>
        </w:r>
        <w:r w:rsidRPr="00FA350D">
          <w:rPr>
            <w:rFonts w:ascii="Open Sans" w:hAnsi="Open Sans" w:cs="Open Sans"/>
            <w:sz w:val="21"/>
            <w:szCs w:val="22"/>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02E2" w14:textId="77777777" w:rsidR="00FA350D" w:rsidRPr="00FA350D" w:rsidRDefault="00FA350D" w:rsidP="00FA350D">
    <w:pPr>
      <w:pStyle w:val="Footer"/>
      <w:ind w:hanging="567"/>
      <w:jc w:val="right"/>
      <w:rPr>
        <w:rFonts w:ascii="Open Sans" w:hAnsi="Open Sans" w:cs="Open Sans"/>
        <w:sz w:val="21"/>
        <w:szCs w:val="22"/>
      </w:rPr>
    </w:pPr>
    <w:r w:rsidRPr="00FA350D">
      <w:rPr>
        <w:rFonts w:ascii="Open Sans" w:hAnsi="Open Sans" w:cs="Open Sans"/>
        <w:sz w:val="21"/>
        <w:szCs w:val="22"/>
      </w:rPr>
      <w:t xml:space="preserve">[S25EP115.docx] </w:t>
    </w:r>
    <w:r w:rsidRPr="00FA350D">
      <w:rPr>
        <w:rFonts w:ascii="Open Sans" w:hAnsi="Open Sans" w:cs="Open Sans"/>
        <w:sz w:val="21"/>
        <w:szCs w:val="22"/>
      </w:rPr>
      <w:tab/>
    </w:r>
    <w:r w:rsidRPr="00FA350D">
      <w:rPr>
        <w:rFonts w:ascii="Open Sans" w:hAnsi="Open Sans" w:cs="Open Sans"/>
        <w:sz w:val="21"/>
        <w:szCs w:val="22"/>
      </w:rPr>
      <w:tab/>
      <w:t>Last updated: 22 October 2025</w:t>
    </w:r>
  </w:p>
  <w:sdt>
    <w:sdtPr>
      <w:rPr>
        <w:rFonts w:ascii="Open Sans" w:hAnsi="Open Sans" w:cs="Open Sans"/>
        <w:sz w:val="21"/>
        <w:szCs w:val="22"/>
      </w:rPr>
      <w:id w:val="292957713"/>
      <w:docPartObj>
        <w:docPartGallery w:val="Page Numbers (Bottom of Page)"/>
        <w:docPartUnique/>
      </w:docPartObj>
    </w:sdtPr>
    <w:sdtEndPr/>
    <w:sdtContent>
      <w:p w14:paraId="0EBC89DE" w14:textId="6ECF1E7A" w:rsidR="00FA350D" w:rsidRPr="00FA350D" w:rsidRDefault="00FA350D" w:rsidP="00FA350D">
        <w:pPr>
          <w:pStyle w:val="Footer"/>
          <w:jc w:val="right"/>
          <w:rPr>
            <w:rFonts w:ascii="Open Sans" w:hAnsi="Open Sans" w:cs="Open Sans"/>
            <w:sz w:val="21"/>
            <w:szCs w:val="22"/>
          </w:rPr>
        </w:pPr>
        <w:r w:rsidRPr="00FA350D">
          <w:rPr>
            <w:rFonts w:ascii="Open Sans" w:hAnsi="Open Sans" w:cs="Open Sans"/>
            <w:sz w:val="21"/>
            <w:szCs w:val="22"/>
          </w:rPr>
          <w:t xml:space="preserve">Page | </w:t>
        </w:r>
        <w:r w:rsidRPr="00FA350D">
          <w:rPr>
            <w:rFonts w:ascii="Open Sans" w:hAnsi="Open Sans" w:cs="Open Sans"/>
            <w:sz w:val="21"/>
            <w:szCs w:val="22"/>
          </w:rPr>
          <w:fldChar w:fldCharType="begin"/>
        </w:r>
        <w:r w:rsidRPr="00FA350D">
          <w:rPr>
            <w:rFonts w:ascii="Open Sans" w:hAnsi="Open Sans" w:cs="Open Sans"/>
            <w:sz w:val="21"/>
            <w:szCs w:val="22"/>
          </w:rPr>
          <w:instrText xml:space="preserve"> PAGE   \* MERGEFORMAT </w:instrText>
        </w:r>
        <w:r w:rsidRPr="00FA350D">
          <w:rPr>
            <w:rFonts w:ascii="Open Sans" w:hAnsi="Open Sans" w:cs="Open Sans"/>
            <w:sz w:val="21"/>
            <w:szCs w:val="22"/>
          </w:rPr>
          <w:fldChar w:fldCharType="separate"/>
        </w:r>
        <w:r w:rsidRPr="00FA350D">
          <w:rPr>
            <w:rFonts w:ascii="Open Sans" w:hAnsi="Open Sans" w:cs="Open Sans"/>
            <w:sz w:val="21"/>
            <w:szCs w:val="22"/>
          </w:rPr>
          <w:t>2</w:t>
        </w:r>
        <w:r w:rsidRPr="00FA350D">
          <w:rPr>
            <w:rFonts w:ascii="Open Sans" w:hAnsi="Open Sans" w:cs="Open Sans"/>
            <w:noProof/>
            <w:sz w:val="21"/>
            <w:szCs w:val="22"/>
          </w:rPr>
          <w:fldChar w:fldCharType="end"/>
        </w:r>
        <w:r w:rsidRPr="00FA350D">
          <w:rPr>
            <w:rFonts w:ascii="Open Sans" w:hAnsi="Open Sans" w:cs="Open Sans"/>
            <w:sz w:val="21"/>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9A5D5" w14:textId="77777777" w:rsidR="0016394E" w:rsidRDefault="0016394E" w:rsidP="008E17F3">
      <w:pPr>
        <w:spacing w:line="240" w:lineRule="auto"/>
      </w:pPr>
      <w:r>
        <w:separator/>
      </w:r>
    </w:p>
  </w:footnote>
  <w:footnote w:type="continuationSeparator" w:id="0">
    <w:p w14:paraId="5A69E64A" w14:textId="77777777" w:rsidR="0016394E" w:rsidRDefault="0016394E"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096E" w14:textId="77777777" w:rsidR="00366C11" w:rsidRDefault="00366C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9BBC" w14:textId="77777777" w:rsidR="00366C11" w:rsidRDefault="00366C11" w:rsidP="00366C11">
    <w:pPr>
      <w:pStyle w:val="Header"/>
      <w:spacing w:line="240" w:lineRule="auto"/>
      <w:rPr>
        <w:rFonts w:ascii="Open Sans" w:hAnsi="Open Sans" w:cs="Open Sans"/>
        <w:sz w:val="22"/>
        <w:szCs w:val="22"/>
      </w:rPr>
    </w:pPr>
  </w:p>
  <w:p w14:paraId="5B02175C" w14:textId="35794598" w:rsidR="00FA350D" w:rsidRPr="00366C11" w:rsidRDefault="00366C11" w:rsidP="00366C11">
    <w:pPr>
      <w:pStyle w:val="Header"/>
      <w:spacing w:line="240" w:lineRule="auto"/>
      <w:rPr>
        <w:rFonts w:ascii="Open Sans" w:hAnsi="Open Sans" w:cs="Open Sans"/>
        <w:b/>
        <w:bCs/>
        <w:color w:val="A6A6A6" w:themeColor="background1" w:themeShade="A6"/>
        <w:sz w:val="22"/>
        <w:szCs w:val="22"/>
      </w:rPr>
    </w:pPr>
    <w:r w:rsidRPr="00366C11">
      <w:rPr>
        <w:rFonts w:ascii="Open Sans" w:hAnsi="Open Sans" w:cs="Open Sans"/>
        <w:b/>
        <w:bCs/>
        <w:color w:val="A6A6A6" w:themeColor="background1" w:themeShade="A6"/>
        <w:sz w:val="22"/>
        <w:szCs w:val="22"/>
      </w:rPr>
      <w:t>Instructor Guidance Note—Sunsetting of legislative instruments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4B39" w14:textId="0B9315A0" w:rsidR="003B4DF8" w:rsidRDefault="003B4DF8">
    <w:pPr>
      <w:pStyle w:val="Header"/>
    </w:pPr>
    <w:r w:rsidRPr="00F951F6">
      <w:rPr>
        <w:rFonts w:cs="Open Sans"/>
        <w:noProof/>
      </w:rPr>
      <w:drawing>
        <wp:anchor distT="0" distB="0" distL="114300" distR="114300" simplePos="0" relativeHeight="251659264" behindDoc="0" locked="0" layoutInCell="1" allowOverlap="1" wp14:anchorId="24B14F5A" wp14:editId="7120B31D">
          <wp:simplePos x="0" y="0"/>
          <wp:positionH relativeFrom="margin">
            <wp:posOffset>-51206</wp:posOffset>
          </wp:positionH>
          <wp:positionV relativeFrom="paragraph">
            <wp:posOffset>-285293</wp:posOffset>
          </wp:positionV>
          <wp:extent cx="3229347" cy="748862"/>
          <wp:effectExtent l="0" t="0" r="0" b="0"/>
          <wp:wrapNone/>
          <wp:docPr id="652306269" name="Picture 4" descr="Australian Government Office of Parliamentary Couns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47286" name="Picture 4" descr="Australian Government Office of Parliamentary Counsel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9347" cy="7488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2C367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6A8A1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A4DE77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A6B6EC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A6EC31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BC3DB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3CC0C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C0AB9B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2DF3C4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FFFFF7C"/>
    <w:multiLevelType w:val="singleLevel"/>
    <w:tmpl w:val="4F8886D0"/>
    <w:lvl w:ilvl="0">
      <w:start w:val="1"/>
      <w:numFmt w:val="decimal"/>
      <w:lvlText w:val="%1."/>
      <w:lvlJc w:val="left"/>
      <w:pPr>
        <w:tabs>
          <w:tab w:val="num" w:pos="1492"/>
        </w:tabs>
        <w:ind w:left="1492" w:hanging="360"/>
      </w:pPr>
    </w:lvl>
  </w:abstractNum>
  <w:abstractNum w:abstractNumId="10" w15:restartNumberingAfterBreak="0">
    <w:nsid w:val="FFFFFF7D"/>
    <w:multiLevelType w:val="singleLevel"/>
    <w:tmpl w:val="36DAB140"/>
    <w:lvl w:ilvl="0">
      <w:start w:val="1"/>
      <w:numFmt w:val="decimal"/>
      <w:lvlText w:val="%1."/>
      <w:lvlJc w:val="left"/>
      <w:pPr>
        <w:tabs>
          <w:tab w:val="num" w:pos="1209"/>
        </w:tabs>
        <w:ind w:left="1209" w:hanging="360"/>
      </w:pPr>
    </w:lvl>
  </w:abstractNum>
  <w:abstractNum w:abstractNumId="11" w15:restartNumberingAfterBreak="0">
    <w:nsid w:val="FFFFFF7E"/>
    <w:multiLevelType w:val="singleLevel"/>
    <w:tmpl w:val="22D6E79E"/>
    <w:lvl w:ilvl="0">
      <w:start w:val="1"/>
      <w:numFmt w:val="decimal"/>
      <w:lvlText w:val="%1."/>
      <w:lvlJc w:val="left"/>
      <w:pPr>
        <w:tabs>
          <w:tab w:val="num" w:pos="926"/>
        </w:tabs>
        <w:ind w:left="926" w:hanging="360"/>
      </w:pPr>
    </w:lvl>
  </w:abstractNum>
  <w:abstractNum w:abstractNumId="12" w15:restartNumberingAfterBreak="0">
    <w:nsid w:val="FFFFFF7F"/>
    <w:multiLevelType w:val="singleLevel"/>
    <w:tmpl w:val="8A66F98A"/>
    <w:lvl w:ilvl="0">
      <w:start w:val="1"/>
      <w:numFmt w:val="decimal"/>
      <w:lvlText w:val="%1."/>
      <w:lvlJc w:val="left"/>
      <w:pPr>
        <w:tabs>
          <w:tab w:val="num" w:pos="643"/>
        </w:tabs>
        <w:ind w:left="643" w:hanging="360"/>
      </w:pPr>
    </w:lvl>
  </w:abstractNum>
  <w:abstractNum w:abstractNumId="13" w15:restartNumberingAfterBreak="0">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14" w15:restartNumberingAfterBreak="0">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15" w15:restartNumberingAfterBreak="0">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16" w15:restartNumberingAfterBreak="0">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17" w15:restartNumberingAfterBreak="0">
    <w:nsid w:val="FFFFFF88"/>
    <w:multiLevelType w:val="singleLevel"/>
    <w:tmpl w:val="A6708700"/>
    <w:lvl w:ilvl="0">
      <w:start w:val="1"/>
      <w:numFmt w:val="decimal"/>
      <w:lvlText w:val="%1."/>
      <w:lvlJc w:val="left"/>
      <w:pPr>
        <w:tabs>
          <w:tab w:val="num" w:pos="360"/>
        </w:tabs>
        <w:ind w:left="360" w:hanging="360"/>
      </w:pPr>
    </w:lvl>
  </w:abstractNum>
  <w:abstractNum w:abstractNumId="18" w15:restartNumberingAfterBreak="0">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427C2A0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9B129D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D80A0B8"/>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2E986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337DF2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4A06B05"/>
    <w:multiLevelType w:val="hybridMultilevel"/>
    <w:tmpl w:val="D2521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18604462">
    <w:abstractNumId w:val="18"/>
  </w:num>
  <w:num w:numId="2" w16cid:durableId="1852839313">
    <w:abstractNumId w:val="16"/>
  </w:num>
  <w:num w:numId="3" w16cid:durableId="1759062539">
    <w:abstractNumId w:val="15"/>
  </w:num>
  <w:num w:numId="4" w16cid:durableId="447162819">
    <w:abstractNumId w:val="14"/>
  </w:num>
  <w:num w:numId="5" w16cid:durableId="754473545">
    <w:abstractNumId w:val="13"/>
  </w:num>
  <w:num w:numId="6" w16cid:durableId="265775054">
    <w:abstractNumId w:val="17"/>
  </w:num>
  <w:num w:numId="7" w16cid:durableId="1032651111">
    <w:abstractNumId w:val="12"/>
  </w:num>
  <w:num w:numId="8" w16cid:durableId="1804272674">
    <w:abstractNumId w:val="11"/>
  </w:num>
  <w:num w:numId="9" w16cid:durableId="949971825">
    <w:abstractNumId w:val="10"/>
  </w:num>
  <w:num w:numId="10" w16cid:durableId="1553927754">
    <w:abstractNumId w:val="9"/>
  </w:num>
  <w:num w:numId="11" w16cid:durableId="180317385">
    <w:abstractNumId w:val="20"/>
  </w:num>
  <w:num w:numId="12" w16cid:durableId="1244028492">
    <w:abstractNumId w:val="24"/>
  </w:num>
  <w:num w:numId="13" w16cid:durableId="710887621">
    <w:abstractNumId w:val="19"/>
  </w:num>
  <w:num w:numId="14" w16cid:durableId="414205605">
    <w:abstractNumId w:val="21"/>
  </w:num>
  <w:num w:numId="15" w16cid:durableId="2019842879">
    <w:abstractNumId w:val="6"/>
  </w:num>
  <w:num w:numId="16" w16cid:durableId="449669895">
    <w:abstractNumId w:val="1"/>
  </w:num>
  <w:num w:numId="17" w16cid:durableId="1033772246">
    <w:abstractNumId w:val="0"/>
  </w:num>
  <w:num w:numId="18" w16cid:durableId="1133790603">
    <w:abstractNumId w:val="26"/>
  </w:num>
  <w:num w:numId="19" w16cid:durableId="371735429">
    <w:abstractNumId w:val="5"/>
  </w:num>
  <w:num w:numId="20" w16cid:durableId="1999310623">
    <w:abstractNumId w:val="2"/>
  </w:num>
  <w:num w:numId="21" w16cid:durableId="1519346350">
    <w:abstractNumId w:val="22"/>
  </w:num>
  <w:num w:numId="22" w16cid:durableId="1580558855">
    <w:abstractNumId w:val="25"/>
  </w:num>
  <w:num w:numId="23" w16cid:durableId="718013411">
    <w:abstractNumId w:val="23"/>
  </w:num>
  <w:num w:numId="24" w16cid:durableId="173571740">
    <w:abstractNumId w:val="3"/>
  </w:num>
  <w:num w:numId="25" w16cid:durableId="2037384548">
    <w:abstractNumId w:val="4"/>
  </w:num>
  <w:num w:numId="26" w16cid:durableId="1814911118">
    <w:abstractNumId w:val="8"/>
  </w:num>
  <w:num w:numId="27" w16cid:durableId="1044987897">
    <w:abstractNumId w:val="27"/>
  </w:num>
  <w:num w:numId="28" w16cid:durableId="15921576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4E"/>
    <w:rsid w:val="0000362F"/>
    <w:rsid w:val="00005AB6"/>
    <w:rsid w:val="000136AF"/>
    <w:rsid w:val="00022B7E"/>
    <w:rsid w:val="00036B0B"/>
    <w:rsid w:val="00055B49"/>
    <w:rsid w:val="00056743"/>
    <w:rsid w:val="000614BF"/>
    <w:rsid w:val="00092652"/>
    <w:rsid w:val="000A21D2"/>
    <w:rsid w:val="000A6F53"/>
    <w:rsid w:val="000B18C2"/>
    <w:rsid w:val="000B678F"/>
    <w:rsid w:val="000B7F2C"/>
    <w:rsid w:val="000C604C"/>
    <w:rsid w:val="000D05EF"/>
    <w:rsid w:val="0010745C"/>
    <w:rsid w:val="00155438"/>
    <w:rsid w:val="00160B59"/>
    <w:rsid w:val="0016394E"/>
    <w:rsid w:val="00166C2F"/>
    <w:rsid w:val="00167FBF"/>
    <w:rsid w:val="00174846"/>
    <w:rsid w:val="00176E5F"/>
    <w:rsid w:val="00184E28"/>
    <w:rsid w:val="00186BCB"/>
    <w:rsid w:val="001939E1"/>
    <w:rsid w:val="00195382"/>
    <w:rsid w:val="0019791D"/>
    <w:rsid w:val="001A4D77"/>
    <w:rsid w:val="001B599D"/>
    <w:rsid w:val="001C69C4"/>
    <w:rsid w:val="001D15D8"/>
    <w:rsid w:val="001E3590"/>
    <w:rsid w:val="001E4220"/>
    <w:rsid w:val="001E7407"/>
    <w:rsid w:val="00200B33"/>
    <w:rsid w:val="00203811"/>
    <w:rsid w:val="00215EB3"/>
    <w:rsid w:val="00240908"/>
    <w:rsid w:val="00245E40"/>
    <w:rsid w:val="00253D1B"/>
    <w:rsid w:val="00260B9F"/>
    <w:rsid w:val="00264CF9"/>
    <w:rsid w:val="00270752"/>
    <w:rsid w:val="00281210"/>
    <w:rsid w:val="00286EDD"/>
    <w:rsid w:val="00295FBA"/>
    <w:rsid w:val="002970D7"/>
    <w:rsid w:val="00297ECB"/>
    <w:rsid w:val="002D043A"/>
    <w:rsid w:val="002D0EDF"/>
    <w:rsid w:val="002D6A8E"/>
    <w:rsid w:val="002E7571"/>
    <w:rsid w:val="0030010B"/>
    <w:rsid w:val="00311448"/>
    <w:rsid w:val="00317101"/>
    <w:rsid w:val="00321987"/>
    <w:rsid w:val="00326459"/>
    <w:rsid w:val="00344BAC"/>
    <w:rsid w:val="00346602"/>
    <w:rsid w:val="00352B0F"/>
    <w:rsid w:val="00360FB0"/>
    <w:rsid w:val="00363363"/>
    <w:rsid w:val="00366C11"/>
    <w:rsid w:val="003675E1"/>
    <w:rsid w:val="00375910"/>
    <w:rsid w:val="003B4DF8"/>
    <w:rsid w:val="003B5735"/>
    <w:rsid w:val="003C126D"/>
    <w:rsid w:val="003C793B"/>
    <w:rsid w:val="003D0BFE"/>
    <w:rsid w:val="003D21F0"/>
    <w:rsid w:val="003D5700"/>
    <w:rsid w:val="003D6F8A"/>
    <w:rsid w:val="003E4160"/>
    <w:rsid w:val="003F6E19"/>
    <w:rsid w:val="004039E9"/>
    <w:rsid w:val="004116CD"/>
    <w:rsid w:val="004150C5"/>
    <w:rsid w:val="00422224"/>
    <w:rsid w:val="00424CA9"/>
    <w:rsid w:val="0044291A"/>
    <w:rsid w:val="00450A86"/>
    <w:rsid w:val="00454972"/>
    <w:rsid w:val="004560FB"/>
    <w:rsid w:val="00463B49"/>
    <w:rsid w:val="004653F8"/>
    <w:rsid w:val="004666B8"/>
    <w:rsid w:val="00474C13"/>
    <w:rsid w:val="0049588F"/>
    <w:rsid w:val="00496F97"/>
    <w:rsid w:val="004A131F"/>
    <w:rsid w:val="004A5599"/>
    <w:rsid w:val="004B7BAA"/>
    <w:rsid w:val="004D45EE"/>
    <w:rsid w:val="0050027E"/>
    <w:rsid w:val="005073BD"/>
    <w:rsid w:val="00515567"/>
    <w:rsid w:val="00516B8D"/>
    <w:rsid w:val="00527022"/>
    <w:rsid w:val="005327A0"/>
    <w:rsid w:val="00537FBC"/>
    <w:rsid w:val="005543FD"/>
    <w:rsid w:val="005824CC"/>
    <w:rsid w:val="00584811"/>
    <w:rsid w:val="00594161"/>
    <w:rsid w:val="00594749"/>
    <w:rsid w:val="005A7A47"/>
    <w:rsid w:val="005B3AB4"/>
    <w:rsid w:val="005B3DFF"/>
    <w:rsid w:val="005C5D6C"/>
    <w:rsid w:val="005D0578"/>
    <w:rsid w:val="005D5BF5"/>
    <w:rsid w:val="00600219"/>
    <w:rsid w:val="006068C2"/>
    <w:rsid w:val="006102D9"/>
    <w:rsid w:val="006207A3"/>
    <w:rsid w:val="00625CF4"/>
    <w:rsid w:val="006279B8"/>
    <w:rsid w:val="0063617A"/>
    <w:rsid w:val="006626BF"/>
    <w:rsid w:val="00677CC2"/>
    <w:rsid w:val="00680F77"/>
    <w:rsid w:val="006848A3"/>
    <w:rsid w:val="00690772"/>
    <w:rsid w:val="0069207B"/>
    <w:rsid w:val="00693588"/>
    <w:rsid w:val="006C7F8C"/>
    <w:rsid w:val="006D77BA"/>
    <w:rsid w:val="006E2E9F"/>
    <w:rsid w:val="006F13C6"/>
    <w:rsid w:val="006F6D03"/>
    <w:rsid w:val="00704A73"/>
    <w:rsid w:val="007135B3"/>
    <w:rsid w:val="007276BC"/>
    <w:rsid w:val="00731E00"/>
    <w:rsid w:val="00731FA2"/>
    <w:rsid w:val="00733990"/>
    <w:rsid w:val="00753E50"/>
    <w:rsid w:val="007607E6"/>
    <w:rsid w:val="00766393"/>
    <w:rsid w:val="0077139B"/>
    <w:rsid w:val="007715C9"/>
    <w:rsid w:val="007749FF"/>
    <w:rsid w:val="00774EDD"/>
    <w:rsid w:val="00775577"/>
    <w:rsid w:val="007757DB"/>
    <w:rsid w:val="007757EC"/>
    <w:rsid w:val="007866A0"/>
    <w:rsid w:val="0079461A"/>
    <w:rsid w:val="00796ED4"/>
    <w:rsid w:val="007A0B9D"/>
    <w:rsid w:val="007D277A"/>
    <w:rsid w:val="007D5737"/>
    <w:rsid w:val="007D595D"/>
    <w:rsid w:val="007E224A"/>
    <w:rsid w:val="008006B2"/>
    <w:rsid w:val="00805E4E"/>
    <w:rsid w:val="00810B08"/>
    <w:rsid w:val="008265F6"/>
    <w:rsid w:val="00830261"/>
    <w:rsid w:val="00834E87"/>
    <w:rsid w:val="00835AAD"/>
    <w:rsid w:val="00856A31"/>
    <w:rsid w:val="008754D0"/>
    <w:rsid w:val="008861F2"/>
    <w:rsid w:val="00895E1D"/>
    <w:rsid w:val="008970FD"/>
    <w:rsid w:val="008E17F3"/>
    <w:rsid w:val="008E3B8C"/>
    <w:rsid w:val="0091590C"/>
    <w:rsid w:val="0091594E"/>
    <w:rsid w:val="00943874"/>
    <w:rsid w:val="0094622F"/>
    <w:rsid w:val="00971AD5"/>
    <w:rsid w:val="0098638B"/>
    <w:rsid w:val="00990A3C"/>
    <w:rsid w:val="00996180"/>
    <w:rsid w:val="009A1813"/>
    <w:rsid w:val="009B1256"/>
    <w:rsid w:val="009E42B3"/>
    <w:rsid w:val="009F27E9"/>
    <w:rsid w:val="00A0055A"/>
    <w:rsid w:val="00A231E2"/>
    <w:rsid w:val="00A31C56"/>
    <w:rsid w:val="00A346C0"/>
    <w:rsid w:val="00A5026F"/>
    <w:rsid w:val="00A578CB"/>
    <w:rsid w:val="00A64912"/>
    <w:rsid w:val="00A64947"/>
    <w:rsid w:val="00A70A74"/>
    <w:rsid w:val="00A84394"/>
    <w:rsid w:val="00A91B5C"/>
    <w:rsid w:val="00AC5331"/>
    <w:rsid w:val="00AC5F62"/>
    <w:rsid w:val="00AC634C"/>
    <w:rsid w:val="00AD5641"/>
    <w:rsid w:val="00AF5F4B"/>
    <w:rsid w:val="00B25A0E"/>
    <w:rsid w:val="00B33B3C"/>
    <w:rsid w:val="00B403F7"/>
    <w:rsid w:val="00B50D43"/>
    <w:rsid w:val="00B623B0"/>
    <w:rsid w:val="00B64B39"/>
    <w:rsid w:val="00B70A39"/>
    <w:rsid w:val="00B74FD9"/>
    <w:rsid w:val="00B81F35"/>
    <w:rsid w:val="00B9797A"/>
    <w:rsid w:val="00BA1AC1"/>
    <w:rsid w:val="00BA6D4F"/>
    <w:rsid w:val="00BB20D3"/>
    <w:rsid w:val="00BE52C4"/>
    <w:rsid w:val="00BE623A"/>
    <w:rsid w:val="00BE719A"/>
    <w:rsid w:val="00BE720A"/>
    <w:rsid w:val="00BF0950"/>
    <w:rsid w:val="00BF2654"/>
    <w:rsid w:val="00C01ABB"/>
    <w:rsid w:val="00C13E7B"/>
    <w:rsid w:val="00C16501"/>
    <w:rsid w:val="00C32AF0"/>
    <w:rsid w:val="00C3478B"/>
    <w:rsid w:val="00C37130"/>
    <w:rsid w:val="00C37836"/>
    <w:rsid w:val="00C42BF8"/>
    <w:rsid w:val="00C50043"/>
    <w:rsid w:val="00C61CDD"/>
    <w:rsid w:val="00C7573B"/>
    <w:rsid w:val="00C8098E"/>
    <w:rsid w:val="00C82B46"/>
    <w:rsid w:val="00C83868"/>
    <w:rsid w:val="00C857D0"/>
    <w:rsid w:val="00C86660"/>
    <w:rsid w:val="00CA29C3"/>
    <w:rsid w:val="00CB3D6B"/>
    <w:rsid w:val="00CB3F24"/>
    <w:rsid w:val="00CB48D8"/>
    <w:rsid w:val="00CD08BF"/>
    <w:rsid w:val="00CD1E79"/>
    <w:rsid w:val="00CF0BB2"/>
    <w:rsid w:val="00D13441"/>
    <w:rsid w:val="00D16302"/>
    <w:rsid w:val="00D16F85"/>
    <w:rsid w:val="00D2000B"/>
    <w:rsid w:val="00D2364B"/>
    <w:rsid w:val="00D3054F"/>
    <w:rsid w:val="00D32EF6"/>
    <w:rsid w:val="00D70DFB"/>
    <w:rsid w:val="00D766DF"/>
    <w:rsid w:val="00D80827"/>
    <w:rsid w:val="00D856E6"/>
    <w:rsid w:val="00D96FF3"/>
    <w:rsid w:val="00DA26E2"/>
    <w:rsid w:val="00DA2D4C"/>
    <w:rsid w:val="00DB3CFE"/>
    <w:rsid w:val="00DC201F"/>
    <w:rsid w:val="00DC3AF0"/>
    <w:rsid w:val="00DC688D"/>
    <w:rsid w:val="00DE3766"/>
    <w:rsid w:val="00DE42A8"/>
    <w:rsid w:val="00DE7073"/>
    <w:rsid w:val="00DF0CF5"/>
    <w:rsid w:val="00DF569F"/>
    <w:rsid w:val="00E05BE8"/>
    <w:rsid w:val="00E07704"/>
    <w:rsid w:val="00E1454C"/>
    <w:rsid w:val="00E406EA"/>
    <w:rsid w:val="00E631CB"/>
    <w:rsid w:val="00E64C19"/>
    <w:rsid w:val="00E74DC7"/>
    <w:rsid w:val="00E8169B"/>
    <w:rsid w:val="00E9268A"/>
    <w:rsid w:val="00E92C53"/>
    <w:rsid w:val="00EC2FD6"/>
    <w:rsid w:val="00ED0C49"/>
    <w:rsid w:val="00ED302D"/>
    <w:rsid w:val="00ED5C8F"/>
    <w:rsid w:val="00EE4558"/>
    <w:rsid w:val="00EE661B"/>
    <w:rsid w:val="00EF2E3A"/>
    <w:rsid w:val="00F04811"/>
    <w:rsid w:val="00F078DC"/>
    <w:rsid w:val="00F17C52"/>
    <w:rsid w:val="00F23E5F"/>
    <w:rsid w:val="00F30197"/>
    <w:rsid w:val="00F51269"/>
    <w:rsid w:val="00F6274E"/>
    <w:rsid w:val="00F62E7F"/>
    <w:rsid w:val="00F70BEB"/>
    <w:rsid w:val="00FA3168"/>
    <w:rsid w:val="00FA350D"/>
    <w:rsid w:val="00FD0121"/>
    <w:rsid w:val="00FD06E2"/>
    <w:rsid w:val="00FD2278"/>
    <w:rsid w:val="00FD456C"/>
    <w:rsid w:val="00FE0192"/>
    <w:rsid w:val="00FE495E"/>
    <w:rsid w:val="00FE6F3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818967B"/>
  <w15:docId w15:val="{CCCC317D-55D0-4B9D-A7AA-10A7A3BA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69C4"/>
    <w:pPr>
      <w:spacing w:line="260" w:lineRule="atLeast"/>
    </w:pPr>
    <w:rPr>
      <w:sz w:val="22"/>
    </w:rPr>
  </w:style>
  <w:style w:type="paragraph" w:styleId="Heading1">
    <w:name w:val="heading 1"/>
    <w:next w:val="Heading2"/>
    <w:link w:val="Heading1Char"/>
    <w:uiPriority w:val="9"/>
    <w:qFormat/>
    <w:rsid w:val="003B4DF8"/>
    <w:pPr>
      <w:keepNext/>
      <w:pageBreakBefore/>
      <w:autoSpaceDE w:val="0"/>
      <w:autoSpaceDN w:val="0"/>
      <w:adjustRightInd w:val="0"/>
      <w:spacing w:before="160" w:after="300"/>
      <w:jc w:val="center"/>
      <w:outlineLvl w:val="0"/>
    </w:pPr>
    <w:rPr>
      <w:rFonts w:ascii="Open Sans" w:hAnsi="Open Sans" w:cs="Open Sans"/>
      <w:color w:val="000000" w:themeColor="text1"/>
      <w:kern w:val="28"/>
      <w:sz w:val="56"/>
      <w:szCs w:val="56"/>
      <w:lang w:val="en-GB" w:eastAsia="en-AU"/>
    </w:rPr>
  </w:style>
  <w:style w:type="paragraph" w:styleId="Heading2">
    <w:name w:val="heading 2"/>
    <w:basedOn w:val="Normal"/>
    <w:next w:val="Normal"/>
    <w:link w:val="Heading2Char"/>
    <w:uiPriority w:val="9"/>
    <w:unhideWhenUsed/>
    <w:qFormat/>
    <w:rsid w:val="003B4DF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uiPriority w:val="99"/>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 w:type="character" w:customStyle="1" w:styleId="Heading1Char">
    <w:name w:val="Heading 1 Char"/>
    <w:basedOn w:val="DefaultParagraphFont"/>
    <w:link w:val="Heading1"/>
    <w:uiPriority w:val="9"/>
    <w:rsid w:val="003B4DF8"/>
    <w:rPr>
      <w:rFonts w:ascii="Open Sans" w:hAnsi="Open Sans" w:cs="Open Sans"/>
      <w:color w:val="000000" w:themeColor="text1"/>
      <w:kern w:val="28"/>
      <w:sz w:val="56"/>
      <w:szCs w:val="56"/>
      <w:lang w:val="en-GB" w:eastAsia="en-AU"/>
    </w:rPr>
  </w:style>
  <w:style w:type="character" w:customStyle="1" w:styleId="Heading2Char">
    <w:name w:val="Heading 2 Char"/>
    <w:basedOn w:val="DefaultParagraphFont"/>
    <w:link w:val="Heading2"/>
    <w:uiPriority w:val="9"/>
    <w:rsid w:val="003B4DF8"/>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B4DF8"/>
    <w:rPr>
      <w:rFonts w:ascii="EB Garamond" w:hAnsi="EB Garamond" w:cs="EB Garamond"/>
      <w:color w:val="000000" w:themeColor="text1"/>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73759-1A1A-45DB-96B1-5C3D5C027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2072</Words>
  <Characters>11212</Characters>
  <Application>Microsoft Office Word</Application>
  <DocSecurity>8</DocSecurity>
  <Lines>219</Lines>
  <Paragraphs>120</Paragraphs>
  <ScaleCrop>false</ScaleCrop>
  <HeadingPairs>
    <vt:vector size="2" baseType="variant">
      <vt:variant>
        <vt:lpstr>Title</vt:lpstr>
      </vt:variant>
      <vt:variant>
        <vt:i4>1</vt:i4>
      </vt:variant>
    </vt:vector>
  </HeadingPairs>
  <TitlesOfParts>
    <vt:vector size="1" baseType="lpstr">
      <vt:lpstr>Instructor Guidance Note—Sunsetting of legislative instruments</vt:lpstr>
    </vt:vector>
  </TitlesOfParts>
  <Company>Office of Parliamentary Counsel</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 Guidance Note—Sunsetting of legislative instruments</dc:title>
  <dc:subject/>
  <dc:creator>MilesA</dc:creator>
  <cp:keywords/>
  <dc:description/>
  <cp:lastModifiedBy>Phong, Karen</cp:lastModifiedBy>
  <cp:revision>3</cp:revision>
  <cp:lastPrinted>2025-09-25T04:53:00Z</cp:lastPrinted>
  <dcterms:created xsi:type="dcterms:W3CDTF">2025-11-09T23:54:00Z</dcterms:created>
  <dcterms:modified xsi:type="dcterms:W3CDTF">2025-11-09T23:56:00Z</dcterms:modified>
  <cp:category>Other -;Reformatting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DoNotAsk">
    <vt:lpwstr>0</vt:lpwstr>
  </property>
  <property fmtid="{D5CDD505-2E9C-101B-9397-08002B2CF9AE}" pid="5" name="ChangedTitle">
    <vt:lpwstr/>
  </property>
</Properties>
</file>