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3E963" w14:textId="77777777" w:rsidR="00E620CE" w:rsidRPr="00B756A7" w:rsidRDefault="00E620CE" w:rsidP="00E620CE">
      <w:pPr>
        <w:pStyle w:val="Heading1"/>
        <w:rPr>
          <w:rFonts w:cs="Open Sans ExtraBold"/>
          <w:b/>
          <w:bCs/>
        </w:rPr>
      </w:pPr>
      <w:bookmarkStart w:id="0" w:name="_Hlk211263534"/>
      <w:r w:rsidRPr="00B756A7">
        <w:rPr>
          <w:rFonts w:cs="Open Sans ExtraBold"/>
          <w:b/>
          <w:bCs/>
        </w:rPr>
        <w:t>Instructor Guidance Note—Automated decision making</w:t>
      </w:r>
    </w:p>
    <w:bookmarkEnd w:id="0"/>
    <w:p w14:paraId="09FD7C72" w14:textId="77777777" w:rsidR="00E620CE" w:rsidRPr="00B756A7" w:rsidRDefault="00E620CE" w:rsidP="00E620CE">
      <w:pPr>
        <w:pStyle w:val="Heading3"/>
        <w:rPr>
          <w:rFonts w:ascii="Open Sans ExtraBold" w:eastAsiaTheme="minorEastAsia" w:hAnsi="Open Sans ExtraBold" w:cs="Open Sans ExtraBold"/>
          <w:b/>
          <w:bCs/>
          <w:color w:val="084D5E"/>
          <w:sz w:val="24"/>
          <w:szCs w:val="30"/>
          <w:lang w:eastAsia="en-AU"/>
        </w:rPr>
      </w:pPr>
      <w:r w:rsidRPr="00B756A7">
        <w:rPr>
          <w:rFonts w:ascii="Open Sans ExtraBold" w:eastAsiaTheme="minorEastAsia" w:hAnsi="Open Sans ExtraBold" w:cs="Open Sans ExtraBold"/>
          <w:b/>
          <w:bCs/>
          <w:color w:val="084D5E"/>
          <w:sz w:val="24"/>
          <w:szCs w:val="30"/>
          <w:lang w:eastAsia="en-AU"/>
        </w:rPr>
        <w:t>What is automated decision making?</w:t>
      </w:r>
    </w:p>
    <w:p w14:paraId="5C9BD018" w14:textId="3CC2F59B" w:rsidR="00E620CE" w:rsidRPr="00122C22" w:rsidRDefault="00122C22" w:rsidP="00E620CE">
      <w:pPr>
        <w:pStyle w:val="BodyNum"/>
        <w:rPr>
          <w:rFonts w:ascii="Open Sans" w:hAnsi="Open Sans" w:cs="Open Sans"/>
          <w:sz w:val="22"/>
          <w:szCs w:val="18"/>
        </w:rPr>
      </w:pPr>
      <w:bookmarkStart w:id="1" w:name="_Hlk211264749"/>
      <w:r w:rsidRPr="00122C22">
        <w:rPr>
          <w:rFonts w:ascii="Open Sans" w:hAnsi="Open Sans" w:cs="Open Sans"/>
          <w:sz w:val="22"/>
          <w:szCs w:val="18"/>
        </w:rPr>
        <w:t>“</w:t>
      </w:r>
      <w:r w:rsidR="00E620CE" w:rsidRPr="00122C22">
        <w:rPr>
          <w:rFonts w:ascii="Open Sans" w:hAnsi="Open Sans" w:cs="Open Sans"/>
          <w:sz w:val="22"/>
          <w:szCs w:val="18"/>
        </w:rPr>
        <w:t xml:space="preserve">Automated decision making” refers to using a computer system (an </w:t>
      </w:r>
      <w:r w:rsidR="00E620CE" w:rsidRPr="00122C22">
        <w:rPr>
          <w:rFonts w:ascii="Open Sans" w:hAnsi="Open Sans" w:cs="Open Sans"/>
          <w:b/>
          <w:bCs/>
          <w:i/>
          <w:iCs/>
          <w:sz w:val="22"/>
          <w:szCs w:val="18"/>
        </w:rPr>
        <w:t>automated system</w:t>
      </w:r>
      <w:r w:rsidR="00E620CE" w:rsidRPr="00122C22">
        <w:rPr>
          <w:rFonts w:ascii="Open Sans" w:hAnsi="Open Sans" w:cs="Open Sans"/>
          <w:sz w:val="22"/>
          <w:szCs w:val="18"/>
        </w:rPr>
        <w:t>) to automate part or all of an administrative decision making process. Examples include using an automated system to do any of the following:</w:t>
      </w:r>
    </w:p>
    <w:p w14:paraId="608B08C6"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make an administrative decision;</w:t>
      </w:r>
    </w:p>
    <w:p w14:paraId="50DC8EE3" w14:textId="1BB3BB06"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recommend an administrative decision to a decision</w:t>
      </w:r>
      <w:r w:rsidR="00D379C6">
        <w:rPr>
          <w:rFonts w:ascii="Open Sans" w:hAnsi="Open Sans" w:cs="Open Sans"/>
          <w:sz w:val="22"/>
          <w:szCs w:val="22"/>
        </w:rPr>
        <w:t xml:space="preserve"> </w:t>
      </w:r>
      <w:r w:rsidRPr="00122C22">
        <w:rPr>
          <w:rFonts w:ascii="Open Sans" w:hAnsi="Open Sans" w:cs="Open Sans"/>
          <w:sz w:val="22"/>
          <w:szCs w:val="22"/>
        </w:rPr>
        <w:t>maker;</w:t>
      </w:r>
    </w:p>
    <w:p w14:paraId="38627714" w14:textId="69FEC96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 xml:space="preserve">provide support to a </w:t>
      </w:r>
      <w:r w:rsidR="00D379C6">
        <w:rPr>
          <w:rFonts w:ascii="Open Sans" w:hAnsi="Open Sans" w:cs="Open Sans"/>
          <w:sz w:val="22"/>
          <w:szCs w:val="22"/>
        </w:rPr>
        <w:t xml:space="preserve">decision </w:t>
      </w:r>
      <w:r w:rsidRPr="00122C22">
        <w:rPr>
          <w:rFonts w:ascii="Open Sans" w:hAnsi="Open Sans" w:cs="Open Sans"/>
          <w:sz w:val="22"/>
          <w:szCs w:val="22"/>
        </w:rPr>
        <w:t>maker during the decision</w:t>
      </w:r>
      <w:r w:rsidR="00D379C6">
        <w:rPr>
          <w:rFonts w:ascii="Open Sans" w:hAnsi="Open Sans" w:cs="Open Sans"/>
          <w:sz w:val="22"/>
          <w:szCs w:val="22"/>
        </w:rPr>
        <w:t xml:space="preserve"> </w:t>
      </w:r>
      <w:r w:rsidRPr="00122C22">
        <w:rPr>
          <w:rFonts w:ascii="Open Sans" w:hAnsi="Open Sans" w:cs="Open Sans"/>
          <w:sz w:val="22"/>
          <w:szCs w:val="22"/>
        </w:rPr>
        <w:t>making process (e.g. by providing commentary on law or policy);</w:t>
      </w:r>
    </w:p>
    <w:p w14:paraId="347F0139" w14:textId="70B7A588"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generate a summary or preliminary assessment for use by a decision</w:t>
      </w:r>
      <w:r w:rsidR="00D379C6">
        <w:rPr>
          <w:rFonts w:ascii="Open Sans" w:hAnsi="Open Sans" w:cs="Open Sans"/>
          <w:sz w:val="22"/>
          <w:szCs w:val="22"/>
        </w:rPr>
        <w:t xml:space="preserve"> </w:t>
      </w:r>
      <w:r w:rsidRPr="00122C22">
        <w:rPr>
          <w:rFonts w:ascii="Open Sans" w:hAnsi="Open Sans" w:cs="Open Sans"/>
          <w:sz w:val="22"/>
          <w:szCs w:val="22"/>
        </w:rPr>
        <w:t>maker;</w:t>
      </w:r>
    </w:p>
    <w:p w14:paraId="075EC213"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automate aspects of a fact</w:t>
      </w:r>
      <w:r w:rsidRPr="00122C22">
        <w:rPr>
          <w:rFonts w:ascii="Open Sans" w:hAnsi="Open Sans" w:cs="Open Sans"/>
          <w:sz w:val="22"/>
          <w:szCs w:val="22"/>
        </w:rPr>
        <w:noBreakHyphen/>
        <w:t>finding process (e.g. by data matching).</w:t>
      </w:r>
    </w:p>
    <w:p w14:paraId="594808A0" w14:textId="77777777" w:rsidR="00E620CE" w:rsidRPr="00122C22" w:rsidRDefault="00E620CE" w:rsidP="00E620CE">
      <w:pPr>
        <w:pStyle w:val="BodyNum"/>
        <w:rPr>
          <w:rFonts w:ascii="Open Sans" w:hAnsi="Open Sans" w:cs="Open Sans"/>
          <w:sz w:val="22"/>
          <w:szCs w:val="22"/>
        </w:rPr>
      </w:pPr>
      <w:r w:rsidRPr="00122C22">
        <w:rPr>
          <w:rFonts w:ascii="Open Sans" w:hAnsi="Open Sans" w:cs="Open Sans"/>
          <w:sz w:val="22"/>
          <w:szCs w:val="22"/>
        </w:rPr>
        <w:t>Some of the risks of using an automated system include:</w:t>
      </w:r>
    </w:p>
    <w:p w14:paraId="3B7FC508"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algorithmic bias (this is where an algorithm generates information with an inherent bias, favouring certain kinds of output over other kinds of output, in turn leading to discrimination or other negative effects on individuals); or</w:t>
      </w:r>
    </w:p>
    <w:p w14:paraId="2FB694C1"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inaccurate, or less accurate, decisions; or</w:t>
      </w:r>
    </w:p>
    <w:p w14:paraId="0A758995"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unclear reasons for decisions; or</w:t>
      </w:r>
    </w:p>
    <w:p w14:paraId="5A2BC7F5"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a large volume of inaccurate decisions made in a short period.</w:t>
      </w:r>
    </w:p>
    <w:p w14:paraId="4FBB1900" w14:textId="77777777" w:rsidR="009D5200" w:rsidRDefault="00E620CE" w:rsidP="00E620CE">
      <w:pPr>
        <w:pStyle w:val="BodyNum"/>
        <w:rPr>
          <w:rFonts w:ascii="Open Sans" w:hAnsi="Open Sans" w:cs="Open Sans"/>
          <w:sz w:val="22"/>
          <w:szCs w:val="18"/>
        </w:rPr>
      </w:pPr>
      <w:r w:rsidRPr="00122C22">
        <w:rPr>
          <w:rFonts w:ascii="Open Sans" w:hAnsi="Open Sans" w:cs="Open Sans"/>
          <w:sz w:val="22"/>
          <w:szCs w:val="18"/>
        </w:rPr>
        <w:t xml:space="preserve">An automated system is required to comply with administrative law principles of legality, fairness, rationality and transparency. </w:t>
      </w:r>
    </w:p>
    <w:p w14:paraId="5CA2EFFF" w14:textId="5FFE0C63"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t>For an automated system that involves the system making an administrative decision</w:t>
      </w:r>
      <w:r w:rsidR="00E47182">
        <w:rPr>
          <w:rFonts w:ascii="Open Sans" w:hAnsi="Open Sans" w:cs="Open Sans"/>
          <w:sz w:val="22"/>
          <w:szCs w:val="18"/>
        </w:rPr>
        <w:t xml:space="preserve"> under legislation</w:t>
      </w:r>
      <w:r w:rsidRPr="00122C22">
        <w:rPr>
          <w:rFonts w:ascii="Open Sans" w:hAnsi="Open Sans" w:cs="Open Sans"/>
          <w:sz w:val="22"/>
          <w:szCs w:val="18"/>
        </w:rPr>
        <w:t>, express legislative authority is required.</w:t>
      </w:r>
    </w:p>
    <w:bookmarkEnd w:id="1"/>
    <w:p w14:paraId="158A7065" w14:textId="425C34FA" w:rsidR="0075403E" w:rsidRDefault="0075403E" w:rsidP="00E620CE">
      <w:pPr>
        <w:pStyle w:val="Heading3"/>
        <w:rPr>
          <w:rFonts w:ascii="Open Sans ExtraBold" w:eastAsiaTheme="minorEastAsia" w:hAnsi="Open Sans ExtraBold" w:cs="Open Sans ExtraBold"/>
          <w:b/>
          <w:bCs/>
          <w:color w:val="084D5E"/>
          <w:sz w:val="24"/>
          <w:szCs w:val="30"/>
          <w:lang w:eastAsia="en-AU"/>
        </w:rPr>
      </w:pPr>
      <w:r>
        <w:rPr>
          <w:rFonts w:ascii="Open Sans ExtraBold" w:eastAsiaTheme="minorEastAsia" w:hAnsi="Open Sans ExtraBold" w:cs="Open Sans ExtraBold"/>
          <w:b/>
          <w:bCs/>
          <w:color w:val="084D5E"/>
          <w:sz w:val="24"/>
          <w:szCs w:val="30"/>
          <w:lang w:eastAsia="en-AU"/>
        </w:rPr>
        <w:t>Early engage</w:t>
      </w:r>
      <w:r w:rsidR="00CE46E1">
        <w:rPr>
          <w:rFonts w:ascii="Open Sans ExtraBold" w:eastAsiaTheme="minorEastAsia" w:hAnsi="Open Sans ExtraBold" w:cs="Open Sans ExtraBold"/>
          <w:b/>
          <w:bCs/>
          <w:color w:val="084D5E"/>
          <w:sz w:val="24"/>
          <w:szCs w:val="30"/>
          <w:lang w:eastAsia="en-AU"/>
        </w:rPr>
        <w:t>ment</w:t>
      </w:r>
      <w:r>
        <w:rPr>
          <w:rFonts w:ascii="Open Sans ExtraBold" w:eastAsiaTheme="minorEastAsia" w:hAnsi="Open Sans ExtraBold" w:cs="Open Sans ExtraBold"/>
          <w:b/>
          <w:bCs/>
          <w:color w:val="084D5E"/>
          <w:sz w:val="24"/>
          <w:szCs w:val="30"/>
          <w:lang w:eastAsia="en-AU"/>
        </w:rPr>
        <w:t xml:space="preserve"> with Attorney-General’s Department</w:t>
      </w:r>
    </w:p>
    <w:p w14:paraId="6329F69D" w14:textId="6A60D1C6" w:rsidR="0075403E" w:rsidRPr="0075403E" w:rsidRDefault="00D91067" w:rsidP="0075403E">
      <w:pPr>
        <w:pStyle w:val="BodyNum"/>
        <w:rPr>
          <w:rFonts w:ascii="Open Sans" w:hAnsi="Open Sans" w:cs="Open Sans"/>
          <w:sz w:val="22"/>
          <w:szCs w:val="18"/>
        </w:rPr>
      </w:pPr>
      <w:r>
        <w:rPr>
          <w:rFonts w:ascii="Open Sans" w:hAnsi="Open Sans" w:cs="Open Sans"/>
          <w:sz w:val="22"/>
          <w:szCs w:val="18"/>
        </w:rPr>
        <w:t>I</w:t>
      </w:r>
      <w:r w:rsidRPr="00D91067">
        <w:rPr>
          <w:rFonts w:ascii="Open Sans" w:hAnsi="Open Sans" w:cs="Open Sans"/>
          <w:sz w:val="22"/>
          <w:szCs w:val="18"/>
        </w:rPr>
        <w:t>f proposed legislation involves administrative decisions, instructors should consider how computer systems will be used in the decision</w:t>
      </w:r>
      <w:r w:rsidR="008263AA">
        <w:rPr>
          <w:rFonts w:ascii="Open Sans" w:hAnsi="Open Sans" w:cs="Open Sans"/>
          <w:sz w:val="22"/>
          <w:szCs w:val="18"/>
        </w:rPr>
        <w:t xml:space="preserve"> </w:t>
      </w:r>
      <w:r w:rsidRPr="00D91067">
        <w:rPr>
          <w:rFonts w:ascii="Open Sans" w:hAnsi="Open Sans" w:cs="Open Sans"/>
          <w:sz w:val="22"/>
          <w:szCs w:val="18"/>
        </w:rPr>
        <w:t xml:space="preserve">making process, to identify whether legislative authority </w:t>
      </w:r>
      <w:r w:rsidR="009D5200">
        <w:rPr>
          <w:rFonts w:ascii="Open Sans" w:hAnsi="Open Sans" w:cs="Open Sans"/>
          <w:sz w:val="22"/>
          <w:szCs w:val="18"/>
        </w:rPr>
        <w:t xml:space="preserve">will be </w:t>
      </w:r>
      <w:r w:rsidRPr="00D91067">
        <w:rPr>
          <w:rFonts w:ascii="Open Sans" w:hAnsi="Open Sans" w:cs="Open Sans"/>
          <w:sz w:val="22"/>
          <w:szCs w:val="18"/>
        </w:rPr>
        <w:t xml:space="preserve">required. If </w:t>
      </w:r>
      <w:r w:rsidR="009D5200">
        <w:rPr>
          <w:rFonts w:ascii="Open Sans" w:hAnsi="Open Sans" w:cs="Open Sans"/>
          <w:sz w:val="22"/>
          <w:szCs w:val="18"/>
        </w:rPr>
        <w:t>legislative authority will be required</w:t>
      </w:r>
      <w:r w:rsidRPr="00D91067">
        <w:rPr>
          <w:rFonts w:ascii="Open Sans" w:hAnsi="Open Sans" w:cs="Open Sans"/>
          <w:sz w:val="22"/>
          <w:szCs w:val="18"/>
        </w:rPr>
        <w:t xml:space="preserve">, instructors will need to consult AGD on the approach before instructing OPC. </w:t>
      </w:r>
    </w:p>
    <w:p w14:paraId="6C26E60E" w14:textId="0238E262" w:rsidR="00E620CE" w:rsidRPr="00B756A7" w:rsidRDefault="00D1221E" w:rsidP="00E620CE">
      <w:pPr>
        <w:pStyle w:val="Heading3"/>
        <w:rPr>
          <w:rFonts w:ascii="Open Sans ExtraBold" w:eastAsiaTheme="minorEastAsia" w:hAnsi="Open Sans ExtraBold" w:cs="Open Sans ExtraBold"/>
          <w:b/>
          <w:bCs/>
          <w:color w:val="084D5E"/>
          <w:sz w:val="24"/>
          <w:szCs w:val="30"/>
          <w:lang w:eastAsia="en-AU"/>
        </w:rPr>
      </w:pPr>
      <w:r>
        <w:rPr>
          <w:rFonts w:ascii="Open Sans ExtraBold" w:eastAsiaTheme="minorEastAsia" w:hAnsi="Open Sans ExtraBold" w:cs="Open Sans ExtraBold"/>
          <w:b/>
          <w:bCs/>
          <w:color w:val="084D5E"/>
          <w:sz w:val="24"/>
          <w:szCs w:val="30"/>
          <w:lang w:eastAsia="en-AU"/>
        </w:rPr>
        <w:lastRenderedPageBreak/>
        <w:t>Types of decisions</w:t>
      </w:r>
    </w:p>
    <w:p w14:paraId="5F47B769" w14:textId="4EAB8392" w:rsidR="00D379C6" w:rsidRPr="00122C22" w:rsidRDefault="00D379C6" w:rsidP="00D379C6">
      <w:pPr>
        <w:pStyle w:val="BodyNum"/>
        <w:rPr>
          <w:rFonts w:ascii="Open Sans" w:hAnsi="Open Sans" w:cs="Open Sans"/>
          <w:sz w:val="22"/>
          <w:szCs w:val="22"/>
        </w:rPr>
      </w:pPr>
      <w:r>
        <w:rPr>
          <w:rFonts w:ascii="Open Sans" w:hAnsi="Open Sans" w:cs="Open Sans"/>
          <w:sz w:val="22"/>
          <w:szCs w:val="22"/>
        </w:rPr>
        <w:t xml:space="preserve">A </w:t>
      </w:r>
      <w:r w:rsidRPr="00122C22">
        <w:rPr>
          <w:rFonts w:ascii="Open Sans" w:hAnsi="Open Sans" w:cs="Open Sans"/>
          <w:sz w:val="22"/>
          <w:szCs w:val="22"/>
        </w:rPr>
        <w:t xml:space="preserve">provision </w:t>
      </w:r>
      <w:r>
        <w:rPr>
          <w:rFonts w:ascii="Open Sans" w:hAnsi="Open Sans" w:cs="Open Sans"/>
          <w:sz w:val="22"/>
          <w:szCs w:val="22"/>
        </w:rPr>
        <w:t xml:space="preserve">authorising automated decision making </w:t>
      </w:r>
      <w:r w:rsidRPr="00122C22">
        <w:rPr>
          <w:rFonts w:ascii="Open Sans" w:hAnsi="Open Sans" w:cs="Open Sans"/>
          <w:sz w:val="22"/>
          <w:szCs w:val="22"/>
        </w:rPr>
        <w:t>will need to set out the scope of the administrative action that can be the subject of automated decision</w:t>
      </w:r>
      <w:r>
        <w:rPr>
          <w:rFonts w:ascii="Open Sans" w:hAnsi="Open Sans" w:cs="Open Sans"/>
          <w:sz w:val="22"/>
          <w:szCs w:val="22"/>
        </w:rPr>
        <w:t xml:space="preserve"> </w:t>
      </w:r>
      <w:r w:rsidRPr="00122C22">
        <w:rPr>
          <w:rFonts w:ascii="Open Sans" w:hAnsi="Open Sans" w:cs="Open Sans"/>
          <w:sz w:val="22"/>
          <w:szCs w:val="22"/>
        </w:rPr>
        <w:t xml:space="preserve">making. </w:t>
      </w:r>
    </w:p>
    <w:p w14:paraId="2B548D84" w14:textId="5DE626B3" w:rsidR="00E620CE" w:rsidRPr="00122C22" w:rsidRDefault="008263AA" w:rsidP="00E620CE">
      <w:pPr>
        <w:pStyle w:val="BodyNum"/>
        <w:rPr>
          <w:rFonts w:ascii="Open Sans" w:hAnsi="Open Sans" w:cs="Open Sans"/>
          <w:sz w:val="22"/>
          <w:szCs w:val="18"/>
        </w:rPr>
      </w:pPr>
      <w:r>
        <w:rPr>
          <w:rFonts w:ascii="Open Sans" w:hAnsi="Open Sans" w:cs="Open Sans"/>
          <w:sz w:val="22"/>
          <w:szCs w:val="18"/>
        </w:rPr>
        <w:t>Automated decision making gives rise to different issues depending on whether the decision</w:t>
      </w:r>
      <w:r w:rsidR="00D40460">
        <w:rPr>
          <w:rFonts w:ascii="Open Sans" w:hAnsi="Open Sans" w:cs="Open Sans"/>
          <w:sz w:val="22"/>
          <w:szCs w:val="18"/>
        </w:rPr>
        <w:t>s</w:t>
      </w:r>
      <w:r>
        <w:rPr>
          <w:rFonts w:ascii="Open Sans" w:hAnsi="Open Sans" w:cs="Open Sans"/>
          <w:sz w:val="22"/>
          <w:szCs w:val="18"/>
        </w:rPr>
        <w:t xml:space="preserve"> concerned </w:t>
      </w:r>
      <w:r w:rsidR="00D40460">
        <w:rPr>
          <w:rFonts w:ascii="Open Sans" w:hAnsi="Open Sans" w:cs="Open Sans"/>
          <w:sz w:val="22"/>
          <w:szCs w:val="18"/>
        </w:rPr>
        <w:t xml:space="preserve">are </w:t>
      </w:r>
      <w:r w:rsidR="002F03F2">
        <w:rPr>
          <w:rFonts w:ascii="Open Sans" w:hAnsi="Open Sans" w:cs="Open Sans"/>
          <w:sz w:val="22"/>
          <w:szCs w:val="18"/>
        </w:rPr>
        <w:t xml:space="preserve">based on objective criteria </w:t>
      </w:r>
      <w:r>
        <w:rPr>
          <w:rFonts w:ascii="Open Sans" w:hAnsi="Open Sans" w:cs="Open Sans"/>
          <w:sz w:val="22"/>
          <w:szCs w:val="18"/>
        </w:rPr>
        <w:t xml:space="preserve">or </w:t>
      </w:r>
      <w:r w:rsidR="002F03F2">
        <w:rPr>
          <w:rFonts w:ascii="Open Sans" w:hAnsi="Open Sans" w:cs="Open Sans"/>
          <w:sz w:val="22"/>
          <w:szCs w:val="18"/>
        </w:rPr>
        <w:t xml:space="preserve">involve the exercise of judgement. </w:t>
      </w:r>
    </w:p>
    <w:p w14:paraId="65C5C01E" w14:textId="732849F4"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t xml:space="preserve">Typical examples of such decisions </w:t>
      </w:r>
      <w:r w:rsidR="00E47182">
        <w:rPr>
          <w:rFonts w:ascii="Open Sans" w:hAnsi="Open Sans" w:cs="Open Sans"/>
          <w:sz w:val="22"/>
          <w:szCs w:val="18"/>
        </w:rPr>
        <w:t>involving</w:t>
      </w:r>
      <w:r w:rsidR="0054080B">
        <w:rPr>
          <w:rFonts w:ascii="Open Sans" w:hAnsi="Open Sans" w:cs="Open Sans"/>
          <w:sz w:val="22"/>
          <w:szCs w:val="18"/>
        </w:rPr>
        <w:t xml:space="preserve"> an exercise of judgement </w:t>
      </w:r>
      <w:r w:rsidRPr="00122C22">
        <w:rPr>
          <w:rFonts w:ascii="Open Sans" w:hAnsi="Open Sans" w:cs="Open Sans"/>
          <w:sz w:val="22"/>
          <w:szCs w:val="18"/>
        </w:rPr>
        <w:t>are provisions that repose a discretion in the decision</w:t>
      </w:r>
      <w:r w:rsidR="00D379C6">
        <w:rPr>
          <w:rFonts w:ascii="Open Sans" w:hAnsi="Open Sans" w:cs="Open Sans"/>
          <w:sz w:val="22"/>
          <w:szCs w:val="18"/>
        </w:rPr>
        <w:t xml:space="preserve"> </w:t>
      </w:r>
      <w:r w:rsidRPr="00122C22">
        <w:rPr>
          <w:rFonts w:ascii="Open Sans" w:hAnsi="Open Sans" w:cs="Open Sans"/>
          <w:sz w:val="22"/>
          <w:szCs w:val="18"/>
        </w:rPr>
        <w:t xml:space="preserve">maker, or which require evaluative </w:t>
      </w:r>
      <w:r w:rsidR="00E47182">
        <w:rPr>
          <w:rFonts w:ascii="Open Sans" w:hAnsi="Open Sans" w:cs="Open Sans"/>
          <w:sz w:val="22"/>
          <w:szCs w:val="18"/>
        </w:rPr>
        <w:t xml:space="preserve">consideration </w:t>
      </w:r>
      <w:r w:rsidRPr="00122C22">
        <w:rPr>
          <w:rFonts w:ascii="Open Sans" w:hAnsi="Open Sans" w:cs="Open Sans"/>
          <w:sz w:val="22"/>
          <w:szCs w:val="18"/>
        </w:rPr>
        <w:t>against given criteria. For example:</w:t>
      </w:r>
    </w:p>
    <w:p w14:paraId="6E681D75"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deciding whether to commence an investigation; or</w:t>
      </w:r>
    </w:p>
    <w:p w14:paraId="2B3EF430"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deciding whether to a grant a licence to a person; or</w:t>
      </w:r>
    </w:p>
    <w:p w14:paraId="292A9175"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deciding whether a person is a fit and proper person; or</w:t>
      </w:r>
    </w:p>
    <w:p w14:paraId="611AFBEF"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deciding whether a person has appropriate qualifications; or</w:t>
      </w:r>
    </w:p>
    <w:p w14:paraId="633FF622"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deciding whether a person has made reasonable efforts; or</w:t>
      </w:r>
    </w:p>
    <w:p w14:paraId="27D26F4A"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deciding whether a course of action is in the public interest.</w:t>
      </w:r>
    </w:p>
    <w:p w14:paraId="4F0423CD" w14:textId="77C58509"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t>The Senate Standing Committees that review legislation will scrutinise provisions that authorise automated decision</w:t>
      </w:r>
      <w:r w:rsidR="00D379C6">
        <w:rPr>
          <w:rFonts w:ascii="Open Sans" w:hAnsi="Open Sans" w:cs="Open Sans"/>
          <w:sz w:val="22"/>
          <w:szCs w:val="18"/>
        </w:rPr>
        <w:t xml:space="preserve"> </w:t>
      </w:r>
      <w:r w:rsidRPr="00122C22">
        <w:rPr>
          <w:rFonts w:ascii="Open Sans" w:hAnsi="Open Sans" w:cs="Open Sans"/>
          <w:sz w:val="22"/>
          <w:szCs w:val="18"/>
        </w:rPr>
        <w:t>making for the following:</w:t>
      </w:r>
    </w:p>
    <w:p w14:paraId="6CDE58F8"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whether any of the decisions that are permitted to be made by the automated system are discretionary or evaluative in nature;</w:t>
      </w:r>
    </w:p>
    <w:p w14:paraId="290818B5"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whether there is potential for the automated system to act as a fetter on discretionary power by inflexibly applying predetermined criteria to decisions that should be made on the merits of each individual case;</w:t>
      </w:r>
    </w:p>
    <w:p w14:paraId="36A89FE9" w14:textId="250061AD"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whether the Attorney</w:t>
      </w:r>
      <w:r w:rsidRPr="00122C22">
        <w:rPr>
          <w:rFonts w:ascii="Open Sans" w:hAnsi="Open Sans" w:cs="Open Sans"/>
          <w:sz w:val="22"/>
          <w:szCs w:val="18"/>
        </w:rPr>
        <w:noBreakHyphen/>
        <w:t>General’s Department (</w:t>
      </w:r>
      <w:r w:rsidRPr="00122C22">
        <w:rPr>
          <w:rFonts w:ascii="Open Sans" w:hAnsi="Open Sans" w:cs="Open Sans"/>
          <w:b/>
          <w:bCs/>
          <w:i/>
          <w:iCs/>
          <w:sz w:val="22"/>
          <w:szCs w:val="18"/>
        </w:rPr>
        <w:t>AGD</w:t>
      </w:r>
      <w:r w:rsidRPr="00122C22">
        <w:rPr>
          <w:rFonts w:ascii="Open Sans" w:hAnsi="Open Sans" w:cs="Open Sans"/>
          <w:sz w:val="22"/>
          <w:szCs w:val="18"/>
        </w:rPr>
        <w:t>) has been consulted in the legislative design of the automated decision</w:t>
      </w:r>
      <w:r w:rsidR="00D379C6">
        <w:rPr>
          <w:rFonts w:ascii="Open Sans" w:hAnsi="Open Sans" w:cs="Open Sans"/>
          <w:sz w:val="22"/>
          <w:szCs w:val="18"/>
        </w:rPr>
        <w:t xml:space="preserve"> </w:t>
      </w:r>
      <w:r w:rsidRPr="00122C22">
        <w:rPr>
          <w:rFonts w:ascii="Open Sans" w:hAnsi="Open Sans" w:cs="Open Sans"/>
          <w:sz w:val="22"/>
          <w:szCs w:val="18"/>
        </w:rPr>
        <w:t>making framework.</w:t>
      </w:r>
    </w:p>
    <w:p w14:paraId="7E0B8468" w14:textId="1610E5CC"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t>Before instructing OPC to draft provisions authorising the use of an automated system to make decisions that will or may involve the exercise of discretion or making an evaluative judgement, the instructing agency should seek advice from AGD.</w:t>
      </w:r>
    </w:p>
    <w:p w14:paraId="5744BAB1" w14:textId="77777777"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t>Additionally, if the automated system will involve the use of artificial intelligence, there will be additional considerations regarding ethical principles and mandatory guardrails.</w:t>
      </w:r>
    </w:p>
    <w:p w14:paraId="7A216819" w14:textId="312DAAA6" w:rsidR="00E620CE" w:rsidRPr="00B756A7" w:rsidRDefault="00E620CE" w:rsidP="00E620CE">
      <w:pPr>
        <w:pStyle w:val="Heading3"/>
        <w:rPr>
          <w:rFonts w:ascii="Open Sans ExtraBold" w:eastAsiaTheme="minorEastAsia" w:hAnsi="Open Sans ExtraBold" w:cs="Open Sans ExtraBold"/>
          <w:b/>
          <w:bCs/>
          <w:color w:val="084D5E"/>
          <w:sz w:val="24"/>
          <w:szCs w:val="30"/>
          <w:lang w:eastAsia="en-AU"/>
        </w:rPr>
      </w:pPr>
      <w:r w:rsidRPr="00B756A7">
        <w:rPr>
          <w:rFonts w:ascii="Open Sans ExtraBold" w:eastAsiaTheme="minorEastAsia" w:hAnsi="Open Sans ExtraBold" w:cs="Open Sans ExtraBold"/>
          <w:b/>
          <w:bCs/>
          <w:color w:val="084D5E"/>
          <w:sz w:val="24"/>
          <w:szCs w:val="30"/>
          <w:lang w:eastAsia="en-AU"/>
        </w:rPr>
        <w:t>Nominating a human decision</w:t>
      </w:r>
      <w:r w:rsidR="00D379C6">
        <w:rPr>
          <w:rFonts w:ascii="Open Sans ExtraBold" w:eastAsiaTheme="minorEastAsia" w:hAnsi="Open Sans ExtraBold" w:cs="Open Sans ExtraBold"/>
          <w:b/>
          <w:bCs/>
          <w:color w:val="084D5E"/>
          <w:sz w:val="24"/>
          <w:szCs w:val="30"/>
          <w:lang w:eastAsia="en-AU"/>
        </w:rPr>
        <w:t xml:space="preserve"> </w:t>
      </w:r>
      <w:r w:rsidRPr="00B756A7">
        <w:rPr>
          <w:rFonts w:ascii="Open Sans ExtraBold" w:eastAsiaTheme="minorEastAsia" w:hAnsi="Open Sans ExtraBold" w:cs="Open Sans ExtraBold"/>
          <w:b/>
          <w:bCs/>
          <w:color w:val="084D5E"/>
          <w:sz w:val="24"/>
          <w:szCs w:val="30"/>
          <w:lang w:eastAsia="en-AU"/>
        </w:rPr>
        <w:t>maker for administrative law purposes</w:t>
      </w:r>
    </w:p>
    <w:p w14:paraId="6EA3864F" w14:textId="6BC9DCC8" w:rsidR="00E620CE" w:rsidRPr="00122C22" w:rsidRDefault="00E620CE" w:rsidP="00E620CE">
      <w:pPr>
        <w:pStyle w:val="BodyNum"/>
        <w:rPr>
          <w:rFonts w:ascii="Open Sans" w:hAnsi="Open Sans" w:cs="Open Sans"/>
          <w:sz w:val="22"/>
          <w:szCs w:val="22"/>
        </w:rPr>
      </w:pPr>
      <w:r w:rsidRPr="00122C22">
        <w:rPr>
          <w:rFonts w:ascii="Open Sans" w:hAnsi="Open Sans" w:cs="Open Sans"/>
          <w:sz w:val="22"/>
          <w:szCs w:val="22"/>
        </w:rPr>
        <w:t>If a provision authorising automated decision</w:t>
      </w:r>
      <w:r w:rsidR="00D379C6">
        <w:rPr>
          <w:rFonts w:ascii="Open Sans" w:hAnsi="Open Sans" w:cs="Open Sans"/>
          <w:sz w:val="22"/>
          <w:szCs w:val="22"/>
        </w:rPr>
        <w:t xml:space="preserve"> </w:t>
      </w:r>
      <w:r w:rsidRPr="00122C22">
        <w:rPr>
          <w:rFonts w:ascii="Open Sans" w:hAnsi="Open Sans" w:cs="Open Sans"/>
          <w:sz w:val="22"/>
          <w:szCs w:val="22"/>
        </w:rPr>
        <w:t xml:space="preserve">making is to be included, the accountability requirements of administrative law and Commonwealth legal policy mean that a natural person must be nominated (by position or title) as having ultimate responsibility for </w:t>
      </w:r>
      <w:r w:rsidRPr="00122C22">
        <w:rPr>
          <w:rFonts w:ascii="Open Sans" w:hAnsi="Open Sans" w:cs="Open Sans"/>
          <w:sz w:val="22"/>
          <w:szCs w:val="22"/>
        </w:rPr>
        <w:lastRenderedPageBreak/>
        <w:t>the decision. This is typically done by providing that a decision made by operation of the automated system is taken to be made by the nominated person. Usually, that person will be:</w:t>
      </w:r>
    </w:p>
    <w:p w14:paraId="12646F07"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the relevant Minister; or</w:t>
      </w:r>
    </w:p>
    <w:p w14:paraId="3204096E"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someone senior in the agency, such as the Secretary of the Department or the Chief Executive Officer; or</w:t>
      </w:r>
    </w:p>
    <w:p w14:paraId="5FEA890A"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in cases where there is an entity having separate legal personality, the entity itself.</w:t>
      </w:r>
    </w:p>
    <w:p w14:paraId="43983ACB" w14:textId="260DEE7C" w:rsidR="00E620CE" w:rsidRPr="00122C22" w:rsidRDefault="00E620CE" w:rsidP="00E620CE">
      <w:pPr>
        <w:pStyle w:val="BodyNum"/>
        <w:rPr>
          <w:rFonts w:ascii="Open Sans" w:hAnsi="Open Sans" w:cs="Open Sans"/>
          <w:sz w:val="22"/>
          <w:szCs w:val="22"/>
        </w:rPr>
      </w:pPr>
      <w:r w:rsidRPr="00122C22">
        <w:rPr>
          <w:rFonts w:ascii="Open Sans" w:hAnsi="Open Sans" w:cs="Open Sans"/>
          <w:sz w:val="22"/>
          <w:szCs w:val="22"/>
        </w:rPr>
        <w:t>The most appropriate nominee is determined by having regard to the identity of the one or more persons in whom decision</w:t>
      </w:r>
      <w:r w:rsidR="00D379C6">
        <w:rPr>
          <w:rFonts w:ascii="Open Sans" w:hAnsi="Open Sans" w:cs="Open Sans"/>
          <w:sz w:val="22"/>
          <w:szCs w:val="22"/>
        </w:rPr>
        <w:t xml:space="preserve"> </w:t>
      </w:r>
      <w:r w:rsidRPr="00122C22">
        <w:rPr>
          <w:rFonts w:ascii="Open Sans" w:hAnsi="Open Sans" w:cs="Open Sans"/>
          <w:sz w:val="22"/>
          <w:szCs w:val="22"/>
        </w:rPr>
        <w:t>making power and responsibility is reposed by the legislative scheme.</w:t>
      </w:r>
    </w:p>
    <w:p w14:paraId="5BF10C72" w14:textId="552DC481" w:rsidR="00E620CE" w:rsidRPr="00B756A7" w:rsidRDefault="00E620CE" w:rsidP="00E620CE">
      <w:pPr>
        <w:pStyle w:val="Heading3"/>
        <w:rPr>
          <w:rFonts w:ascii="Open Sans ExtraBold" w:eastAsiaTheme="minorEastAsia" w:hAnsi="Open Sans ExtraBold" w:cs="Open Sans ExtraBold"/>
          <w:b/>
          <w:bCs/>
          <w:color w:val="084D5E"/>
          <w:sz w:val="24"/>
          <w:szCs w:val="30"/>
          <w:lang w:eastAsia="en-AU"/>
        </w:rPr>
      </w:pPr>
      <w:r w:rsidRPr="00B756A7">
        <w:rPr>
          <w:rFonts w:ascii="Open Sans ExtraBold" w:eastAsiaTheme="minorEastAsia" w:hAnsi="Open Sans ExtraBold" w:cs="Open Sans ExtraBold"/>
          <w:b/>
          <w:bCs/>
          <w:color w:val="084D5E"/>
          <w:sz w:val="24"/>
          <w:szCs w:val="30"/>
          <w:lang w:eastAsia="en-AU"/>
        </w:rPr>
        <w:t>Transparency</w:t>
      </w:r>
      <w:r w:rsidR="00D40460">
        <w:rPr>
          <w:rFonts w:ascii="Open Sans ExtraBold" w:eastAsiaTheme="minorEastAsia" w:hAnsi="Open Sans ExtraBold" w:cs="Open Sans ExtraBold"/>
          <w:b/>
          <w:bCs/>
          <w:color w:val="084D5E"/>
          <w:sz w:val="24"/>
          <w:szCs w:val="30"/>
          <w:lang w:eastAsia="en-AU"/>
        </w:rPr>
        <w:t xml:space="preserve"> and safeguards</w:t>
      </w:r>
    </w:p>
    <w:p w14:paraId="49775957" w14:textId="7340D741" w:rsidR="00E620CE" w:rsidRPr="00122C22" w:rsidRDefault="00D40460" w:rsidP="00E620CE">
      <w:pPr>
        <w:pStyle w:val="BodyNum"/>
        <w:rPr>
          <w:rFonts w:ascii="Open Sans" w:hAnsi="Open Sans" w:cs="Open Sans"/>
          <w:sz w:val="22"/>
          <w:szCs w:val="22"/>
        </w:rPr>
      </w:pPr>
      <w:r>
        <w:rPr>
          <w:rFonts w:ascii="Open Sans" w:hAnsi="Open Sans" w:cs="Open Sans"/>
          <w:sz w:val="22"/>
          <w:szCs w:val="22"/>
        </w:rPr>
        <w:t xml:space="preserve">It is expected that </w:t>
      </w:r>
      <w:r w:rsidR="00E620CE" w:rsidRPr="00122C22">
        <w:rPr>
          <w:rFonts w:ascii="Open Sans" w:hAnsi="Open Sans" w:cs="Open Sans"/>
          <w:sz w:val="22"/>
          <w:szCs w:val="22"/>
        </w:rPr>
        <w:t>automated decision</w:t>
      </w:r>
      <w:r w:rsidR="00D379C6">
        <w:rPr>
          <w:rFonts w:ascii="Open Sans" w:hAnsi="Open Sans" w:cs="Open Sans"/>
          <w:sz w:val="22"/>
          <w:szCs w:val="22"/>
        </w:rPr>
        <w:t xml:space="preserve"> </w:t>
      </w:r>
      <w:r w:rsidR="00E620CE" w:rsidRPr="00122C22">
        <w:rPr>
          <w:rFonts w:ascii="Open Sans" w:hAnsi="Open Sans" w:cs="Open Sans"/>
          <w:sz w:val="22"/>
          <w:szCs w:val="22"/>
        </w:rPr>
        <w:t>making provision</w:t>
      </w:r>
      <w:r>
        <w:rPr>
          <w:rFonts w:ascii="Open Sans" w:hAnsi="Open Sans" w:cs="Open Sans"/>
          <w:sz w:val="22"/>
          <w:szCs w:val="22"/>
        </w:rPr>
        <w:t xml:space="preserve">s include transparency requirements and safeguards. </w:t>
      </w:r>
      <w:r w:rsidR="006B5ABC">
        <w:rPr>
          <w:rFonts w:ascii="Open Sans" w:hAnsi="Open Sans" w:cs="Open Sans"/>
          <w:sz w:val="22"/>
          <w:szCs w:val="22"/>
        </w:rPr>
        <w:t>Instructors can obtain i</w:t>
      </w:r>
      <w:r>
        <w:rPr>
          <w:rFonts w:ascii="Open Sans" w:hAnsi="Open Sans" w:cs="Open Sans"/>
          <w:sz w:val="22"/>
          <w:szCs w:val="22"/>
        </w:rPr>
        <w:t xml:space="preserve">nformation on current requirements from </w:t>
      </w:r>
      <w:r w:rsidR="006B5ABC">
        <w:rPr>
          <w:rFonts w:ascii="Open Sans" w:hAnsi="Open Sans" w:cs="Open Sans"/>
          <w:sz w:val="22"/>
          <w:szCs w:val="22"/>
        </w:rPr>
        <w:t>Attorney-General’s Department when consulting.</w:t>
      </w:r>
    </w:p>
    <w:p w14:paraId="18BE2637" w14:textId="77777777" w:rsidR="00E620CE" w:rsidRPr="00B756A7" w:rsidRDefault="00E620CE" w:rsidP="00E620CE">
      <w:pPr>
        <w:pStyle w:val="Heading3"/>
        <w:rPr>
          <w:rFonts w:ascii="Open Sans ExtraBold" w:eastAsiaTheme="minorEastAsia" w:hAnsi="Open Sans ExtraBold" w:cs="Open Sans ExtraBold"/>
          <w:b/>
          <w:bCs/>
          <w:color w:val="084D5E"/>
          <w:sz w:val="24"/>
          <w:szCs w:val="30"/>
          <w:lang w:eastAsia="en-AU"/>
        </w:rPr>
      </w:pPr>
      <w:r w:rsidRPr="00B756A7">
        <w:rPr>
          <w:rFonts w:ascii="Open Sans ExtraBold" w:eastAsiaTheme="minorEastAsia" w:hAnsi="Open Sans ExtraBold" w:cs="Open Sans ExtraBold"/>
          <w:b/>
          <w:bCs/>
          <w:color w:val="084D5E"/>
          <w:sz w:val="24"/>
          <w:szCs w:val="30"/>
          <w:lang w:eastAsia="en-AU"/>
        </w:rPr>
        <w:t>Interaction with administrative review generally</w:t>
      </w:r>
    </w:p>
    <w:p w14:paraId="51CCD6D5" w14:textId="77777777"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t>Instructors should consider how the provisions allowing substitution of decisions made by the automated system interact with the general regime for administrative review of decisions made under the legislation. For example, is a substituted decision subject to merits review? How do the provisions about substituted decisions interact with any provisions in the legislation that permit or require the person making the substituted decision to personally review a decision or other administrative action taken by another official under the legislative scheme?</w:t>
      </w:r>
    </w:p>
    <w:p w14:paraId="3973FB03" w14:textId="77777777" w:rsidR="00E620CE" w:rsidRPr="00B756A7" w:rsidRDefault="00E620CE" w:rsidP="00E620CE">
      <w:pPr>
        <w:pStyle w:val="Heading3"/>
        <w:rPr>
          <w:rFonts w:ascii="Open Sans ExtraBold" w:eastAsiaTheme="minorEastAsia" w:hAnsi="Open Sans ExtraBold" w:cs="Open Sans ExtraBold"/>
          <w:b/>
          <w:bCs/>
          <w:color w:val="084D5E"/>
          <w:sz w:val="24"/>
          <w:szCs w:val="30"/>
          <w:lang w:eastAsia="en-AU"/>
        </w:rPr>
      </w:pPr>
      <w:r w:rsidRPr="00B756A7">
        <w:rPr>
          <w:rFonts w:ascii="Open Sans ExtraBold" w:eastAsiaTheme="minorEastAsia" w:hAnsi="Open Sans ExtraBold" w:cs="Open Sans ExtraBold"/>
          <w:b/>
          <w:bCs/>
          <w:color w:val="084D5E"/>
          <w:sz w:val="24"/>
          <w:szCs w:val="30"/>
          <w:lang w:eastAsia="en-AU"/>
        </w:rPr>
        <w:t>More information</w:t>
      </w:r>
    </w:p>
    <w:p w14:paraId="31717CC1"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Commonwealth Ombudsman’s Better Practice Guide on Automated Decision Making (March 2025)</w:t>
      </w:r>
    </w:p>
    <w:p w14:paraId="69CBC9B5" w14:textId="44E95B24"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contact the Automated Decision</w:t>
      </w:r>
      <w:r w:rsidR="00D50C60">
        <w:rPr>
          <w:rFonts w:ascii="Open Sans" w:hAnsi="Open Sans" w:cs="Open Sans"/>
          <w:sz w:val="22"/>
          <w:szCs w:val="22"/>
        </w:rPr>
        <w:t>-</w:t>
      </w:r>
      <w:r w:rsidRPr="00122C22">
        <w:rPr>
          <w:rFonts w:ascii="Open Sans" w:hAnsi="Open Sans" w:cs="Open Sans"/>
          <w:sz w:val="22"/>
          <w:szCs w:val="22"/>
        </w:rPr>
        <w:t>Making Section in the Administrative Law Branch of the Attorney</w:t>
      </w:r>
      <w:r w:rsidRPr="00122C22">
        <w:rPr>
          <w:rFonts w:ascii="Open Sans" w:hAnsi="Open Sans" w:cs="Open Sans"/>
          <w:sz w:val="22"/>
          <w:szCs w:val="22"/>
        </w:rPr>
        <w:noBreakHyphen/>
        <w:t>General’s Department</w:t>
      </w:r>
      <w:r w:rsidRPr="00122C22">
        <w:rPr>
          <w:rFonts w:ascii="Open Sans" w:hAnsi="Open Sans" w:cs="Open Sans"/>
          <w:sz w:val="22"/>
          <w:szCs w:val="22"/>
        </w:rPr>
        <w:br/>
      </w:r>
    </w:p>
    <w:tbl>
      <w:tblPr>
        <w:tblStyle w:val="TableGrid"/>
        <w:tblW w:w="0" w:type="auto"/>
        <w:tblLook w:val="04A0" w:firstRow="1" w:lastRow="0" w:firstColumn="1" w:lastColumn="0" w:noHBand="0" w:noVBand="1"/>
      </w:tblPr>
      <w:tblGrid>
        <w:gridCol w:w="9016"/>
      </w:tblGrid>
      <w:tr w:rsidR="00E620CE" w:rsidRPr="00B756A7" w14:paraId="67A8097A" w14:textId="77777777" w:rsidTr="00AC3AA3">
        <w:tc>
          <w:tcPr>
            <w:tcW w:w="9016" w:type="dxa"/>
            <w:tcBorders>
              <w:top w:val="nil"/>
              <w:left w:val="nil"/>
              <w:bottom w:val="nil"/>
              <w:right w:val="nil"/>
            </w:tcBorders>
            <w:shd w:val="clear" w:color="auto" w:fill="A9D9DB"/>
          </w:tcPr>
          <w:p w14:paraId="4A061D8A" w14:textId="77777777" w:rsidR="00E620CE" w:rsidRPr="00B756A7" w:rsidRDefault="00E620CE" w:rsidP="00AC3AA3">
            <w:pPr>
              <w:spacing w:before="120" w:after="120"/>
              <w:rPr>
                <w:rFonts w:ascii="Open Sans" w:hAnsi="Open Sans" w:cs="Open Sans"/>
                <w:szCs w:val="22"/>
              </w:rPr>
            </w:pPr>
            <w:bookmarkStart w:id="2" w:name="_Hlk202188723"/>
            <w:r w:rsidRPr="00B756A7">
              <w:rPr>
                <w:rFonts w:ascii="Open Sans" w:hAnsi="Open Sans" w:cs="Open Sans"/>
                <w:color w:val="084D5E"/>
                <w:szCs w:val="22"/>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2"/>
    </w:tbl>
    <w:p w14:paraId="34807F10" w14:textId="77777777" w:rsidR="00E620CE" w:rsidRPr="00B756A7" w:rsidRDefault="00E620CE" w:rsidP="006B5ABC">
      <w:pPr>
        <w:spacing w:before="120" w:after="120"/>
        <w:rPr>
          <w:rFonts w:ascii="Open Sans" w:hAnsi="Open Sans" w:cs="Open Sans"/>
          <w:sz w:val="21"/>
          <w:szCs w:val="22"/>
        </w:rPr>
      </w:pPr>
    </w:p>
    <w:sectPr w:rsidR="00E620CE" w:rsidRPr="00B756A7" w:rsidSect="00F6254F">
      <w:headerReference w:type="default" r:id="rId7"/>
      <w:footerReference w:type="even" r:id="rId8"/>
      <w:footerReference w:type="default" r:id="rId9"/>
      <w:headerReference w:type="first" r:id="rId10"/>
      <w:footerReference w:type="first" r:id="rId11"/>
      <w:pgSz w:w="11907" w:h="16839"/>
      <w:pgMar w:top="1560" w:right="850" w:bottom="1440" w:left="1440" w:header="127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7C2D" w14:textId="77777777" w:rsidR="00AE17CC" w:rsidRDefault="00AE17CC" w:rsidP="008E17F3">
      <w:pPr>
        <w:spacing w:line="240" w:lineRule="auto"/>
      </w:pPr>
      <w:r>
        <w:separator/>
      </w:r>
    </w:p>
  </w:endnote>
  <w:endnote w:type="continuationSeparator" w:id="0">
    <w:p w14:paraId="706D57F0" w14:textId="77777777" w:rsidR="00AE17CC" w:rsidRDefault="00AE17CC"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Open Sans ExtraBold">
    <w:charset w:val="00"/>
    <w:family w:val="swiss"/>
    <w:pitch w:val="variable"/>
    <w:sig w:usb0="E00002EF" w:usb1="4000205B" w:usb2="00000028" w:usb3="00000000" w:csb0="0000019F" w:csb1="00000000"/>
    <w:embedRegular r:id="rId1" w:fontKey="{935C8ADD-3F1A-46EF-A230-4F87165F7AA1}"/>
    <w:embedBold r:id="rId2" w:fontKey="{59C0211C-0971-4859-93CA-4943D266F3C9}"/>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embedRegular r:id="rId3" w:fontKey="{79F3DC11-DE1C-49A7-8AA8-A3334C2EB066}"/>
    <w:embedBold r:id="rId4" w:fontKey="{7569534B-17CE-46B0-9165-7C9030685C2B}"/>
    <w:embedBoldItalic r:id="rId5" w:fontKey="{DA2CBE3D-46E1-44B9-81C2-6DAC30E34BA9}"/>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EB Garamond">
    <w:altName w:val="Calibri"/>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718E" w14:textId="153DAF14"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0258FE">
      <w:rPr>
        <w:rStyle w:val="PageNumber"/>
        <w:noProof/>
      </w:rPr>
      <w:t>5</w:t>
    </w:r>
    <w:r>
      <w:rPr>
        <w:rStyle w:val="PageNumber"/>
      </w:rPr>
      <w:fldChar w:fldCharType="end"/>
    </w:r>
  </w:p>
  <w:p w14:paraId="28AF298E"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theme="minorBidi"/>
        <w:szCs w:val="20"/>
        <w:lang w:eastAsia="en-US"/>
      </w:rPr>
      <w:id w:val="-194622243"/>
      <w:docPartObj>
        <w:docPartGallery w:val="Page Numbers (Bottom of Page)"/>
        <w:docPartUnique/>
      </w:docPartObj>
    </w:sdtPr>
    <w:sdtEndPr>
      <w:rPr>
        <w:rFonts w:ascii="Open Sans" w:eastAsia="Times New Roman" w:hAnsi="Open Sans" w:cs="Open Sans"/>
        <w:sz w:val="20"/>
        <w:szCs w:val="24"/>
        <w:lang w:eastAsia="en-AU"/>
      </w:rPr>
    </w:sdtEndPr>
    <w:sdtContent>
      <w:p w14:paraId="41DE6945" w14:textId="4DEC1F3B" w:rsidR="00BF201A" w:rsidRPr="00BF201A" w:rsidRDefault="00BF201A" w:rsidP="00BF201A">
        <w:pPr>
          <w:pStyle w:val="Footer"/>
          <w:tabs>
            <w:tab w:val="clear" w:pos="8306"/>
            <w:tab w:val="right" w:pos="8080"/>
          </w:tabs>
          <w:ind w:left="-851" w:hanging="567"/>
          <w:jc w:val="right"/>
          <w:rPr>
            <w:rFonts w:eastAsiaTheme="minorHAnsi" w:cstheme="minorBidi"/>
            <w:b/>
            <w:bCs/>
            <w:szCs w:val="20"/>
            <w:lang w:eastAsia="en-US"/>
          </w:rPr>
        </w:pPr>
        <w:r w:rsidRPr="007021A7">
          <w:rPr>
            <w:rFonts w:ascii="Open Sans" w:hAnsi="Open Sans" w:cs="Open Sans"/>
            <w:sz w:val="20"/>
          </w:rPr>
          <w:t>[S25EP116.docx]</w:t>
        </w:r>
        <w:r>
          <w:rPr>
            <w:rFonts w:ascii="Open Sans" w:hAnsi="Open Sans" w:cs="Open Sans"/>
            <w:sz w:val="20"/>
          </w:rPr>
          <w:tab/>
        </w:r>
        <w:r>
          <w:rPr>
            <w:rFonts w:ascii="Open Sans" w:hAnsi="Open Sans" w:cs="Open Sans"/>
            <w:sz w:val="20"/>
          </w:rPr>
          <w:tab/>
          <w:t xml:space="preserve">  </w:t>
        </w:r>
        <w:r w:rsidRPr="007021A7">
          <w:rPr>
            <w:rFonts w:ascii="Open Sans" w:hAnsi="Open Sans" w:cs="Open Sans"/>
            <w:sz w:val="20"/>
          </w:rPr>
          <w:t xml:space="preserve">Last updated: </w:t>
        </w:r>
        <w:r w:rsidR="001A4FA3">
          <w:rPr>
            <w:rFonts w:ascii="Open Sans" w:hAnsi="Open Sans" w:cs="Open Sans"/>
            <w:sz w:val="20"/>
          </w:rPr>
          <w:t>5</w:t>
        </w:r>
        <w:r w:rsidR="00915055">
          <w:rPr>
            <w:rFonts w:ascii="Open Sans" w:hAnsi="Open Sans" w:cs="Open Sans"/>
            <w:sz w:val="20"/>
          </w:rPr>
          <w:t xml:space="preserve"> </w:t>
        </w:r>
        <w:r w:rsidR="001A4FA3">
          <w:rPr>
            <w:rFonts w:ascii="Open Sans" w:hAnsi="Open Sans" w:cs="Open Sans"/>
            <w:sz w:val="20"/>
          </w:rPr>
          <w:t xml:space="preserve">March </w:t>
        </w:r>
        <w:r w:rsidR="00915055">
          <w:rPr>
            <w:rFonts w:ascii="Open Sans" w:hAnsi="Open Sans" w:cs="Open Sans"/>
            <w:sz w:val="20"/>
          </w:rPr>
          <w:t>2026</w:t>
        </w:r>
      </w:p>
      <w:p w14:paraId="4B39A19E" w14:textId="63D60A9D" w:rsidR="00556CBE" w:rsidRPr="00BF201A" w:rsidRDefault="00556CBE" w:rsidP="00BF201A">
        <w:pPr>
          <w:pStyle w:val="Footer"/>
          <w:tabs>
            <w:tab w:val="clear" w:pos="8306"/>
            <w:tab w:val="right" w:pos="8080"/>
          </w:tabs>
          <w:jc w:val="right"/>
          <w:rPr>
            <w:rFonts w:ascii="Open Sans" w:hAnsi="Open Sans" w:cs="Open Sans"/>
            <w:sz w:val="20"/>
            <w:szCs w:val="20"/>
          </w:rPr>
        </w:pPr>
        <w:r w:rsidRPr="007021A7">
          <w:rPr>
            <w:rFonts w:ascii="Open Sans" w:hAnsi="Open Sans" w:cs="Open Sans"/>
            <w:sz w:val="20"/>
            <w:szCs w:val="20"/>
          </w:rPr>
          <w:t xml:space="preserve">Page | </w:t>
        </w:r>
        <w:r w:rsidRPr="007021A7">
          <w:rPr>
            <w:rFonts w:ascii="Open Sans" w:hAnsi="Open Sans" w:cs="Open Sans"/>
            <w:sz w:val="20"/>
            <w:szCs w:val="20"/>
          </w:rPr>
          <w:fldChar w:fldCharType="begin"/>
        </w:r>
        <w:r w:rsidRPr="007021A7">
          <w:rPr>
            <w:rFonts w:ascii="Open Sans" w:hAnsi="Open Sans" w:cs="Open Sans"/>
            <w:sz w:val="20"/>
            <w:szCs w:val="20"/>
          </w:rPr>
          <w:instrText xml:space="preserve"> PAGE   \* MERGEFORMAT </w:instrText>
        </w:r>
        <w:r w:rsidRPr="007021A7">
          <w:rPr>
            <w:rFonts w:ascii="Open Sans" w:hAnsi="Open Sans" w:cs="Open Sans"/>
            <w:sz w:val="20"/>
            <w:szCs w:val="20"/>
          </w:rPr>
          <w:fldChar w:fldCharType="separate"/>
        </w:r>
        <w:r w:rsidRPr="007021A7">
          <w:rPr>
            <w:rFonts w:ascii="Open Sans" w:hAnsi="Open Sans" w:cs="Open Sans"/>
            <w:noProof/>
            <w:sz w:val="20"/>
            <w:szCs w:val="20"/>
          </w:rPr>
          <w:t>2</w:t>
        </w:r>
        <w:r w:rsidRPr="007021A7">
          <w:rPr>
            <w:rFonts w:ascii="Open Sans" w:hAnsi="Open Sans" w:cs="Open San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theme="minorBidi"/>
        <w:szCs w:val="20"/>
        <w:lang w:eastAsia="en-US"/>
      </w:rPr>
      <w:id w:val="-544132150"/>
      <w:docPartObj>
        <w:docPartGallery w:val="Page Numbers (Bottom of Page)"/>
        <w:docPartUnique/>
      </w:docPartObj>
    </w:sdtPr>
    <w:sdtEndPr>
      <w:rPr>
        <w:rFonts w:ascii="Open Sans" w:eastAsia="Times New Roman" w:hAnsi="Open Sans" w:cs="Open Sans"/>
        <w:sz w:val="20"/>
        <w:szCs w:val="24"/>
        <w:lang w:eastAsia="en-AU"/>
      </w:rPr>
    </w:sdtEndPr>
    <w:sdtContent>
      <w:p w14:paraId="0D801E7C" w14:textId="47E970ED" w:rsidR="00BF201A" w:rsidRPr="00BF201A" w:rsidRDefault="00BF201A" w:rsidP="00BF201A">
        <w:pPr>
          <w:pStyle w:val="Footer"/>
          <w:tabs>
            <w:tab w:val="clear" w:pos="8306"/>
            <w:tab w:val="right" w:pos="8080"/>
          </w:tabs>
          <w:ind w:left="-851" w:hanging="567"/>
          <w:jc w:val="right"/>
          <w:rPr>
            <w:rFonts w:eastAsiaTheme="minorHAnsi" w:cstheme="minorBidi"/>
            <w:b/>
            <w:bCs/>
            <w:szCs w:val="20"/>
            <w:lang w:eastAsia="en-US"/>
          </w:rPr>
        </w:pPr>
        <w:r w:rsidRPr="007021A7">
          <w:rPr>
            <w:rFonts w:ascii="Open Sans" w:hAnsi="Open Sans" w:cs="Open Sans"/>
            <w:sz w:val="20"/>
          </w:rPr>
          <w:t>[S25EP116.docx]</w:t>
        </w:r>
        <w:r>
          <w:rPr>
            <w:rFonts w:ascii="Open Sans" w:hAnsi="Open Sans" w:cs="Open Sans"/>
            <w:sz w:val="20"/>
          </w:rPr>
          <w:tab/>
        </w:r>
        <w:r>
          <w:rPr>
            <w:rFonts w:ascii="Open Sans" w:hAnsi="Open Sans" w:cs="Open Sans"/>
            <w:sz w:val="20"/>
          </w:rPr>
          <w:tab/>
          <w:t xml:space="preserve">  </w:t>
        </w:r>
        <w:r w:rsidRPr="007021A7">
          <w:rPr>
            <w:rFonts w:ascii="Open Sans" w:hAnsi="Open Sans" w:cs="Open Sans"/>
            <w:sz w:val="20"/>
          </w:rPr>
          <w:t xml:space="preserve">Last updated: </w:t>
        </w:r>
        <w:r w:rsidR="001A4FA3">
          <w:rPr>
            <w:rFonts w:ascii="Open Sans" w:hAnsi="Open Sans" w:cs="Open Sans"/>
            <w:sz w:val="20"/>
          </w:rPr>
          <w:t xml:space="preserve">5 March </w:t>
        </w:r>
        <w:r w:rsidR="00915055">
          <w:rPr>
            <w:rFonts w:ascii="Open Sans" w:hAnsi="Open Sans" w:cs="Open Sans"/>
            <w:sz w:val="20"/>
          </w:rPr>
          <w:t>2026</w:t>
        </w:r>
      </w:p>
      <w:p w14:paraId="071E3BF0" w14:textId="77777777" w:rsidR="00BF201A" w:rsidRPr="00BF201A" w:rsidRDefault="00BF201A" w:rsidP="00BF201A">
        <w:pPr>
          <w:pStyle w:val="Footer"/>
          <w:tabs>
            <w:tab w:val="clear" w:pos="8306"/>
            <w:tab w:val="right" w:pos="8080"/>
          </w:tabs>
          <w:jc w:val="right"/>
          <w:rPr>
            <w:rFonts w:ascii="Open Sans" w:hAnsi="Open Sans" w:cs="Open Sans"/>
            <w:sz w:val="20"/>
            <w:szCs w:val="20"/>
          </w:rPr>
        </w:pPr>
        <w:r w:rsidRPr="007021A7">
          <w:rPr>
            <w:rFonts w:ascii="Open Sans" w:hAnsi="Open Sans" w:cs="Open Sans"/>
            <w:sz w:val="20"/>
            <w:szCs w:val="20"/>
          </w:rPr>
          <w:t xml:space="preserve">Page | </w:t>
        </w:r>
        <w:r w:rsidRPr="007021A7">
          <w:rPr>
            <w:rFonts w:ascii="Open Sans" w:hAnsi="Open Sans" w:cs="Open Sans"/>
            <w:sz w:val="20"/>
            <w:szCs w:val="20"/>
          </w:rPr>
          <w:fldChar w:fldCharType="begin"/>
        </w:r>
        <w:r w:rsidRPr="007021A7">
          <w:rPr>
            <w:rFonts w:ascii="Open Sans" w:hAnsi="Open Sans" w:cs="Open Sans"/>
            <w:sz w:val="20"/>
            <w:szCs w:val="20"/>
          </w:rPr>
          <w:instrText xml:space="preserve"> PAGE   \* MERGEFORMAT </w:instrText>
        </w:r>
        <w:r w:rsidRPr="007021A7">
          <w:rPr>
            <w:rFonts w:ascii="Open Sans" w:hAnsi="Open Sans" w:cs="Open Sans"/>
            <w:sz w:val="20"/>
            <w:szCs w:val="20"/>
          </w:rPr>
          <w:fldChar w:fldCharType="separate"/>
        </w:r>
        <w:r>
          <w:rPr>
            <w:rFonts w:ascii="Open Sans" w:hAnsi="Open Sans" w:cs="Open Sans"/>
            <w:sz w:val="20"/>
            <w:szCs w:val="20"/>
          </w:rPr>
          <w:t>2</w:t>
        </w:r>
        <w:r w:rsidRPr="007021A7">
          <w:rPr>
            <w:rFonts w:ascii="Open Sans" w:hAnsi="Open Sans" w:cs="Open San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10E8" w14:textId="77777777" w:rsidR="00AE17CC" w:rsidRDefault="00AE17CC" w:rsidP="008E17F3">
      <w:pPr>
        <w:spacing w:line="240" w:lineRule="auto"/>
      </w:pPr>
      <w:r>
        <w:separator/>
      </w:r>
    </w:p>
  </w:footnote>
  <w:footnote w:type="continuationSeparator" w:id="0">
    <w:p w14:paraId="20E8EA4B" w14:textId="77777777" w:rsidR="00AE17CC" w:rsidRDefault="00AE17CC"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7B52" w14:textId="6E557164" w:rsidR="00F6254F" w:rsidRPr="00BF201A" w:rsidRDefault="00F6254F" w:rsidP="00BF201A">
    <w:pPr>
      <w:pStyle w:val="Header"/>
      <w:spacing w:line="240" w:lineRule="auto"/>
      <w:rPr>
        <w:rFonts w:ascii="Open Sans" w:hAnsi="Open Sans" w:cs="Open Sans"/>
        <w:b/>
        <w:bCs/>
        <w:color w:val="BBBABA"/>
        <w:sz w:val="22"/>
        <w:szCs w:val="22"/>
      </w:rPr>
    </w:pPr>
    <w:r w:rsidRPr="00BF201A">
      <w:rPr>
        <w:rFonts w:ascii="Open Sans" w:hAnsi="Open Sans" w:cs="Open Sans"/>
        <w:b/>
        <w:bCs/>
        <w:color w:val="BBBABA"/>
        <w:sz w:val="22"/>
        <w:szCs w:val="22"/>
      </w:rPr>
      <w:t>Instructor Guidance Note—Automated decision making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0D26" w14:textId="5416D6AC" w:rsidR="00E620CE" w:rsidRDefault="00E620CE">
    <w:pPr>
      <w:pStyle w:val="Header"/>
    </w:pPr>
    <w:r w:rsidRPr="00F951F6">
      <w:rPr>
        <w:rFonts w:cs="Open Sans"/>
        <w:noProof/>
      </w:rPr>
      <w:drawing>
        <wp:anchor distT="0" distB="0" distL="114300" distR="114300" simplePos="0" relativeHeight="251663360" behindDoc="0" locked="0" layoutInCell="1" allowOverlap="1" wp14:anchorId="0B365842" wp14:editId="2FFB7923">
          <wp:simplePos x="0" y="0"/>
          <wp:positionH relativeFrom="margin">
            <wp:posOffset>0</wp:posOffset>
          </wp:positionH>
          <wp:positionV relativeFrom="paragraph">
            <wp:posOffset>-575838</wp:posOffset>
          </wp:positionV>
          <wp:extent cx="3229347" cy="748862"/>
          <wp:effectExtent l="0" t="0" r="0" b="0"/>
          <wp:wrapNone/>
          <wp:docPr id="305156758" name="Picture 4" descr="Australian Government Office of Parliamentary Couns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47286" name="Picture 4" descr="Australian Government Office of Parliamentary Counse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347" cy="7488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6CB18C6"/>
    <w:multiLevelType w:val="hybridMultilevel"/>
    <w:tmpl w:val="34504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720127">
    <w:abstractNumId w:val="9"/>
  </w:num>
  <w:num w:numId="2" w16cid:durableId="1748265243">
    <w:abstractNumId w:val="7"/>
  </w:num>
  <w:num w:numId="3" w16cid:durableId="85930482">
    <w:abstractNumId w:val="6"/>
  </w:num>
  <w:num w:numId="4" w16cid:durableId="349599929">
    <w:abstractNumId w:val="5"/>
  </w:num>
  <w:num w:numId="5" w16cid:durableId="329064202">
    <w:abstractNumId w:val="4"/>
  </w:num>
  <w:num w:numId="6" w16cid:durableId="1094591136">
    <w:abstractNumId w:val="8"/>
  </w:num>
  <w:num w:numId="7" w16cid:durableId="2105569186">
    <w:abstractNumId w:val="3"/>
  </w:num>
  <w:num w:numId="8" w16cid:durableId="2111855995">
    <w:abstractNumId w:val="2"/>
  </w:num>
  <w:num w:numId="9" w16cid:durableId="104928581">
    <w:abstractNumId w:val="1"/>
  </w:num>
  <w:num w:numId="10" w16cid:durableId="135412084">
    <w:abstractNumId w:val="0"/>
  </w:num>
  <w:num w:numId="11" w16cid:durableId="1106727012">
    <w:abstractNumId w:val="11"/>
  </w:num>
  <w:num w:numId="12" w16cid:durableId="79985930">
    <w:abstractNumId w:val="12"/>
  </w:num>
  <w:num w:numId="13" w16cid:durableId="1269775666">
    <w:abstractNumId w:val="10"/>
  </w:num>
  <w:num w:numId="14" w16cid:durableId="743574621">
    <w:abstractNumId w:val="13"/>
  </w:num>
  <w:num w:numId="15" w16cid:durableId="1359355075">
    <w:abstractNumId w:val="10"/>
  </w:num>
  <w:num w:numId="16" w16cid:durableId="9122766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CC"/>
    <w:rsid w:val="0000050D"/>
    <w:rsid w:val="00004C57"/>
    <w:rsid w:val="000136AF"/>
    <w:rsid w:val="00021A83"/>
    <w:rsid w:val="00022B7E"/>
    <w:rsid w:val="0002366B"/>
    <w:rsid w:val="000258FE"/>
    <w:rsid w:val="00036B0B"/>
    <w:rsid w:val="00040AA1"/>
    <w:rsid w:val="00042BA0"/>
    <w:rsid w:val="00051788"/>
    <w:rsid w:val="000566BD"/>
    <w:rsid w:val="00056743"/>
    <w:rsid w:val="00056D97"/>
    <w:rsid w:val="000614BF"/>
    <w:rsid w:val="00061A04"/>
    <w:rsid w:val="0007540A"/>
    <w:rsid w:val="00083B72"/>
    <w:rsid w:val="00092AB7"/>
    <w:rsid w:val="00097B5B"/>
    <w:rsid w:val="000A2260"/>
    <w:rsid w:val="000C604C"/>
    <w:rsid w:val="000D05EF"/>
    <w:rsid w:val="000D2865"/>
    <w:rsid w:val="000E1E8C"/>
    <w:rsid w:val="000E68AD"/>
    <w:rsid w:val="000F4228"/>
    <w:rsid w:val="000F4A0B"/>
    <w:rsid w:val="000F53DF"/>
    <w:rsid w:val="0010745C"/>
    <w:rsid w:val="001164E0"/>
    <w:rsid w:val="00122C22"/>
    <w:rsid w:val="001242DB"/>
    <w:rsid w:val="0013201E"/>
    <w:rsid w:val="0013336E"/>
    <w:rsid w:val="0015579A"/>
    <w:rsid w:val="00166C2F"/>
    <w:rsid w:val="00174846"/>
    <w:rsid w:val="00186E45"/>
    <w:rsid w:val="001939E1"/>
    <w:rsid w:val="00195382"/>
    <w:rsid w:val="001A4FA3"/>
    <w:rsid w:val="001A7EB5"/>
    <w:rsid w:val="001C69C4"/>
    <w:rsid w:val="001E3590"/>
    <w:rsid w:val="001E58C2"/>
    <w:rsid w:val="001E7407"/>
    <w:rsid w:val="001F10A2"/>
    <w:rsid w:val="00204007"/>
    <w:rsid w:val="00251A7E"/>
    <w:rsid w:val="00253D1B"/>
    <w:rsid w:val="00254DCB"/>
    <w:rsid w:val="002613E2"/>
    <w:rsid w:val="00295FBA"/>
    <w:rsid w:val="002970D7"/>
    <w:rsid w:val="00297860"/>
    <w:rsid w:val="00297ECB"/>
    <w:rsid w:val="002D043A"/>
    <w:rsid w:val="002D43CB"/>
    <w:rsid w:val="002D6A8E"/>
    <w:rsid w:val="002E62BB"/>
    <w:rsid w:val="002F03F2"/>
    <w:rsid w:val="00303C8D"/>
    <w:rsid w:val="00311448"/>
    <w:rsid w:val="00352B0F"/>
    <w:rsid w:val="00354E7C"/>
    <w:rsid w:val="00356A02"/>
    <w:rsid w:val="00360FB0"/>
    <w:rsid w:val="003675E1"/>
    <w:rsid w:val="00367D24"/>
    <w:rsid w:val="003B5735"/>
    <w:rsid w:val="003D0B60"/>
    <w:rsid w:val="003D0BFE"/>
    <w:rsid w:val="003D0ED6"/>
    <w:rsid w:val="003D21B8"/>
    <w:rsid w:val="003D2D14"/>
    <w:rsid w:val="003D5700"/>
    <w:rsid w:val="003D6F8A"/>
    <w:rsid w:val="003E4160"/>
    <w:rsid w:val="0041053D"/>
    <w:rsid w:val="004116CD"/>
    <w:rsid w:val="00424CA9"/>
    <w:rsid w:val="0044291A"/>
    <w:rsid w:val="00450A86"/>
    <w:rsid w:val="004560FB"/>
    <w:rsid w:val="004653F8"/>
    <w:rsid w:val="00496F97"/>
    <w:rsid w:val="004D2749"/>
    <w:rsid w:val="004F47EE"/>
    <w:rsid w:val="00501856"/>
    <w:rsid w:val="005143FE"/>
    <w:rsid w:val="00516B8D"/>
    <w:rsid w:val="00532525"/>
    <w:rsid w:val="005327A0"/>
    <w:rsid w:val="00534576"/>
    <w:rsid w:val="00537066"/>
    <w:rsid w:val="00537FBC"/>
    <w:rsid w:val="0054080B"/>
    <w:rsid w:val="00556CBE"/>
    <w:rsid w:val="00556E71"/>
    <w:rsid w:val="0058156D"/>
    <w:rsid w:val="00584811"/>
    <w:rsid w:val="00594161"/>
    <w:rsid w:val="00594749"/>
    <w:rsid w:val="00596575"/>
    <w:rsid w:val="005A0982"/>
    <w:rsid w:val="005A401A"/>
    <w:rsid w:val="005B3DFF"/>
    <w:rsid w:val="005B7A0B"/>
    <w:rsid w:val="005C5DA6"/>
    <w:rsid w:val="005D33E5"/>
    <w:rsid w:val="005F4407"/>
    <w:rsid w:val="005F716E"/>
    <w:rsid w:val="00600219"/>
    <w:rsid w:val="00616B9E"/>
    <w:rsid w:val="00616BA3"/>
    <w:rsid w:val="006207A3"/>
    <w:rsid w:val="006279B8"/>
    <w:rsid w:val="00633564"/>
    <w:rsid w:val="00641EF7"/>
    <w:rsid w:val="0064209E"/>
    <w:rsid w:val="0065068D"/>
    <w:rsid w:val="006740F2"/>
    <w:rsid w:val="00677CC2"/>
    <w:rsid w:val="00680F77"/>
    <w:rsid w:val="00681462"/>
    <w:rsid w:val="006862C4"/>
    <w:rsid w:val="00687BC2"/>
    <w:rsid w:val="0069207B"/>
    <w:rsid w:val="00692BE4"/>
    <w:rsid w:val="00692E08"/>
    <w:rsid w:val="006A3D9C"/>
    <w:rsid w:val="006B566C"/>
    <w:rsid w:val="006B5ABC"/>
    <w:rsid w:val="006C0CF9"/>
    <w:rsid w:val="006C7F8C"/>
    <w:rsid w:val="006D77BA"/>
    <w:rsid w:val="006E2E9F"/>
    <w:rsid w:val="006E4D6F"/>
    <w:rsid w:val="006F508B"/>
    <w:rsid w:val="007021A7"/>
    <w:rsid w:val="00704A73"/>
    <w:rsid w:val="00714124"/>
    <w:rsid w:val="00724EAA"/>
    <w:rsid w:val="007276BC"/>
    <w:rsid w:val="00731E00"/>
    <w:rsid w:val="00733990"/>
    <w:rsid w:val="00740F0A"/>
    <w:rsid w:val="00750B2C"/>
    <w:rsid w:val="0075403E"/>
    <w:rsid w:val="007610BC"/>
    <w:rsid w:val="0076625F"/>
    <w:rsid w:val="00766393"/>
    <w:rsid w:val="007715C9"/>
    <w:rsid w:val="00774EDD"/>
    <w:rsid w:val="00775577"/>
    <w:rsid w:val="007757EC"/>
    <w:rsid w:val="0079469B"/>
    <w:rsid w:val="00796A85"/>
    <w:rsid w:val="007C2476"/>
    <w:rsid w:val="007E2C0E"/>
    <w:rsid w:val="007F07B5"/>
    <w:rsid w:val="008006B2"/>
    <w:rsid w:val="0080255E"/>
    <w:rsid w:val="00806304"/>
    <w:rsid w:val="00807BF5"/>
    <w:rsid w:val="008123EB"/>
    <w:rsid w:val="0082057B"/>
    <w:rsid w:val="008263AA"/>
    <w:rsid w:val="00842614"/>
    <w:rsid w:val="00856A31"/>
    <w:rsid w:val="0086017F"/>
    <w:rsid w:val="008625EB"/>
    <w:rsid w:val="008729CE"/>
    <w:rsid w:val="008754D0"/>
    <w:rsid w:val="008A5657"/>
    <w:rsid w:val="008E17F3"/>
    <w:rsid w:val="008E3B8C"/>
    <w:rsid w:val="00905E2A"/>
    <w:rsid w:val="00915055"/>
    <w:rsid w:val="00926198"/>
    <w:rsid w:val="00933414"/>
    <w:rsid w:val="0094622F"/>
    <w:rsid w:val="00950649"/>
    <w:rsid w:val="0095191C"/>
    <w:rsid w:val="00965FFF"/>
    <w:rsid w:val="00966872"/>
    <w:rsid w:val="0098638B"/>
    <w:rsid w:val="009B0BDB"/>
    <w:rsid w:val="009B5D07"/>
    <w:rsid w:val="009C0570"/>
    <w:rsid w:val="009C067A"/>
    <w:rsid w:val="009C0BC4"/>
    <w:rsid w:val="009C0C8E"/>
    <w:rsid w:val="009D5200"/>
    <w:rsid w:val="00A01871"/>
    <w:rsid w:val="00A104F1"/>
    <w:rsid w:val="00A231E2"/>
    <w:rsid w:val="00A3380B"/>
    <w:rsid w:val="00A64912"/>
    <w:rsid w:val="00A70A74"/>
    <w:rsid w:val="00A91B5C"/>
    <w:rsid w:val="00AA166A"/>
    <w:rsid w:val="00AB026A"/>
    <w:rsid w:val="00AB2395"/>
    <w:rsid w:val="00AC07F2"/>
    <w:rsid w:val="00AD5641"/>
    <w:rsid w:val="00AE17CC"/>
    <w:rsid w:val="00AE6854"/>
    <w:rsid w:val="00B2069E"/>
    <w:rsid w:val="00B33B3C"/>
    <w:rsid w:val="00B41F03"/>
    <w:rsid w:val="00B51E7B"/>
    <w:rsid w:val="00B7090D"/>
    <w:rsid w:val="00B7326C"/>
    <w:rsid w:val="00B771A1"/>
    <w:rsid w:val="00B93E57"/>
    <w:rsid w:val="00B93EB6"/>
    <w:rsid w:val="00BB1188"/>
    <w:rsid w:val="00BB7EC6"/>
    <w:rsid w:val="00BC6287"/>
    <w:rsid w:val="00BD3AD6"/>
    <w:rsid w:val="00BD4C86"/>
    <w:rsid w:val="00BE719A"/>
    <w:rsid w:val="00BE720A"/>
    <w:rsid w:val="00BF201A"/>
    <w:rsid w:val="00BF2342"/>
    <w:rsid w:val="00C035F9"/>
    <w:rsid w:val="00C15CCC"/>
    <w:rsid w:val="00C25E6E"/>
    <w:rsid w:val="00C27D45"/>
    <w:rsid w:val="00C31FE0"/>
    <w:rsid w:val="00C35D5F"/>
    <w:rsid w:val="00C42BF8"/>
    <w:rsid w:val="00C50043"/>
    <w:rsid w:val="00C61CDD"/>
    <w:rsid w:val="00C63C9A"/>
    <w:rsid w:val="00C7266F"/>
    <w:rsid w:val="00C7573B"/>
    <w:rsid w:val="00C83868"/>
    <w:rsid w:val="00C97F20"/>
    <w:rsid w:val="00CB08C1"/>
    <w:rsid w:val="00CB3D6B"/>
    <w:rsid w:val="00CB48D8"/>
    <w:rsid w:val="00CB66F4"/>
    <w:rsid w:val="00CB6E7F"/>
    <w:rsid w:val="00CD1E79"/>
    <w:rsid w:val="00CD6098"/>
    <w:rsid w:val="00CE46E1"/>
    <w:rsid w:val="00CE514E"/>
    <w:rsid w:val="00CF0BB2"/>
    <w:rsid w:val="00CF19F5"/>
    <w:rsid w:val="00D1106A"/>
    <w:rsid w:val="00D1221E"/>
    <w:rsid w:val="00D13441"/>
    <w:rsid w:val="00D15531"/>
    <w:rsid w:val="00D166B5"/>
    <w:rsid w:val="00D379C6"/>
    <w:rsid w:val="00D40460"/>
    <w:rsid w:val="00D45905"/>
    <w:rsid w:val="00D50C60"/>
    <w:rsid w:val="00D56EDB"/>
    <w:rsid w:val="00D70DFB"/>
    <w:rsid w:val="00D72BD5"/>
    <w:rsid w:val="00D766DF"/>
    <w:rsid w:val="00D877EC"/>
    <w:rsid w:val="00D91067"/>
    <w:rsid w:val="00DA6DCF"/>
    <w:rsid w:val="00DB019A"/>
    <w:rsid w:val="00DB3CFE"/>
    <w:rsid w:val="00DB5CF5"/>
    <w:rsid w:val="00DD3A0A"/>
    <w:rsid w:val="00DE19D2"/>
    <w:rsid w:val="00DE231C"/>
    <w:rsid w:val="00DE7073"/>
    <w:rsid w:val="00DE78D2"/>
    <w:rsid w:val="00E27D19"/>
    <w:rsid w:val="00E30189"/>
    <w:rsid w:val="00E4284C"/>
    <w:rsid w:val="00E47182"/>
    <w:rsid w:val="00E572EE"/>
    <w:rsid w:val="00E61AEC"/>
    <w:rsid w:val="00E620CE"/>
    <w:rsid w:val="00E72520"/>
    <w:rsid w:val="00E74DC7"/>
    <w:rsid w:val="00EB6551"/>
    <w:rsid w:val="00ED0C49"/>
    <w:rsid w:val="00EE40E5"/>
    <w:rsid w:val="00EE47E8"/>
    <w:rsid w:val="00EE573F"/>
    <w:rsid w:val="00EF2E3A"/>
    <w:rsid w:val="00EF7A9B"/>
    <w:rsid w:val="00EF7FCE"/>
    <w:rsid w:val="00F04811"/>
    <w:rsid w:val="00F078DC"/>
    <w:rsid w:val="00F11F1D"/>
    <w:rsid w:val="00F23E5F"/>
    <w:rsid w:val="00F3484C"/>
    <w:rsid w:val="00F43B4B"/>
    <w:rsid w:val="00F51269"/>
    <w:rsid w:val="00F512AB"/>
    <w:rsid w:val="00F5725D"/>
    <w:rsid w:val="00F6254F"/>
    <w:rsid w:val="00F62726"/>
    <w:rsid w:val="00F62975"/>
    <w:rsid w:val="00F83BFF"/>
    <w:rsid w:val="00FA1DF9"/>
    <w:rsid w:val="00FD456C"/>
    <w:rsid w:val="00FE1A0B"/>
    <w:rsid w:val="00FE2047"/>
    <w:rsid w:val="00FE495E"/>
    <w:rsid w:val="00FF092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C27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next w:val="Heading2"/>
    <w:link w:val="Heading1Char"/>
    <w:uiPriority w:val="9"/>
    <w:qFormat/>
    <w:rsid w:val="00E620CE"/>
    <w:pPr>
      <w:keepNext/>
      <w:pageBreakBefore/>
      <w:autoSpaceDE w:val="0"/>
      <w:autoSpaceDN w:val="0"/>
      <w:adjustRightInd w:val="0"/>
      <w:spacing w:before="160" w:after="300"/>
      <w:outlineLvl w:val="0"/>
    </w:pPr>
    <w:rPr>
      <w:rFonts w:ascii="Open Sans ExtraBold" w:eastAsiaTheme="minorEastAsia" w:hAnsi="Open Sans ExtraBold" w:cs="Open Sans"/>
      <w:color w:val="084D5E"/>
      <w:kern w:val="28"/>
      <w:sz w:val="56"/>
      <w:szCs w:val="56"/>
      <w:lang w:eastAsia="en-AU" w:bidi="th-TH"/>
      <w14:ligatures w14:val="standardContextual"/>
    </w:rPr>
  </w:style>
  <w:style w:type="paragraph" w:styleId="Heading2">
    <w:name w:val="heading 2"/>
    <w:basedOn w:val="Normal"/>
    <w:next w:val="Normal"/>
    <w:link w:val="Heading2Char"/>
    <w:uiPriority w:val="9"/>
    <w:semiHidden/>
    <w:unhideWhenUsed/>
    <w:qFormat/>
    <w:rsid w:val="00E620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620CE"/>
    <w:pPr>
      <w:keepNext/>
      <w:keepLines/>
      <w:spacing w:before="160" w:after="80" w:line="240" w:lineRule="auto"/>
      <w:outlineLvl w:val="2"/>
    </w:pPr>
    <w:rPr>
      <w:rFonts w:ascii="EB Garamond" w:eastAsiaTheme="majorEastAsia" w:hAnsi="EB Garamond" w:cstheme="majorBidi"/>
      <w:color w:val="365F91" w:themeColor="accent1" w:themeShade="BF"/>
      <w:kern w:val="2"/>
      <w:sz w:val="28"/>
      <w:szCs w:val="35"/>
      <w:lang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tabs>
        <w:tab w:val="clear" w:pos="2160"/>
        <w:tab w:val="num" w:pos="360"/>
      </w:tabs>
      <w:spacing w:before="240" w:line="240" w:lineRule="auto"/>
      <w:ind w:left="0" w:firstLine="0"/>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styleId="Hyperlink">
    <w:name w:val="Hyperlink"/>
    <w:basedOn w:val="DefaultParagraphFont"/>
    <w:uiPriority w:val="99"/>
    <w:unhideWhenUsed/>
    <w:rsid w:val="00806304"/>
    <w:rPr>
      <w:color w:val="0000FF" w:themeColor="hyperlink"/>
      <w:u w:val="single"/>
    </w:rPr>
  </w:style>
  <w:style w:type="character" w:styleId="UnresolvedMention">
    <w:name w:val="Unresolved Mention"/>
    <w:basedOn w:val="DefaultParagraphFont"/>
    <w:uiPriority w:val="99"/>
    <w:semiHidden/>
    <w:unhideWhenUsed/>
    <w:rsid w:val="00806304"/>
    <w:rPr>
      <w:color w:val="605E5C"/>
      <w:shd w:val="clear" w:color="auto" w:fill="E1DFDD"/>
    </w:rPr>
  </w:style>
  <w:style w:type="character" w:customStyle="1" w:styleId="Heading1Char">
    <w:name w:val="Heading 1 Char"/>
    <w:basedOn w:val="DefaultParagraphFont"/>
    <w:link w:val="Heading1"/>
    <w:uiPriority w:val="9"/>
    <w:rsid w:val="00E620CE"/>
    <w:rPr>
      <w:rFonts w:ascii="Open Sans ExtraBold" w:eastAsiaTheme="minorEastAsia" w:hAnsi="Open Sans ExtraBold" w:cs="Open Sans"/>
      <w:color w:val="084D5E"/>
      <w:kern w:val="28"/>
      <w:sz w:val="56"/>
      <w:szCs w:val="56"/>
      <w:lang w:eastAsia="en-AU" w:bidi="th-TH"/>
      <w14:ligatures w14:val="standardContextual"/>
    </w:rPr>
  </w:style>
  <w:style w:type="character" w:customStyle="1" w:styleId="Heading3Char">
    <w:name w:val="Heading 3 Char"/>
    <w:basedOn w:val="DefaultParagraphFont"/>
    <w:link w:val="Heading3"/>
    <w:uiPriority w:val="9"/>
    <w:rsid w:val="00E620CE"/>
    <w:rPr>
      <w:rFonts w:ascii="EB Garamond" w:eastAsiaTheme="majorEastAsia" w:hAnsi="EB Garamond" w:cstheme="majorBidi"/>
      <w:color w:val="365F91" w:themeColor="accent1" w:themeShade="BF"/>
      <w:kern w:val="2"/>
      <w:sz w:val="28"/>
      <w:szCs w:val="35"/>
      <w:lang w:eastAsia="zh-CN" w:bidi="th-TH"/>
      <w14:ligatures w14:val="standardContextual"/>
    </w:rPr>
  </w:style>
  <w:style w:type="table" w:styleId="TableGrid">
    <w:name w:val="Table Grid"/>
    <w:basedOn w:val="TableNormal"/>
    <w:uiPriority w:val="39"/>
    <w:rsid w:val="00E620CE"/>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620C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5326</Characters>
  <Application>Microsoft Office Word</Application>
  <DocSecurity>0</DocSecurity>
  <Lines>94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2026-03-05T05:44:00Z</dcterms:created>
  <dcterms:modified xsi:type="dcterms:W3CDTF">2026-03-05T05:45:00Z</dcterms:modified>
</cp:coreProperties>
</file>