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15368" w14:textId="77777777" w:rsidR="00F6117F" w:rsidRPr="00FD274F" w:rsidRDefault="00F6117F" w:rsidP="00F6117F">
      <w:pPr>
        <w:pStyle w:val="Body"/>
      </w:pPr>
      <w:r w:rsidRPr="00FD274F">
        <w:rPr>
          <w:noProof/>
          <w:sz w:val="20"/>
        </w:rPr>
        <w:drawing>
          <wp:inline distT="0" distB="0" distL="0" distR="0" wp14:anchorId="78F62467" wp14:editId="15DF77DC">
            <wp:extent cx="3962400" cy="1000125"/>
            <wp:effectExtent l="0" t="0" r="0" b="9525"/>
            <wp:docPr id="3" name="Picture 3" descr="OPC/Commonwealt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962400" cy="1000125"/>
                    </a:xfrm>
                    <a:prstGeom prst="rect">
                      <a:avLst/>
                    </a:prstGeom>
                    <a:noFill/>
                    <a:ln w="9525">
                      <a:noFill/>
                      <a:miter lim="800000"/>
                      <a:headEnd/>
                      <a:tailEnd/>
                    </a:ln>
                  </pic:spPr>
                </pic:pic>
              </a:graphicData>
            </a:graphic>
          </wp:inline>
        </w:drawing>
      </w:r>
    </w:p>
    <w:p w14:paraId="7879726D" w14:textId="77777777" w:rsidR="00F6117F" w:rsidRPr="00FD274F" w:rsidRDefault="00F6117F" w:rsidP="00F6117F">
      <w:pPr>
        <w:pStyle w:val="Head1"/>
        <w:spacing w:before="3200"/>
        <w:ind w:left="284"/>
        <w:rPr>
          <w:sz w:val="44"/>
          <w:szCs w:val="44"/>
        </w:rPr>
      </w:pPr>
      <w:r w:rsidRPr="00FD274F">
        <w:rPr>
          <w:sz w:val="44"/>
          <w:szCs w:val="44"/>
        </w:rPr>
        <w:t>Instruments Handbook</w:t>
      </w:r>
    </w:p>
    <w:p w14:paraId="6627C1E5" w14:textId="76DB1785" w:rsidR="00A13F3A" w:rsidRPr="00FD274F" w:rsidRDefault="00A13F3A" w:rsidP="00A13F3A">
      <w:pPr>
        <w:pStyle w:val="Release"/>
        <w:spacing w:before="6000"/>
        <w:ind w:left="284"/>
      </w:pPr>
      <w:r w:rsidRPr="00FD274F">
        <w:t xml:space="preserve">Document release </w:t>
      </w:r>
      <w:r w:rsidR="00805ED3">
        <w:t>[</w:t>
      </w:r>
      <w:r w:rsidRPr="00FD274F">
        <w:t>3.</w:t>
      </w:r>
      <w:r w:rsidR="00625FF9">
        <w:t>9</w:t>
      </w:r>
      <w:r w:rsidR="00805ED3">
        <w:t>]</w:t>
      </w:r>
    </w:p>
    <w:p w14:paraId="1E46699A" w14:textId="3C3315E7" w:rsidR="00A13F3A" w:rsidRPr="00FD274F" w:rsidRDefault="00A13F3A" w:rsidP="00A13F3A">
      <w:pPr>
        <w:pStyle w:val="Issued"/>
        <w:spacing w:before="0"/>
        <w:ind w:left="284"/>
      </w:pPr>
      <w:r w:rsidRPr="00E75DFA">
        <w:t xml:space="preserve">Reissued </w:t>
      </w:r>
      <w:r w:rsidR="00BA2CEC">
        <w:t xml:space="preserve">March </w:t>
      </w:r>
      <w:r w:rsidR="00625FF9">
        <w:t>2026</w:t>
      </w:r>
    </w:p>
    <w:p w14:paraId="784F6302" w14:textId="77777777" w:rsidR="00090F15" w:rsidRPr="00FD274F" w:rsidRDefault="00090F15" w:rsidP="00090F15">
      <w:pPr>
        <w:pStyle w:val="Body"/>
      </w:pPr>
    </w:p>
    <w:p w14:paraId="263C6BA5" w14:textId="77777777" w:rsidR="00354A1C" w:rsidRDefault="00354A1C">
      <w:pPr>
        <w:spacing w:line="240" w:lineRule="auto"/>
        <w:rPr>
          <w:rFonts w:ascii="Arial" w:eastAsia="Times New Roman" w:hAnsi="Arial" w:cs="Times New Roman"/>
          <w:b/>
          <w:kern w:val="28"/>
          <w:sz w:val="28"/>
          <w:lang w:eastAsia="en-AU"/>
        </w:rPr>
      </w:pPr>
      <w:r>
        <w:br w:type="page"/>
      </w:r>
    </w:p>
    <w:p w14:paraId="11A3923D" w14:textId="7855D4F8" w:rsidR="00354A1C" w:rsidRDefault="00354A1C" w:rsidP="00354A1C">
      <w:pPr>
        <w:pStyle w:val="Head1"/>
      </w:pPr>
      <w:bookmarkStart w:id="0" w:name="_Hlk178837574"/>
      <w:r w:rsidRPr="00551EDD">
        <w:lastRenderedPageBreak/>
        <w:t>Foreword</w:t>
      </w:r>
    </w:p>
    <w:p w14:paraId="4B2DD92B" w14:textId="77777777" w:rsidR="00354A1C" w:rsidRDefault="00354A1C" w:rsidP="00354A1C">
      <w:pPr>
        <w:pStyle w:val="BodyNum"/>
        <w:numPr>
          <w:ilvl w:val="0"/>
          <w:numId w:val="0"/>
        </w:numPr>
      </w:pPr>
      <w:r>
        <w:t>The Instruments Handbook is produced by the Office of Parliamentary Counsel (OPC) for departmental officers as an aid in preparing instruments and associated materials for registration on the Federal Register of Legislation.</w:t>
      </w:r>
    </w:p>
    <w:p w14:paraId="38F12A80" w14:textId="2F32785D" w:rsidR="00354A1C" w:rsidRDefault="00354A1C" w:rsidP="00354A1C">
      <w:pPr>
        <w:pStyle w:val="BodyNum"/>
        <w:numPr>
          <w:ilvl w:val="0"/>
          <w:numId w:val="0"/>
        </w:numPr>
      </w:pPr>
      <w:r>
        <w:t>On 1 January 2024, we released a new version of the Federal Register of Legislation (the Register), which was the culmination of an extraordinary project to completely redevelop and modernise the technology supporting the website not only to give greater flexibility to users of the Register, but also to allow for future improvements. It has been truly amazing to see our new Register grow and change as we continue to receive feedback from users of the Register and I will be thrilled to see the developments yet to come.</w:t>
      </w:r>
    </w:p>
    <w:p w14:paraId="16F84F36" w14:textId="77777777" w:rsidR="00354A1C" w:rsidRDefault="00354A1C" w:rsidP="00354A1C">
      <w:pPr>
        <w:pStyle w:val="BodyNum"/>
        <w:numPr>
          <w:ilvl w:val="0"/>
          <w:numId w:val="0"/>
        </w:numPr>
      </w:pPr>
      <w:r>
        <w:t>This edition of the Handbook incorporates changes to process and practice stemming from the new Register, general updates to content and minor editorial and presentational adjustments.</w:t>
      </w:r>
    </w:p>
    <w:p w14:paraId="4F0394DF" w14:textId="6E57880A" w:rsidR="00354A1C" w:rsidRDefault="00354A1C" w:rsidP="00354A1C">
      <w:pPr>
        <w:pStyle w:val="BodyNum"/>
        <w:numPr>
          <w:ilvl w:val="0"/>
          <w:numId w:val="0"/>
        </w:numPr>
      </w:pPr>
      <w:r>
        <w:t>In reading this Handbook, I want to gently remind you that dealing with instruments means you are dealing with the law. The law is fundamental to upholding democracy, social cohesion and the rights of individuals. It is essential that the law be clear, effective and accessible, and it is important that we get it right.</w:t>
      </w:r>
    </w:p>
    <w:p w14:paraId="57730913" w14:textId="77777777" w:rsidR="00354A1C" w:rsidRDefault="00354A1C" w:rsidP="00354A1C">
      <w:pPr>
        <w:pStyle w:val="BodyNum"/>
        <w:numPr>
          <w:ilvl w:val="0"/>
          <w:numId w:val="0"/>
        </w:numPr>
      </w:pPr>
      <w:r>
        <w:t>This Handbook offers guidance, support and models for best practice to assist you to ensure your instruments are clear, effective and accessible.</w:t>
      </w:r>
      <w:bookmarkEnd w:id="0"/>
      <w:r>
        <w:t xml:space="preserve"> If you need help in navigating the Handbook or understanding its contents, please remember we are only a phone call or email away. If you have suggestions on how we could improve the support we offer, we’d love to hear it.</w:t>
      </w:r>
    </w:p>
    <w:p w14:paraId="7330047A" w14:textId="77777777" w:rsidR="00354A1C" w:rsidRDefault="00354A1C" w:rsidP="00354A1C">
      <w:pPr>
        <w:pStyle w:val="BodyNum"/>
        <w:numPr>
          <w:ilvl w:val="0"/>
          <w:numId w:val="0"/>
        </w:numPr>
      </w:pPr>
      <w:r>
        <w:t>OPC’s mission is to provide clear, effective and accessible Commonwealth law for all Australians and we look forward to working with you to achieve our goal.</w:t>
      </w:r>
    </w:p>
    <w:p w14:paraId="1428AFB6" w14:textId="77777777" w:rsidR="00354A1C" w:rsidRDefault="00354A1C" w:rsidP="00354A1C">
      <w:pPr>
        <w:pStyle w:val="Body"/>
      </w:pPr>
      <w:r>
        <w:t>Yours sincerely</w:t>
      </w:r>
    </w:p>
    <w:p w14:paraId="77E9A877" w14:textId="77777777" w:rsidR="00354A1C" w:rsidRDefault="00354A1C" w:rsidP="00354A1C">
      <w:pPr>
        <w:pStyle w:val="Body"/>
      </w:pPr>
      <w:r>
        <w:rPr>
          <w:noProof/>
        </w:rPr>
        <mc:AlternateContent>
          <mc:Choice Requires="wpi">
            <w:drawing>
              <wp:anchor distT="0" distB="0" distL="114300" distR="114300" simplePos="0" relativeHeight="251659264" behindDoc="0" locked="0" layoutInCell="1" allowOverlap="1" wp14:anchorId="46549766" wp14:editId="21497C8B">
                <wp:simplePos x="0" y="0"/>
                <wp:positionH relativeFrom="column">
                  <wp:posOffset>-13648</wp:posOffset>
                </wp:positionH>
                <wp:positionV relativeFrom="paragraph">
                  <wp:posOffset>92132</wp:posOffset>
                </wp:positionV>
                <wp:extent cx="809554" cy="447485"/>
                <wp:effectExtent l="57150" t="38100" r="10160" b="48260"/>
                <wp:wrapNone/>
                <wp:docPr id="9" name="Ink 9" descr="Signature of Meredith Leigh, First Parliamentary Counsel"/>
                <wp:cNvGraphicFramePr/>
                <a:graphic xmlns:a="http://schemas.openxmlformats.org/drawingml/2006/main">
                  <a:graphicData uri="http://schemas.microsoft.com/office/word/2010/wordprocessingInk">
                    <w14:contentPart bwMode="auto" r:id="rId9">
                      <w14:nvContentPartPr>
                        <w14:cNvContentPartPr/>
                      </w14:nvContentPartPr>
                      <w14:xfrm>
                        <a:off x="0" y="0"/>
                        <a:ext cx="809554" cy="447485"/>
                      </w14:xfrm>
                    </w14:contentPart>
                  </a:graphicData>
                </a:graphic>
              </wp:anchor>
            </w:drawing>
          </mc:Choice>
          <mc:Fallback>
            <w:pict>
              <v:shapetype w14:anchorId="58DBB7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alt="Signature of Meredith Leigh, First Parliamentary Counsel" style="position:absolute;margin-left:-1.75pt;margin-top:6.55pt;width:65.2pt;height:36.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">
                <v:imagedata r:id="rId10" o:title="Signature of Meredith Leigh, First Parliamentary Counsel"/>
              </v:shape>
            </w:pict>
          </mc:Fallback>
        </mc:AlternateContent>
      </w:r>
    </w:p>
    <w:p w14:paraId="59F0C4C8" w14:textId="77777777" w:rsidR="00354A1C" w:rsidRDefault="00354A1C" w:rsidP="00354A1C">
      <w:pPr>
        <w:pStyle w:val="Body"/>
      </w:pPr>
    </w:p>
    <w:p w14:paraId="04BA07B3" w14:textId="77777777" w:rsidR="00354A1C" w:rsidRDefault="00354A1C" w:rsidP="00354A1C">
      <w:pPr>
        <w:pStyle w:val="Blocks"/>
      </w:pPr>
      <w:r>
        <w:t>Meredith Leigh</w:t>
      </w:r>
    </w:p>
    <w:p w14:paraId="6FC605BD" w14:textId="77777777" w:rsidR="00354A1C" w:rsidRDefault="00354A1C" w:rsidP="00354A1C">
      <w:pPr>
        <w:pStyle w:val="Blocks"/>
      </w:pPr>
      <w:r>
        <w:t>First Parliamentary Counsel</w:t>
      </w:r>
    </w:p>
    <w:p w14:paraId="1AD707D8" w14:textId="77777777" w:rsidR="00354A1C" w:rsidRDefault="00354A1C" w:rsidP="00354A1C">
      <w:pPr>
        <w:pStyle w:val="Blocks"/>
      </w:pPr>
      <w:r>
        <w:t>7 November 2024</w:t>
      </w:r>
    </w:p>
    <w:p w14:paraId="008B1A69" w14:textId="77777777" w:rsidR="00354A1C" w:rsidRDefault="00354A1C">
      <w:pPr>
        <w:spacing w:line="240" w:lineRule="auto"/>
        <w:rPr>
          <w:rFonts w:ascii="Arial" w:eastAsia="Times New Roman" w:hAnsi="Arial" w:cs="Times New Roman"/>
          <w:b/>
          <w:kern w:val="28"/>
          <w:sz w:val="28"/>
          <w:lang w:eastAsia="en-AU"/>
        </w:rPr>
      </w:pPr>
      <w:r>
        <w:br w:type="page"/>
      </w:r>
    </w:p>
    <w:p w14:paraId="3DDDBB87" w14:textId="76FA6F41" w:rsidR="00090F15" w:rsidRPr="00FD274F" w:rsidRDefault="00090F15" w:rsidP="00090F15">
      <w:pPr>
        <w:pStyle w:val="Head2"/>
        <w:pageBreakBefore/>
      </w:pPr>
      <w:bookmarkStart w:id="1" w:name="_Toc223687705"/>
      <w:r w:rsidRPr="00FD274F">
        <w:lastRenderedPageBreak/>
        <w:t>About this Handbook</w:t>
      </w:r>
      <w:bookmarkEnd w:id="1"/>
    </w:p>
    <w:p w14:paraId="7E7005D4" w14:textId="3B45E7A9" w:rsidR="00090F15" w:rsidRPr="00FD274F" w:rsidRDefault="00090F15" w:rsidP="00090F15">
      <w:pPr>
        <w:pStyle w:val="Body"/>
      </w:pPr>
      <w:r w:rsidRPr="00FD274F">
        <w:t>The purpose of this Handbook is to provide information to help Commonwealth rule</w:t>
      </w:r>
      <w:r>
        <w:noBreakHyphen/>
      </w:r>
      <w:r w:rsidRPr="00FD274F">
        <w:t xml:space="preserve">makers and agencies make and manage legislative and notifiable instruments efficiently, effectively and in accordance with the relevant law. It should be read in conjunction with the following documents, as available on the </w:t>
      </w:r>
      <w:r w:rsidR="00245A99">
        <w:t>Federal Register of Legislation</w:t>
      </w:r>
      <w:r w:rsidRPr="00752D2B">
        <w:t xml:space="preserve"> </w:t>
      </w:r>
      <w:r w:rsidR="00EB4855">
        <w:t>(</w:t>
      </w:r>
      <w:hyperlink r:id="rId11" w:history="1">
        <w:r w:rsidRPr="00752D2B">
          <w:rPr>
            <w:rStyle w:val="Hyperlink"/>
          </w:rPr>
          <w:t>https://www.legislation.gov.au</w:t>
        </w:r>
      </w:hyperlink>
      <w:r w:rsidR="00EB4855">
        <w:rPr>
          <w:rStyle w:val="Hyperlink"/>
        </w:rPr>
        <w:t>)</w:t>
      </w:r>
      <w:r w:rsidRPr="00FD274F">
        <w:t>:</w:t>
      </w:r>
    </w:p>
    <w:p w14:paraId="2A9C836A" w14:textId="22209B2F" w:rsidR="00090F15" w:rsidRPr="00FD274F" w:rsidRDefault="00090F15" w:rsidP="00090F15">
      <w:pPr>
        <w:pStyle w:val="BodyPara"/>
      </w:pPr>
      <w:bookmarkStart w:id="2" w:name="_Ref184283412"/>
      <w:r w:rsidRPr="00FD274F">
        <w:t xml:space="preserve">the </w:t>
      </w:r>
      <w:hyperlink r:id="rId12" w:history="1">
        <w:r w:rsidRPr="00752D2B">
          <w:rPr>
            <w:rStyle w:val="Hyperlink"/>
            <w:i/>
          </w:rPr>
          <w:t>Legislation Act 2003</w:t>
        </w:r>
        <w:r w:rsidRPr="00752D2B">
          <w:rPr>
            <w:rStyle w:val="Hyperlink"/>
          </w:rPr>
          <w:t xml:space="preserve"> (the LA)</w:t>
        </w:r>
      </w:hyperlink>
      <w:r w:rsidR="00E0263E">
        <w:rPr>
          <w:rStyle w:val="Hyperlink"/>
        </w:rPr>
        <w:t>;</w:t>
      </w:r>
      <w:bookmarkEnd w:id="2"/>
    </w:p>
    <w:p w14:paraId="516A347A" w14:textId="08B94E09" w:rsidR="00090F15" w:rsidRPr="00FD274F" w:rsidRDefault="00090F15" w:rsidP="00090F15">
      <w:pPr>
        <w:pStyle w:val="BodyPara"/>
      </w:pPr>
      <w:r w:rsidRPr="00FD274F">
        <w:t>th</w:t>
      </w:r>
      <w:r w:rsidRPr="00752D2B">
        <w:t xml:space="preserve">e </w:t>
      </w:r>
      <w:hyperlink r:id="rId13" w:history="1">
        <w:r w:rsidRPr="00752D2B">
          <w:rPr>
            <w:rStyle w:val="Hyperlink"/>
            <w:i/>
          </w:rPr>
          <w:t>Legislation (Exemptions and Other Matters) Regulation 2015 (LEOMR)</w:t>
        </w:r>
      </w:hyperlink>
      <w:r w:rsidR="00E0263E">
        <w:rPr>
          <w:rStyle w:val="Hyperlink"/>
        </w:rPr>
        <w:t>;</w:t>
      </w:r>
    </w:p>
    <w:p w14:paraId="726C0449" w14:textId="60BDF86F" w:rsidR="00090F15" w:rsidRPr="00FD274F" w:rsidRDefault="00090F15" w:rsidP="00090F15">
      <w:pPr>
        <w:pStyle w:val="BodyPara"/>
      </w:pPr>
      <w:r w:rsidRPr="00FD274F">
        <w:t>the</w:t>
      </w:r>
      <w:r w:rsidR="00D94C5B">
        <w:t xml:space="preserve"> </w:t>
      </w:r>
      <w:hyperlink r:id="rId14" w:history="1">
        <w:r w:rsidR="00D94C5B" w:rsidRPr="00B004D8">
          <w:rPr>
            <w:rStyle w:val="Hyperlink"/>
            <w:i/>
            <w:iCs/>
          </w:rPr>
          <w:t>Legis</w:t>
        </w:r>
        <w:r w:rsidR="00413253" w:rsidRPr="00B004D8">
          <w:rPr>
            <w:rStyle w:val="Hyperlink"/>
            <w:i/>
            <w:iCs/>
          </w:rPr>
          <w:t>lation Rules 2026</w:t>
        </w:r>
        <w:r w:rsidR="00705A89" w:rsidRPr="006C150C">
          <w:rPr>
            <w:rStyle w:val="Hyperlink"/>
            <w:i/>
            <w:iCs/>
          </w:rPr>
          <w:t xml:space="preserve"> </w:t>
        </w:r>
        <w:r w:rsidR="00705A89" w:rsidRPr="006C150C">
          <w:rPr>
            <w:rStyle w:val="Hyperlink"/>
          </w:rPr>
          <w:t>(the LR)</w:t>
        </w:r>
      </w:hyperlink>
      <w:r w:rsidR="0016713B" w:rsidRPr="00625FF9">
        <w:rPr>
          <w:rStyle w:val="Hyperlink"/>
        </w:rPr>
        <w:t>;</w:t>
      </w:r>
    </w:p>
    <w:p w14:paraId="34ED47CD" w14:textId="156D7E88" w:rsidR="00090F15" w:rsidRPr="00433C0A" w:rsidRDefault="00090F15" w:rsidP="00090F15">
      <w:pPr>
        <w:pStyle w:val="BodyPara"/>
        <w:rPr>
          <w:rStyle w:val="Hyperlink"/>
          <w:color w:val="auto"/>
        </w:rPr>
      </w:pPr>
      <w:r w:rsidRPr="00433C0A">
        <w:t xml:space="preserve">the </w:t>
      </w:r>
      <w:hyperlink r:id="rId15" w:history="1">
        <w:r w:rsidR="000B6DDA" w:rsidRPr="00757790">
          <w:rPr>
            <w:rStyle w:val="Hyperlink"/>
            <w:i/>
          </w:rPr>
          <w:t>Legal Services Directions 2025</w:t>
        </w:r>
      </w:hyperlink>
      <w:r w:rsidRPr="00752D2B">
        <w:rPr>
          <w:rStyle w:val="Hyperlink"/>
          <w:color w:val="auto"/>
        </w:rPr>
        <w:t>.</w:t>
      </w:r>
    </w:p>
    <w:p w14:paraId="0DE850E1" w14:textId="0C8A465C" w:rsidR="00090F15" w:rsidRPr="00FD274F" w:rsidRDefault="00090F15" w:rsidP="00090F15">
      <w:pPr>
        <w:pStyle w:val="Body"/>
      </w:pPr>
      <w:r w:rsidRPr="00FD274F">
        <w:t xml:space="preserve">Questions and comments about the current Handbook </w:t>
      </w:r>
      <w:r>
        <w:t xml:space="preserve">are welcome at any time and </w:t>
      </w:r>
      <w:r w:rsidRPr="00FD274F">
        <w:t xml:space="preserve">should be emailed to </w:t>
      </w:r>
      <w:hyperlink r:id="rId16" w:history="1">
        <w:r w:rsidRPr="00E8267D">
          <w:rPr>
            <w:rStyle w:val="Hyperlink"/>
            <w:rFonts w:eastAsiaTheme="minorHAnsi"/>
            <w:szCs w:val="24"/>
            <w:lang w:eastAsia="en-US"/>
          </w:rPr>
          <w:t>lodge@legislation.gov.au</w:t>
        </w:r>
      </w:hyperlink>
      <w:r w:rsidRPr="00E8267D">
        <w:rPr>
          <w:rFonts w:eastAsiaTheme="minorHAnsi"/>
          <w:color w:val="1F497D"/>
          <w:szCs w:val="24"/>
          <w:lang w:eastAsia="en-US"/>
        </w:rPr>
        <w:t>.</w:t>
      </w:r>
    </w:p>
    <w:p w14:paraId="24736D34" w14:textId="77777777" w:rsidR="00090F15" w:rsidRPr="00FD274F" w:rsidRDefault="00090F15" w:rsidP="00090F15">
      <w:pPr>
        <w:pStyle w:val="Head2"/>
      </w:pPr>
      <w:bookmarkStart w:id="3" w:name="_Toc223687706"/>
      <w:r w:rsidRPr="00FD274F">
        <w:t>Abbreviation key</w:t>
      </w:r>
      <w:bookmarkEnd w:id="3"/>
    </w:p>
    <w:p w14:paraId="7B3136D5" w14:textId="77777777" w:rsidR="00090F15" w:rsidRPr="00FD274F" w:rsidRDefault="00090F15" w:rsidP="00090F1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413"/>
        <w:gridCol w:w="7513"/>
      </w:tblGrid>
      <w:tr w:rsidR="00090F15" w:rsidRPr="00FD274F" w14:paraId="2C177557" w14:textId="77777777" w:rsidTr="00625FF9">
        <w:trPr>
          <w:tblHeader/>
        </w:trPr>
        <w:tc>
          <w:tcPr>
            <w:tcW w:w="1413" w:type="dxa"/>
            <w:tcBorders>
              <w:top w:val="single" w:sz="12" w:space="0" w:color="auto"/>
              <w:bottom w:val="single" w:sz="12" w:space="0" w:color="auto"/>
            </w:tcBorders>
          </w:tcPr>
          <w:p w14:paraId="2A118C81" w14:textId="77777777" w:rsidR="00090F15" w:rsidRPr="009A4D26" w:rsidRDefault="00090F15" w:rsidP="000C68CB">
            <w:pPr>
              <w:pStyle w:val="TableHeading"/>
            </w:pPr>
            <w:r w:rsidRPr="009A4D26">
              <w:t>Abbreviation</w:t>
            </w:r>
          </w:p>
        </w:tc>
        <w:tc>
          <w:tcPr>
            <w:tcW w:w="7513" w:type="dxa"/>
            <w:tcBorders>
              <w:top w:val="single" w:sz="12" w:space="0" w:color="auto"/>
              <w:bottom w:val="single" w:sz="12" w:space="0" w:color="auto"/>
            </w:tcBorders>
          </w:tcPr>
          <w:p w14:paraId="7E4805E7" w14:textId="77777777" w:rsidR="00090F15" w:rsidRPr="009A4D26" w:rsidRDefault="00090F15" w:rsidP="000C68CB">
            <w:pPr>
              <w:pStyle w:val="TableHeading"/>
            </w:pPr>
            <w:r w:rsidRPr="009A4D26">
              <w:t xml:space="preserve">Meaning </w:t>
            </w:r>
          </w:p>
        </w:tc>
      </w:tr>
      <w:tr w:rsidR="00090F15" w:rsidRPr="00FD274F" w14:paraId="7A4A73D0" w14:textId="77777777" w:rsidTr="00625FF9">
        <w:tc>
          <w:tcPr>
            <w:tcW w:w="1413" w:type="dxa"/>
            <w:tcBorders>
              <w:top w:val="single" w:sz="12" w:space="0" w:color="auto"/>
            </w:tcBorders>
          </w:tcPr>
          <w:p w14:paraId="1AFD5F5A" w14:textId="1368BAFB" w:rsidR="00090F15" w:rsidRPr="009A4D26" w:rsidRDefault="00090F15" w:rsidP="000C68CB">
            <w:pPr>
              <w:pStyle w:val="Tabletext"/>
            </w:pPr>
            <w:r w:rsidRPr="009A4D26">
              <w:t>AGD</w:t>
            </w:r>
          </w:p>
        </w:tc>
        <w:tc>
          <w:tcPr>
            <w:tcW w:w="7513" w:type="dxa"/>
            <w:tcBorders>
              <w:top w:val="single" w:sz="12" w:space="0" w:color="auto"/>
            </w:tcBorders>
          </w:tcPr>
          <w:p w14:paraId="053FC3E2" w14:textId="77777777" w:rsidR="00090F15" w:rsidRPr="009A4D26" w:rsidRDefault="00090F15" w:rsidP="000C68CB">
            <w:pPr>
              <w:pStyle w:val="Tabletext"/>
            </w:pPr>
            <w:r w:rsidRPr="009A4D26">
              <w:t>Attorney</w:t>
            </w:r>
            <w:r w:rsidRPr="009A4D26">
              <w:noBreakHyphen/>
              <w:t>General’s Department</w:t>
            </w:r>
          </w:p>
        </w:tc>
      </w:tr>
      <w:tr w:rsidR="00BD2AC1" w:rsidRPr="00FD274F" w14:paraId="678D2D65" w14:textId="77777777" w:rsidTr="00625FF9">
        <w:tc>
          <w:tcPr>
            <w:tcW w:w="1413" w:type="dxa"/>
          </w:tcPr>
          <w:p w14:paraId="68859B62" w14:textId="5C712CE7" w:rsidR="00BD2AC1" w:rsidRPr="009A4D26" w:rsidRDefault="00BD2AC1" w:rsidP="00C1051A">
            <w:pPr>
              <w:pStyle w:val="Tabletext"/>
            </w:pPr>
            <w:r>
              <w:t>AGS</w:t>
            </w:r>
          </w:p>
        </w:tc>
        <w:tc>
          <w:tcPr>
            <w:tcW w:w="7513" w:type="dxa"/>
          </w:tcPr>
          <w:p w14:paraId="68A6F18A" w14:textId="1D507FF3" w:rsidR="00BD2AC1" w:rsidRPr="009A4D26" w:rsidRDefault="00BD2AC1" w:rsidP="00C1051A">
            <w:pPr>
              <w:pStyle w:val="Tabletext"/>
            </w:pPr>
            <w:r>
              <w:t>Australian Government Solicitor</w:t>
            </w:r>
          </w:p>
        </w:tc>
      </w:tr>
      <w:tr w:rsidR="00C1051A" w:rsidRPr="00FD274F" w14:paraId="5376BC72" w14:textId="77777777" w:rsidTr="00625FF9">
        <w:tc>
          <w:tcPr>
            <w:tcW w:w="1413" w:type="dxa"/>
          </w:tcPr>
          <w:p w14:paraId="4EAAE58E" w14:textId="359C0A8E" w:rsidR="00C1051A" w:rsidRPr="009A4D26" w:rsidRDefault="00C1051A" w:rsidP="00C1051A">
            <w:pPr>
              <w:pStyle w:val="Tabletext"/>
            </w:pPr>
            <w:proofErr w:type="spellStart"/>
            <w:r w:rsidRPr="009A4D26">
              <w:t>ExCo</w:t>
            </w:r>
            <w:proofErr w:type="spellEnd"/>
          </w:p>
        </w:tc>
        <w:tc>
          <w:tcPr>
            <w:tcW w:w="7513" w:type="dxa"/>
          </w:tcPr>
          <w:p w14:paraId="0D355E7E" w14:textId="3E4DC72C" w:rsidR="00C1051A" w:rsidRPr="009A4D26" w:rsidRDefault="00C1051A" w:rsidP="00C1051A">
            <w:pPr>
              <w:pStyle w:val="Tabletext"/>
            </w:pPr>
            <w:r w:rsidRPr="009A4D26">
              <w:t>Federal Executive Council</w:t>
            </w:r>
          </w:p>
        </w:tc>
      </w:tr>
      <w:tr w:rsidR="00C1051A" w:rsidRPr="00FD274F" w14:paraId="751EF5BC" w14:textId="77777777" w:rsidTr="00625FF9">
        <w:tc>
          <w:tcPr>
            <w:tcW w:w="1413" w:type="dxa"/>
          </w:tcPr>
          <w:p w14:paraId="05E56CE1" w14:textId="5BBA6FEB" w:rsidR="00C1051A" w:rsidRPr="009A4D26" w:rsidRDefault="00C1051A" w:rsidP="00C1051A">
            <w:pPr>
              <w:pStyle w:val="Tabletext"/>
            </w:pPr>
            <w:r w:rsidRPr="009A4D26">
              <w:t>LA</w:t>
            </w:r>
          </w:p>
        </w:tc>
        <w:tc>
          <w:tcPr>
            <w:tcW w:w="7513" w:type="dxa"/>
          </w:tcPr>
          <w:p w14:paraId="4D8EAA10" w14:textId="0BB17D01" w:rsidR="00C1051A" w:rsidRPr="009A4D26" w:rsidRDefault="00C1051A" w:rsidP="00C1051A">
            <w:pPr>
              <w:pStyle w:val="Tabletext"/>
            </w:pPr>
            <w:r w:rsidRPr="009A4D26">
              <w:t xml:space="preserve">the </w:t>
            </w:r>
            <w:hyperlink r:id="rId17" w:history="1">
              <w:r w:rsidRPr="009A4D26">
                <w:rPr>
                  <w:rStyle w:val="Hyperlink"/>
                  <w:i/>
                </w:rPr>
                <w:t>Legislation Act 2003</w:t>
              </w:r>
            </w:hyperlink>
            <w:r w:rsidRPr="009A4D26">
              <w:rPr>
                <w:rStyle w:val="Hyperlink"/>
                <w:color w:val="000000" w:themeColor="text1"/>
              </w:rPr>
              <w:t xml:space="preserve">, </w:t>
            </w:r>
            <w:r w:rsidRPr="009A4D26">
              <w:rPr>
                <w:rStyle w:val="Hyperlink"/>
                <w:color w:val="000000" w:themeColor="text1"/>
                <w:spacing w:val="-2"/>
              </w:rPr>
              <w:t xml:space="preserve">previously known as the </w:t>
            </w:r>
            <w:r w:rsidRPr="009A4D26">
              <w:rPr>
                <w:rStyle w:val="Hyperlink"/>
                <w:i/>
                <w:color w:val="000000" w:themeColor="text1"/>
                <w:spacing w:val="-2"/>
              </w:rPr>
              <w:t>Legislative Instruments Act 2003</w:t>
            </w:r>
          </w:p>
        </w:tc>
      </w:tr>
      <w:tr w:rsidR="00C1051A" w:rsidRPr="00FD274F" w14:paraId="7D54CB7D" w14:textId="77777777" w:rsidTr="00625FF9">
        <w:tc>
          <w:tcPr>
            <w:tcW w:w="1413" w:type="dxa"/>
          </w:tcPr>
          <w:p w14:paraId="3FC629E7" w14:textId="77777777" w:rsidR="00C1051A" w:rsidRPr="009A4D26" w:rsidRDefault="00C1051A" w:rsidP="00C1051A">
            <w:pPr>
              <w:pStyle w:val="Tabletext"/>
            </w:pPr>
            <w:r>
              <w:t>LIA</w:t>
            </w:r>
          </w:p>
        </w:tc>
        <w:tc>
          <w:tcPr>
            <w:tcW w:w="7513" w:type="dxa"/>
          </w:tcPr>
          <w:p w14:paraId="30425F75" w14:textId="77777777" w:rsidR="00C1051A" w:rsidRPr="009A4D26" w:rsidRDefault="00C1051A" w:rsidP="00C1051A">
            <w:pPr>
              <w:pStyle w:val="Tabletext"/>
            </w:pPr>
            <w:r>
              <w:t xml:space="preserve">the </w:t>
            </w:r>
            <w:r w:rsidRPr="00FD6A45">
              <w:rPr>
                <w:i/>
              </w:rPr>
              <w:t>Legislative Instruments Act 2003</w:t>
            </w:r>
          </w:p>
        </w:tc>
      </w:tr>
      <w:tr w:rsidR="00C1051A" w:rsidRPr="00FD274F" w14:paraId="51B5403C" w14:textId="77777777" w:rsidTr="00625FF9">
        <w:tc>
          <w:tcPr>
            <w:tcW w:w="1413" w:type="dxa"/>
          </w:tcPr>
          <w:p w14:paraId="390F7F42" w14:textId="1FE0BF36" w:rsidR="00C1051A" w:rsidRPr="009A4D26" w:rsidRDefault="00C1051A" w:rsidP="00C1051A">
            <w:pPr>
              <w:pStyle w:val="Tabletext"/>
            </w:pPr>
            <w:r w:rsidRPr="009A4D26">
              <w:t>LEOMR</w:t>
            </w:r>
          </w:p>
        </w:tc>
        <w:tc>
          <w:tcPr>
            <w:tcW w:w="7513" w:type="dxa"/>
          </w:tcPr>
          <w:p w14:paraId="2291E2C4" w14:textId="52AEF865" w:rsidR="00C1051A" w:rsidRPr="009A4D26" w:rsidRDefault="00C1051A" w:rsidP="00C1051A">
            <w:pPr>
              <w:pStyle w:val="Tabletext"/>
              <w:rPr>
                <w:i/>
              </w:rPr>
            </w:pPr>
            <w:r w:rsidRPr="009A4D26">
              <w:t xml:space="preserve">the </w:t>
            </w:r>
            <w:hyperlink r:id="rId18" w:history="1">
              <w:r w:rsidRPr="009A4D26">
                <w:rPr>
                  <w:rStyle w:val="Hyperlink"/>
                  <w:i/>
                </w:rPr>
                <w:t>Legislation (Exemptions and Other Matters) Regulation 2015</w:t>
              </w:r>
            </w:hyperlink>
          </w:p>
        </w:tc>
      </w:tr>
      <w:tr w:rsidR="00E90214" w:rsidRPr="00FD274F" w14:paraId="6AA21C82" w14:textId="77777777" w:rsidTr="00C91825">
        <w:tc>
          <w:tcPr>
            <w:tcW w:w="1413" w:type="dxa"/>
          </w:tcPr>
          <w:p w14:paraId="2C689BEE" w14:textId="3729DCFD" w:rsidR="00E90214" w:rsidRPr="009A4D26" w:rsidRDefault="00E90214" w:rsidP="00C1051A">
            <w:pPr>
              <w:pStyle w:val="Tabletext"/>
            </w:pPr>
            <w:r>
              <w:t>LR</w:t>
            </w:r>
          </w:p>
        </w:tc>
        <w:tc>
          <w:tcPr>
            <w:tcW w:w="7513" w:type="dxa"/>
          </w:tcPr>
          <w:p w14:paraId="4432C450" w14:textId="3F4013A5" w:rsidR="00E90214" w:rsidRPr="00625FF9" w:rsidRDefault="00E90214" w:rsidP="00C1051A">
            <w:pPr>
              <w:pStyle w:val="Tabletext"/>
              <w:rPr>
                <w:i/>
                <w:iCs/>
              </w:rPr>
            </w:pPr>
            <w:r>
              <w:t xml:space="preserve">the </w:t>
            </w:r>
            <w:hyperlink r:id="rId19" w:history="1">
              <w:r w:rsidRPr="00001937">
                <w:rPr>
                  <w:rStyle w:val="Hyperlink"/>
                  <w:i/>
                  <w:iCs/>
                </w:rPr>
                <w:t>Legislation Rules 2026</w:t>
              </w:r>
            </w:hyperlink>
          </w:p>
        </w:tc>
      </w:tr>
      <w:tr w:rsidR="00C1051A" w:rsidRPr="00FD274F" w14:paraId="51D6CFEB" w14:textId="77777777" w:rsidTr="00705A89">
        <w:tc>
          <w:tcPr>
            <w:tcW w:w="1413" w:type="dxa"/>
          </w:tcPr>
          <w:p w14:paraId="316E1F21" w14:textId="5752AB12" w:rsidR="00C1051A" w:rsidRPr="009A4D26" w:rsidRDefault="00C1051A" w:rsidP="00C1051A">
            <w:pPr>
              <w:pStyle w:val="Tabletext"/>
            </w:pPr>
            <w:proofErr w:type="spellStart"/>
            <w:r>
              <w:t>OIA</w:t>
            </w:r>
            <w:proofErr w:type="spellEnd"/>
          </w:p>
        </w:tc>
        <w:tc>
          <w:tcPr>
            <w:tcW w:w="7513" w:type="dxa"/>
          </w:tcPr>
          <w:p w14:paraId="68AD0CF4" w14:textId="06EBEDB9" w:rsidR="00C1051A" w:rsidRPr="009A4D26" w:rsidRDefault="00C1051A" w:rsidP="00C1051A">
            <w:pPr>
              <w:pStyle w:val="Tabletext"/>
            </w:pPr>
            <w:r w:rsidRPr="009A4D26">
              <w:t xml:space="preserve">Office of </w:t>
            </w:r>
            <w:r>
              <w:t>Impact Analysis</w:t>
            </w:r>
          </w:p>
        </w:tc>
      </w:tr>
      <w:tr w:rsidR="00C1051A" w:rsidRPr="00FD274F" w14:paraId="355FAD8D" w14:textId="77777777" w:rsidTr="00705A89">
        <w:tc>
          <w:tcPr>
            <w:tcW w:w="1413" w:type="dxa"/>
          </w:tcPr>
          <w:p w14:paraId="38F35E10" w14:textId="77777777" w:rsidR="00C1051A" w:rsidRPr="009A4D26" w:rsidRDefault="00C1051A" w:rsidP="00C1051A">
            <w:pPr>
              <w:pStyle w:val="Tabletext"/>
            </w:pPr>
            <w:r w:rsidRPr="009A4D26">
              <w:t>OPC</w:t>
            </w:r>
          </w:p>
        </w:tc>
        <w:tc>
          <w:tcPr>
            <w:tcW w:w="7513" w:type="dxa"/>
          </w:tcPr>
          <w:p w14:paraId="6B6C50AB" w14:textId="77777777" w:rsidR="00C1051A" w:rsidRPr="009A4D26" w:rsidRDefault="00C1051A" w:rsidP="00C1051A">
            <w:pPr>
              <w:pStyle w:val="Tabletext"/>
            </w:pPr>
            <w:r w:rsidRPr="00D90FD0">
              <w:t>Office of Parliamentary Counsel</w:t>
            </w:r>
            <w:r w:rsidRPr="00625FF9">
              <w:rPr>
                <w:rStyle w:val="Hyperlink"/>
                <w:color w:val="auto"/>
              </w:rPr>
              <w:t>,</w:t>
            </w:r>
            <w:r w:rsidRPr="009A4D26">
              <w:t xml:space="preserve"> an independent statutory authority accountable to the Attorney</w:t>
            </w:r>
            <w:r w:rsidRPr="009A4D26">
              <w:noBreakHyphen/>
              <w:t>General</w:t>
            </w:r>
          </w:p>
        </w:tc>
      </w:tr>
      <w:tr w:rsidR="00C1051A" w:rsidRPr="00FD274F" w14:paraId="3DBAC180" w14:textId="77777777" w:rsidTr="00705A89">
        <w:tc>
          <w:tcPr>
            <w:tcW w:w="1413" w:type="dxa"/>
            <w:tcBorders>
              <w:bottom w:val="single" w:sz="4" w:space="0" w:color="auto"/>
            </w:tcBorders>
          </w:tcPr>
          <w:p w14:paraId="3291D6C3" w14:textId="77777777" w:rsidR="00C1051A" w:rsidRPr="009A4D26" w:rsidRDefault="00C1051A" w:rsidP="00C1051A">
            <w:pPr>
              <w:pStyle w:val="Tabletext"/>
            </w:pPr>
            <w:r w:rsidRPr="009A4D26">
              <w:t>Register</w:t>
            </w:r>
          </w:p>
        </w:tc>
        <w:tc>
          <w:tcPr>
            <w:tcW w:w="7513" w:type="dxa"/>
            <w:tcBorders>
              <w:bottom w:val="single" w:sz="4" w:space="0" w:color="auto"/>
            </w:tcBorders>
          </w:tcPr>
          <w:p w14:paraId="1FE8B6D5" w14:textId="77777777" w:rsidR="00C1051A" w:rsidRPr="009A4D26" w:rsidRDefault="00C1051A" w:rsidP="00C1051A">
            <w:pPr>
              <w:pStyle w:val="Tabletext"/>
            </w:pPr>
            <w:r w:rsidRPr="009A4D26">
              <w:t>the Federal Register of Legislation</w:t>
            </w:r>
          </w:p>
        </w:tc>
      </w:tr>
      <w:tr w:rsidR="00C1051A" w:rsidRPr="00FD274F" w14:paraId="66531915" w14:textId="77777777" w:rsidTr="00705A89">
        <w:tc>
          <w:tcPr>
            <w:tcW w:w="1413" w:type="dxa"/>
            <w:tcBorders>
              <w:bottom w:val="single" w:sz="4" w:space="0" w:color="auto"/>
            </w:tcBorders>
          </w:tcPr>
          <w:p w14:paraId="38D5219B" w14:textId="77777777" w:rsidR="00C1051A" w:rsidRPr="009A4D26" w:rsidRDefault="00C1051A" w:rsidP="00C1051A">
            <w:pPr>
              <w:pStyle w:val="Tabletext"/>
            </w:pPr>
            <w:r w:rsidRPr="009A4D26">
              <w:t>s</w:t>
            </w:r>
          </w:p>
        </w:tc>
        <w:tc>
          <w:tcPr>
            <w:tcW w:w="7513" w:type="dxa"/>
            <w:tcBorders>
              <w:bottom w:val="single" w:sz="4" w:space="0" w:color="auto"/>
            </w:tcBorders>
          </w:tcPr>
          <w:p w14:paraId="6376F99E" w14:textId="77777777" w:rsidR="00C1051A" w:rsidRPr="009A4D26" w:rsidRDefault="00C1051A" w:rsidP="00C1051A">
            <w:pPr>
              <w:pStyle w:val="Tabletext"/>
            </w:pPr>
            <w:r w:rsidRPr="009A4D26">
              <w:t>section (or equivalent)</w:t>
            </w:r>
          </w:p>
        </w:tc>
      </w:tr>
      <w:tr w:rsidR="00C1051A" w:rsidRPr="00FD274F" w14:paraId="62E76EDB" w14:textId="77777777" w:rsidTr="00705A89">
        <w:tc>
          <w:tcPr>
            <w:tcW w:w="1413" w:type="dxa"/>
            <w:tcBorders>
              <w:bottom w:val="single" w:sz="12" w:space="0" w:color="auto"/>
            </w:tcBorders>
          </w:tcPr>
          <w:p w14:paraId="1CF6300B" w14:textId="77777777" w:rsidR="00C1051A" w:rsidRPr="00FD274F" w:rsidRDefault="00C1051A" w:rsidP="00C1051A">
            <w:pPr>
              <w:pStyle w:val="Tabletext"/>
            </w:pPr>
            <w:r>
              <w:t>SDLC</w:t>
            </w:r>
          </w:p>
        </w:tc>
        <w:tc>
          <w:tcPr>
            <w:tcW w:w="7513" w:type="dxa"/>
            <w:tcBorders>
              <w:bottom w:val="single" w:sz="12" w:space="0" w:color="auto"/>
            </w:tcBorders>
          </w:tcPr>
          <w:p w14:paraId="2B9DE1AD" w14:textId="77777777" w:rsidR="00C1051A" w:rsidRPr="009A4D26" w:rsidRDefault="00C1051A" w:rsidP="00C1051A">
            <w:pPr>
              <w:pStyle w:val="Tabletext"/>
            </w:pPr>
            <w:r w:rsidRPr="009A4D26">
              <w:t>Senate Standing Committee for the Scrutiny of Delegated Legislation</w:t>
            </w:r>
          </w:p>
        </w:tc>
      </w:tr>
    </w:tbl>
    <w:p w14:paraId="34EAE617" w14:textId="77777777" w:rsidR="00727ED5" w:rsidRPr="00FD274F" w:rsidRDefault="00727ED5" w:rsidP="004855B6">
      <w:pPr>
        <w:pStyle w:val="Head2"/>
        <w:pageBreakBefore/>
        <w:spacing w:before="0" w:after="240"/>
      </w:pPr>
      <w:bookmarkStart w:id="4" w:name="_Toc223687707"/>
      <w:r w:rsidRPr="00FD274F">
        <w:lastRenderedPageBreak/>
        <w:t>Contents</w:t>
      </w:r>
      <w:bookmarkEnd w:id="4"/>
    </w:p>
    <w:p w14:paraId="7C9D5704" w14:textId="534321B8" w:rsidR="002D57B1" w:rsidRDefault="00727ED5">
      <w:pPr>
        <w:pStyle w:val="TOC2"/>
        <w:rPr>
          <w:rFonts w:asciiTheme="minorHAnsi" w:eastAsiaTheme="minorEastAsia" w:hAnsiTheme="minorHAnsi" w:cstheme="minorBidi"/>
          <w:b w:val="0"/>
          <w:noProof/>
          <w:kern w:val="2"/>
          <w:szCs w:val="30"/>
          <w:lang w:eastAsia="zh-CN" w:bidi="th-TH"/>
          <w14:ligatures w14:val="standardContextual"/>
        </w:rPr>
      </w:pPr>
      <w:r w:rsidRPr="00805ED3">
        <w:fldChar w:fldCharType="begin"/>
      </w:r>
      <w:r w:rsidRPr="00FD274F">
        <w:instrText xml:space="preserve"> TOC \o "2-9" </w:instrText>
      </w:r>
      <w:r w:rsidRPr="00805ED3">
        <w:fldChar w:fldCharType="separate"/>
      </w:r>
      <w:r w:rsidR="002D57B1">
        <w:rPr>
          <w:noProof/>
        </w:rPr>
        <w:t>About this Handbook</w:t>
      </w:r>
      <w:r w:rsidR="002D57B1">
        <w:rPr>
          <w:noProof/>
        </w:rPr>
        <w:tab/>
      </w:r>
      <w:r w:rsidR="002D57B1">
        <w:rPr>
          <w:noProof/>
        </w:rPr>
        <w:fldChar w:fldCharType="begin"/>
      </w:r>
      <w:r w:rsidR="002D57B1">
        <w:rPr>
          <w:noProof/>
        </w:rPr>
        <w:instrText xml:space="preserve"> PAGEREF _Toc223687705 \h </w:instrText>
      </w:r>
      <w:r w:rsidR="002D57B1">
        <w:rPr>
          <w:noProof/>
        </w:rPr>
      </w:r>
      <w:r w:rsidR="002D57B1">
        <w:rPr>
          <w:noProof/>
        </w:rPr>
        <w:fldChar w:fldCharType="separate"/>
      </w:r>
      <w:r w:rsidR="008D7264">
        <w:rPr>
          <w:noProof/>
        </w:rPr>
        <w:t>iii</w:t>
      </w:r>
      <w:r w:rsidR="002D57B1">
        <w:rPr>
          <w:noProof/>
        </w:rPr>
        <w:fldChar w:fldCharType="end"/>
      </w:r>
    </w:p>
    <w:p w14:paraId="3B204105" w14:textId="07158E92"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Abbreviation key</w:t>
      </w:r>
      <w:r>
        <w:rPr>
          <w:noProof/>
        </w:rPr>
        <w:tab/>
      </w:r>
      <w:r>
        <w:rPr>
          <w:noProof/>
        </w:rPr>
        <w:fldChar w:fldCharType="begin"/>
      </w:r>
      <w:r>
        <w:rPr>
          <w:noProof/>
        </w:rPr>
        <w:instrText xml:space="preserve"> PAGEREF _Toc223687706 \h </w:instrText>
      </w:r>
      <w:r>
        <w:rPr>
          <w:noProof/>
        </w:rPr>
      </w:r>
      <w:r>
        <w:rPr>
          <w:noProof/>
        </w:rPr>
        <w:fldChar w:fldCharType="separate"/>
      </w:r>
      <w:r w:rsidR="008D7264">
        <w:rPr>
          <w:noProof/>
        </w:rPr>
        <w:t>iii</w:t>
      </w:r>
      <w:r>
        <w:rPr>
          <w:noProof/>
        </w:rPr>
        <w:fldChar w:fldCharType="end"/>
      </w:r>
    </w:p>
    <w:p w14:paraId="5F6B2D5D" w14:textId="021216A8"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Contents</w:t>
      </w:r>
      <w:r>
        <w:rPr>
          <w:noProof/>
        </w:rPr>
        <w:tab/>
      </w:r>
      <w:r w:rsidR="000A3A17">
        <w:rPr>
          <w:noProof/>
        </w:rPr>
        <w:tab/>
      </w:r>
      <w:r>
        <w:rPr>
          <w:noProof/>
        </w:rPr>
        <w:fldChar w:fldCharType="begin"/>
      </w:r>
      <w:r>
        <w:rPr>
          <w:noProof/>
        </w:rPr>
        <w:instrText xml:space="preserve"> PAGEREF _Toc223687707 \h </w:instrText>
      </w:r>
      <w:r>
        <w:rPr>
          <w:noProof/>
        </w:rPr>
      </w:r>
      <w:r>
        <w:rPr>
          <w:noProof/>
        </w:rPr>
        <w:fldChar w:fldCharType="separate"/>
      </w:r>
      <w:r w:rsidR="008D7264">
        <w:rPr>
          <w:noProof/>
        </w:rPr>
        <w:t>iv</w:t>
      </w:r>
      <w:r>
        <w:rPr>
          <w:noProof/>
        </w:rPr>
        <w:fldChar w:fldCharType="end"/>
      </w:r>
    </w:p>
    <w:p w14:paraId="2DB82CBE" w14:textId="7E1AB5CD"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Part 1—Matters relevant to all instruments</w:t>
      </w:r>
      <w:r>
        <w:rPr>
          <w:noProof/>
        </w:rPr>
        <w:tab/>
      </w:r>
      <w:r>
        <w:rPr>
          <w:noProof/>
        </w:rPr>
        <w:fldChar w:fldCharType="begin"/>
      </w:r>
      <w:r>
        <w:rPr>
          <w:noProof/>
        </w:rPr>
        <w:instrText xml:space="preserve"> PAGEREF _Toc223687708 \h </w:instrText>
      </w:r>
      <w:r>
        <w:rPr>
          <w:noProof/>
        </w:rPr>
      </w:r>
      <w:r>
        <w:rPr>
          <w:noProof/>
        </w:rPr>
        <w:fldChar w:fldCharType="separate"/>
      </w:r>
      <w:r w:rsidR="008D7264">
        <w:rPr>
          <w:noProof/>
        </w:rPr>
        <w:t>1</w:t>
      </w:r>
      <w:r>
        <w:rPr>
          <w:noProof/>
        </w:rPr>
        <w:fldChar w:fldCharType="end"/>
      </w:r>
    </w:p>
    <w:p w14:paraId="0D993457" w14:textId="3998BE1F"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Chapter 1—Introduction</w:t>
      </w:r>
      <w:r>
        <w:rPr>
          <w:noProof/>
        </w:rPr>
        <w:tab/>
      </w:r>
      <w:r>
        <w:rPr>
          <w:noProof/>
        </w:rPr>
        <w:fldChar w:fldCharType="begin"/>
      </w:r>
      <w:r>
        <w:rPr>
          <w:noProof/>
        </w:rPr>
        <w:instrText xml:space="preserve"> PAGEREF _Toc223687709 \h </w:instrText>
      </w:r>
      <w:r>
        <w:rPr>
          <w:noProof/>
        </w:rPr>
      </w:r>
      <w:r>
        <w:rPr>
          <w:noProof/>
        </w:rPr>
        <w:fldChar w:fldCharType="separate"/>
      </w:r>
      <w:r w:rsidR="008D7264">
        <w:rPr>
          <w:noProof/>
        </w:rPr>
        <w:t>1</w:t>
      </w:r>
      <w:r>
        <w:rPr>
          <w:noProof/>
        </w:rPr>
        <w:fldChar w:fldCharType="end"/>
      </w:r>
    </w:p>
    <w:p w14:paraId="4979B3BD" w14:textId="4933DFB6"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Background</w:t>
      </w:r>
      <w:r>
        <w:rPr>
          <w:noProof/>
        </w:rPr>
        <w:tab/>
      </w:r>
      <w:r w:rsidR="000A3A17">
        <w:rPr>
          <w:noProof/>
        </w:rPr>
        <w:tab/>
      </w:r>
      <w:r>
        <w:rPr>
          <w:noProof/>
        </w:rPr>
        <w:fldChar w:fldCharType="begin"/>
      </w:r>
      <w:r>
        <w:rPr>
          <w:noProof/>
        </w:rPr>
        <w:instrText xml:space="preserve"> PAGEREF _Toc223687710 \h </w:instrText>
      </w:r>
      <w:r>
        <w:rPr>
          <w:noProof/>
        </w:rPr>
      </w:r>
      <w:r>
        <w:rPr>
          <w:noProof/>
        </w:rPr>
        <w:fldChar w:fldCharType="separate"/>
      </w:r>
      <w:r w:rsidR="008D7264">
        <w:rPr>
          <w:noProof/>
        </w:rPr>
        <w:t>1</w:t>
      </w:r>
      <w:r>
        <w:rPr>
          <w:noProof/>
        </w:rPr>
        <w:fldChar w:fldCharType="end"/>
      </w:r>
    </w:p>
    <w:p w14:paraId="5CF13419" w14:textId="13C4824A"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The Legislative Instruments Act 2003 (the LIA)</w:t>
      </w:r>
      <w:r>
        <w:rPr>
          <w:noProof/>
        </w:rPr>
        <w:tab/>
      </w:r>
      <w:r>
        <w:rPr>
          <w:noProof/>
        </w:rPr>
        <w:fldChar w:fldCharType="begin"/>
      </w:r>
      <w:r>
        <w:rPr>
          <w:noProof/>
        </w:rPr>
        <w:instrText xml:space="preserve"> PAGEREF _Toc223687711 \h </w:instrText>
      </w:r>
      <w:r>
        <w:rPr>
          <w:noProof/>
        </w:rPr>
      </w:r>
      <w:r>
        <w:rPr>
          <w:noProof/>
        </w:rPr>
        <w:fldChar w:fldCharType="separate"/>
      </w:r>
      <w:r w:rsidR="008D7264">
        <w:rPr>
          <w:noProof/>
        </w:rPr>
        <w:t>2</w:t>
      </w:r>
      <w:r>
        <w:rPr>
          <w:noProof/>
        </w:rPr>
        <w:fldChar w:fldCharType="end"/>
      </w:r>
    </w:p>
    <w:p w14:paraId="2C688624" w14:textId="15D342FF"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The Legislation Act 2003 (the LA)</w:t>
      </w:r>
      <w:r>
        <w:rPr>
          <w:noProof/>
        </w:rPr>
        <w:tab/>
      </w:r>
      <w:r>
        <w:rPr>
          <w:noProof/>
        </w:rPr>
        <w:fldChar w:fldCharType="begin"/>
      </w:r>
      <w:r>
        <w:rPr>
          <w:noProof/>
        </w:rPr>
        <w:instrText xml:space="preserve"> PAGEREF _Toc223687712 \h </w:instrText>
      </w:r>
      <w:r>
        <w:rPr>
          <w:noProof/>
        </w:rPr>
      </w:r>
      <w:r>
        <w:rPr>
          <w:noProof/>
        </w:rPr>
        <w:fldChar w:fldCharType="separate"/>
      </w:r>
      <w:r w:rsidR="008D7264">
        <w:rPr>
          <w:noProof/>
        </w:rPr>
        <w:t>2</w:t>
      </w:r>
      <w:r>
        <w:rPr>
          <w:noProof/>
        </w:rPr>
        <w:fldChar w:fldCharType="end"/>
      </w:r>
    </w:p>
    <w:p w14:paraId="40EECB80" w14:textId="65F5E669"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Sunsetting Review</w:t>
      </w:r>
      <w:r>
        <w:rPr>
          <w:noProof/>
        </w:rPr>
        <w:tab/>
      </w:r>
      <w:r>
        <w:rPr>
          <w:noProof/>
        </w:rPr>
        <w:fldChar w:fldCharType="begin"/>
      </w:r>
      <w:r>
        <w:rPr>
          <w:noProof/>
        </w:rPr>
        <w:instrText xml:space="preserve"> PAGEREF _Toc223687713 \h </w:instrText>
      </w:r>
      <w:r>
        <w:rPr>
          <w:noProof/>
        </w:rPr>
      </w:r>
      <w:r>
        <w:rPr>
          <w:noProof/>
        </w:rPr>
        <w:fldChar w:fldCharType="separate"/>
      </w:r>
      <w:r w:rsidR="008D7264">
        <w:rPr>
          <w:noProof/>
        </w:rPr>
        <w:t>2</w:t>
      </w:r>
      <w:r>
        <w:rPr>
          <w:noProof/>
        </w:rPr>
        <w:fldChar w:fldCharType="end"/>
      </w:r>
    </w:p>
    <w:p w14:paraId="2401BEB9" w14:textId="66D9FD79"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Further statutory reviews</w:t>
      </w:r>
      <w:r>
        <w:rPr>
          <w:noProof/>
        </w:rPr>
        <w:tab/>
      </w:r>
      <w:r>
        <w:rPr>
          <w:noProof/>
        </w:rPr>
        <w:fldChar w:fldCharType="begin"/>
      </w:r>
      <w:r>
        <w:rPr>
          <w:noProof/>
        </w:rPr>
        <w:instrText xml:space="preserve"> PAGEREF _Toc223687714 \h </w:instrText>
      </w:r>
      <w:r>
        <w:rPr>
          <w:noProof/>
        </w:rPr>
      </w:r>
      <w:r>
        <w:rPr>
          <w:noProof/>
        </w:rPr>
        <w:fldChar w:fldCharType="separate"/>
      </w:r>
      <w:r w:rsidR="008D7264">
        <w:rPr>
          <w:noProof/>
        </w:rPr>
        <w:t>3</w:t>
      </w:r>
      <w:r>
        <w:rPr>
          <w:noProof/>
        </w:rPr>
        <w:fldChar w:fldCharType="end"/>
      </w:r>
    </w:p>
    <w:p w14:paraId="71FE9526" w14:textId="06E386A4"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Chapter 2—Key concepts</w:t>
      </w:r>
      <w:r>
        <w:rPr>
          <w:noProof/>
        </w:rPr>
        <w:tab/>
      </w:r>
      <w:r>
        <w:rPr>
          <w:noProof/>
        </w:rPr>
        <w:fldChar w:fldCharType="begin"/>
      </w:r>
      <w:r>
        <w:rPr>
          <w:noProof/>
        </w:rPr>
        <w:instrText xml:space="preserve"> PAGEREF _Toc223687715 \h </w:instrText>
      </w:r>
      <w:r>
        <w:rPr>
          <w:noProof/>
        </w:rPr>
      </w:r>
      <w:r>
        <w:rPr>
          <w:noProof/>
        </w:rPr>
        <w:fldChar w:fldCharType="separate"/>
      </w:r>
      <w:r w:rsidR="008D7264">
        <w:rPr>
          <w:noProof/>
        </w:rPr>
        <w:t>4</w:t>
      </w:r>
      <w:r>
        <w:rPr>
          <w:noProof/>
        </w:rPr>
        <w:fldChar w:fldCharType="end"/>
      </w:r>
    </w:p>
    <w:p w14:paraId="4EACB9C1" w14:textId="5DAD20A2"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Who is a rule</w:t>
      </w:r>
      <w:r>
        <w:rPr>
          <w:noProof/>
        </w:rPr>
        <w:noBreakHyphen/>
        <w:t>maker?</w:t>
      </w:r>
      <w:r>
        <w:rPr>
          <w:noProof/>
        </w:rPr>
        <w:tab/>
      </w:r>
      <w:r>
        <w:rPr>
          <w:noProof/>
        </w:rPr>
        <w:fldChar w:fldCharType="begin"/>
      </w:r>
      <w:r>
        <w:rPr>
          <w:noProof/>
        </w:rPr>
        <w:instrText xml:space="preserve"> PAGEREF _Toc223687716 \h </w:instrText>
      </w:r>
      <w:r>
        <w:rPr>
          <w:noProof/>
        </w:rPr>
      </w:r>
      <w:r>
        <w:rPr>
          <w:noProof/>
        </w:rPr>
        <w:fldChar w:fldCharType="separate"/>
      </w:r>
      <w:r w:rsidR="008D7264">
        <w:rPr>
          <w:noProof/>
        </w:rPr>
        <w:t>4</w:t>
      </w:r>
      <w:r>
        <w:rPr>
          <w:noProof/>
        </w:rPr>
        <w:fldChar w:fldCharType="end"/>
      </w:r>
    </w:p>
    <w:p w14:paraId="535F1121" w14:textId="3C41E650"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What is an instrument?</w:t>
      </w:r>
      <w:r>
        <w:rPr>
          <w:noProof/>
        </w:rPr>
        <w:tab/>
      </w:r>
      <w:r>
        <w:rPr>
          <w:noProof/>
        </w:rPr>
        <w:fldChar w:fldCharType="begin"/>
      </w:r>
      <w:r>
        <w:rPr>
          <w:noProof/>
        </w:rPr>
        <w:instrText xml:space="preserve"> PAGEREF _Toc223687717 \h </w:instrText>
      </w:r>
      <w:r>
        <w:rPr>
          <w:noProof/>
        </w:rPr>
      </w:r>
      <w:r>
        <w:rPr>
          <w:noProof/>
        </w:rPr>
        <w:fldChar w:fldCharType="separate"/>
      </w:r>
      <w:r w:rsidR="008D7264">
        <w:rPr>
          <w:noProof/>
        </w:rPr>
        <w:t>5</w:t>
      </w:r>
      <w:r>
        <w:rPr>
          <w:noProof/>
        </w:rPr>
        <w:fldChar w:fldCharType="end"/>
      </w:r>
    </w:p>
    <w:p w14:paraId="01210E09" w14:textId="320394EC"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Instruments that commence, amend or repeal registered laws</w:t>
      </w:r>
      <w:r>
        <w:rPr>
          <w:noProof/>
        </w:rPr>
        <w:tab/>
      </w:r>
      <w:r>
        <w:rPr>
          <w:noProof/>
        </w:rPr>
        <w:fldChar w:fldCharType="begin"/>
      </w:r>
      <w:r>
        <w:rPr>
          <w:noProof/>
        </w:rPr>
        <w:instrText xml:space="preserve"> PAGEREF _Toc223687718 \h </w:instrText>
      </w:r>
      <w:r>
        <w:rPr>
          <w:noProof/>
        </w:rPr>
      </w:r>
      <w:r>
        <w:rPr>
          <w:noProof/>
        </w:rPr>
        <w:fldChar w:fldCharType="separate"/>
      </w:r>
      <w:r w:rsidR="008D7264">
        <w:rPr>
          <w:noProof/>
        </w:rPr>
        <w:t>5</w:t>
      </w:r>
      <w:r>
        <w:rPr>
          <w:noProof/>
        </w:rPr>
        <w:fldChar w:fldCharType="end"/>
      </w:r>
    </w:p>
    <w:p w14:paraId="6C242A16" w14:textId="7557B0F0"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Instruments declared to be legislative instruments</w:t>
      </w:r>
      <w:r>
        <w:rPr>
          <w:noProof/>
        </w:rPr>
        <w:tab/>
      </w:r>
      <w:r>
        <w:rPr>
          <w:noProof/>
        </w:rPr>
        <w:fldChar w:fldCharType="begin"/>
      </w:r>
      <w:r>
        <w:rPr>
          <w:noProof/>
        </w:rPr>
        <w:instrText xml:space="preserve"> PAGEREF _Toc223687719 \h </w:instrText>
      </w:r>
      <w:r>
        <w:rPr>
          <w:noProof/>
        </w:rPr>
      </w:r>
      <w:r>
        <w:rPr>
          <w:noProof/>
        </w:rPr>
        <w:fldChar w:fldCharType="separate"/>
      </w:r>
      <w:r w:rsidR="008D7264">
        <w:rPr>
          <w:noProof/>
        </w:rPr>
        <w:t>6</w:t>
      </w:r>
      <w:r>
        <w:rPr>
          <w:noProof/>
        </w:rPr>
        <w:fldChar w:fldCharType="end"/>
      </w:r>
    </w:p>
    <w:p w14:paraId="426F7E63" w14:textId="6EF6FD78"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Instruments declared to be notifiable instruments</w:t>
      </w:r>
      <w:r>
        <w:rPr>
          <w:noProof/>
        </w:rPr>
        <w:tab/>
      </w:r>
      <w:r>
        <w:rPr>
          <w:noProof/>
        </w:rPr>
        <w:fldChar w:fldCharType="begin"/>
      </w:r>
      <w:r>
        <w:rPr>
          <w:noProof/>
        </w:rPr>
        <w:instrText xml:space="preserve"> PAGEREF _Toc223687720 \h </w:instrText>
      </w:r>
      <w:r>
        <w:rPr>
          <w:noProof/>
        </w:rPr>
      </w:r>
      <w:r>
        <w:rPr>
          <w:noProof/>
        </w:rPr>
        <w:fldChar w:fldCharType="separate"/>
      </w:r>
      <w:r w:rsidR="008D7264">
        <w:rPr>
          <w:noProof/>
        </w:rPr>
        <w:t>6</w:t>
      </w:r>
      <w:r>
        <w:rPr>
          <w:noProof/>
        </w:rPr>
        <w:fldChar w:fldCharType="end"/>
      </w:r>
    </w:p>
    <w:p w14:paraId="4A506CAA" w14:textId="495EA38D"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Other instruments</w:t>
      </w:r>
      <w:r>
        <w:rPr>
          <w:noProof/>
        </w:rPr>
        <w:tab/>
      </w:r>
      <w:r>
        <w:rPr>
          <w:noProof/>
        </w:rPr>
        <w:fldChar w:fldCharType="begin"/>
      </w:r>
      <w:r>
        <w:rPr>
          <w:noProof/>
        </w:rPr>
        <w:instrText xml:space="preserve"> PAGEREF _Toc223687721 \h </w:instrText>
      </w:r>
      <w:r>
        <w:rPr>
          <w:noProof/>
        </w:rPr>
      </w:r>
      <w:r>
        <w:rPr>
          <w:noProof/>
        </w:rPr>
        <w:fldChar w:fldCharType="separate"/>
      </w:r>
      <w:r w:rsidR="008D7264">
        <w:rPr>
          <w:noProof/>
        </w:rPr>
        <w:t>7</w:t>
      </w:r>
      <w:r>
        <w:rPr>
          <w:noProof/>
        </w:rPr>
        <w:fldChar w:fldCharType="end"/>
      </w:r>
    </w:p>
    <w:p w14:paraId="0A65814A" w14:textId="16F29123"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If there is uncertainty about the status of an instrument</w:t>
      </w:r>
      <w:r>
        <w:rPr>
          <w:noProof/>
        </w:rPr>
        <w:tab/>
      </w:r>
      <w:r>
        <w:rPr>
          <w:noProof/>
        </w:rPr>
        <w:fldChar w:fldCharType="begin"/>
      </w:r>
      <w:r>
        <w:rPr>
          <w:noProof/>
        </w:rPr>
        <w:instrText xml:space="preserve"> PAGEREF _Toc223687722 \h </w:instrText>
      </w:r>
      <w:r>
        <w:rPr>
          <w:noProof/>
        </w:rPr>
      </w:r>
      <w:r>
        <w:rPr>
          <w:noProof/>
        </w:rPr>
        <w:fldChar w:fldCharType="separate"/>
      </w:r>
      <w:r w:rsidR="008D7264">
        <w:rPr>
          <w:noProof/>
        </w:rPr>
        <w:t>8</w:t>
      </w:r>
      <w:r>
        <w:rPr>
          <w:noProof/>
        </w:rPr>
        <w:fldChar w:fldCharType="end"/>
      </w:r>
    </w:p>
    <w:p w14:paraId="731DAAF4" w14:textId="62F1CD60"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For new instruments</w:t>
      </w:r>
      <w:r>
        <w:rPr>
          <w:noProof/>
        </w:rPr>
        <w:tab/>
      </w:r>
      <w:r>
        <w:rPr>
          <w:noProof/>
        </w:rPr>
        <w:fldChar w:fldCharType="begin"/>
      </w:r>
      <w:r>
        <w:rPr>
          <w:noProof/>
        </w:rPr>
        <w:instrText xml:space="preserve"> PAGEREF _Toc223687723 \h </w:instrText>
      </w:r>
      <w:r>
        <w:rPr>
          <w:noProof/>
        </w:rPr>
      </w:r>
      <w:r>
        <w:rPr>
          <w:noProof/>
        </w:rPr>
        <w:fldChar w:fldCharType="separate"/>
      </w:r>
      <w:r w:rsidR="008D7264">
        <w:rPr>
          <w:noProof/>
        </w:rPr>
        <w:t>8</w:t>
      </w:r>
      <w:r>
        <w:rPr>
          <w:noProof/>
        </w:rPr>
        <w:fldChar w:fldCharType="end"/>
      </w:r>
    </w:p>
    <w:p w14:paraId="54343FE3" w14:textId="2A6C4E03"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For older instruments</w:t>
      </w:r>
      <w:r>
        <w:rPr>
          <w:noProof/>
        </w:rPr>
        <w:tab/>
      </w:r>
      <w:r>
        <w:rPr>
          <w:noProof/>
        </w:rPr>
        <w:fldChar w:fldCharType="begin"/>
      </w:r>
      <w:r>
        <w:rPr>
          <w:noProof/>
        </w:rPr>
        <w:instrText xml:space="preserve"> PAGEREF _Toc223687724 \h </w:instrText>
      </w:r>
      <w:r>
        <w:rPr>
          <w:noProof/>
        </w:rPr>
      </w:r>
      <w:r>
        <w:rPr>
          <w:noProof/>
        </w:rPr>
        <w:fldChar w:fldCharType="separate"/>
      </w:r>
      <w:r w:rsidR="008D7264">
        <w:rPr>
          <w:noProof/>
        </w:rPr>
        <w:t>9</w:t>
      </w:r>
      <w:r>
        <w:rPr>
          <w:noProof/>
        </w:rPr>
        <w:fldChar w:fldCharType="end"/>
      </w:r>
    </w:p>
    <w:p w14:paraId="7383BB02" w14:textId="5A298CF7"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What is the Federal Register of Legislation?</w:t>
      </w:r>
      <w:r>
        <w:rPr>
          <w:noProof/>
        </w:rPr>
        <w:tab/>
      </w:r>
      <w:r>
        <w:rPr>
          <w:noProof/>
        </w:rPr>
        <w:fldChar w:fldCharType="begin"/>
      </w:r>
      <w:r>
        <w:rPr>
          <w:noProof/>
        </w:rPr>
        <w:instrText xml:space="preserve"> PAGEREF _Toc223687725 \h </w:instrText>
      </w:r>
      <w:r>
        <w:rPr>
          <w:noProof/>
        </w:rPr>
      </w:r>
      <w:r>
        <w:rPr>
          <w:noProof/>
        </w:rPr>
        <w:fldChar w:fldCharType="separate"/>
      </w:r>
      <w:r w:rsidR="008D7264">
        <w:rPr>
          <w:noProof/>
        </w:rPr>
        <w:t>9</w:t>
      </w:r>
      <w:r>
        <w:rPr>
          <w:noProof/>
        </w:rPr>
        <w:fldChar w:fldCharType="end"/>
      </w:r>
    </w:p>
    <w:p w14:paraId="1FAA29E0" w14:textId="511C8446"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sidRPr="00AB6C4F">
        <w:rPr>
          <w:rFonts w:cs="Arial"/>
          <w:noProof/>
        </w:rPr>
        <w:t>Chapter 3—Drafting and interpretation of instruments</w:t>
      </w:r>
      <w:r>
        <w:rPr>
          <w:noProof/>
        </w:rPr>
        <w:tab/>
      </w:r>
      <w:r>
        <w:rPr>
          <w:noProof/>
        </w:rPr>
        <w:fldChar w:fldCharType="begin"/>
      </w:r>
      <w:r>
        <w:rPr>
          <w:noProof/>
        </w:rPr>
        <w:instrText xml:space="preserve"> PAGEREF _Toc223687726 \h </w:instrText>
      </w:r>
      <w:r>
        <w:rPr>
          <w:noProof/>
        </w:rPr>
      </w:r>
      <w:r>
        <w:rPr>
          <w:noProof/>
        </w:rPr>
        <w:fldChar w:fldCharType="separate"/>
      </w:r>
      <w:r w:rsidR="008D7264">
        <w:rPr>
          <w:noProof/>
        </w:rPr>
        <w:t>11</w:t>
      </w:r>
      <w:r>
        <w:rPr>
          <w:noProof/>
        </w:rPr>
        <w:fldChar w:fldCharType="end"/>
      </w:r>
    </w:p>
    <w:p w14:paraId="5E152A73" w14:textId="2583C303"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Drafting of legislative instruments</w:t>
      </w:r>
      <w:r>
        <w:rPr>
          <w:noProof/>
        </w:rPr>
        <w:tab/>
      </w:r>
      <w:r>
        <w:rPr>
          <w:noProof/>
        </w:rPr>
        <w:fldChar w:fldCharType="begin"/>
      </w:r>
      <w:r>
        <w:rPr>
          <w:noProof/>
        </w:rPr>
        <w:instrText xml:space="preserve"> PAGEREF _Toc223687727 \h </w:instrText>
      </w:r>
      <w:r>
        <w:rPr>
          <w:noProof/>
        </w:rPr>
      </w:r>
      <w:r>
        <w:rPr>
          <w:noProof/>
        </w:rPr>
        <w:fldChar w:fldCharType="separate"/>
      </w:r>
      <w:r w:rsidR="008D7264">
        <w:rPr>
          <w:noProof/>
        </w:rPr>
        <w:t>11</w:t>
      </w:r>
      <w:r>
        <w:rPr>
          <w:noProof/>
        </w:rPr>
        <w:fldChar w:fldCharType="end"/>
      </w:r>
    </w:p>
    <w:p w14:paraId="6D0A60D5" w14:textId="1DBB9589"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General principles for interpretation of instruments</w:t>
      </w:r>
      <w:r>
        <w:rPr>
          <w:noProof/>
        </w:rPr>
        <w:tab/>
      </w:r>
      <w:r>
        <w:rPr>
          <w:noProof/>
        </w:rPr>
        <w:fldChar w:fldCharType="begin"/>
      </w:r>
      <w:r>
        <w:rPr>
          <w:noProof/>
        </w:rPr>
        <w:instrText xml:space="preserve"> PAGEREF _Toc223687728 \h </w:instrText>
      </w:r>
      <w:r>
        <w:rPr>
          <w:noProof/>
        </w:rPr>
      </w:r>
      <w:r>
        <w:rPr>
          <w:noProof/>
        </w:rPr>
        <w:fldChar w:fldCharType="separate"/>
      </w:r>
      <w:r w:rsidR="008D7264">
        <w:rPr>
          <w:noProof/>
        </w:rPr>
        <w:t>12</w:t>
      </w:r>
      <w:r>
        <w:rPr>
          <w:noProof/>
        </w:rPr>
        <w:fldChar w:fldCharType="end"/>
      </w:r>
    </w:p>
    <w:p w14:paraId="4231AA2A" w14:textId="686F8950"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What should be included in an instrument</w:t>
      </w:r>
      <w:r>
        <w:rPr>
          <w:noProof/>
        </w:rPr>
        <w:tab/>
      </w:r>
      <w:r>
        <w:rPr>
          <w:noProof/>
        </w:rPr>
        <w:fldChar w:fldCharType="begin"/>
      </w:r>
      <w:r>
        <w:rPr>
          <w:noProof/>
        </w:rPr>
        <w:instrText xml:space="preserve"> PAGEREF _Toc223687729 \h </w:instrText>
      </w:r>
      <w:r>
        <w:rPr>
          <w:noProof/>
        </w:rPr>
      </w:r>
      <w:r>
        <w:rPr>
          <w:noProof/>
        </w:rPr>
        <w:fldChar w:fldCharType="separate"/>
      </w:r>
      <w:r w:rsidR="008D7264">
        <w:rPr>
          <w:noProof/>
        </w:rPr>
        <w:t>12</w:t>
      </w:r>
      <w:r>
        <w:rPr>
          <w:noProof/>
        </w:rPr>
        <w:fldChar w:fldCharType="end"/>
      </w:r>
    </w:p>
    <w:p w14:paraId="0659DE8F" w14:textId="31FB7B3B"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Recommended approach</w:t>
      </w:r>
      <w:r>
        <w:rPr>
          <w:noProof/>
        </w:rPr>
        <w:tab/>
      </w:r>
      <w:r>
        <w:rPr>
          <w:noProof/>
        </w:rPr>
        <w:fldChar w:fldCharType="begin"/>
      </w:r>
      <w:r>
        <w:rPr>
          <w:noProof/>
        </w:rPr>
        <w:instrText xml:space="preserve"> PAGEREF _Toc223687730 \h </w:instrText>
      </w:r>
      <w:r>
        <w:rPr>
          <w:noProof/>
        </w:rPr>
      </w:r>
      <w:r>
        <w:rPr>
          <w:noProof/>
        </w:rPr>
        <w:fldChar w:fldCharType="separate"/>
      </w:r>
      <w:r w:rsidR="008D7264">
        <w:rPr>
          <w:noProof/>
        </w:rPr>
        <w:t>13</w:t>
      </w:r>
      <w:r>
        <w:rPr>
          <w:noProof/>
        </w:rPr>
        <w:fldChar w:fldCharType="end"/>
      </w:r>
    </w:p>
    <w:p w14:paraId="40BBCA7F" w14:textId="52E0E462"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Use of other approaches</w:t>
      </w:r>
      <w:r>
        <w:rPr>
          <w:noProof/>
        </w:rPr>
        <w:tab/>
      </w:r>
      <w:r>
        <w:rPr>
          <w:noProof/>
        </w:rPr>
        <w:fldChar w:fldCharType="begin"/>
      </w:r>
      <w:r>
        <w:rPr>
          <w:noProof/>
        </w:rPr>
        <w:instrText xml:space="preserve"> PAGEREF _Toc223687731 \h </w:instrText>
      </w:r>
      <w:r>
        <w:rPr>
          <w:noProof/>
        </w:rPr>
      </w:r>
      <w:r>
        <w:rPr>
          <w:noProof/>
        </w:rPr>
        <w:fldChar w:fldCharType="separate"/>
      </w:r>
      <w:r w:rsidR="008D7264">
        <w:rPr>
          <w:noProof/>
        </w:rPr>
        <w:t>17</w:t>
      </w:r>
      <w:r>
        <w:rPr>
          <w:noProof/>
        </w:rPr>
        <w:fldChar w:fldCharType="end"/>
      </w:r>
    </w:p>
    <w:p w14:paraId="7F544CF7" w14:textId="42C5B96D"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Default rules on commencement of instrument or provision</w:t>
      </w:r>
      <w:r>
        <w:rPr>
          <w:noProof/>
        </w:rPr>
        <w:tab/>
      </w:r>
      <w:r>
        <w:rPr>
          <w:noProof/>
        </w:rPr>
        <w:fldChar w:fldCharType="begin"/>
      </w:r>
      <w:r>
        <w:rPr>
          <w:noProof/>
        </w:rPr>
        <w:instrText xml:space="preserve"> PAGEREF _Toc223687732 \h </w:instrText>
      </w:r>
      <w:r>
        <w:rPr>
          <w:noProof/>
        </w:rPr>
      </w:r>
      <w:r>
        <w:rPr>
          <w:noProof/>
        </w:rPr>
        <w:fldChar w:fldCharType="separate"/>
      </w:r>
      <w:r w:rsidR="008D7264">
        <w:rPr>
          <w:noProof/>
        </w:rPr>
        <w:t>18</w:t>
      </w:r>
      <w:r>
        <w:rPr>
          <w:noProof/>
        </w:rPr>
        <w:fldChar w:fldCharType="end"/>
      </w:r>
    </w:p>
    <w:p w14:paraId="60198FF9" w14:textId="3A1FD05B"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Default rules on amendment or repeal</w:t>
      </w:r>
      <w:r>
        <w:rPr>
          <w:noProof/>
        </w:rPr>
        <w:tab/>
      </w:r>
      <w:r>
        <w:rPr>
          <w:noProof/>
        </w:rPr>
        <w:fldChar w:fldCharType="begin"/>
      </w:r>
      <w:r>
        <w:rPr>
          <w:noProof/>
        </w:rPr>
        <w:instrText xml:space="preserve"> PAGEREF _Toc223687733 \h </w:instrText>
      </w:r>
      <w:r>
        <w:rPr>
          <w:noProof/>
        </w:rPr>
      </w:r>
      <w:r>
        <w:rPr>
          <w:noProof/>
        </w:rPr>
        <w:fldChar w:fldCharType="separate"/>
      </w:r>
      <w:r w:rsidR="008D7264">
        <w:rPr>
          <w:noProof/>
        </w:rPr>
        <w:t>19</w:t>
      </w:r>
      <w:r>
        <w:rPr>
          <w:noProof/>
        </w:rPr>
        <w:fldChar w:fldCharType="end"/>
      </w:r>
    </w:p>
    <w:p w14:paraId="4FB52131" w14:textId="322260D5"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Amending and repealing instruments</w:t>
      </w:r>
      <w:r>
        <w:rPr>
          <w:noProof/>
        </w:rPr>
        <w:tab/>
      </w:r>
      <w:r>
        <w:rPr>
          <w:noProof/>
        </w:rPr>
        <w:fldChar w:fldCharType="begin"/>
      </w:r>
      <w:r>
        <w:rPr>
          <w:noProof/>
        </w:rPr>
        <w:instrText xml:space="preserve"> PAGEREF _Toc223687734 \h </w:instrText>
      </w:r>
      <w:r>
        <w:rPr>
          <w:noProof/>
        </w:rPr>
      </w:r>
      <w:r>
        <w:rPr>
          <w:noProof/>
        </w:rPr>
        <w:fldChar w:fldCharType="separate"/>
      </w:r>
      <w:r w:rsidR="008D7264">
        <w:rPr>
          <w:noProof/>
        </w:rPr>
        <w:t>20</w:t>
      </w:r>
      <w:r>
        <w:rPr>
          <w:noProof/>
        </w:rPr>
        <w:fldChar w:fldCharType="end"/>
      </w:r>
    </w:p>
    <w:p w14:paraId="72C7378E" w14:textId="79A2D2FC"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Certain instruments will be subject to automatic repeal</w:t>
      </w:r>
      <w:r>
        <w:rPr>
          <w:noProof/>
        </w:rPr>
        <w:tab/>
      </w:r>
      <w:r>
        <w:rPr>
          <w:noProof/>
        </w:rPr>
        <w:fldChar w:fldCharType="begin"/>
      </w:r>
      <w:r>
        <w:rPr>
          <w:noProof/>
        </w:rPr>
        <w:instrText xml:space="preserve"> PAGEREF _Toc223687735 \h </w:instrText>
      </w:r>
      <w:r>
        <w:rPr>
          <w:noProof/>
        </w:rPr>
      </w:r>
      <w:r>
        <w:rPr>
          <w:noProof/>
        </w:rPr>
        <w:fldChar w:fldCharType="separate"/>
      </w:r>
      <w:r w:rsidR="008D7264">
        <w:rPr>
          <w:noProof/>
        </w:rPr>
        <w:t>22</w:t>
      </w:r>
      <w:r>
        <w:rPr>
          <w:noProof/>
        </w:rPr>
        <w:fldChar w:fldCharType="end"/>
      </w:r>
    </w:p>
    <w:p w14:paraId="5FAB2BDC" w14:textId="66A47091"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Use of self</w:t>
      </w:r>
      <w:r>
        <w:rPr>
          <w:noProof/>
        </w:rPr>
        <w:noBreakHyphen/>
        <w:t>repealing provisions</w:t>
      </w:r>
      <w:r>
        <w:rPr>
          <w:noProof/>
        </w:rPr>
        <w:tab/>
      </w:r>
      <w:r>
        <w:rPr>
          <w:noProof/>
        </w:rPr>
        <w:fldChar w:fldCharType="begin"/>
      </w:r>
      <w:r>
        <w:rPr>
          <w:noProof/>
        </w:rPr>
        <w:instrText xml:space="preserve"> PAGEREF _Toc223687736 \h </w:instrText>
      </w:r>
      <w:r>
        <w:rPr>
          <w:noProof/>
        </w:rPr>
      </w:r>
      <w:r>
        <w:rPr>
          <w:noProof/>
        </w:rPr>
        <w:fldChar w:fldCharType="separate"/>
      </w:r>
      <w:r w:rsidR="008D7264">
        <w:rPr>
          <w:noProof/>
        </w:rPr>
        <w:t>23</w:t>
      </w:r>
      <w:r>
        <w:rPr>
          <w:noProof/>
        </w:rPr>
        <w:fldChar w:fldCharType="end"/>
      </w:r>
    </w:p>
    <w:p w14:paraId="44BE78B4" w14:textId="2B2017D4"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Default rules on incorporating documents by reference</w:t>
      </w:r>
      <w:r>
        <w:rPr>
          <w:noProof/>
        </w:rPr>
        <w:tab/>
      </w:r>
      <w:r>
        <w:rPr>
          <w:noProof/>
        </w:rPr>
        <w:fldChar w:fldCharType="begin"/>
      </w:r>
      <w:r>
        <w:rPr>
          <w:noProof/>
        </w:rPr>
        <w:instrText xml:space="preserve"> PAGEREF _Toc223687737 \h </w:instrText>
      </w:r>
      <w:r>
        <w:rPr>
          <w:noProof/>
        </w:rPr>
      </w:r>
      <w:r>
        <w:rPr>
          <w:noProof/>
        </w:rPr>
        <w:fldChar w:fldCharType="separate"/>
      </w:r>
      <w:r w:rsidR="008D7264">
        <w:rPr>
          <w:noProof/>
        </w:rPr>
        <w:t>23</w:t>
      </w:r>
      <w:r>
        <w:rPr>
          <w:noProof/>
        </w:rPr>
        <w:fldChar w:fldCharType="end"/>
      </w:r>
    </w:p>
    <w:p w14:paraId="5A296CCD" w14:textId="4BFF0687"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Scope to delegate power</w:t>
      </w:r>
      <w:r>
        <w:rPr>
          <w:noProof/>
        </w:rPr>
        <w:tab/>
      </w:r>
      <w:r>
        <w:rPr>
          <w:noProof/>
        </w:rPr>
        <w:fldChar w:fldCharType="begin"/>
      </w:r>
      <w:r>
        <w:rPr>
          <w:noProof/>
        </w:rPr>
        <w:instrText xml:space="preserve"> PAGEREF _Toc223687738 \h </w:instrText>
      </w:r>
      <w:r>
        <w:rPr>
          <w:noProof/>
        </w:rPr>
      </w:r>
      <w:r>
        <w:rPr>
          <w:noProof/>
        </w:rPr>
        <w:fldChar w:fldCharType="separate"/>
      </w:r>
      <w:r w:rsidR="008D7264">
        <w:rPr>
          <w:noProof/>
        </w:rPr>
        <w:t>24</w:t>
      </w:r>
      <w:r>
        <w:rPr>
          <w:noProof/>
        </w:rPr>
        <w:fldChar w:fldCharType="end"/>
      </w:r>
    </w:p>
    <w:p w14:paraId="023FE565" w14:textId="4E640C49"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Delegating a power to make a legislative instrument</w:t>
      </w:r>
      <w:r>
        <w:rPr>
          <w:noProof/>
        </w:rPr>
        <w:tab/>
      </w:r>
      <w:r>
        <w:rPr>
          <w:noProof/>
        </w:rPr>
        <w:fldChar w:fldCharType="begin"/>
      </w:r>
      <w:r>
        <w:rPr>
          <w:noProof/>
        </w:rPr>
        <w:instrText xml:space="preserve"> PAGEREF _Toc223687739 \h </w:instrText>
      </w:r>
      <w:r>
        <w:rPr>
          <w:noProof/>
        </w:rPr>
      </w:r>
      <w:r>
        <w:rPr>
          <w:noProof/>
        </w:rPr>
        <w:fldChar w:fldCharType="separate"/>
      </w:r>
      <w:r w:rsidR="008D7264">
        <w:rPr>
          <w:noProof/>
        </w:rPr>
        <w:t>24</w:t>
      </w:r>
      <w:r>
        <w:rPr>
          <w:noProof/>
        </w:rPr>
        <w:fldChar w:fldCharType="end"/>
      </w:r>
    </w:p>
    <w:p w14:paraId="684FFCE6" w14:textId="5AFE883E"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Legislative instruments that delegate power</w:t>
      </w:r>
      <w:r>
        <w:rPr>
          <w:noProof/>
        </w:rPr>
        <w:tab/>
      </w:r>
      <w:r>
        <w:rPr>
          <w:noProof/>
        </w:rPr>
        <w:fldChar w:fldCharType="begin"/>
      </w:r>
      <w:r>
        <w:rPr>
          <w:noProof/>
        </w:rPr>
        <w:instrText xml:space="preserve"> PAGEREF _Toc223687740 \h </w:instrText>
      </w:r>
      <w:r>
        <w:rPr>
          <w:noProof/>
        </w:rPr>
      </w:r>
      <w:r>
        <w:rPr>
          <w:noProof/>
        </w:rPr>
        <w:fldChar w:fldCharType="separate"/>
      </w:r>
      <w:r w:rsidR="008D7264">
        <w:rPr>
          <w:noProof/>
        </w:rPr>
        <w:t>25</w:t>
      </w:r>
      <w:r>
        <w:rPr>
          <w:noProof/>
        </w:rPr>
        <w:fldChar w:fldCharType="end"/>
      </w:r>
    </w:p>
    <w:p w14:paraId="5FA60003" w14:textId="13C96EE7"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Offences, infringement notices and enforcement powers</w:t>
      </w:r>
      <w:r>
        <w:rPr>
          <w:noProof/>
        </w:rPr>
        <w:tab/>
      </w:r>
      <w:r>
        <w:rPr>
          <w:noProof/>
        </w:rPr>
        <w:fldChar w:fldCharType="begin"/>
      </w:r>
      <w:r>
        <w:rPr>
          <w:noProof/>
        </w:rPr>
        <w:instrText xml:space="preserve"> PAGEREF _Toc223687741 \h </w:instrText>
      </w:r>
      <w:r>
        <w:rPr>
          <w:noProof/>
        </w:rPr>
      </w:r>
      <w:r>
        <w:rPr>
          <w:noProof/>
        </w:rPr>
        <w:fldChar w:fldCharType="separate"/>
      </w:r>
      <w:r w:rsidR="008D7264">
        <w:rPr>
          <w:noProof/>
        </w:rPr>
        <w:t>26</w:t>
      </w:r>
      <w:r>
        <w:rPr>
          <w:noProof/>
        </w:rPr>
        <w:fldChar w:fldCharType="end"/>
      </w:r>
    </w:p>
    <w:p w14:paraId="7E5B589D" w14:textId="54872A27"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Gender</w:t>
      </w:r>
      <w:r>
        <w:rPr>
          <w:noProof/>
        </w:rPr>
        <w:noBreakHyphen/>
        <w:t>specific and gender</w:t>
      </w:r>
      <w:r>
        <w:rPr>
          <w:noProof/>
        </w:rPr>
        <w:noBreakHyphen/>
        <w:t>neutral language</w:t>
      </w:r>
      <w:r>
        <w:rPr>
          <w:noProof/>
        </w:rPr>
        <w:tab/>
      </w:r>
      <w:r>
        <w:rPr>
          <w:noProof/>
        </w:rPr>
        <w:fldChar w:fldCharType="begin"/>
      </w:r>
      <w:r>
        <w:rPr>
          <w:noProof/>
        </w:rPr>
        <w:instrText xml:space="preserve"> PAGEREF _Toc223687742 \h </w:instrText>
      </w:r>
      <w:r>
        <w:rPr>
          <w:noProof/>
        </w:rPr>
      </w:r>
      <w:r>
        <w:rPr>
          <w:noProof/>
        </w:rPr>
        <w:fldChar w:fldCharType="separate"/>
      </w:r>
      <w:r w:rsidR="008D7264">
        <w:rPr>
          <w:noProof/>
        </w:rPr>
        <w:t>26</w:t>
      </w:r>
      <w:r>
        <w:rPr>
          <w:noProof/>
        </w:rPr>
        <w:fldChar w:fldCharType="end"/>
      </w:r>
    </w:p>
    <w:p w14:paraId="116383F6" w14:textId="3787E9D4"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Security</w:t>
      </w:r>
      <w:r>
        <w:rPr>
          <w:noProof/>
        </w:rPr>
        <w:tab/>
      </w:r>
      <w:r w:rsidR="000A3A17">
        <w:rPr>
          <w:noProof/>
        </w:rPr>
        <w:tab/>
      </w:r>
      <w:r>
        <w:rPr>
          <w:noProof/>
        </w:rPr>
        <w:fldChar w:fldCharType="begin"/>
      </w:r>
      <w:r>
        <w:rPr>
          <w:noProof/>
        </w:rPr>
        <w:instrText xml:space="preserve"> PAGEREF _Toc223687743 \h </w:instrText>
      </w:r>
      <w:r>
        <w:rPr>
          <w:noProof/>
        </w:rPr>
      </w:r>
      <w:r>
        <w:rPr>
          <w:noProof/>
        </w:rPr>
        <w:fldChar w:fldCharType="separate"/>
      </w:r>
      <w:r w:rsidR="008D7264">
        <w:rPr>
          <w:noProof/>
        </w:rPr>
        <w:t>26</w:t>
      </w:r>
      <w:r>
        <w:rPr>
          <w:noProof/>
        </w:rPr>
        <w:fldChar w:fldCharType="end"/>
      </w:r>
    </w:p>
    <w:p w14:paraId="31CA30D6" w14:textId="5F25162A"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Privacy</w:t>
      </w:r>
      <w:r>
        <w:rPr>
          <w:noProof/>
        </w:rPr>
        <w:tab/>
      </w:r>
      <w:r w:rsidR="000A3A17">
        <w:rPr>
          <w:noProof/>
        </w:rPr>
        <w:tab/>
      </w:r>
      <w:r>
        <w:rPr>
          <w:noProof/>
        </w:rPr>
        <w:fldChar w:fldCharType="begin"/>
      </w:r>
      <w:r>
        <w:rPr>
          <w:noProof/>
        </w:rPr>
        <w:instrText xml:space="preserve"> PAGEREF _Toc223687744 \h </w:instrText>
      </w:r>
      <w:r>
        <w:rPr>
          <w:noProof/>
        </w:rPr>
      </w:r>
      <w:r>
        <w:rPr>
          <w:noProof/>
        </w:rPr>
        <w:fldChar w:fldCharType="separate"/>
      </w:r>
      <w:r w:rsidR="008D7264">
        <w:rPr>
          <w:noProof/>
        </w:rPr>
        <w:t>27</w:t>
      </w:r>
      <w:r>
        <w:rPr>
          <w:noProof/>
        </w:rPr>
        <w:fldChar w:fldCharType="end"/>
      </w:r>
    </w:p>
    <w:p w14:paraId="34C04B9F" w14:textId="48FEBAD2"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lastRenderedPageBreak/>
        <w:t>Copyright</w:t>
      </w:r>
      <w:r>
        <w:rPr>
          <w:noProof/>
        </w:rPr>
        <w:tab/>
      </w:r>
      <w:r w:rsidR="0037274B">
        <w:rPr>
          <w:noProof/>
        </w:rPr>
        <w:tab/>
      </w:r>
      <w:r>
        <w:rPr>
          <w:noProof/>
        </w:rPr>
        <w:fldChar w:fldCharType="begin"/>
      </w:r>
      <w:r>
        <w:rPr>
          <w:noProof/>
        </w:rPr>
        <w:instrText xml:space="preserve"> PAGEREF _Toc223687745 \h </w:instrText>
      </w:r>
      <w:r>
        <w:rPr>
          <w:noProof/>
        </w:rPr>
      </w:r>
      <w:r>
        <w:rPr>
          <w:noProof/>
        </w:rPr>
        <w:fldChar w:fldCharType="separate"/>
      </w:r>
      <w:r w:rsidR="008D7264">
        <w:rPr>
          <w:noProof/>
        </w:rPr>
        <w:t>27</w:t>
      </w:r>
      <w:r>
        <w:rPr>
          <w:noProof/>
        </w:rPr>
        <w:fldChar w:fldCharType="end"/>
      </w:r>
    </w:p>
    <w:p w14:paraId="5021F059" w14:textId="3513C75E"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Technical considerations</w:t>
      </w:r>
      <w:r>
        <w:rPr>
          <w:noProof/>
        </w:rPr>
        <w:tab/>
      </w:r>
      <w:r>
        <w:rPr>
          <w:noProof/>
        </w:rPr>
        <w:fldChar w:fldCharType="begin"/>
      </w:r>
      <w:r>
        <w:rPr>
          <w:noProof/>
        </w:rPr>
        <w:instrText xml:space="preserve"> PAGEREF _Toc223687746 \h </w:instrText>
      </w:r>
      <w:r>
        <w:rPr>
          <w:noProof/>
        </w:rPr>
      </w:r>
      <w:r>
        <w:rPr>
          <w:noProof/>
        </w:rPr>
        <w:fldChar w:fldCharType="separate"/>
      </w:r>
      <w:r w:rsidR="008D7264">
        <w:rPr>
          <w:noProof/>
        </w:rPr>
        <w:t>27</w:t>
      </w:r>
      <w:r>
        <w:rPr>
          <w:noProof/>
        </w:rPr>
        <w:fldChar w:fldCharType="end"/>
      </w:r>
    </w:p>
    <w:p w14:paraId="410E5B27" w14:textId="2FC2F1CB"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Accessibility</w:t>
      </w:r>
      <w:r>
        <w:rPr>
          <w:noProof/>
        </w:rPr>
        <w:tab/>
      </w:r>
      <w:r w:rsidR="0037274B">
        <w:rPr>
          <w:noProof/>
        </w:rPr>
        <w:tab/>
      </w:r>
      <w:r>
        <w:rPr>
          <w:noProof/>
        </w:rPr>
        <w:fldChar w:fldCharType="begin"/>
      </w:r>
      <w:r>
        <w:rPr>
          <w:noProof/>
        </w:rPr>
        <w:instrText xml:space="preserve"> PAGEREF _Toc223687747 \h </w:instrText>
      </w:r>
      <w:r>
        <w:rPr>
          <w:noProof/>
        </w:rPr>
      </w:r>
      <w:r>
        <w:rPr>
          <w:noProof/>
        </w:rPr>
        <w:fldChar w:fldCharType="separate"/>
      </w:r>
      <w:r w:rsidR="008D7264">
        <w:rPr>
          <w:noProof/>
        </w:rPr>
        <w:t>27</w:t>
      </w:r>
      <w:r>
        <w:rPr>
          <w:noProof/>
        </w:rPr>
        <w:fldChar w:fldCharType="end"/>
      </w:r>
    </w:p>
    <w:p w14:paraId="5ECBB252" w14:textId="217751C5"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Word or RTF format</w:t>
      </w:r>
      <w:r>
        <w:rPr>
          <w:noProof/>
        </w:rPr>
        <w:tab/>
      </w:r>
      <w:r>
        <w:rPr>
          <w:noProof/>
        </w:rPr>
        <w:fldChar w:fldCharType="begin"/>
      </w:r>
      <w:r>
        <w:rPr>
          <w:noProof/>
        </w:rPr>
        <w:instrText xml:space="preserve"> PAGEREF _Toc223687748 \h </w:instrText>
      </w:r>
      <w:r>
        <w:rPr>
          <w:noProof/>
        </w:rPr>
      </w:r>
      <w:r>
        <w:rPr>
          <w:noProof/>
        </w:rPr>
        <w:fldChar w:fldCharType="separate"/>
      </w:r>
      <w:r w:rsidR="008D7264">
        <w:rPr>
          <w:noProof/>
        </w:rPr>
        <w:t>27</w:t>
      </w:r>
      <w:r>
        <w:rPr>
          <w:noProof/>
        </w:rPr>
        <w:fldChar w:fldCharType="end"/>
      </w:r>
    </w:p>
    <w:p w14:paraId="4784D4BF" w14:textId="0C452F6D"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Alternative text</w:t>
      </w:r>
      <w:r>
        <w:rPr>
          <w:noProof/>
        </w:rPr>
        <w:tab/>
      </w:r>
      <w:r>
        <w:rPr>
          <w:noProof/>
        </w:rPr>
        <w:fldChar w:fldCharType="begin"/>
      </w:r>
      <w:r>
        <w:rPr>
          <w:noProof/>
        </w:rPr>
        <w:instrText xml:space="preserve"> PAGEREF _Toc223687749 \h </w:instrText>
      </w:r>
      <w:r>
        <w:rPr>
          <w:noProof/>
        </w:rPr>
      </w:r>
      <w:r>
        <w:rPr>
          <w:noProof/>
        </w:rPr>
        <w:fldChar w:fldCharType="separate"/>
      </w:r>
      <w:r w:rsidR="008D7264">
        <w:rPr>
          <w:noProof/>
        </w:rPr>
        <w:t>28</w:t>
      </w:r>
      <w:r>
        <w:rPr>
          <w:noProof/>
        </w:rPr>
        <w:fldChar w:fldCharType="end"/>
      </w:r>
    </w:p>
    <w:p w14:paraId="4DE27EE0" w14:textId="0DEDB46F"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Dynamic content</w:t>
      </w:r>
      <w:r>
        <w:rPr>
          <w:noProof/>
        </w:rPr>
        <w:tab/>
      </w:r>
      <w:r>
        <w:rPr>
          <w:noProof/>
        </w:rPr>
        <w:fldChar w:fldCharType="begin"/>
      </w:r>
      <w:r>
        <w:rPr>
          <w:noProof/>
        </w:rPr>
        <w:instrText xml:space="preserve"> PAGEREF _Toc223687750 \h </w:instrText>
      </w:r>
      <w:r>
        <w:rPr>
          <w:noProof/>
        </w:rPr>
      </w:r>
      <w:r>
        <w:rPr>
          <w:noProof/>
        </w:rPr>
        <w:fldChar w:fldCharType="separate"/>
      </w:r>
      <w:r w:rsidR="008D7264">
        <w:rPr>
          <w:noProof/>
        </w:rPr>
        <w:t>28</w:t>
      </w:r>
      <w:r>
        <w:rPr>
          <w:noProof/>
        </w:rPr>
        <w:fldChar w:fldCharType="end"/>
      </w:r>
    </w:p>
    <w:p w14:paraId="052A28E7" w14:textId="0C955581"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Other considerations</w:t>
      </w:r>
      <w:r>
        <w:rPr>
          <w:noProof/>
        </w:rPr>
        <w:tab/>
      </w:r>
      <w:r>
        <w:rPr>
          <w:noProof/>
        </w:rPr>
        <w:fldChar w:fldCharType="begin"/>
      </w:r>
      <w:r>
        <w:rPr>
          <w:noProof/>
        </w:rPr>
        <w:instrText xml:space="preserve"> PAGEREF _Toc223687751 \h </w:instrText>
      </w:r>
      <w:r>
        <w:rPr>
          <w:noProof/>
        </w:rPr>
      </w:r>
      <w:r>
        <w:rPr>
          <w:noProof/>
        </w:rPr>
        <w:fldChar w:fldCharType="separate"/>
      </w:r>
      <w:r w:rsidR="008D7264">
        <w:rPr>
          <w:noProof/>
        </w:rPr>
        <w:t>28</w:t>
      </w:r>
      <w:r>
        <w:rPr>
          <w:noProof/>
        </w:rPr>
        <w:fldChar w:fldCharType="end"/>
      </w:r>
    </w:p>
    <w:p w14:paraId="3D6FCB02" w14:textId="4537E5E5"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Preventable issues</w:t>
      </w:r>
      <w:r>
        <w:rPr>
          <w:noProof/>
        </w:rPr>
        <w:tab/>
      </w:r>
      <w:r>
        <w:rPr>
          <w:noProof/>
        </w:rPr>
        <w:fldChar w:fldCharType="begin"/>
      </w:r>
      <w:r>
        <w:rPr>
          <w:noProof/>
        </w:rPr>
        <w:instrText xml:space="preserve"> PAGEREF _Toc223687752 \h </w:instrText>
      </w:r>
      <w:r>
        <w:rPr>
          <w:noProof/>
        </w:rPr>
      </w:r>
      <w:r>
        <w:rPr>
          <w:noProof/>
        </w:rPr>
        <w:fldChar w:fldCharType="separate"/>
      </w:r>
      <w:r w:rsidR="008D7264">
        <w:rPr>
          <w:noProof/>
        </w:rPr>
        <w:t>29</w:t>
      </w:r>
      <w:r>
        <w:rPr>
          <w:noProof/>
        </w:rPr>
        <w:fldChar w:fldCharType="end"/>
      </w:r>
    </w:p>
    <w:p w14:paraId="04CBE233" w14:textId="73F3ABA9"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Footers</w:t>
      </w:r>
      <w:r>
        <w:rPr>
          <w:noProof/>
        </w:rPr>
        <w:tab/>
      </w:r>
      <w:r w:rsidR="0037274B">
        <w:rPr>
          <w:noProof/>
        </w:rPr>
        <w:tab/>
      </w:r>
      <w:r>
        <w:rPr>
          <w:noProof/>
        </w:rPr>
        <w:fldChar w:fldCharType="begin"/>
      </w:r>
      <w:r>
        <w:rPr>
          <w:noProof/>
        </w:rPr>
        <w:instrText xml:space="preserve"> PAGEREF _Toc223687753 \h </w:instrText>
      </w:r>
      <w:r>
        <w:rPr>
          <w:noProof/>
        </w:rPr>
      </w:r>
      <w:r>
        <w:rPr>
          <w:noProof/>
        </w:rPr>
        <w:fldChar w:fldCharType="separate"/>
      </w:r>
      <w:r w:rsidR="008D7264">
        <w:rPr>
          <w:noProof/>
        </w:rPr>
        <w:t>29</w:t>
      </w:r>
      <w:r>
        <w:rPr>
          <w:noProof/>
        </w:rPr>
        <w:fldChar w:fldCharType="end"/>
      </w:r>
    </w:p>
    <w:p w14:paraId="1CB1632B" w14:textId="2C682F8A"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Resolving issues</w:t>
      </w:r>
      <w:r>
        <w:rPr>
          <w:noProof/>
        </w:rPr>
        <w:tab/>
      </w:r>
      <w:r>
        <w:rPr>
          <w:noProof/>
        </w:rPr>
        <w:fldChar w:fldCharType="begin"/>
      </w:r>
      <w:r>
        <w:rPr>
          <w:noProof/>
        </w:rPr>
        <w:instrText xml:space="preserve"> PAGEREF _Toc223687754 \h </w:instrText>
      </w:r>
      <w:r>
        <w:rPr>
          <w:noProof/>
        </w:rPr>
      </w:r>
      <w:r>
        <w:rPr>
          <w:noProof/>
        </w:rPr>
        <w:fldChar w:fldCharType="separate"/>
      </w:r>
      <w:r w:rsidR="008D7264">
        <w:rPr>
          <w:noProof/>
        </w:rPr>
        <w:t>29</w:t>
      </w:r>
      <w:r>
        <w:rPr>
          <w:noProof/>
        </w:rPr>
        <w:fldChar w:fldCharType="end"/>
      </w:r>
    </w:p>
    <w:p w14:paraId="5C363BA4" w14:textId="460A60BF"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Improving drafting standards</w:t>
      </w:r>
      <w:r>
        <w:rPr>
          <w:noProof/>
        </w:rPr>
        <w:tab/>
      </w:r>
      <w:r>
        <w:rPr>
          <w:noProof/>
        </w:rPr>
        <w:fldChar w:fldCharType="begin"/>
      </w:r>
      <w:r>
        <w:rPr>
          <w:noProof/>
        </w:rPr>
        <w:instrText xml:space="preserve"> PAGEREF _Toc223687755 \h </w:instrText>
      </w:r>
      <w:r>
        <w:rPr>
          <w:noProof/>
        </w:rPr>
      </w:r>
      <w:r>
        <w:rPr>
          <w:noProof/>
        </w:rPr>
        <w:fldChar w:fldCharType="separate"/>
      </w:r>
      <w:r w:rsidR="008D7264">
        <w:rPr>
          <w:noProof/>
        </w:rPr>
        <w:t>29</w:t>
      </w:r>
      <w:r>
        <w:rPr>
          <w:noProof/>
        </w:rPr>
        <w:fldChar w:fldCharType="end"/>
      </w:r>
    </w:p>
    <w:p w14:paraId="279AE64F" w14:textId="6869B482"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Chapter 4—Lodgement and registration of instruments</w:t>
      </w:r>
      <w:r>
        <w:rPr>
          <w:noProof/>
        </w:rPr>
        <w:tab/>
      </w:r>
      <w:r>
        <w:rPr>
          <w:noProof/>
        </w:rPr>
        <w:fldChar w:fldCharType="begin"/>
      </w:r>
      <w:r>
        <w:rPr>
          <w:noProof/>
        </w:rPr>
        <w:instrText xml:space="preserve"> PAGEREF _Toc223687756 \h </w:instrText>
      </w:r>
      <w:r>
        <w:rPr>
          <w:noProof/>
        </w:rPr>
      </w:r>
      <w:r>
        <w:rPr>
          <w:noProof/>
        </w:rPr>
        <w:fldChar w:fldCharType="separate"/>
      </w:r>
      <w:r w:rsidR="008D7264">
        <w:rPr>
          <w:noProof/>
        </w:rPr>
        <w:t>31</w:t>
      </w:r>
      <w:r>
        <w:rPr>
          <w:noProof/>
        </w:rPr>
        <w:fldChar w:fldCharType="end"/>
      </w:r>
    </w:p>
    <w:p w14:paraId="7C823578" w14:textId="150C1ECE"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Requirement to lodge instruments with OPC</w:t>
      </w:r>
      <w:r>
        <w:rPr>
          <w:noProof/>
        </w:rPr>
        <w:tab/>
      </w:r>
      <w:r>
        <w:rPr>
          <w:noProof/>
        </w:rPr>
        <w:fldChar w:fldCharType="begin"/>
      </w:r>
      <w:r>
        <w:rPr>
          <w:noProof/>
        </w:rPr>
        <w:instrText xml:space="preserve"> PAGEREF _Toc223687757 \h </w:instrText>
      </w:r>
      <w:r>
        <w:rPr>
          <w:noProof/>
        </w:rPr>
      </w:r>
      <w:r>
        <w:rPr>
          <w:noProof/>
        </w:rPr>
        <w:fldChar w:fldCharType="separate"/>
      </w:r>
      <w:r w:rsidR="008D7264">
        <w:rPr>
          <w:noProof/>
        </w:rPr>
        <w:t>31</w:t>
      </w:r>
      <w:r>
        <w:rPr>
          <w:noProof/>
        </w:rPr>
        <w:fldChar w:fldCharType="end"/>
      </w:r>
    </w:p>
    <w:p w14:paraId="2A4A3574" w14:textId="4E33B05C"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Step 1: Create online lodgement</w:t>
      </w:r>
      <w:r>
        <w:rPr>
          <w:noProof/>
        </w:rPr>
        <w:tab/>
      </w:r>
      <w:r>
        <w:rPr>
          <w:noProof/>
        </w:rPr>
        <w:fldChar w:fldCharType="begin"/>
      </w:r>
      <w:r>
        <w:rPr>
          <w:noProof/>
        </w:rPr>
        <w:instrText xml:space="preserve"> PAGEREF _Toc223687758 \h </w:instrText>
      </w:r>
      <w:r>
        <w:rPr>
          <w:noProof/>
        </w:rPr>
      </w:r>
      <w:r>
        <w:rPr>
          <w:noProof/>
        </w:rPr>
        <w:fldChar w:fldCharType="separate"/>
      </w:r>
      <w:r w:rsidR="008D7264">
        <w:rPr>
          <w:noProof/>
        </w:rPr>
        <w:t>32</w:t>
      </w:r>
      <w:r>
        <w:rPr>
          <w:noProof/>
        </w:rPr>
        <w:fldChar w:fldCharType="end"/>
      </w:r>
    </w:p>
    <w:p w14:paraId="7BF17C87" w14:textId="49CE483E"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Step 2: Attach electronic version of instrument</w:t>
      </w:r>
      <w:r>
        <w:rPr>
          <w:noProof/>
        </w:rPr>
        <w:tab/>
      </w:r>
      <w:r>
        <w:rPr>
          <w:noProof/>
        </w:rPr>
        <w:fldChar w:fldCharType="begin"/>
      </w:r>
      <w:r>
        <w:rPr>
          <w:noProof/>
        </w:rPr>
        <w:instrText xml:space="preserve"> PAGEREF _Toc223687759 \h </w:instrText>
      </w:r>
      <w:r>
        <w:rPr>
          <w:noProof/>
        </w:rPr>
      </w:r>
      <w:r>
        <w:rPr>
          <w:noProof/>
        </w:rPr>
        <w:fldChar w:fldCharType="separate"/>
      </w:r>
      <w:r w:rsidR="008D7264">
        <w:rPr>
          <w:noProof/>
        </w:rPr>
        <w:t>33</w:t>
      </w:r>
      <w:r>
        <w:rPr>
          <w:noProof/>
        </w:rPr>
        <w:fldChar w:fldCharType="end"/>
      </w:r>
    </w:p>
    <w:p w14:paraId="7A433BA1" w14:textId="302F4DE2"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Step 3: If required—attach explanatory statement or other documents</w:t>
      </w:r>
      <w:r>
        <w:rPr>
          <w:noProof/>
        </w:rPr>
        <w:tab/>
      </w:r>
      <w:r>
        <w:rPr>
          <w:noProof/>
        </w:rPr>
        <w:fldChar w:fldCharType="begin"/>
      </w:r>
      <w:r>
        <w:rPr>
          <w:noProof/>
        </w:rPr>
        <w:instrText xml:space="preserve"> PAGEREF _Toc223687760 \h </w:instrText>
      </w:r>
      <w:r>
        <w:rPr>
          <w:noProof/>
        </w:rPr>
      </w:r>
      <w:r>
        <w:rPr>
          <w:noProof/>
        </w:rPr>
        <w:fldChar w:fldCharType="separate"/>
      </w:r>
      <w:r w:rsidR="008D7264">
        <w:rPr>
          <w:noProof/>
        </w:rPr>
        <w:t>33</w:t>
      </w:r>
      <w:r>
        <w:rPr>
          <w:noProof/>
        </w:rPr>
        <w:fldChar w:fldCharType="end"/>
      </w:r>
    </w:p>
    <w:p w14:paraId="0053819C" w14:textId="1C3097AB"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Step 4: Certify the online lodgement</w:t>
      </w:r>
      <w:r>
        <w:rPr>
          <w:noProof/>
        </w:rPr>
        <w:tab/>
      </w:r>
      <w:r>
        <w:rPr>
          <w:noProof/>
        </w:rPr>
        <w:fldChar w:fldCharType="begin"/>
      </w:r>
      <w:r>
        <w:rPr>
          <w:noProof/>
        </w:rPr>
        <w:instrText xml:space="preserve"> PAGEREF _Toc223687761 \h </w:instrText>
      </w:r>
      <w:r>
        <w:rPr>
          <w:noProof/>
        </w:rPr>
      </w:r>
      <w:r>
        <w:rPr>
          <w:noProof/>
        </w:rPr>
        <w:fldChar w:fldCharType="separate"/>
      </w:r>
      <w:r w:rsidR="008D7264">
        <w:rPr>
          <w:noProof/>
        </w:rPr>
        <w:t>34</w:t>
      </w:r>
      <w:r>
        <w:rPr>
          <w:noProof/>
        </w:rPr>
        <w:fldChar w:fldCharType="end"/>
      </w:r>
    </w:p>
    <w:p w14:paraId="1E9FE35D" w14:textId="54AFC1FC"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Withdrawing incomplete or inaccurate lodgements</w:t>
      </w:r>
      <w:r>
        <w:rPr>
          <w:noProof/>
        </w:rPr>
        <w:tab/>
      </w:r>
      <w:r>
        <w:rPr>
          <w:noProof/>
        </w:rPr>
        <w:fldChar w:fldCharType="begin"/>
      </w:r>
      <w:r>
        <w:rPr>
          <w:noProof/>
        </w:rPr>
        <w:instrText xml:space="preserve"> PAGEREF _Toc223687762 \h </w:instrText>
      </w:r>
      <w:r>
        <w:rPr>
          <w:noProof/>
        </w:rPr>
      </w:r>
      <w:r>
        <w:rPr>
          <w:noProof/>
        </w:rPr>
        <w:fldChar w:fldCharType="separate"/>
      </w:r>
      <w:r w:rsidR="008D7264">
        <w:rPr>
          <w:noProof/>
        </w:rPr>
        <w:t>35</w:t>
      </w:r>
      <w:r>
        <w:rPr>
          <w:noProof/>
        </w:rPr>
        <w:fldChar w:fldCharType="end"/>
      </w:r>
    </w:p>
    <w:p w14:paraId="76E22845" w14:textId="3E2E5ACD"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Standard timeframes for registration</w:t>
      </w:r>
      <w:r>
        <w:rPr>
          <w:noProof/>
        </w:rPr>
        <w:tab/>
      </w:r>
      <w:r>
        <w:rPr>
          <w:noProof/>
        </w:rPr>
        <w:fldChar w:fldCharType="begin"/>
      </w:r>
      <w:r>
        <w:rPr>
          <w:noProof/>
        </w:rPr>
        <w:instrText xml:space="preserve"> PAGEREF _Toc223687763 \h </w:instrText>
      </w:r>
      <w:r>
        <w:rPr>
          <w:noProof/>
        </w:rPr>
      </w:r>
      <w:r>
        <w:rPr>
          <w:noProof/>
        </w:rPr>
        <w:fldChar w:fldCharType="separate"/>
      </w:r>
      <w:r w:rsidR="008D7264">
        <w:rPr>
          <w:noProof/>
        </w:rPr>
        <w:t>36</w:t>
      </w:r>
      <w:r>
        <w:rPr>
          <w:noProof/>
        </w:rPr>
        <w:fldChar w:fldCharType="end"/>
      </w:r>
    </w:p>
    <w:p w14:paraId="5D2FE436" w14:textId="22304595"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Fees for standard and additional services</w:t>
      </w:r>
      <w:r>
        <w:rPr>
          <w:noProof/>
        </w:rPr>
        <w:tab/>
      </w:r>
      <w:r>
        <w:rPr>
          <w:noProof/>
        </w:rPr>
        <w:fldChar w:fldCharType="begin"/>
      </w:r>
      <w:r>
        <w:rPr>
          <w:noProof/>
        </w:rPr>
        <w:instrText xml:space="preserve"> PAGEREF _Toc223687764 \h </w:instrText>
      </w:r>
      <w:r>
        <w:rPr>
          <w:noProof/>
        </w:rPr>
      </w:r>
      <w:r>
        <w:rPr>
          <w:noProof/>
        </w:rPr>
        <w:fldChar w:fldCharType="separate"/>
      </w:r>
      <w:r w:rsidR="008D7264">
        <w:rPr>
          <w:noProof/>
        </w:rPr>
        <w:t>36</w:t>
      </w:r>
      <w:r>
        <w:rPr>
          <w:noProof/>
        </w:rPr>
        <w:fldChar w:fldCharType="end"/>
      </w:r>
    </w:p>
    <w:p w14:paraId="1152E348" w14:textId="21C42CB4"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Requirement for gazettal or notification in addition to registration</w:t>
      </w:r>
      <w:r>
        <w:rPr>
          <w:noProof/>
        </w:rPr>
        <w:tab/>
      </w:r>
      <w:r>
        <w:rPr>
          <w:noProof/>
        </w:rPr>
        <w:fldChar w:fldCharType="begin"/>
      </w:r>
      <w:r>
        <w:rPr>
          <w:noProof/>
        </w:rPr>
        <w:instrText xml:space="preserve"> PAGEREF _Toc223687765 \h </w:instrText>
      </w:r>
      <w:r>
        <w:rPr>
          <w:noProof/>
        </w:rPr>
      </w:r>
      <w:r>
        <w:rPr>
          <w:noProof/>
        </w:rPr>
        <w:fldChar w:fldCharType="separate"/>
      </w:r>
      <w:r w:rsidR="008D7264">
        <w:rPr>
          <w:noProof/>
        </w:rPr>
        <w:t>37</w:t>
      </w:r>
      <w:r>
        <w:rPr>
          <w:noProof/>
        </w:rPr>
        <w:fldChar w:fldCharType="end"/>
      </w:r>
    </w:p>
    <w:p w14:paraId="33E5F7B5" w14:textId="0B623321"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Benefits of registering notifiable instruments instead of gazettes</w:t>
      </w:r>
      <w:r>
        <w:rPr>
          <w:noProof/>
        </w:rPr>
        <w:tab/>
      </w:r>
      <w:r>
        <w:rPr>
          <w:noProof/>
        </w:rPr>
        <w:fldChar w:fldCharType="begin"/>
      </w:r>
      <w:r>
        <w:rPr>
          <w:noProof/>
        </w:rPr>
        <w:instrText xml:space="preserve"> PAGEREF _Toc223687766 \h </w:instrText>
      </w:r>
      <w:r>
        <w:rPr>
          <w:noProof/>
        </w:rPr>
      </w:r>
      <w:r>
        <w:rPr>
          <w:noProof/>
        </w:rPr>
        <w:fldChar w:fldCharType="separate"/>
      </w:r>
      <w:r w:rsidR="008D7264">
        <w:rPr>
          <w:noProof/>
        </w:rPr>
        <w:t>38</w:t>
      </w:r>
      <w:r>
        <w:rPr>
          <w:noProof/>
        </w:rPr>
        <w:fldChar w:fldCharType="end"/>
      </w:r>
    </w:p>
    <w:p w14:paraId="185C9739" w14:textId="0C679BAA"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If an instrument is to be notified/published in addition to registration</w:t>
      </w:r>
      <w:r>
        <w:rPr>
          <w:noProof/>
        </w:rPr>
        <w:tab/>
      </w:r>
      <w:r>
        <w:rPr>
          <w:noProof/>
        </w:rPr>
        <w:fldChar w:fldCharType="begin"/>
      </w:r>
      <w:r>
        <w:rPr>
          <w:noProof/>
        </w:rPr>
        <w:instrText xml:space="preserve"> PAGEREF _Toc223687767 \h </w:instrText>
      </w:r>
      <w:r>
        <w:rPr>
          <w:noProof/>
        </w:rPr>
      </w:r>
      <w:r>
        <w:rPr>
          <w:noProof/>
        </w:rPr>
        <w:fldChar w:fldCharType="separate"/>
      </w:r>
      <w:r w:rsidR="008D7264">
        <w:rPr>
          <w:noProof/>
        </w:rPr>
        <w:t>38</w:t>
      </w:r>
      <w:r>
        <w:rPr>
          <w:noProof/>
        </w:rPr>
        <w:fldChar w:fldCharType="end"/>
      </w:r>
    </w:p>
    <w:p w14:paraId="33222F96" w14:textId="02419D49"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lang w:eastAsia="en-US"/>
        </w:rPr>
        <w:t>Chapter 5—Compilations</w:t>
      </w:r>
      <w:r>
        <w:rPr>
          <w:noProof/>
        </w:rPr>
        <w:tab/>
      </w:r>
      <w:r>
        <w:rPr>
          <w:noProof/>
        </w:rPr>
        <w:fldChar w:fldCharType="begin"/>
      </w:r>
      <w:r>
        <w:rPr>
          <w:noProof/>
        </w:rPr>
        <w:instrText xml:space="preserve"> PAGEREF _Toc223687768 \h </w:instrText>
      </w:r>
      <w:r>
        <w:rPr>
          <w:noProof/>
        </w:rPr>
      </w:r>
      <w:r>
        <w:rPr>
          <w:noProof/>
        </w:rPr>
        <w:fldChar w:fldCharType="separate"/>
      </w:r>
      <w:r w:rsidR="008D7264">
        <w:rPr>
          <w:noProof/>
        </w:rPr>
        <w:t>40</w:t>
      </w:r>
      <w:r>
        <w:rPr>
          <w:noProof/>
        </w:rPr>
        <w:fldChar w:fldCharType="end"/>
      </w:r>
    </w:p>
    <w:p w14:paraId="41886B14" w14:textId="4B7D25EF"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General</w:t>
      </w:r>
      <w:r>
        <w:rPr>
          <w:noProof/>
        </w:rPr>
        <w:tab/>
      </w:r>
      <w:r w:rsidR="0037274B">
        <w:rPr>
          <w:noProof/>
        </w:rPr>
        <w:tab/>
      </w:r>
      <w:r>
        <w:rPr>
          <w:noProof/>
        </w:rPr>
        <w:fldChar w:fldCharType="begin"/>
      </w:r>
      <w:r>
        <w:rPr>
          <w:noProof/>
        </w:rPr>
        <w:instrText xml:space="preserve"> PAGEREF _Toc223687769 \h </w:instrText>
      </w:r>
      <w:r>
        <w:rPr>
          <w:noProof/>
        </w:rPr>
      </w:r>
      <w:r>
        <w:rPr>
          <w:noProof/>
        </w:rPr>
        <w:fldChar w:fldCharType="separate"/>
      </w:r>
      <w:r w:rsidR="008D7264">
        <w:rPr>
          <w:noProof/>
        </w:rPr>
        <w:t>40</w:t>
      </w:r>
      <w:r>
        <w:rPr>
          <w:noProof/>
        </w:rPr>
        <w:fldChar w:fldCharType="end"/>
      </w:r>
    </w:p>
    <w:p w14:paraId="2980B316" w14:textId="7C9CD828"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When to prepare compilations</w:t>
      </w:r>
      <w:r>
        <w:rPr>
          <w:noProof/>
        </w:rPr>
        <w:tab/>
      </w:r>
      <w:r>
        <w:rPr>
          <w:noProof/>
        </w:rPr>
        <w:fldChar w:fldCharType="begin"/>
      </w:r>
      <w:r>
        <w:rPr>
          <w:noProof/>
        </w:rPr>
        <w:instrText xml:space="preserve"> PAGEREF _Toc223687770 \h </w:instrText>
      </w:r>
      <w:r>
        <w:rPr>
          <w:noProof/>
        </w:rPr>
      </w:r>
      <w:r>
        <w:rPr>
          <w:noProof/>
        </w:rPr>
        <w:fldChar w:fldCharType="separate"/>
      </w:r>
      <w:r w:rsidR="008D7264">
        <w:rPr>
          <w:noProof/>
        </w:rPr>
        <w:t>40</w:t>
      </w:r>
      <w:r>
        <w:rPr>
          <w:noProof/>
        </w:rPr>
        <w:fldChar w:fldCharType="end"/>
      </w:r>
    </w:p>
    <w:p w14:paraId="49631E25" w14:textId="0AA09BCF"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If amendments to an instrument have not taken effect</w:t>
      </w:r>
      <w:r>
        <w:rPr>
          <w:noProof/>
        </w:rPr>
        <w:tab/>
      </w:r>
      <w:r>
        <w:rPr>
          <w:noProof/>
        </w:rPr>
        <w:fldChar w:fldCharType="begin"/>
      </w:r>
      <w:r>
        <w:rPr>
          <w:noProof/>
        </w:rPr>
        <w:instrText xml:space="preserve"> PAGEREF _Toc223687771 \h </w:instrText>
      </w:r>
      <w:r>
        <w:rPr>
          <w:noProof/>
        </w:rPr>
      </w:r>
      <w:r>
        <w:rPr>
          <w:noProof/>
        </w:rPr>
        <w:fldChar w:fldCharType="separate"/>
      </w:r>
      <w:r w:rsidR="008D7264">
        <w:rPr>
          <w:noProof/>
        </w:rPr>
        <w:t>42</w:t>
      </w:r>
      <w:r>
        <w:rPr>
          <w:noProof/>
        </w:rPr>
        <w:fldChar w:fldCharType="end"/>
      </w:r>
    </w:p>
    <w:p w14:paraId="7A885265" w14:textId="04FB7F61"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Who can prepare compilations</w:t>
      </w:r>
      <w:r>
        <w:rPr>
          <w:noProof/>
        </w:rPr>
        <w:tab/>
      </w:r>
      <w:r>
        <w:rPr>
          <w:noProof/>
        </w:rPr>
        <w:fldChar w:fldCharType="begin"/>
      </w:r>
      <w:r>
        <w:rPr>
          <w:noProof/>
        </w:rPr>
        <w:instrText xml:space="preserve"> PAGEREF _Toc223687772 \h </w:instrText>
      </w:r>
      <w:r>
        <w:rPr>
          <w:noProof/>
        </w:rPr>
      </w:r>
      <w:r>
        <w:rPr>
          <w:noProof/>
        </w:rPr>
        <w:fldChar w:fldCharType="separate"/>
      </w:r>
      <w:r w:rsidR="008D7264">
        <w:rPr>
          <w:noProof/>
        </w:rPr>
        <w:t>42</w:t>
      </w:r>
      <w:r>
        <w:rPr>
          <w:noProof/>
        </w:rPr>
        <w:fldChar w:fldCharType="end"/>
      </w:r>
    </w:p>
    <w:p w14:paraId="5ACDEE8A" w14:textId="570097B6"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What must be included in compilations</w:t>
      </w:r>
      <w:r>
        <w:rPr>
          <w:noProof/>
        </w:rPr>
        <w:tab/>
      </w:r>
      <w:r>
        <w:rPr>
          <w:noProof/>
        </w:rPr>
        <w:fldChar w:fldCharType="begin"/>
      </w:r>
      <w:r>
        <w:rPr>
          <w:noProof/>
        </w:rPr>
        <w:instrText xml:space="preserve"> PAGEREF _Toc223687773 \h </w:instrText>
      </w:r>
      <w:r>
        <w:rPr>
          <w:noProof/>
        </w:rPr>
      </w:r>
      <w:r>
        <w:rPr>
          <w:noProof/>
        </w:rPr>
        <w:fldChar w:fldCharType="separate"/>
      </w:r>
      <w:r w:rsidR="008D7264">
        <w:rPr>
          <w:noProof/>
        </w:rPr>
        <w:t>42</w:t>
      </w:r>
      <w:r>
        <w:rPr>
          <w:noProof/>
        </w:rPr>
        <w:fldChar w:fldCharType="end"/>
      </w:r>
    </w:p>
    <w:p w14:paraId="29451C18" w14:textId="5627F0FA"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Scope to correct errors and make other changes</w:t>
      </w:r>
      <w:r>
        <w:rPr>
          <w:noProof/>
        </w:rPr>
        <w:tab/>
      </w:r>
      <w:r>
        <w:rPr>
          <w:noProof/>
        </w:rPr>
        <w:fldChar w:fldCharType="begin"/>
      </w:r>
      <w:r>
        <w:rPr>
          <w:noProof/>
        </w:rPr>
        <w:instrText xml:space="preserve"> PAGEREF _Toc223687774 \h </w:instrText>
      </w:r>
      <w:r>
        <w:rPr>
          <w:noProof/>
        </w:rPr>
      </w:r>
      <w:r>
        <w:rPr>
          <w:noProof/>
        </w:rPr>
        <w:fldChar w:fldCharType="separate"/>
      </w:r>
      <w:r w:rsidR="008D7264">
        <w:rPr>
          <w:noProof/>
        </w:rPr>
        <w:t>53</w:t>
      </w:r>
      <w:r>
        <w:rPr>
          <w:noProof/>
        </w:rPr>
        <w:fldChar w:fldCharType="end"/>
      </w:r>
    </w:p>
    <w:p w14:paraId="5B539723" w14:textId="25740998"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How to lodge compilations for registration</w:t>
      </w:r>
      <w:r>
        <w:rPr>
          <w:noProof/>
        </w:rPr>
        <w:tab/>
      </w:r>
      <w:r>
        <w:rPr>
          <w:noProof/>
        </w:rPr>
        <w:fldChar w:fldCharType="begin"/>
      </w:r>
      <w:r>
        <w:rPr>
          <w:noProof/>
        </w:rPr>
        <w:instrText xml:space="preserve"> PAGEREF _Toc223687775 \h </w:instrText>
      </w:r>
      <w:r>
        <w:rPr>
          <w:noProof/>
        </w:rPr>
      </w:r>
      <w:r>
        <w:rPr>
          <w:noProof/>
        </w:rPr>
        <w:fldChar w:fldCharType="separate"/>
      </w:r>
      <w:r w:rsidR="008D7264">
        <w:rPr>
          <w:noProof/>
        </w:rPr>
        <w:t>53</w:t>
      </w:r>
      <w:r>
        <w:rPr>
          <w:noProof/>
        </w:rPr>
        <w:fldChar w:fldCharType="end"/>
      </w:r>
    </w:p>
    <w:p w14:paraId="30DA126D" w14:textId="0933CFCF"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Chapter 6—Keeping the Register up to date</w:t>
      </w:r>
      <w:r>
        <w:rPr>
          <w:noProof/>
        </w:rPr>
        <w:tab/>
      </w:r>
      <w:r>
        <w:rPr>
          <w:noProof/>
        </w:rPr>
        <w:fldChar w:fldCharType="begin"/>
      </w:r>
      <w:r>
        <w:rPr>
          <w:noProof/>
        </w:rPr>
        <w:instrText xml:space="preserve"> PAGEREF _Toc223687776 \h </w:instrText>
      </w:r>
      <w:r>
        <w:rPr>
          <w:noProof/>
        </w:rPr>
      </w:r>
      <w:r>
        <w:rPr>
          <w:noProof/>
        </w:rPr>
        <w:fldChar w:fldCharType="separate"/>
      </w:r>
      <w:r w:rsidR="008D7264">
        <w:rPr>
          <w:noProof/>
        </w:rPr>
        <w:t>54</w:t>
      </w:r>
      <w:r>
        <w:rPr>
          <w:noProof/>
        </w:rPr>
        <w:fldChar w:fldCharType="end"/>
      </w:r>
    </w:p>
    <w:p w14:paraId="3901AAFA" w14:textId="60F8E79B"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General</w:t>
      </w:r>
      <w:r>
        <w:rPr>
          <w:noProof/>
        </w:rPr>
        <w:tab/>
      </w:r>
      <w:r w:rsidR="0037274B">
        <w:rPr>
          <w:noProof/>
        </w:rPr>
        <w:tab/>
      </w:r>
      <w:r>
        <w:rPr>
          <w:noProof/>
        </w:rPr>
        <w:fldChar w:fldCharType="begin"/>
      </w:r>
      <w:r>
        <w:rPr>
          <w:noProof/>
        </w:rPr>
        <w:instrText xml:space="preserve"> PAGEREF _Toc223687777 \h </w:instrText>
      </w:r>
      <w:r>
        <w:rPr>
          <w:noProof/>
        </w:rPr>
      </w:r>
      <w:r>
        <w:rPr>
          <w:noProof/>
        </w:rPr>
        <w:fldChar w:fldCharType="separate"/>
      </w:r>
      <w:r w:rsidR="008D7264">
        <w:rPr>
          <w:noProof/>
        </w:rPr>
        <w:t>54</w:t>
      </w:r>
      <w:r>
        <w:rPr>
          <w:noProof/>
        </w:rPr>
        <w:fldChar w:fldCharType="end"/>
      </w:r>
    </w:p>
    <w:p w14:paraId="10090853" w14:textId="133A8E2B"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Agencies must act on lodgements found to contain errors</w:t>
      </w:r>
      <w:r>
        <w:rPr>
          <w:noProof/>
        </w:rPr>
        <w:tab/>
      </w:r>
      <w:r>
        <w:rPr>
          <w:noProof/>
        </w:rPr>
        <w:fldChar w:fldCharType="begin"/>
      </w:r>
      <w:r>
        <w:rPr>
          <w:noProof/>
        </w:rPr>
        <w:instrText xml:space="preserve"> PAGEREF _Toc223687778 \h </w:instrText>
      </w:r>
      <w:r>
        <w:rPr>
          <w:noProof/>
        </w:rPr>
      </w:r>
      <w:r>
        <w:rPr>
          <w:noProof/>
        </w:rPr>
        <w:fldChar w:fldCharType="separate"/>
      </w:r>
      <w:r w:rsidR="008D7264">
        <w:rPr>
          <w:noProof/>
        </w:rPr>
        <w:t>54</w:t>
      </w:r>
      <w:r>
        <w:rPr>
          <w:noProof/>
        </w:rPr>
        <w:fldChar w:fldCharType="end"/>
      </w:r>
    </w:p>
    <w:p w14:paraId="459100EA" w14:textId="0D21CD77"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Agencies must notify other events affecting the Register</w:t>
      </w:r>
      <w:r>
        <w:rPr>
          <w:noProof/>
        </w:rPr>
        <w:tab/>
      </w:r>
      <w:r>
        <w:rPr>
          <w:noProof/>
        </w:rPr>
        <w:fldChar w:fldCharType="begin"/>
      </w:r>
      <w:r>
        <w:rPr>
          <w:noProof/>
        </w:rPr>
        <w:instrText xml:space="preserve"> PAGEREF _Toc223687779 \h </w:instrText>
      </w:r>
      <w:r>
        <w:rPr>
          <w:noProof/>
        </w:rPr>
      </w:r>
      <w:r>
        <w:rPr>
          <w:noProof/>
        </w:rPr>
        <w:fldChar w:fldCharType="separate"/>
      </w:r>
      <w:r w:rsidR="008D7264">
        <w:rPr>
          <w:noProof/>
        </w:rPr>
        <w:t>55</w:t>
      </w:r>
      <w:r>
        <w:rPr>
          <w:noProof/>
        </w:rPr>
        <w:fldChar w:fldCharType="end"/>
      </w:r>
    </w:p>
    <w:p w14:paraId="66DCE3A7" w14:textId="367A3599"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If an error is found in the Register</w:t>
      </w:r>
      <w:r>
        <w:rPr>
          <w:noProof/>
        </w:rPr>
        <w:tab/>
      </w:r>
      <w:r>
        <w:rPr>
          <w:noProof/>
        </w:rPr>
        <w:fldChar w:fldCharType="begin"/>
      </w:r>
      <w:r>
        <w:rPr>
          <w:noProof/>
        </w:rPr>
        <w:instrText xml:space="preserve"> PAGEREF _Toc223687780 \h </w:instrText>
      </w:r>
      <w:r>
        <w:rPr>
          <w:noProof/>
        </w:rPr>
      </w:r>
      <w:r>
        <w:rPr>
          <w:noProof/>
        </w:rPr>
        <w:fldChar w:fldCharType="separate"/>
      </w:r>
      <w:r w:rsidR="008D7264">
        <w:rPr>
          <w:noProof/>
        </w:rPr>
        <w:t>56</w:t>
      </w:r>
      <w:r>
        <w:rPr>
          <w:noProof/>
        </w:rPr>
        <w:fldChar w:fldCharType="end"/>
      </w:r>
    </w:p>
    <w:p w14:paraId="431664EB" w14:textId="4D11D311"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Rectification of disallowable legislative instruments</w:t>
      </w:r>
      <w:r>
        <w:rPr>
          <w:noProof/>
        </w:rPr>
        <w:tab/>
      </w:r>
      <w:r>
        <w:rPr>
          <w:noProof/>
        </w:rPr>
        <w:fldChar w:fldCharType="begin"/>
      </w:r>
      <w:r>
        <w:rPr>
          <w:noProof/>
        </w:rPr>
        <w:instrText xml:space="preserve"> PAGEREF _Toc223687781 \h </w:instrText>
      </w:r>
      <w:r>
        <w:rPr>
          <w:noProof/>
        </w:rPr>
      </w:r>
      <w:r>
        <w:rPr>
          <w:noProof/>
        </w:rPr>
        <w:fldChar w:fldCharType="separate"/>
      </w:r>
      <w:r w:rsidR="008D7264">
        <w:rPr>
          <w:noProof/>
        </w:rPr>
        <w:t>57</w:t>
      </w:r>
      <w:r>
        <w:rPr>
          <w:noProof/>
        </w:rPr>
        <w:fldChar w:fldCharType="end"/>
      </w:r>
    </w:p>
    <w:p w14:paraId="4D2A70C0" w14:textId="519AA39B"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Scope for redaction or removal of registered documents</w:t>
      </w:r>
      <w:r>
        <w:rPr>
          <w:noProof/>
        </w:rPr>
        <w:tab/>
      </w:r>
      <w:r>
        <w:rPr>
          <w:noProof/>
        </w:rPr>
        <w:fldChar w:fldCharType="begin"/>
      </w:r>
      <w:r>
        <w:rPr>
          <w:noProof/>
        </w:rPr>
        <w:instrText xml:space="preserve"> PAGEREF _Toc223687782 \h </w:instrText>
      </w:r>
      <w:r>
        <w:rPr>
          <w:noProof/>
        </w:rPr>
      </w:r>
      <w:r>
        <w:rPr>
          <w:noProof/>
        </w:rPr>
        <w:fldChar w:fldCharType="separate"/>
      </w:r>
      <w:r w:rsidR="008D7264">
        <w:rPr>
          <w:noProof/>
        </w:rPr>
        <w:t>58</w:t>
      </w:r>
      <w:r>
        <w:rPr>
          <w:noProof/>
        </w:rPr>
        <w:fldChar w:fldCharType="end"/>
      </w:r>
    </w:p>
    <w:p w14:paraId="7034465F" w14:textId="2F1CDD7E"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Scope for removal of reviewing comments</w:t>
      </w:r>
      <w:r>
        <w:rPr>
          <w:noProof/>
        </w:rPr>
        <w:tab/>
      </w:r>
      <w:r>
        <w:rPr>
          <w:noProof/>
        </w:rPr>
        <w:fldChar w:fldCharType="begin"/>
      </w:r>
      <w:r>
        <w:rPr>
          <w:noProof/>
        </w:rPr>
        <w:instrText xml:space="preserve"> PAGEREF _Toc223687783 \h </w:instrText>
      </w:r>
      <w:r>
        <w:rPr>
          <w:noProof/>
        </w:rPr>
      </w:r>
      <w:r>
        <w:rPr>
          <w:noProof/>
        </w:rPr>
        <w:fldChar w:fldCharType="separate"/>
      </w:r>
      <w:r w:rsidR="008D7264">
        <w:rPr>
          <w:noProof/>
        </w:rPr>
        <w:t>58</w:t>
      </w:r>
      <w:r>
        <w:rPr>
          <w:noProof/>
        </w:rPr>
        <w:fldChar w:fldCharType="end"/>
      </w:r>
    </w:p>
    <w:p w14:paraId="207C9570" w14:textId="5706FD55"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Scope for republication of registered content</w:t>
      </w:r>
      <w:r>
        <w:rPr>
          <w:noProof/>
        </w:rPr>
        <w:tab/>
      </w:r>
      <w:r>
        <w:rPr>
          <w:noProof/>
        </w:rPr>
        <w:fldChar w:fldCharType="begin"/>
      </w:r>
      <w:r>
        <w:rPr>
          <w:noProof/>
        </w:rPr>
        <w:instrText xml:space="preserve"> PAGEREF _Toc223687784 \h </w:instrText>
      </w:r>
      <w:r>
        <w:rPr>
          <w:noProof/>
        </w:rPr>
      </w:r>
      <w:r>
        <w:rPr>
          <w:noProof/>
        </w:rPr>
        <w:fldChar w:fldCharType="separate"/>
      </w:r>
      <w:r w:rsidR="008D7264">
        <w:rPr>
          <w:noProof/>
        </w:rPr>
        <w:t>58</w:t>
      </w:r>
      <w:r>
        <w:rPr>
          <w:noProof/>
        </w:rPr>
        <w:fldChar w:fldCharType="end"/>
      </w:r>
    </w:p>
    <w:p w14:paraId="667DA4F4" w14:textId="022B39E5"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If an instrument is no longer required</w:t>
      </w:r>
      <w:r>
        <w:rPr>
          <w:noProof/>
        </w:rPr>
        <w:tab/>
      </w:r>
      <w:r>
        <w:rPr>
          <w:noProof/>
        </w:rPr>
        <w:fldChar w:fldCharType="begin"/>
      </w:r>
      <w:r>
        <w:rPr>
          <w:noProof/>
        </w:rPr>
        <w:instrText xml:space="preserve"> PAGEREF _Toc223687785 \h </w:instrText>
      </w:r>
      <w:r>
        <w:rPr>
          <w:noProof/>
        </w:rPr>
      </w:r>
      <w:r>
        <w:rPr>
          <w:noProof/>
        </w:rPr>
        <w:fldChar w:fldCharType="separate"/>
      </w:r>
      <w:r w:rsidR="008D7264">
        <w:rPr>
          <w:noProof/>
        </w:rPr>
        <w:t>59</w:t>
      </w:r>
      <w:r>
        <w:rPr>
          <w:noProof/>
        </w:rPr>
        <w:fldChar w:fldCharType="end"/>
      </w:r>
    </w:p>
    <w:p w14:paraId="7D2E187A" w14:textId="197E8ACF"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Automatic and bulk repeal under Part 3 of Chapter 3 of the LA</w:t>
      </w:r>
      <w:r>
        <w:rPr>
          <w:noProof/>
        </w:rPr>
        <w:tab/>
      </w:r>
      <w:r>
        <w:rPr>
          <w:noProof/>
        </w:rPr>
        <w:fldChar w:fldCharType="begin"/>
      </w:r>
      <w:r>
        <w:rPr>
          <w:noProof/>
        </w:rPr>
        <w:instrText xml:space="preserve"> PAGEREF _Toc223687786 \h </w:instrText>
      </w:r>
      <w:r>
        <w:rPr>
          <w:noProof/>
        </w:rPr>
      </w:r>
      <w:r>
        <w:rPr>
          <w:noProof/>
        </w:rPr>
        <w:fldChar w:fldCharType="separate"/>
      </w:r>
      <w:r w:rsidR="008D7264">
        <w:rPr>
          <w:noProof/>
        </w:rPr>
        <w:t>60</w:t>
      </w:r>
      <w:r>
        <w:rPr>
          <w:noProof/>
        </w:rPr>
        <w:fldChar w:fldCharType="end"/>
      </w:r>
    </w:p>
    <w:p w14:paraId="6C6DF97A" w14:textId="5D1C35F3"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lastRenderedPageBreak/>
        <w:t>Direct repeal by rule</w:t>
      </w:r>
      <w:r>
        <w:rPr>
          <w:noProof/>
        </w:rPr>
        <w:noBreakHyphen/>
        <w:t>maker</w:t>
      </w:r>
      <w:r>
        <w:rPr>
          <w:noProof/>
        </w:rPr>
        <w:tab/>
      </w:r>
      <w:r>
        <w:rPr>
          <w:noProof/>
        </w:rPr>
        <w:fldChar w:fldCharType="begin"/>
      </w:r>
      <w:r>
        <w:rPr>
          <w:noProof/>
        </w:rPr>
        <w:instrText xml:space="preserve"> PAGEREF _Toc223687787 \h </w:instrText>
      </w:r>
      <w:r>
        <w:rPr>
          <w:noProof/>
        </w:rPr>
      </w:r>
      <w:r>
        <w:rPr>
          <w:noProof/>
        </w:rPr>
        <w:fldChar w:fldCharType="separate"/>
      </w:r>
      <w:r w:rsidR="008D7264">
        <w:rPr>
          <w:noProof/>
        </w:rPr>
        <w:t>60</w:t>
      </w:r>
      <w:r>
        <w:rPr>
          <w:noProof/>
        </w:rPr>
        <w:fldChar w:fldCharType="end"/>
      </w:r>
    </w:p>
    <w:p w14:paraId="5208B295" w14:textId="48358076"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Sunsetting under Part 4 of Chapter 3 of the LA</w:t>
      </w:r>
      <w:r>
        <w:rPr>
          <w:noProof/>
        </w:rPr>
        <w:tab/>
      </w:r>
      <w:r>
        <w:rPr>
          <w:noProof/>
        </w:rPr>
        <w:fldChar w:fldCharType="begin"/>
      </w:r>
      <w:r>
        <w:rPr>
          <w:noProof/>
        </w:rPr>
        <w:instrText xml:space="preserve"> PAGEREF _Toc223687788 \h </w:instrText>
      </w:r>
      <w:r>
        <w:rPr>
          <w:noProof/>
        </w:rPr>
      </w:r>
      <w:r>
        <w:rPr>
          <w:noProof/>
        </w:rPr>
        <w:fldChar w:fldCharType="separate"/>
      </w:r>
      <w:r w:rsidR="008D7264">
        <w:rPr>
          <w:noProof/>
        </w:rPr>
        <w:t>61</w:t>
      </w:r>
      <w:r>
        <w:rPr>
          <w:noProof/>
        </w:rPr>
        <w:fldChar w:fldCharType="end"/>
      </w:r>
    </w:p>
    <w:p w14:paraId="32B7E24F" w14:textId="31BF7918"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Part 2—Matters specific to legislative instruments</w:t>
      </w:r>
      <w:r>
        <w:rPr>
          <w:noProof/>
        </w:rPr>
        <w:tab/>
      </w:r>
      <w:r>
        <w:rPr>
          <w:noProof/>
        </w:rPr>
        <w:fldChar w:fldCharType="begin"/>
      </w:r>
      <w:r>
        <w:rPr>
          <w:noProof/>
        </w:rPr>
        <w:instrText xml:space="preserve"> PAGEREF _Toc223687789 \h </w:instrText>
      </w:r>
      <w:r>
        <w:rPr>
          <w:noProof/>
        </w:rPr>
      </w:r>
      <w:r>
        <w:rPr>
          <w:noProof/>
        </w:rPr>
        <w:fldChar w:fldCharType="separate"/>
      </w:r>
      <w:r w:rsidR="008D7264">
        <w:rPr>
          <w:noProof/>
        </w:rPr>
        <w:t>62</w:t>
      </w:r>
      <w:r>
        <w:rPr>
          <w:noProof/>
        </w:rPr>
        <w:fldChar w:fldCharType="end"/>
      </w:r>
    </w:p>
    <w:p w14:paraId="5371C4EB" w14:textId="147621D4"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Chapter 7—Before making a legislative instrument</w:t>
      </w:r>
      <w:r>
        <w:rPr>
          <w:noProof/>
        </w:rPr>
        <w:tab/>
      </w:r>
      <w:r>
        <w:rPr>
          <w:noProof/>
        </w:rPr>
        <w:fldChar w:fldCharType="begin"/>
      </w:r>
      <w:r>
        <w:rPr>
          <w:noProof/>
        </w:rPr>
        <w:instrText xml:space="preserve"> PAGEREF _Toc223687790 \h </w:instrText>
      </w:r>
      <w:r>
        <w:rPr>
          <w:noProof/>
        </w:rPr>
      </w:r>
      <w:r>
        <w:rPr>
          <w:noProof/>
        </w:rPr>
        <w:fldChar w:fldCharType="separate"/>
      </w:r>
      <w:r w:rsidR="008D7264">
        <w:rPr>
          <w:noProof/>
        </w:rPr>
        <w:t>62</w:t>
      </w:r>
      <w:r>
        <w:rPr>
          <w:noProof/>
        </w:rPr>
        <w:fldChar w:fldCharType="end"/>
      </w:r>
    </w:p>
    <w:p w14:paraId="4E9C4B81" w14:textId="7E22472E"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What is making?</w:t>
      </w:r>
      <w:r>
        <w:rPr>
          <w:noProof/>
        </w:rPr>
        <w:tab/>
      </w:r>
      <w:r>
        <w:rPr>
          <w:noProof/>
        </w:rPr>
        <w:fldChar w:fldCharType="begin"/>
      </w:r>
      <w:r>
        <w:rPr>
          <w:noProof/>
        </w:rPr>
        <w:instrText xml:space="preserve"> PAGEREF _Toc223687791 \h </w:instrText>
      </w:r>
      <w:r>
        <w:rPr>
          <w:noProof/>
        </w:rPr>
      </w:r>
      <w:r>
        <w:rPr>
          <w:noProof/>
        </w:rPr>
        <w:fldChar w:fldCharType="separate"/>
      </w:r>
      <w:r w:rsidR="008D7264">
        <w:rPr>
          <w:noProof/>
        </w:rPr>
        <w:t>62</w:t>
      </w:r>
      <w:r>
        <w:rPr>
          <w:noProof/>
        </w:rPr>
        <w:fldChar w:fldCharType="end"/>
      </w:r>
    </w:p>
    <w:p w14:paraId="5D096F6D" w14:textId="32159E1B"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Making legislative instruments</w:t>
      </w:r>
      <w:r>
        <w:rPr>
          <w:noProof/>
        </w:rPr>
        <w:tab/>
      </w:r>
      <w:r>
        <w:rPr>
          <w:noProof/>
        </w:rPr>
        <w:fldChar w:fldCharType="begin"/>
      </w:r>
      <w:r>
        <w:rPr>
          <w:noProof/>
        </w:rPr>
        <w:instrText xml:space="preserve"> PAGEREF _Toc223687792 \h </w:instrText>
      </w:r>
      <w:r>
        <w:rPr>
          <w:noProof/>
        </w:rPr>
      </w:r>
      <w:r>
        <w:rPr>
          <w:noProof/>
        </w:rPr>
        <w:fldChar w:fldCharType="separate"/>
      </w:r>
      <w:r w:rsidR="008D7264">
        <w:rPr>
          <w:noProof/>
        </w:rPr>
        <w:t>62</w:t>
      </w:r>
      <w:r>
        <w:rPr>
          <w:noProof/>
        </w:rPr>
        <w:fldChar w:fldCharType="end"/>
      </w:r>
    </w:p>
    <w:p w14:paraId="4E048116" w14:textId="1B1725CD"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Requirement to consult before making</w:t>
      </w:r>
      <w:r>
        <w:rPr>
          <w:noProof/>
        </w:rPr>
        <w:tab/>
      </w:r>
      <w:r>
        <w:rPr>
          <w:noProof/>
        </w:rPr>
        <w:fldChar w:fldCharType="begin"/>
      </w:r>
      <w:r>
        <w:rPr>
          <w:noProof/>
        </w:rPr>
        <w:instrText xml:space="preserve"> PAGEREF _Toc223687793 \h </w:instrText>
      </w:r>
      <w:r>
        <w:rPr>
          <w:noProof/>
        </w:rPr>
      </w:r>
      <w:r>
        <w:rPr>
          <w:noProof/>
        </w:rPr>
        <w:fldChar w:fldCharType="separate"/>
      </w:r>
      <w:r w:rsidR="008D7264">
        <w:rPr>
          <w:noProof/>
        </w:rPr>
        <w:t>63</w:t>
      </w:r>
      <w:r>
        <w:rPr>
          <w:noProof/>
        </w:rPr>
        <w:fldChar w:fldCharType="end"/>
      </w:r>
    </w:p>
    <w:p w14:paraId="1DD916B1" w14:textId="63F70C33"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When consultation may be unnecessary or inappropriate</w:t>
      </w:r>
      <w:r>
        <w:rPr>
          <w:noProof/>
        </w:rPr>
        <w:tab/>
      </w:r>
      <w:r>
        <w:rPr>
          <w:noProof/>
        </w:rPr>
        <w:fldChar w:fldCharType="begin"/>
      </w:r>
      <w:r>
        <w:rPr>
          <w:noProof/>
        </w:rPr>
        <w:instrText xml:space="preserve"> PAGEREF _Toc223687794 \h </w:instrText>
      </w:r>
      <w:r>
        <w:rPr>
          <w:noProof/>
        </w:rPr>
      </w:r>
      <w:r>
        <w:rPr>
          <w:noProof/>
        </w:rPr>
        <w:fldChar w:fldCharType="separate"/>
      </w:r>
      <w:r w:rsidR="008D7264">
        <w:rPr>
          <w:noProof/>
        </w:rPr>
        <w:t>64</w:t>
      </w:r>
      <w:r>
        <w:rPr>
          <w:noProof/>
        </w:rPr>
        <w:fldChar w:fldCharType="end"/>
      </w:r>
    </w:p>
    <w:p w14:paraId="2C4834C8" w14:textId="5217CE2E"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Consequences of failure to consult</w:t>
      </w:r>
      <w:r>
        <w:rPr>
          <w:noProof/>
        </w:rPr>
        <w:tab/>
      </w:r>
      <w:r>
        <w:rPr>
          <w:noProof/>
        </w:rPr>
        <w:fldChar w:fldCharType="begin"/>
      </w:r>
      <w:r>
        <w:rPr>
          <w:noProof/>
        </w:rPr>
        <w:instrText xml:space="preserve"> PAGEREF _Toc223687795 \h </w:instrText>
      </w:r>
      <w:r>
        <w:rPr>
          <w:noProof/>
        </w:rPr>
      </w:r>
      <w:r>
        <w:rPr>
          <w:noProof/>
        </w:rPr>
        <w:fldChar w:fldCharType="separate"/>
      </w:r>
      <w:r w:rsidR="008D7264">
        <w:rPr>
          <w:noProof/>
        </w:rPr>
        <w:t>64</w:t>
      </w:r>
      <w:r>
        <w:rPr>
          <w:noProof/>
        </w:rPr>
        <w:fldChar w:fldCharType="end"/>
      </w:r>
    </w:p>
    <w:p w14:paraId="691DA423" w14:textId="1B2021B0"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Requirement to assess policy impacts before making</w:t>
      </w:r>
      <w:r>
        <w:rPr>
          <w:noProof/>
        </w:rPr>
        <w:tab/>
      </w:r>
      <w:r>
        <w:rPr>
          <w:noProof/>
        </w:rPr>
        <w:fldChar w:fldCharType="begin"/>
      </w:r>
      <w:r>
        <w:rPr>
          <w:noProof/>
        </w:rPr>
        <w:instrText xml:space="preserve"> PAGEREF _Toc223687796 \h </w:instrText>
      </w:r>
      <w:r>
        <w:rPr>
          <w:noProof/>
        </w:rPr>
      </w:r>
      <w:r>
        <w:rPr>
          <w:noProof/>
        </w:rPr>
        <w:fldChar w:fldCharType="separate"/>
      </w:r>
      <w:r w:rsidR="008D7264">
        <w:rPr>
          <w:noProof/>
        </w:rPr>
        <w:t>64</w:t>
      </w:r>
      <w:r>
        <w:rPr>
          <w:noProof/>
        </w:rPr>
        <w:fldChar w:fldCharType="end"/>
      </w:r>
    </w:p>
    <w:p w14:paraId="312EB77F" w14:textId="6ADF6B59"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Other requirements to consider before making</w:t>
      </w:r>
      <w:r>
        <w:rPr>
          <w:noProof/>
        </w:rPr>
        <w:tab/>
      </w:r>
      <w:r>
        <w:rPr>
          <w:noProof/>
        </w:rPr>
        <w:fldChar w:fldCharType="begin"/>
      </w:r>
      <w:r>
        <w:rPr>
          <w:noProof/>
        </w:rPr>
        <w:instrText xml:space="preserve"> PAGEREF _Toc223687797 \h </w:instrText>
      </w:r>
      <w:r>
        <w:rPr>
          <w:noProof/>
        </w:rPr>
      </w:r>
      <w:r>
        <w:rPr>
          <w:noProof/>
        </w:rPr>
        <w:fldChar w:fldCharType="separate"/>
      </w:r>
      <w:r w:rsidR="008D7264">
        <w:rPr>
          <w:noProof/>
        </w:rPr>
        <w:t>65</w:t>
      </w:r>
      <w:r>
        <w:rPr>
          <w:noProof/>
        </w:rPr>
        <w:fldChar w:fldCharType="end"/>
      </w:r>
    </w:p>
    <w:p w14:paraId="68424260" w14:textId="093784AE"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Chapter 8—Explanatory statements</w:t>
      </w:r>
      <w:r>
        <w:rPr>
          <w:noProof/>
        </w:rPr>
        <w:tab/>
      </w:r>
      <w:r>
        <w:rPr>
          <w:noProof/>
        </w:rPr>
        <w:fldChar w:fldCharType="begin"/>
      </w:r>
      <w:r>
        <w:rPr>
          <w:noProof/>
        </w:rPr>
        <w:instrText xml:space="preserve"> PAGEREF _Toc223687798 \h </w:instrText>
      </w:r>
      <w:r>
        <w:rPr>
          <w:noProof/>
        </w:rPr>
      </w:r>
      <w:r>
        <w:rPr>
          <w:noProof/>
        </w:rPr>
        <w:fldChar w:fldCharType="separate"/>
      </w:r>
      <w:r w:rsidR="008D7264">
        <w:rPr>
          <w:noProof/>
        </w:rPr>
        <w:t>66</w:t>
      </w:r>
      <w:r>
        <w:rPr>
          <w:noProof/>
        </w:rPr>
        <w:fldChar w:fldCharType="end"/>
      </w:r>
    </w:p>
    <w:p w14:paraId="50F94267" w14:textId="6FC29710"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General</w:t>
      </w:r>
      <w:r>
        <w:rPr>
          <w:noProof/>
        </w:rPr>
        <w:tab/>
      </w:r>
      <w:r w:rsidR="0037274B">
        <w:rPr>
          <w:noProof/>
        </w:rPr>
        <w:tab/>
      </w:r>
      <w:r>
        <w:rPr>
          <w:noProof/>
        </w:rPr>
        <w:fldChar w:fldCharType="begin"/>
      </w:r>
      <w:r>
        <w:rPr>
          <w:noProof/>
        </w:rPr>
        <w:instrText xml:space="preserve"> PAGEREF _Toc223687799 \h </w:instrText>
      </w:r>
      <w:r>
        <w:rPr>
          <w:noProof/>
        </w:rPr>
      </w:r>
      <w:r>
        <w:rPr>
          <w:noProof/>
        </w:rPr>
        <w:fldChar w:fldCharType="separate"/>
      </w:r>
      <w:r w:rsidR="008D7264">
        <w:rPr>
          <w:noProof/>
        </w:rPr>
        <w:t>66</w:t>
      </w:r>
      <w:r>
        <w:rPr>
          <w:noProof/>
        </w:rPr>
        <w:fldChar w:fldCharType="end"/>
      </w:r>
    </w:p>
    <w:p w14:paraId="057547FB" w14:textId="4891C4DB"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Responsibility for approving explanatory statements</w:t>
      </w:r>
      <w:r>
        <w:rPr>
          <w:noProof/>
        </w:rPr>
        <w:tab/>
      </w:r>
      <w:r>
        <w:rPr>
          <w:noProof/>
        </w:rPr>
        <w:fldChar w:fldCharType="begin"/>
      </w:r>
      <w:r>
        <w:rPr>
          <w:noProof/>
        </w:rPr>
        <w:instrText xml:space="preserve"> PAGEREF _Toc223687800 \h </w:instrText>
      </w:r>
      <w:r>
        <w:rPr>
          <w:noProof/>
        </w:rPr>
      </w:r>
      <w:r>
        <w:rPr>
          <w:noProof/>
        </w:rPr>
        <w:fldChar w:fldCharType="separate"/>
      </w:r>
      <w:r w:rsidR="008D7264">
        <w:rPr>
          <w:noProof/>
        </w:rPr>
        <w:t>66</w:t>
      </w:r>
      <w:r>
        <w:rPr>
          <w:noProof/>
        </w:rPr>
        <w:fldChar w:fldCharType="end"/>
      </w:r>
    </w:p>
    <w:p w14:paraId="7F57247F" w14:textId="16C337A7"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Content of explanatory statements</w:t>
      </w:r>
      <w:r>
        <w:rPr>
          <w:noProof/>
        </w:rPr>
        <w:tab/>
      </w:r>
      <w:r>
        <w:rPr>
          <w:noProof/>
        </w:rPr>
        <w:fldChar w:fldCharType="begin"/>
      </w:r>
      <w:r>
        <w:rPr>
          <w:noProof/>
        </w:rPr>
        <w:instrText xml:space="preserve"> PAGEREF _Toc223687801 \h </w:instrText>
      </w:r>
      <w:r>
        <w:rPr>
          <w:noProof/>
        </w:rPr>
      </w:r>
      <w:r>
        <w:rPr>
          <w:noProof/>
        </w:rPr>
        <w:fldChar w:fldCharType="separate"/>
      </w:r>
      <w:r w:rsidR="008D7264">
        <w:rPr>
          <w:noProof/>
        </w:rPr>
        <w:t>67</w:t>
      </w:r>
      <w:r>
        <w:rPr>
          <w:noProof/>
        </w:rPr>
        <w:fldChar w:fldCharType="end"/>
      </w:r>
    </w:p>
    <w:p w14:paraId="4D2024CE" w14:textId="18EB0220"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Purpose and operation of instrument</w:t>
      </w:r>
      <w:r>
        <w:rPr>
          <w:noProof/>
        </w:rPr>
        <w:tab/>
      </w:r>
      <w:r>
        <w:rPr>
          <w:noProof/>
        </w:rPr>
        <w:fldChar w:fldCharType="begin"/>
      </w:r>
      <w:r>
        <w:rPr>
          <w:noProof/>
        </w:rPr>
        <w:instrText xml:space="preserve"> PAGEREF _Toc223687802 \h </w:instrText>
      </w:r>
      <w:r>
        <w:rPr>
          <w:noProof/>
        </w:rPr>
      </w:r>
      <w:r>
        <w:rPr>
          <w:noProof/>
        </w:rPr>
        <w:fldChar w:fldCharType="separate"/>
      </w:r>
      <w:r w:rsidR="008D7264">
        <w:rPr>
          <w:noProof/>
        </w:rPr>
        <w:t>68</w:t>
      </w:r>
      <w:r>
        <w:rPr>
          <w:noProof/>
        </w:rPr>
        <w:fldChar w:fldCharType="end"/>
      </w:r>
    </w:p>
    <w:p w14:paraId="6530D8A9" w14:textId="1A18F70A"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Documents incorporated by reference</w:t>
      </w:r>
      <w:r>
        <w:rPr>
          <w:noProof/>
        </w:rPr>
        <w:tab/>
      </w:r>
      <w:r>
        <w:rPr>
          <w:noProof/>
        </w:rPr>
        <w:fldChar w:fldCharType="begin"/>
      </w:r>
      <w:r>
        <w:rPr>
          <w:noProof/>
        </w:rPr>
        <w:instrText xml:space="preserve"> PAGEREF _Toc223687803 \h </w:instrText>
      </w:r>
      <w:r>
        <w:rPr>
          <w:noProof/>
        </w:rPr>
      </w:r>
      <w:r>
        <w:rPr>
          <w:noProof/>
        </w:rPr>
        <w:fldChar w:fldCharType="separate"/>
      </w:r>
      <w:r w:rsidR="008D7264">
        <w:rPr>
          <w:noProof/>
        </w:rPr>
        <w:t>68</w:t>
      </w:r>
      <w:r>
        <w:rPr>
          <w:noProof/>
        </w:rPr>
        <w:fldChar w:fldCharType="end"/>
      </w:r>
    </w:p>
    <w:p w14:paraId="1DF4C5D4" w14:textId="4280BA29"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Consultation</w:t>
      </w:r>
      <w:r>
        <w:rPr>
          <w:noProof/>
        </w:rPr>
        <w:tab/>
      </w:r>
      <w:r w:rsidR="0037274B">
        <w:rPr>
          <w:noProof/>
        </w:rPr>
        <w:tab/>
      </w:r>
      <w:r>
        <w:rPr>
          <w:noProof/>
        </w:rPr>
        <w:fldChar w:fldCharType="begin"/>
      </w:r>
      <w:r>
        <w:rPr>
          <w:noProof/>
        </w:rPr>
        <w:instrText xml:space="preserve"> PAGEREF _Toc223687804 \h </w:instrText>
      </w:r>
      <w:r>
        <w:rPr>
          <w:noProof/>
        </w:rPr>
      </w:r>
      <w:r>
        <w:rPr>
          <w:noProof/>
        </w:rPr>
        <w:fldChar w:fldCharType="separate"/>
      </w:r>
      <w:r w:rsidR="008D7264">
        <w:rPr>
          <w:noProof/>
        </w:rPr>
        <w:t>69</w:t>
      </w:r>
      <w:r>
        <w:rPr>
          <w:noProof/>
        </w:rPr>
        <w:fldChar w:fldCharType="end"/>
      </w:r>
    </w:p>
    <w:p w14:paraId="52562836" w14:textId="474183D3"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Human rights compatibility</w:t>
      </w:r>
      <w:r>
        <w:rPr>
          <w:noProof/>
        </w:rPr>
        <w:tab/>
      </w:r>
      <w:r>
        <w:rPr>
          <w:noProof/>
        </w:rPr>
        <w:fldChar w:fldCharType="begin"/>
      </w:r>
      <w:r>
        <w:rPr>
          <w:noProof/>
        </w:rPr>
        <w:instrText xml:space="preserve"> PAGEREF _Toc223687805 \h </w:instrText>
      </w:r>
      <w:r>
        <w:rPr>
          <w:noProof/>
        </w:rPr>
      </w:r>
      <w:r>
        <w:rPr>
          <w:noProof/>
        </w:rPr>
        <w:fldChar w:fldCharType="separate"/>
      </w:r>
      <w:r w:rsidR="008D7264">
        <w:rPr>
          <w:noProof/>
        </w:rPr>
        <w:t>69</w:t>
      </w:r>
      <w:r>
        <w:rPr>
          <w:noProof/>
        </w:rPr>
        <w:fldChar w:fldCharType="end"/>
      </w:r>
    </w:p>
    <w:p w14:paraId="4E51836C" w14:textId="220FFD02"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Other content considerations</w:t>
      </w:r>
      <w:r>
        <w:rPr>
          <w:noProof/>
        </w:rPr>
        <w:tab/>
      </w:r>
      <w:r>
        <w:rPr>
          <w:noProof/>
        </w:rPr>
        <w:fldChar w:fldCharType="begin"/>
      </w:r>
      <w:r>
        <w:rPr>
          <w:noProof/>
        </w:rPr>
        <w:instrText xml:space="preserve"> PAGEREF _Toc223687806 \h </w:instrText>
      </w:r>
      <w:r>
        <w:rPr>
          <w:noProof/>
        </w:rPr>
      </w:r>
      <w:r>
        <w:rPr>
          <w:noProof/>
        </w:rPr>
        <w:fldChar w:fldCharType="separate"/>
      </w:r>
      <w:r w:rsidR="008D7264">
        <w:rPr>
          <w:noProof/>
        </w:rPr>
        <w:t>69</w:t>
      </w:r>
      <w:r>
        <w:rPr>
          <w:noProof/>
        </w:rPr>
        <w:fldChar w:fldCharType="end"/>
      </w:r>
    </w:p>
    <w:p w14:paraId="282B9DFA" w14:textId="2CFBD7DD"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Impact Analysis requirements</w:t>
      </w:r>
      <w:r>
        <w:rPr>
          <w:noProof/>
        </w:rPr>
        <w:tab/>
      </w:r>
      <w:r>
        <w:rPr>
          <w:noProof/>
        </w:rPr>
        <w:fldChar w:fldCharType="begin"/>
      </w:r>
      <w:r>
        <w:rPr>
          <w:noProof/>
        </w:rPr>
        <w:instrText xml:space="preserve"> PAGEREF _Toc223687807 \h </w:instrText>
      </w:r>
      <w:r>
        <w:rPr>
          <w:noProof/>
        </w:rPr>
      </w:r>
      <w:r>
        <w:rPr>
          <w:noProof/>
        </w:rPr>
        <w:fldChar w:fldCharType="separate"/>
      </w:r>
      <w:r w:rsidR="008D7264">
        <w:rPr>
          <w:noProof/>
        </w:rPr>
        <w:t>69</w:t>
      </w:r>
      <w:r>
        <w:rPr>
          <w:noProof/>
        </w:rPr>
        <w:fldChar w:fldCharType="end"/>
      </w:r>
    </w:p>
    <w:p w14:paraId="2C584E32" w14:textId="75A6E8D2"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Senate Standing Committee for the Scrutiny of Delegated Legislation (SDLC) requirements</w:t>
      </w:r>
      <w:r>
        <w:rPr>
          <w:noProof/>
        </w:rPr>
        <w:tab/>
      </w:r>
      <w:r>
        <w:rPr>
          <w:noProof/>
        </w:rPr>
        <w:fldChar w:fldCharType="begin"/>
      </w:r>
      <w:r>
        <w:rPr>
          <w:noProof/>
        </w:rPr>
        <w:instrText xml:space="preserve"> PAGEREF _Toc223687808 \h </w:instrText>
      </w:r>
      <w:r>
        <w:rPr>
          <w:noProof/>
        </w:rPr>
      </w:r>
      <w:r>
        <w:rPr>
          <w:noProof/>
        </w:rPr>
        <w:fldChar w:fldCharType="separate"/>
      </w:r>
      <w:r w:rsidR="008D7264">
        <w:rPr>
          <w:noProof/>
        </w:rPr>
        <w:t>69</w:t>
      </w:r>
      <w:r>
        <w:rPr>
          <w:noProof/>
        </w:rPr>
        <w:fldChar w:fldCharType="end"/>
      </w:r>
    </w:p>
    <w:p w14:paraId="52BCADDA" w14:textId="43F8A447"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Parliamentary Joint Committee on Human Rights requirements</w:t>
      </w:r>
      <w:r>
        <w:rPr>
          <w:noProof/>
        </w:rPr>
        <w:tab/>
      </w:r>
      <w:r>
        <w:rPr>
          <w:noProof/>
        </w:rPr>
        <w:fldChar w:fldCharType="begin"/>
      </w:r>
      <w:r>
        <w:rPr>
          <w:noProof/>
        </w:rPr>
        <w:instrText xml:space="preserve"> PAGEREF _Toc223687809 \h </w:instrText>
      </w:r>
      <w:r>
        <w:rPr>
          <w:noProof/>
        </w:rPr>
      </w:r>
      <w:r>
        <w:rPr>
          <w:noProof/>
        </w:rPr>
        <w:fldChar w:fldCharType="separate"/>
      </w:r>
      <w:r w:rsidR="008D7264">
        <w:rPr>
          <w:noProof/>
        </w:rPr>
        <w:t>72</w:t>
      </w:r>
      <w:r>
        <w:rPr>
          <w:noProof/>
        </w:rPr>
        <w:fldChar w:fldCharType="end"/>
      </w:r>
    </w:p>
    <w:p w14:paraId="2B666E4C" w14:textId="3BBBD7B0"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Previous ministerial or parliamentary undertakings</w:t>
      </w:r>
      <w:r>
        <w:rPr>
          <w:noProof/>
        </w:rPr>
        <w:tab/>
      </w:r>
      <w:r>
        <w:rPr>
          <w:noProof/>
        </w:rPr>
        <w:fldChar w:fldCharType="begin"/>
      </w:r>
      <w:r>
        <w:rPr>
          <w:noProof/>
        </w:rPr>
        <w:instrText xml:space="preserve"> PAGEREF _Toc223687810 \h </w:instrText>
      </w:r>
      <w:r>
        <w:rPr>
          <w:noProof/>
        </w:rPr>
      </w:r>
      <w:r>
        <w:rPr>
          <w:noProof/>
        </w:rPr>
        <w:fldChar w:fldCharType="separate"/>
      </w:r>
      <w:r w:rsidR="008D7264">
        <w:rPr>
          <w:noProof/>
        </w:rPr>
        <w:t>73</w:t>
      </w:r>
      <w:r>
        <w:rPr>
          <w:noProof/>
        </w:rPr>
        <w:fldChar w:fldCharType="end"/>
      </w:r>
    </w:p>
    <w:p w14:paraId="13A214E1" w14:textId="452EA976"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If an instrument or provision is very similar in substance to one made recently</w:t>
      </w:r>
      <w:r>
        <w:rPr>
          <w:noProof/>
        </w:rPr>
        <w:tab/>
      </w:r>
      <w:r>
        <w:rPr>
          <w:noProof/>
        </w:rPr>
        <w:fldChar w:fldCharType="begin"/>
      </w:r>
      <w:r>
        <w:rPr>
          <w:noProof/>
        </w:rPr>
        <w:instrText xml:space="preserve"> PAGEREF _Toc223687811 \h </w:instrText>
      </w:r>
      <w:r>
        <w:rPr>
          <w:noProof/>
        </w:rPr>
      </w:r>
      <w:r>
        <w:rPr>
          <w:noProof/>
        </w:rPr>
        <w:fldChar w:fldCharType="separate"/>
      </w:r>
      <w:r w:rsidR="008D7264">
        <w:rPr>
          <w:noProof/>
        </w:rPr>
        <w:t>73</w:t>
      </w:r>
      <w:r>
        <w:rPr>
          <w:noProof/>
        </w:rPr>
        <w:fldChar w:fldCharType="end"/>
      </w:r>
    </w:p>
    <w:p w14:paraId="4C07C937" w14:textId="57C036F8"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Consequences of failure to provide explanatory statements on time</w:t>
      </w:r>
      <w:r>
        <w:rPr>
          <w:noProof/>
        </w:rPr>
        <w:tab/>
      </w:r>
      <w:r>
        <w:rPr>
          <w:noProof/>
        </w:rPr>
        <w:fldChar w:fldCharType="begin"/>
      </w:r>
      <w:r>
        <w:rPr>
          <w:noProof/>
        </w:rPr>
        <w:instrText xml:space="preserve"> PAGEREF _Toc223687812 \h </w:instrText>
      </w:r>
      <w:r>
        <w:rPr>
          <w:noProof/>
        </w:rPr>
      </w:r>
      <w:r>
        <w:rPr>
          <w:noProof/>
        </w:rPr>
        <w:fldChar w:fldCharType="separate"/>
      </w:r>
      <w:r w:rsidR="008D7264">
        <w:rPr>
          <w:noProof/>
        </w:rPr>
        <w:t>73</w:t>
      </w:r>
      <w:r>
        <w:rPr>
          <w:noProof/>
        </w:rPr>
        <w:fldChar w:fldCharType="end"/>
      </w:r>
    </w:p>
    <w:p w14:paraId="61BF15C6" w14:textId="02EEE479"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If there is a significant error or omission in an explanatory statement</w:t>
      </w:r>
      <w:r>
        <w:rPr>
          <w:noProof/>
        </w:rPr>
        <w:tab/>
      </w:r>
      <w:r>
        <w:rPr>
          <w:noProof/>
        </w:rPr>
        <w:fldChar w:fldCharType="begin"/>
      </w:r>
      <w:r>
        <w:rPr>
          <w:noProof/>
        </w:rPr>
        <w:instrText xml:space="preserve"> PAGEREF _Toc223687813 \h </w:instrText>
      </w:r>
      <w:r>
        <w:rPr>
          <w:noProof/>
        </w:rPr>
      </w:r>
      <w:r>
        <w:rPr>
          <w:noProof/>
        </w:rPr>
        <w:fldChar w:fldCharType="separate"/>
      </w:r>
      <w:r w:rsidR="008D7264">
        <w:rPr>
          <w:noProof/>
        </w:rPr>
        <w:t>73</w:t>
      </w:r>
      <w:r>
        <w:rPr>
          <w:noProof/>
        </w:rPr>
        <w:fldChar w:fldCharType="end"/>
      </w:r>
    </w:p>
    <w:p w14:paraId="7AB3421D" w14:textId="4E2A97A6"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Supporting material</w:t>
      </w:r>
      <w:r>
        <w:rPr>
          <w:noProof/>
        </w:rPr>
        <w:tab/>
      </w:r>
      <w:r>
        <w:rPr>
          <w:noProof/>
        </w:rPr>
        <w:fldChar w:fldCharType="begin"/>
      </w:r>
      <w:r>
        <w:rPr>
          <w:noProof/>
        </w:rPr>
        <w:instrText xml:space="preserve"> PAGEREF _Toc223687814 \h </w:instrText>
      </w:r>
      <w:r>
        <w:rPr>
          <w:noProof/>
        </w:rPr>
      </w:r>
      <w:r>
        <w:rPr>
          <w:noProof/>
        </w:rPr>
        <w:fldChar w:fldCharType="separate"/>
      </w:r>
      <w:r w:rsidR="008D7264">
        <w:rPr>
          <w:noProof/>
        </w:rPr>
        <w:t>74</w:t>
      </w:r>
      <w:r>
        <w:rPr>
          <w:noProof/>
        </w:rPr>
        <w:fldChar w:fldCharType="end"/>
      </w:r>
    </w:p>
    <w:p w14:paraId="49FC5609" w14:textId="0B937B03"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Chapter 9—Parliamentary scrutiny (disallowance) processes</w:t>
      </w:r>
      <w:r>
        <w:rPr>
          <w:noProof/>
        </w:rPr>
        <w:tab/>
      </w:r>
      <w:r>
        <w:rPr>
          <w:noProof/>
        </w:rPr>
        <w:fldChar w:fldCharType="begin"/>
      </w:r>
      <w:r>
        <w:rPr>
          <w:noProof/>
        </w:rPr>
        <w:instrText xml:space="preserve"> PAGEREF _Toc223687815 \h </w:instrText>
      </w:r>
      <w:r>
        <w:rPr>
          <w:noProof/>
        </w:rPr>
      </w:r>
      <w:r>
        <w:rPr>
          <w:noProof/>
        </w:rPr>
        <w:fldChar w:fldCharType="separate"/>
      </w:r>
      <w:r w:rsidR="008D7264">
        <w:rPr>
          <w:noProof/>
        </w:rPr>
        <w:t>75</w:t>
      </w:r>
      <w:r>
        <w:rPr>
          <w:noProof/>
        </w:rPr>
        <w:fldChar w:fldCharType="end"/>
      </w:r>
    </w:p>
    <w:p w14:paraId="707D68B7" w14:textId="22839231"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Background</w:t>
      </w:r>
      <w:r>
        <w:rPr>
          <w:noProof/>
        </w:rPr>
        <w:tab/>
      </w:r>
      <w:r w:rsidR="0037274B">
        <w:rPr>
          <w:noProof/>
        </w:rPr>
        <w:tab/>
      </w:r>
      <w:r>
        <w:rPr>
          <w:noProof/>
        </w:rPr>
        <w:fldChar w:fldCharType="begin"/>
      </w:r>
      <w:r>
        <w:rPr>
          <w:noProof/>
        </w:rPr>
        <w:instrText xml:space="preserve"> PAGEREF _Toc223687816 \h </w:instrText>
      </w:r>
      <w:r>
        <w:rPr>
          <w:noProof/>
        </w:rPr>
      </w:r>
      <w:r>
        <w:rPr>
          <w:noProof/>
        </w:rPr>
        <w:fldChar w:fldCharType="separate"/>
      </w:r>
      <w:r w:rsidR="008D7264">
        <w:rPr>
          <w:noProof/>
        </w:rPr>
        <w:t>75</w:t>
      </w:r>
      <w:r>
        <w:rPr>
          <w:noProof/>
        </w:rPr>
        <w:fldChar w:fldCharType="end"/>
      </w:r>
    </w:p>
    <w:p w14:paraId="16271F55" w14:textId="17917A04"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If an enabling Act has special requirements for tabling or disallowance</w:t>
      </w:r>
      <w:r>
        <w:rPr>
          <w:noProof/>
        </w:rPr>
        <w:tab/>
      </w:r>
      <w:r>
        <w:rPr>
          <w:noProof/>
        </w:rPr>
        <w:fldChar w:fldCharType="begin"/>
      </w:r>
      <w:r>
        <w:rPr>
          <w:noProof/>
        </w:rPr>
        <w:instrText xml:space="preserve"> PAGEREF _Toc223687817 \h </w:instrText>
      </w:r>
      <w:r>
        <w:rPr>
          <w:noProof/>
        </w:rPr>
      </w:r>
      <w:r>
        <w:rPr>
          <w:noProof/>
        </w:rPr>
        <w:fldChar w:fldCharType="separate"/>
      </w:r>
      <w:r w:rsidR="008D7264">
        <w:rPr>
          <w:noProof/>
        </w:rPr>
        <w:t>76</w:t>
      </w:r>
      <w:r>
        <w:rPr>
          <w:noProof/>
        </w:rPr>
        <w:fldChar w:fldCharType="end"/>
      </w:r>
    </w:p>
    <w:p w14:paraId="75E9B440" w14:textId="58A30A98"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Responsibility for delivering instruments for tabling</w:t>
      </w:r>
      <w:r>
        <w:rPr>
          <w:noProof/>
        </w:rPr>
        <w:tab/>
      </w:r>
      <w:r>
        <w:rPr>
          <w:noProof/>
        </w:rPr>
        <w:fldChar w:fldCharType="begin"/>
      </w:r>
      <w:r>
        <w:rPr>
          <w:noProof/>
        </w:rPr>
        <w:instrText xml:space="preserve"> PAGEREF _Toc223687818 \h </w:instrText>
      </w:r>
      <w:r>
        <w:rPr>
          <w:noProof/>
        </w:rPr>
      </w:r>
      <w:r>
        <w:rPr>
          <w:noProof/>
        </w:rPr>
        <w:fldChar w:fldCharType="separate"/>
      </w:r>
      <w:r w:rsidR="008D7264">
        <w:rPr>
          <w:noProof/>
        </w:rPr>
        <w:t>76</w:t>
      </w:r>
      <w:r>
        <w:rPr>
          <w:noProof/>
        </w:rPr>
        <w:fldChar w:fldCharType="end"/>
      </w:r>
    </w:p>
    <w:p w14:paraId="21B4FA2E" w14:textId="2FCF4B27"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If either House requires more information</w:t>
      </w:r>
      <w:r>
        <w:rPr>
          <w:noProof/>
        </w:rPr>
        <w:tab/>
      </w:r>
      <w:r>
        <w:rPr>
          <w:noProof/>
        </w:rPr>
        <w:fldChar w:fldCharType="begin"/>
      </w:r>
      <w:r>
        <w:rPr>
          <w:noProof/>
        </w:rPr>
        <w:instrText xml:space="preserve"> PAGEREF _Toc223687819 \h </w:instrText>
      </w:r>
      <w:r>
        <w:rPr>
          <w:noProof/>
        </w:rPr>
      </w:r>
      <w:r>
        <w:rPr>
          <w:noProof/>
        </w:rPr>
        <w:fldChar w:fldCharType="separate"/>
      </w:r>
      <w:r w:rsidR="008D7264">
        <w:rPr>
          <w:noProof/>
        </w:rPr>
        <w:t>77</w:t>
      </w:r>
      <w:r>
        <w:rPr>
          <w:noProof/>
        </w:rPr>
        <w:fldChar w:fldCharType="end"/>
      </w:r>
    </w:p>
    <w:p w14:paraId="36EE8529" w14:textId="3FF78751"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If extra documents need to be tabled or made available</w:t>
      </w:r>
      <w:r>
        <w:rPr>
          <w:noProof/>
        </w:rPr>
        <w:tab/>
      </w:r>
      <w:r>
        <w:rPr>
          <w:noProof/>
        </w:rPr>
        <w:fldChar w:fldCharType="begin"/>
      </w:r>
      <w:r>
        <w:rPr>
          <w:noProof/>
        </w:rPr>
        <w:instrText xml:space="preserve"> PAGEREF _Toc223687820 \h </w:instrText>
      </w:r>
      <w:r>
        <w:rPr>
          <w:noProof/>
        </w:rPr>
      </w:r>
      <w:r>
        <w:rPr>
          <w:noProof/>
        </w:rPr>
        <w:fldChar w:fldCharType="separate"/>
      </w:r>
      <w:r w:rsidR="008D7264">
        <w:rPr>
          <w:noProof/>
        </w:rPr>
        <w:t>78</w:t>
      </w:r>
      <w:r>
        <w:rPr>
          <w:noProof/>
        </w:rPr>
        <w:fldChar w:fldCharType="end"/>
      </w:r>
    </w:p>
    <w:p w14:paraId="7777568D" w14:textId="58C8955E"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Disallowance</w:t>
      </w:r>
      <w:r>
        <w:rPr>
          <w:noProof/>
        </w:rPr>
        <w:tab/>
      </w:r>
      <w:r>
        <w:rPr>
          <w:noProof/>
        </w:rPr>
        <w:fldChar w:fldCharType="begin"/>
      </w:r>
      <w:r>
        <w:rPr>
          <w:noProof/>
        </w:rPr>
        <w:instrText xml:space="preserve"> PAGEREF _Toc223687821 \h </w:instrText>
      </w:r>
      <w:r>
        <w:rPr>
          <w:noProof/>
        </w:rPr>
      </w:r>
      <w:r>
        <w:rPr>
          <w:noProof/>
        </w:rPr>
        <w:fldChar w:fldCharType="separate"/>
      </w:r>
      <w:r w:rsidR="008D7264">
        <w:rPr>
          <w:noProof/>
        </w:rPr>
        <w:t>78</w:t>
      </w:r>
      <w:r>
        <w:rPr>
          <w:noProof/>
        </w:rPr>
        <w:fldChar w:fldCharType="end"/>
      </w:r>
    </w:p>
    <w:p w14:paraId="38404533" w14:textId="6AA2E3B1"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What instruments are exempt from disallowance</w:t>
      </w:r>
      <w:r>
        <w:rPr>
          <w:noProof/>
        </w:rPr>
        <w:tab/>
      </w:r>
      <w:r>
        <w:rPr>
          <w:noProof/>
        </w:rPr>
        <w:fldChar w:fldCharType="begin"/>
      </w:r>
      <w:r>
        <w:rPr>
          <w:noProof/>
        </w:rPr>
        <w:instrText xml:space="preserve"> PAGEREF _Toc223687822 \h </w:instrText>
      </w:r>
      <w:r>
        <w:rPr>
          <w:noProof/>
        </w:rPr>
      </w:r>
      <w:r>
        <w:rPr>
          <w:noProof/>
        </w:rPr>
        <w:fldChar w:fldCharType="separate"/>
      </w:r>
      <w:r w:rsidR="008D7264">
        <w:rPr>
          <w:noProof/>
        </w:rPr>
        <w:t>78</w:t>
      </w:r>
      <w:r>
        <w:rPr>
          <w:noProof/>
        </w:rPr>
        <w:fldChar w:fldCharType="end"/>
      </w:r>
    </w:p>
    <w:p w14:paraId="14AB979D" w14:textId="2B9C54E9"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When instruments are open to disallowance</w:t>
      </w:r>
      <w:r>
        <w:rPr>
          <w:noProof/>
        </w:rPr>
        <w:tab/>
      </w:r>
      <w:r>
        <w:rPr>
          <w:noProof/>
        </w:rPr>
        <w:fldChar w:fldCharType="begin"/>
      </w:r>
      <w:r>
        <w:rPr>
          <w:noProof/>
        </w:rPr>
        <w:instrText xml:space="preserve"> PAGEREF _Toc223687823 \h </w:instrText>
      </w:r>
      <w:r>
        <w:rPr>
          <w:noProof/>
        </w:rPr>
      </w:r>
      <w:r>
        <w:rPr>
          <w:noProof/>
        </w:rPr>
        <w:fldChar w:fldCharType="separate"/>
      </w:r>
      <w:r w:rsidR="008D7264">
        <w:rPr>
          <w:noProof/>
        </w:rPr>
        <w:t>79</w:t>
      </w:r>
      <w:r>
        <w:rPr>
          <w:noProof/>
        </w:rPr>
        <w:fldChar w:fldCharType="end"/>
      </w:r>
    </w:p>
    <w:p w14:paraId="15E40C99" w14:textId="66846C85"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How notice of motion to disallow may be resolved</w:t>
      </w:r>
      <w:r>
        <w:rPr>
          <w:noProof/>
        </w:rPr>
        <w:tab/>
      </w:r>
      <w:r>
        <w:rPr>
          <w:noProof/>
        </w:rPr>
        <w:fldChar w:fldCharType="begin"/>
      </w:r>
      <w:r>
        <w:rPr>
          <w:noProof/>
        </w:rPr>
        <w:instrText xml:space="preserve"> PAGEREF _Toc223687824 \h </w:instrText>
      </w:r>
      <w:r>
        <w:rPr>
          <w:noProof/>
        </w:rPr>
      </w:r>
      <w:r>
        <w:rPr>
          <w:noProof/>
        </w:rPr>
        <w:fldChar w:fldCharType="separate"/>
      </w:r>
      <w:r w:rsidR="008D7264">
        <w:rPr>
          <w:noProof/>
        </w:rPr>
        <w:t>79</w:t>
      </w:r>
      <w:r>
        <w:rPr>
          <w:noProof/>
        </w:rPr>
        <w:fldChar w:fldCharType="end"/>
      </w:r>
    </w:p>
    <w:p w14:paraId="68C403A6" w14:textId="2A4ED978"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If notice of motion to disallow has been given</w:t>
      </w:r>
      <w:r>
        <w:rPr>
          <w:noProof/>
        </w:rPr>
        <w:tab/>
      </w:r>
      <w:r>
        <w:rPr>
          <w:noProof/>
        </w:rPr>
        <w:fldChar w:fldCharType="begin"/>
      </w:r>
      <w:r>
        <w:rPr>
          <w:noProof/>
        </w:rPr>
        <w:instrText xml:space="preserve"> PAGEREF _Toc223687825 \h </w:instrText>
      </w:r>
      <w:r>
        <w:rPr>
          <w:noProof/>
        </w:rPr>
      </w:r>
      <w:r>
        <w:rPr>
          <w:noProof/>
        </w:rPr>
        <w:fldChar w:fldCharType="separate"/>
      </w:r>
      <w:r w:rsidR="008D7264">
        <w:rPr>
          <w:noProof/>
        </w:rPr>
        <w:t>79</w:t>
      </w:r>
      <w:r>
        <w:rPr>
          <w:noProof/>
        </w:rPr>
        <w:fldChar w:fldCharType="end"/>
      </w:r>
    </w:p>
    <w:p w14:paraId="42CCEEBE" w14:textId="5E769CB6"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If notice of motion to disallow has passed</w:t>
      </w:r>
      <w:r>
        <w:rPr>
          <w:noProof/>
        </w:rPr>
        <w:tab/>
      </w:r>
      <w:r>
        <w:rPr>
          <w:noProof/>
        </w:rPr>
        <w:fldChar w:fldCharType="begin"/>
      </w:r>
      <w:r>
        <w:rPr>
          <w:noProof/>
        </w:rPr>
        <w:instrText xml:space="preserve"> PAGEREF _Toc223687826 \h </w:instrText>
      </w:r>
      <w:r>
        <w:rPr>
          <w:noProof/>
        </w:rPr>
      </w:r>
      <w:r>
        <w:rPr>
          <w:noProof/>
        </w:rPr>
        <w:fldChar w:fldCharType="separate"/>
      </w:r>
      <w:r w:rsidR="008D7264">
        <w:rPr>
          <w:noProof/>
        </w:rPr>
        <w:t>80</w:t>
      </w:r>
      <w:r>
        <w:rPr>
          <w:noProof/>
        </w:rPr>
        <w:fldChar w:fldCharType="end"/>
      </w:r>
    </w:p>
    <w:p w14:paraId="4AEFB707" w14:textId="0FF15D74"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Restrictions on remaking instruments before and after tabling</w:t>
      </w:r>
      <w:r>
        <w:rPr>
          <w:noProof/>
        </w:rPr>
        <w:tab/>
      </w:r>
      <w:r>
        <w:rPr>
          <w:noProof/>
        </w:rPr>
        <w:fldChar w:fldCharType="begin"/>
      </w:r>
      <w:r>
        <w:rPr>
          <w:noProof/>
        </w:rPr>
        <w:instrText xml:space="preserve"> PAGEREF _Toc223687827 \h </w:instrText>
      </w:r>
      <w:r>
        <w:rPr>
          <w:noProof/>
        </w:rPr>
      </w:r>
      <w:r>
        <w:rPr>
          <w:noProof/>
        </w:rPr>
        <w:fldChar w:fldCharType="separate"/>
      </w:r>
      <w:r w:rsidR="008D7264">
        <w:rPr>
          <w:noProof/>
        </w:rPr>
        <w:t>80</w:t>
      </w:r>
      <w:r>
        <w:rPr>
          <w:noProof/>
        </w:rPr>
        <w:fldChar w:fldCharType="end"/>
      </w:r>
    </w:p>
    <w:p w14:paraId="694D76BC" w14:textId="062FDB81"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lastRenderedPageBreak/>
        <w:t>Chapter 10—Sunsetting</w:t>
      </w:r>
      <w:r>
        <w:rPr>
          <w:noProof/>
        </w:rPr>
        <w:tab/>
      </w:r>
      <w:r>
        <w:rPr>
          <w:noProof/>
        </w:rPr>
        <w:fldChar w:fldCharType="begin"/>
      </w:r>
      <w:r>
        <w:rPr>
          <w:noProof/>
        </w:rPr>
        <w:instrText xml:space="preserve"> PAGEREF _Toc223687828 \h </w:instrText>
      </w:r>
      <w:r>
        <w:rPr>
          <w:noProof/>
        </w:rPr>
      </w:r>
      <w:r>
        <w:rPr>
          <w:noProof/>
        </w:rPr>
        <w:fldChar w:fldCharType="separate"/>
      </w:r>
      <w:r w:rsidR="008D7264">
        <w:rPr>
          <w:noProof/>
        </w:rPr>
        <w:t>82</w:t>
      </w:r>
      <w:r>
        <w:rPr>
          <w:noProof/>
        </w:rPr>
        <w:fldChar w:fldCharType="end"/>
      </w:r>
    </w:p>
    <w:p w14:paraId="5BD0F96A" w14:textId="4C6833B1"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Background</w:t>
      </w:r>
      <w:r>
        <w:rPr>
          <w:noProof/>
        </w:rPr>
        <w:tab/>
      </w:r>
      <w:r w:rsidR="0037274B">
        <w:rPr>
          <w:noProof/>
        </w:rPr>
        <w:tab/>
      </w:r>
      <w:r>
        <w:rPr>
          <w:noProof/>
        </w:rPr>
        <w:fldChar w:fldCharType="begin"/>
      </w:r>
      <w:r>
        <w:rPr>
          <w:noProof/>
        </w:rPr>
        <w:instrText xml:space="preserve"> PAGEREF _Toc223687829 \h </w:instrText>
      </w:r>
      <w:r>
        <w:rPr>
          <w:noProof/>
        </w:rPr>
      </w:r>
      <w:r>
        <w:rPr>
          <w:noProof/>
        </w:rPr>
        <w:fldChar w:fldCharType="separate"/>
      </w:r>
      <w:r w:rsidR="008D7264">
        <w:rPr>
          <w:noProof/>
        </w:rPr>
        <w:t>82</w:t>
      </w:r>
      <w:r>
        <w:rPr>
          <w:noProof/>
        </w:rPr>
        <w:fldChar w:fldCharType="end"/>
      </w:r>
    </w:p>
    <w:p w14:paraId="7AFD3FA8" w14:textId="48312C19"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How sunsetting works</w:t>
      </w:r>
      <w:r>
        <w:rPr>
          <w:noProof/>
        </w:rPr>
        <w:tab/>
      </w:r>
      <w:r>
        <w:rPr>
          <w:noProof/>
        </w:rPr>
        <w:fldChar w:fldCharType="begin"/>
      </w:r>
      <w:r>
        <w:rPr>
          <w:noProof/>
        </w:rPr>
        <w:instrText xml:space="preserve"> PAGEREF _Toc223687830 \h </w:instrText>
      </w:r>
      <w:r>
        <w:rPr>
          <w:noProof/>
        </w:rPr>
      </w:r>
      <w:r>
        <w:rPr>
          <w:noProof/>
        </w:rPr>
        <w:fldChar w:fldCharType="separate"/>
      </w:r>
      <w:r w:rsidR="008D7264">
        <w:rPr>
          <w:noProof/>
        </w:rPr>
        <w:t>83</w:t>
      </w:r>
      <w:r>
        <w:rPr>
          <w:noProof/>
        </w:rPr>
        <w:fldChar w:fldCharType="end"/>
      </w:r>
    </w:p>
    <w:p w14:paraId="607FFC4D" w14:textId="3477CF15"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What instruments are exempt from sunsetting</w:t>
      </w:r>
      <w:r>
        <w:rPr>
          <w:noProof/>
        </w:rPr>
        <w:tab/>
      </w:r>
      <w:r>
        <w:rPr>
          <w:noProof/>
        </w:rPr>
        <w:fldChar w:fldCharType="begin"/>
      </w:r>
      <w:r>
        <w:rPr>
          <w:noProof/>
        </w:rPr>
        <w:instrText xml:space="preserve"> PAGEREF _Toc223687831 \h </w:instrText>
      </w:r>
      <w:r>
        <w:rPr>
          <w:noProof/>
        </w:rPr>
      </w:r>
      <w:r>
        <w:rPr>
          <w:noProof/>
        </w:rPr>
        <w:fldChar w:fldCharType="separate"/>
      </w:r>
      <w:r w:rsidR="008D7264">
        <w:rPr>
          <w:noProof/>
        </w:rPr>
        <w:t>83</w:t>
      </w:r>
      <w:r>
        <w:rPr>
          <w:noProof/>
        </w:rPr>
        <w:fldChar w:fldCharType="end"/>
      </w:r>
    </w:p>
    <w:p w14:paraId="28FF01F2" w14:textId="668A78D1"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When instruments sunset</w:t>
      </w:r>
      <w:r>
        <w:rPr>
          <w:noProof/>
        </w:rPr>
        <w:tab/>
      </w:r>
      <w:r>
        <w:rPr>
          <w:noProof/>
        </w:rPr>
        <w:fldChar w:fldCharType="begin"/>
      </w:r>
      <w:r>
        <w:rPr>
          <w:noProof/>
        </w:rPr>
        <w:instrText xml:space="preserve"> PAGEREF _Toc223687832 \h </w:instrText>
      </w:r>
      <w:r>
        <w:rPr>
          <w:noProof/>
        </w:rPr>
      </w:r>
      <w:r>
        <w:rPr>
          <w:noProof/>
        </w:rPr>
        <w:fldChar w:fldCharType="separate"/>
      </w:r>
      <w:r w:rsidR="008D7264">
        <w:rPr>
          <w:noProof/>
        </w:rPr>
        <w:t>84</w:t>
      </w:r>
      <w:r>
        <w:rPr>
          <w:noProof/>
        </w:rPr>
        <w:fldChar w:fldCharType="end"/>
      </w:r>
    </w:p>
    <w:p w14:paraId="59FA70F0" w14:textId="4F85F540"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Advance notice of sunsetting</w:t>
      </w:r>
      <w:r>
        <w:rPr>
          <w:noProof/>
        </w:rPr>
        <w:tab/>
      </w:r>
      <w:r>
        <w:rPr>
          <w:noProof/>
        </w:rPr>
        <w:fldChar w:fldCharType="begin"/>
      </w:r>
      <w:r>
        <w:rPr>
          <w:noProof/>
        </w:rPr>
        <w:instrText xml:space="preserve"> PAGEREF _Toc223687833 \h </w:instrText>
      </w:r>
      <w:r>
        <w:rPr>
          <w:noProof/>
        </w:rPr>
      </w:r>
      <w:r>
        <w:rPr>
          <w:noProof/>
        </w:rPr>
        <w:fldChar w:fldCharType="separate"/>
      </w:r>
      <w:r w:rsidR="008D7264">
        <w:rPr>
          <w:noProof/>
        </w:rPr>
        <w:t>84</w:t>
      </w:r>
      <w:r>
        <w:rPr>
          <w:noProof/>
        </w:rPr>
        <w:fldChar w:fldCharType="end"/>
      </w:r>
    </w:p>
    <w:p w14:paraId="77CB80B9" w14:textId="6B084BA0"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What to do about sunsetting</w:t>
      </w:r>
      <w:r>
        <w:rPr>
          <w:noProof/>
        </w:rPr>
        <w:tab/>
      </w:r>
      <w:r>
        <w:rPr>
          <w:noProof/>
        </w:rPr>
        <w:fldChar w:fldCharType="begin"/>
      </w:r>
      <w:r>
        <w:rPr>
          <w:noProof/>
        </w:rPr>
        <w:instrText xml:space="preserve"> PAGEREF _Toc223687834 \h </w:instrText>
      </w:r>
      <w:r>
        <w:rPr>
          <w:noProof/>
        </w:rPr>
      </w:r>
      <w:r>
        <w:rPr>
          <w:noProof/>
        </w:rPr>
        <w:fldChar w:fldCharType="separate"/>
      </w:r>
      <w:r w:rsidR="008D7264">
        <w:rPr>
          <w:noProof/>
        </w:rPr>
        <w:t>85</w:t>
      </w:r>
      <w:r>
        <w:rPr>
          <w:noProof/>
        </w:rPr>
        <w:fldChar w:fldCharType="end"/>
      </w:r>
    </w:p>
    <w:p w14:paraId="55163BBB" w14:textId="0F27C410"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Scope to negotiate minor changes in sunset date</w:t>
      </w:r>
      <w:r>
        <w:rPr>
          <w:noProof/>
        </w:rPr>
        <w:tab/>
      </w:r>
      <w:r>
        <w:rPr>
          <w:noProof/>
        </w:rPr>
        <w:fldChar w:fldCharType="begin"/>
      </w:r>
      <w:r>
        <w:rPr>
          <w:noProof/>
        </w:rPr>
        <w:instrText xml:space="preserve"> PAGEREF _Toc223687835 \h </w:instrText>
      </w:r>
      <w:r>
        <w:rPr>
          <w:noProof/>
        </w:rPr>
      </w:r>
      <w:r>
        <w:rPr>
          <w:noProof/>
        </w:rPr>
        <w:fldChar w:fldCharType="separate"/>
      </w:r>
      <w:r w:rsidR="008D7264">
        <w:rPr>
          <w:noProof/>
        </w:rPr>
        <w:t>86</w:t>
      </w:r>
      <w:r>
        <w:rPr>
          <w:noProof/>
        </w:rPr>
        <w:fldChar w:fldCharType="end"/>
      </w:r>
    </w:p>
    <w:p w14:paraId="50FE5EF5" w14:textId="2D7E674E"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Declaration of thematic review under section 51A of the LA</w:t>
      </w:r>
      <w:r>
        <w:rPr>
          <w:noProof/>
        </w:rPr>
        <w:tab/>
      </w:r>
      <w:r>
        <w:rPr>
          <w:noProof/>
        </w:rPr>
        <w:fldChar w:fldCharType="begin"/>
      </w:r>
      <w:r>
        <w:rPr>
          <w:noProof/>
        </w:rPr>
        <w:instrText xml:space="preserve"> PAGEREF _Toc223687836 \h </w:instrText>
      </w:r>
      <w:r>
        <w:rPr>
          <w:noProof/>
        </w:rPr>
      </w:r>
      <w:r>
        <w:rPr>
          <w:noProof/>
        </w:rPr>
        <w:fldChar w:fldCharType="separate"/>
      </w:r>
      <w:r w:rsidR="008D7264">
        <w:rPr>
          <w:noProof/>
        </w:rPr>
        <w:t>86</w:t>
      </w:r>
      <w:r>
        <w:rPr>
          <w:noProof/>
        </w:rPr>
        <w:fldChar w:fldCharType="end"/>
      </w:r>
    </w:p>
    <w:p w14:paraId="498DB7AB" w14:textId="760F2734"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Attorney</w:t>
      </w:r>
      <w:r>
        <w:rPr>
          <w:noProof/>
        </w:rPr>
        <w:noBreakHyphen/>
        <w:t>General’s certificate under section 51 of the LA</w:t>
      </w:r>
      <w:r>
        <w:rPr>
          <w:noProof/>
        </w:rPr>
        <w:tab/>
      </w:r>
      <w:r>
        <w:rPr>
          <w:noProof/>
        </w:rPr>
        <w:fldChar w:fldCharType="begin"/>
      </w:r>
      <w:r>
        <w:rPr>
          <w:noProof/>
        </w:rPr>
        <w:instrText xml:space="preserve"> PAGEREF _Toc223687837 \h </w:instrText>
      </w:r>
      <w:r>
        <w:rPr>
          <w:noProof/>
        </w:rPr>
      </w:r>
      <w:r>
        <w:rPr>
          <w:noProof/>
        </w:rPr>
        <w:fldChar w:fldCharType="separate"/>
      </w:r>
      <w:r w:rsidR="008D7264">
        <w:rPr>
          <w:noProof/>
        </w:rPr>
        <w:t>87</w:t>
      </w:r>
      <w:r>
        <w:rPr>
          <w:noProof/>
        </w:rPr>
        <w:fldChar w:fldCharType="end"/>
      </w:r>
    </w:p>
    <w:p w14:paraId="5CCBECB7" w14:textId="026DE8AD"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Parliamentary “rollovers”</w:t>
      </w:r>
      <w:r>
        <w:rPr>
          <w:noProof/>
        </w:rPr>
        <w:tab/>
      </w:r>
      <w:r>
        <w:rPr>
          <w:noProof/>
        </w:rPr>
        <w:fldChar w:fldCharType="begin"/>
      </w:r>
      <w:r>
        <w:rPr>
          <w:noProof/>
        </w:rPr>
        <w:instrText xml:space="preserve"> PAGEREF _Toc223687838 \h </w:instrText>
      </w:r>
      <w:r>
        <w:rPr>
          <w:noProof/>
        </w:rPr>
      </w:r>
      <w:r>
        <w:rPr>
          <w:noProof/>
        </w:rPr>
        <w:fldChar w:fldCharType="separate"/>
      </w:r>
      <w:r w:rsidR="008D7264">
        <w:rPr>
          <w:noProof/>
        </w:rPr>
        <w:t>87</w:t>
      </w:r>
      <w:r>
        <w:rPr>
          <w:noProof/>
        </w:rPr>
        <w:fldChar w:fldCharType="end"/>
      </w:r>
    </w:p>
    <w:p w14:paraId="16452145" w14:textId="55584DA6"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If notice of private rollover motion is given</w:t>
      </w:r>
      <w:r>
        <w:rPr>
          <w:noProof/>
        </w:rPr>
        <w:tab/>
      </w:r>
      <w:r>
        <w:rPr>
          <w:noProof/>
        </w:rPr>
        <w:fldChar w:fldCharType="begin"/>
      </w:r>
      <w:r>
        <w:rPr>
          <w:noProof/>
        </w:rPr>
        <w:instrText xml:space="preserve"> PAGEREF _Toc223687839 \h </w:instrText>
      </w:r>
      <w:r>
        <w:rPr>
          <w:noProof/>
        </w:rPr>
      </w:r>
      <w:r>
        <w:rPr>
          <w:noProof/>
        </w:rPr>
        <w:fldChar w:fldCharType="separate"/>
      </w:r>
      <w:r w:rsidR="008D7264">
        <w:rPr>
          <w:noProof/>
        </w:rPr>
        <w:t>88</w:t>
      </w:r>
      <w:r>
        <w:rPr>
          <w:noProof/>
        </w:rPr>
        <w:fldChar w:fldCharType="end"/>
      </w:r>
    </w:p>
    <w:p w14:paraId="751A000C" w14:textId="398A4D5A"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When government rollover motion may be appropriate</w:t>
      </w:r>
      <w:r>
        <w:rPr>
          <w:noProof/>
        </w:rPr>
        <w:tab/>
      </w:r>
      <w:r>
        <w:rPr>
          <w:noProof/>
        </w:rPr>
        <w:fldChar w:fldCharType="begin"/>
      </w:r>
      <w:r>
        <w:rPr>
          <w:noProof/>
        </w:rPr>
        <w:instrText xml:space="preserve"> PAGEREF _Toc223687840 \h </w:instrText>
      </w:r>
      <w:r>
        <w:rPr>
          <w:noProof/>
        </w:rPr>
      </w:r>
      <w:r>
        <w:rPr>
          <w:noProof/>
        </w:rPr>
        <w:fldChar w:fldCharType="separate"/>
      </w:r>
      <w:r w:rsidR="008D7264">
        <w:rPr>
          <w:noProof/>
        </w:rPr>
        <w:t>88</w:t>
      </w:r>
      <w:r>
        <w:rPr>
          <w:noProof/>
        </w:rPr>
        <w:fldChar w:fldCharType="end"/>
      </w:r>
    </w:p>
    <w:p w14:paraId="0180BE1B" w14:textId="185EC703"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Tabling of documents for rollover purposes</w:t>
      </w:r>
      <w:r>
        <w:rPr>
          <w:noProof/>
        </w:rPr>
        <w:tab/>
      </w:r>
      <w:r>
        <w:rPr>
          <w:noProof/>
        </w:rPr>
        <w:fldChar w:fldCharType="begin"/>
      </w:r>
      <w:r>
        <w:rPr>
          <w:noProof/>
        </w:rPr>
        <w:instrText xml:space="preserve"> PAGEREF _Toc223687841 \h </w:instrText>
      </w:r>
      <w:r>
        <w:rPr>
          <w:noProof/>
        </w:rPr>
      </w:r>
      <w:r>
        <w:rPr>
          <w:noProof/>
        </w:rPr>
        <w:fldChar w:fldCharType="separate"/>
      </w:r>
      <w:r w:rsidR="008D7264">
        <w:rPr>
          <w:noProof/>
        </w:rPr>
        <w:t>88</w:t>
      </w:r>
      <w:r>
        <w:rPr>
          <w:noProof/>
        </w:rPr>
        <w:fldChar w:fldCharType="end"/>
      </w:r>
    </w:p>
    <w:p w14:paraId="4309BB18" w14:textId="799FF9CA"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Replacement of sunsetting instruments (if required)</w:t>
      </w:r>
      <w:r>
        <w:rPr>
          <w:noProof/>
        </w:rPr>
        <w:tab/>
      </w:r>
      <w:r>
        <w:rPr>
          <w:noProof/>
        </w:rPr>
        <w:fldChar w:fldCharType="begin"/>
      </w:r>
      <w:r>
        <w:rPr>
          <w:noProof/>
        </w:rPr>
        <w:instrText xml:space="preserve"> PAGEREF _Toc223687842 \h </w:instrText>
      </w:r>
      <w:r>
        <w:rPr>
          <w:noProof/>
        </w:rPr>
      </w:r>
      <w:r>
        <w:rPr>
          <w:noProof/>
        </w:rPr>
        <w:fldChar w:fldCharType="separate"/>
      </w:r>
      <w:r w:rsidR="008D7264">
        <w:rPr>
          <w:noProof/>
        </w:rPr>
        <w:t>89</w:t>
      </w:r>
      <w:r>
        <w:rPr>
          <w:noProof/>
        </w:rPr>
        <w:fldChar w:fldCharType="end"/>
      </w:r>
    </w:p>
    <w:p w14:paraId="675B64C7" w14:textId="45412CFB"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Drafting of replacement instruments</w:t>
      </w:r>
      <w:r>
        <w:rPr>
          <w:noProof/>
        </w:rPr>
        <w:tab/>
      </w:r>
      <w:r>
        <w:rPr>
          <w:noProof/>
        </w:rPr>
        <w:fldChar w:fldCharType="begin"/>
      </w:r>
      <w:r>
        <w:rPr>
          <w:noProof/>
        </w:rPr>
        <w:instrText xml:space="preserve"> PAGEREF _Toc223687843 \h </w:instrText>
      </w:r>
      <w:r>
        <w:rPr>
          <w:noProof/>
        </w:rPr>
      </w:r>
      <w:r>
        <w:rPr>
          <w:noProof/>
        </w:rPr>
        <w:fldChar w:fldCharType="separate"/>
      </w:r>
      <w:r w:rsidR="008D7264">
        <w:rPr>
          <w:noProof/>
        </w:rPr>
        <w:t>89</w:t>
      </w:r>
      <w:r>
        <w:rPr>
          <w:noProof/>
        </w:rPr>
        <w:fldChar w:fldCharType="end"/>
      </w:r>
    </w:p>
    <w:p w14:paraId="38362286" w14:textId="4E18C34E" w:rsidR="002D57B1" w:rsidRDefault="002D57B1">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Scope to remake instruments in bulk by reference</w:t>
      </w:r>
      <w:r>
        <w:rPr>
          <w:noProof/>
        </w:rPr>
        <w:tab/>
      </w:r>
      <w:r>
        <w:rPr>
          <w:noProof/>
        </w:rPr>
        <w:fldChar w:fldCharType="begin"/>
      </w:r>
      <w:r>
        <w:rPr>
          <w:noProof/>
        </w:rPr>
        <w:instrText xml:space="preserve"> PAGEREF _Toc223687844 \h </w:instrText>
      </w:r>
      <w:r>
        <w:rPr>
          <w:noProof/>
        </w:rPr>
      </w:r>
      <w:r>
        <w:rPr>
          <w:noProof/>
        </w:rPr>
        <w:fldChar w:fldCharType="separate"/>
      </w:r>
      <w:r w:rsidR="008D7264">
        <w:rPr>
          <w:noProof/>
        </w:rPr>
        <w:t>90</w:t>
      </w:r>
      <w:r>
        <w:rPr>
          <w:noProof/>
        </w:rPr>
        <w:fldChar w:fldCharType="end"/>
      </w:r>
    </w:p>
    <w:p w14:paraId="0FD74EAB" w14:textId="2E82C5C7"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If an instrument cannot be replaced before it sunsets</w:t>
      </w:r>
      <w:r>
        <w:rPr>
          <w:noProof/>
        </w:rPr>
        <w:tab/>
      </w:r>
      <w:r>
        <w:rPr>
          <w:noProof/>
        </w:rPr>
        <w:fldChar w:fldCharType="begin"/>
      </w:r>
      <w:r>
        <w:rPr>
          <w:noProof/>
        </w:rPr>
        <w:instrText xml:space="preserve"> PAGEREF _Toc223687845 \h </w:instrText>
      </w:r>
      <w:r>
        <w:rPr>
          <w:noProof/>
        </w:rPr>
      </w:r>
      <w:r>
        <w:rPr>
          <w:noProof/>
        </w:rPr>
        <w:fldChar w:fldCharType="separate"/>
      </w:r>
      <w:r w:rsidR="008D7264">
        <w:rPr>
          <w:noProof/>
        </w:rPr>
        <w:t>91</w:t>
      </w:r>
      <w:r>
        <w:rPr>
          <w:noProof/>
        </w:rPr>
        <w:fldChar w:fldCharType="end"/>
      </w:r>
    </w:p>
    <w:p w14:paraId="51F19D62" w14:textId="5A0FD4D5"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Appendix A—Sunsetting Checklist</w:t>
      </w:r>
      <w:r>
        <w:rPr>
          <w:noProof/>
        </w:rPr>
        <w:tab/>
      </w:r>
      <w:r>
        <w:rPr>
          <w:noProof/>
        </w:rPr>
        <w:fldChar w:fldCharType="begin"/>
      </w:r>
      <w:r>
        <w:rPr>
          <w:noProof/>
        </w:rPr>
        <w:instrText xml:space="preserve"> PAGEREF _Toc223687846 \h </w:instrText>
      </w:r>
      <w:r>
        <w:rPr>
          <w:noProof/>
        </w:rPr>
      </w:r>
      <w:r>
        <w:rPr>
          <w:noProof/>
        </w:rPr>
        <w:fldChar w:fldCharType="separate"/>
      </w:r>
      <w:r w:rsidR="008D7264">
        <w:rPr>
          <w:noProof/>
        </w:rPr>
        <w:t>93</w:t>
      </w:r>
      <w:r>
        <w:rPr>
          <w:noProof/>
        </w:rPr>
        <w:fldChar w:fldCharType="end"/>
      </w:r>
    </w:p>
    <w:p w14:paraId="3D2F9956" w14:textId="345C9A6D"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Further reading</w:t>
      </w:r>
      <w:r>
        <w:rPr>
          <w:noProof/>
        </w:rPr>
        <w:tab/>
      </w:r>
      <w:r>
        <w:rPr>
          <w:noProof/>
        </w:rPr>
        <w:fldChar w:fldCharType="begin"/>
      </w:r>
      <w:r>
        <w:rPr>
          <w:noProof/>
        </w:rPr>
        <w:instrText xml:space="preserve"> PAGEREF _Toc223687847 \h </w:instrText>
      </w:r>
      <w:r>
        <w:rPr>
          <w:noProof/>
        </w:rPr>
      </w:r>
      <w:r>
        <w:rPr>
          <w:noProof/>
        </w:rPr>
        <w:fldChar w:fldCharType="separate"/>
      </w:r>
      <w:r w:rsidR="008D7264">
        <w:rPr>
          <w:noProof/>
        </w:rPr>
        <w:t>94</w:t>
      </w:r>
      <w:r>
        <w:rPr>
          <w:noProof/>
        </w:rPr>
        <w:fldChar w:fldCharType="end"/>
      </w:r>
    </w:p>
    <w:p w14:paraId="661A3ED3" w14:textId="299FDCCB"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Key legislation</w:t>
      </w:r>
      <w:r>
        <w:rPr>
          <w:noProof/>
        </w:rPr>
        <w:tab/>
      </w:r>
      <w:r>
        <w:rPr>
          <w:noProof/>
        </w:rPr>
        <w:fldChar w:fldCharType="begin"/>
      </w:r>
      <w:r>
        <w:rPr>
          <w:noProof/>
        </w:rPr>
        <w:instrText xml:space="preserve"> PAGEREF _Toc223687848 \h </w:instrText>
      </w:r>
      <w:r>
        <w:rPr>
          <w:noProof/>
        </w:rPr>
      </w:r>
      <w:r>
        <w:rPr>
          <w:noProof/>
        </w:rPr>
        <w:fldChar w:fldCharType="separate"/>
      </w:r>
      <w:r w:rsidR="008D7264">
        <w:rPr>
          <w:noProof/>
        </w:rPr>
        <w:t>94</w:t>
      </w:r>
      <w:r>
        <w:rPr>
          <w:noProof/>
        </w:rPr>
        <w:fldChar w:fldCharType="end"/>
      </w:r>
    </w:p>
    <w:p w14:paraId="17E9028A" w14:textId="3B293A46"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Guidance material</w:t>
      </w:r>
      <w:r>
        <w:rPr>
          <w:noProof/>
        </w:rPr>
        <w:tab/>
      </w:r>
      <w:r>
        <w:rPr>
          <w:noProof/>
        </w:rPr>
        <w:fldChar w:fldCharType="begin"/>
      </w:r>
      <w:r>
        <w:rPr>
          <w:noProof/>
        </w:rPr>
        <w:instrText xml:space="preserve"> PAGEREF _Toc223687849 \h </w:instrText>
      </w:r>
      <w:r>
        <w:rPr>
          <w:noProof/>
        </w:rPr>
      </w:r>
      <w:r>
        <w:rPr>
          <w:noProof/>
        </w:rPr>
        <w:fldChar w:fldCharType="separate"/>
      </w:r>
      <w:r w:rsidR="008D7264">
        <w:rPr>
          <w:noProof/>
        </w:rPr>
        <w:t>94</w:t>
      </w:r>
      <w:r>
        <w:rPr>
          <w:noProof/>
        </w:rPr>
        <w:fldChar w:fldCharType="end"/>
      </w:r>
    </w:p>
    <w:p w14:paraId="61133276" w14:textId="0FC0EF5E"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Useful contacts</w:t>
      </w:r>
      <w:r>
        <w:rPr>
          <w:noProof/>
        </w:rPr>
        <w:tab/>
      </w:r>
      <w:r>
        <w:rPr>
          <w:noProof/>
        </w:rPr>
        <w:fldChar w:fldCharType="begin"/>
      </w:r>
      <w:r>
        <w:rPr>
          <w:noProof/>
        </w:rPr>
        <w:instrText xml:space="preserve"> PAGEREF _Toc223687850 \h </w:instrText>
      </w:r>
      <w:r>
        <w:rPr>
          <w:noProof/>
        </w:rPr>
      </w:r>
      <w:r>
        <w:rPr>
          <w:noProof/>
        </w:rPr>
        <w:fldChar w:fldCharType="separate"/>
      </w:r>
      <w:r w:rsidR="008D7264">
        <w:rPr>
          <w:noProof/>
        </w:rPr>
        <w:t>95</w:t>
      </w:r>
      <w:r>
        <w:rPr>
          <w:noProof/>
        </w:rPr>
        <w:fldChar w:fldCharType="end"/>
      </w:r>
    </w:p>
    <w:p w14:paraId="3883B9E6" w14:textId="0D2BBD3B"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Office of Parliamentary Counsel</w:t>
      </w:r>
      <w:r>
        <w:rPr>
          <w:noProof/>
        </w:rPr>
        <w:tab/>
      </w:r>
      <w:r>
        <w:rPr>
          <w:noProof/>
        </w:rPr>
        <w:fldChar w:fldCharType="begin"/>
      </w:r>
      <w:r>
        <w:rPr>
          <w:noProof/>
        </w:rPr>
        <w:instrText xml:space="preserve"> PAGEREF _Toc223687851 \h </w:instrText>
      </w:r>
      <w:r>
        <w:rPr>
          <w:noProof/>
        </w:rPr>
      </w:r>
      <w:r>
        <w:rPr>
          <w:noProof/>
        </w:rPr>
        <w:fldChar w:fldCharType="separate"/>
      </w:r>
      <w:r w:rsidR="008D7264">
        <w:rPr>
          <w:noProof/>
        </w:rPr>
        <w:t>95</w:t>
      </w:r>
      <w:r>
        <w:rPr>
          <w:noProof/>
        </w:rPr>
        <w:fldChar w:fldCharType="end"/>
      </w:r>
    </w:p>
    <w:p w14:paraId="307F8F03" w14:textId="4C3F2235"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Table Offices</w:t>
      </w:r>
      <w:r>
        <w:rPr>
          <w:noProof/>
        </w:rPr>
        <w:tab/>
      </w:r>
      <w:r>
        <w:rPr>
          <w:noProof/>
        </w:rPr>
        <w:fldChar w:fldCharType="begin"/>
      </w:r>
      <w:r>
        <w:rPr>
          <w:noProof/>
        </w:rPr>
        <w:instrText xml:space="preserve"> PAGEREF _Toc223687852 \h </w:instrText>
      </w:r>
      <w:r>
        <w:rPr>
          <w:noProof/>
        </w:rPr>
      </w:r>
      <w:r>
        <w:rPr>
          <w:noProof/>
        </w:rPr>
        <w:fldChar w:fldCharType="separate"/>
      </w:r>
      <w:r w:rsidR="008D7264">
        <w:rPr>
          <w:noProof/>
        </w:rPr>
        <w:t>95</w:t>
      </w:r>
      <w:r>
        <w:rPr>
          <w:noProof/>
        </w:rPr>
        <w:fldChar w:fldCharType="end"/>
      </w:r>
    </w:p>
    <w:p w14:paraId="289E337E" w14:textId="623A7B0F"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Attorney</w:t>
      </w:r>
      <w:r>
        <w:rPr>
          <w:noProof/>
        </w:rPr>
        <w:noBreakHyphen/>
        <w:t>General’s Department</w:t>
      </w:r>
      <w:r>
        <w:rPr>
          <w:noProof/>
        </w:rPr>
        <w:tab/>
      </w:r>
      <w:r>
        <w:rPr>
          <w:noProof/>
        </w:rPr>
        <w:fldChar w:fldCharType="begin"/>
      </w:r>
      <w:r>
        <w:rPr>
          <w:noProof/>
        </w:rPr>
        <w:instrText xml:space="preserve"> PAGEREF _Toc223687853 \h </w:instrText>
      </w:r>
      <w:r>
        <w:rPr>
          <w:noProof/>
        </w:rPr>
      </w:r>
      <w:r>
        <w:rPr>
          <w:noProof/>
        </w:rPr>
        <w:fldChar w:fldCharType="separate"/>
      </w:r>
      <w:r w:rsidR="008D7264">
        <w:rPr>
          <w:noProof/>
        </w:rPr>
        <w:t>95</w:t>
      </w:r>
      <w:r>
        <w:rPr>
          <w:noProof/>
        </w:rPr>
        <w:fldChar w:fldCharType="end"/>
      </w:r>
    </w:p>
    <w:p w14:paraId="582A349A" w14:textId="3FC707C3"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Department of the Prime Minister and Cabinet</w:t>
      </w:r>
      <w:r>
        <w:rPr>
          <w:noProof/>
        </w:rPr>
        <w:tab/>
      </w:r>
      <w:r>
        <w:rPr>
          <w:noProof/>
        </w:rPr>
        <w:fldChar w:fldCharType="begin"/>
      </w:r>
      <w:r>
        <w:rPr>
          <w:noProof/>
        </w:rPr>
        <w:instrText xml:space="preserve"> PAGEREF _Toc223687854 \h </w:instrText>
      </w:r>
      <w:r>
        <w:rPr>
          <w:noProof/>
        </w:rPr>
      </w:r>
      <w:r>
        <w:rPr>
          <w:noProof/>
        </w:rPr>
        <w:fldChar w:fldCharType="separate"/>
      </w:r>
      <w:r w:rsidR="008D7264">
        <w:rPr>
          <w:noProof/>
        </w:rPr>
        <w:t>95</w:t>
      </w:r>
      <w:r>
        <w:rPr>
          <w:noProof/>
        </w:rPr>
        <w:fldChar w:fldCharType="end"/>
      </w:r>
    </w:p>
    <w:p w14:paraId="6630CAE4" w14:textId="72BF0292" w:rsidR="002D57B1" w:rsidRDefault="002D57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Parliamentary committees</w:t>
      </w:r>
      <w:r>
        <w:rPr>
          <w:noProof/>
        </w:rPr>
        <w:tab/>
      </w:r>
      <w:r>
        <w:rPr>
          <w:noProof/>
        </w:rPr>
        <w:fldChar w:fldCharType="begin"/>
      </w:r>
      <w:r>
        <w:rPr>
          <w:noProof/>
        </w:rPr>
        <w:instrText xml:space="preserve"> PAGEREF _Toc223687855 \h </w:instrText>
      </w:r>
      <w:r>
        <w:rPr>
          <w:noProof/>
        </w:rPr>
      </w:r>
      <w:r>
        <w:rPr>
          <w:noProof/>
        </w:rPr>
        <w:fldChar w:fldCharType="separate"/>
      </w:r>
      <w:r w:rsidR="008D7264">
        <w:rPr>
          <w:noProof/>
        </w:rPr>
        <w:t>95</w:t>
      </w:r>
      <w:r>
        <w:rPr>
          <w:noProof/>
        </w:rPr>
        <w:fldChar w:fldCharType="end"/>
      </w:r>
    </w:p>
    <w:p w14:paraId="78E46996" w14:textId="3F9D1FA2" w:rsidR="002D57B1" w:rsidRDefault="002D57B1">
      <w:pPr>
        <w:pStyle w:val="TOC2"/>
        <w:rPr>
          <w:rFonts w:asciiTheme="minorHAnsi" w:eastAsiaTheme="minorEastAsia" w:hAnsiTheme="minorHAnsi" w:cstheme="minorBidi"/>
          <w:b w:val="0"/>
          <w:noProof/>
          <w:kern w:val="2"/>
          <w:szCs w:val="30"/>
          <w:lang w:eastAsia="zh-CN" w:bidi="th-TH"/>
          <w14:ligatures w14:val="standardContextual"/>
        </w:rPr>
      </w:pPr>
      <w:r>
        <w:rPr>
          <w:noProof/>
        </w:rPr>
        <w:t>Document history</w:t>
      </w:r>
      <w:r>
        <w:rPr>
          <w:noProof/>
        </w:rPr>
        <w:tab/>
      </w:r>
      <w:r>
        <w:rPr>
          <w:noProof/>
        </w:rPr>
        <w:fldChar w:fldCharType="begin"/>
      </w:r>
      <w:r>
        <w:rPr>
          <w:noProof/>
        </w:rPr>
        <w:instrText xml:space="preserve"> PAGEREF _Toc223687856 \h </w:instrText>
      </w:r>
      <w:r>
        <w:rPr>
          <w:noProof/>
        </w:rPr>
      </w:r>
      <w:r>
        <w:rPr>
          <w:noProof/>
        </w:rPr>
        <w:fldChar w:fldCharType="separate"/>
      </w:r>
      <w:r w:rsidR="008D7264">
        <w:rPr>
          <w:noProof/>
        </w:rPr>
        <w:t>96</w:t>
      </w:r>
      <w:r>
        <w:rPr>
          <w:noProof/>
        </w:rPr>
        <w:fldChar w:fldCharType="end"/>
      </w:r>
    </w:p>
    <w:p w14:paraId="15870168" w14:textId="58628F02" w:rsidR="00727ED5" w:rsidRPr="00FD274F" w:rsidRDefault="00727ED5" w:rsidP="00805ED3">
      <w:pPr>
        <w:spacing w:line="240" w:lineRule="auto"/>
      </w:pPr>
      <w:r w:rsidRPr="00805ED3">
        <w:rPr>
          <w:rFonts w:cs="Times New Roman"/>
          <w:sz w:val="20"/>
        </w:rPr>
        <w:fldChar w:fldCharType="end"/>
      </w:r>
      <w:bookmarkStart w:id="5" w:name="Chapter1"/>
    </w:p>
    <w:p w14:paraId="774DBBAF" w14:textId="77777777" w:rsidR="00AF024F" w:rsidRPr="00FD274F" w:rsidRDefault="00AF024F" w:rsidP="004855B6">
      <w:pPr>
        <w:pStyle w:val="Head2"/>
        <w:sectPr w:rsidR="00AF024F" w:rsidRPr="00FD274F" w:rsidSect="00782976">
          <w:footerReference w:type="even" r:id="rId20"/>
          <w:footerReference w:type="default" r:id="rId21"/>
          <w:pgSz w:w="11907" w:h="16839" w:code="9"/>
          <w:pgMar w:top="1440" w:right="1440" w:bottom="1440" w:left="1440" w:header="720" w:footer="567" w:gutter="0"/>
          <w:pgNumType w:fmt="lowerRoman" w:start="1"/>
          <w:cols w:sep="1" w:space="567"/>
          <w:titlePg/>
          <w:docGrid w:linePitch="360"/>
        </w:sectPr>
      </w:pPr>
    </w:p>
    <w:p w14:paraId="38B60399" w14:textId="77777777" w:rsidR="00090F15" w:rsidRPr="00FD274F" w:rsidRDefault="00090F15" w:rsidP="00090F15">
      <w:pPr>
        <w:pStyle w:val="Head2"/>
        <w:rPr>
          <w:sz w:val="36"/>
        </w:rPr>
      </w:pPr>
      <w:bookmarkStart w:id="6" w:name="_Toc223687708"/>
      <w:bookmarkEnd w:id="5"/>
      <w:r w:rsidRPr="00FD274F">
        <w:rPr>
          <w:sz w:val="36"/>
        </w:rPr>
        <w:lastRenderedPageBreak/>
        <w:t>Part 1—Matters relevant to all instruments</w:t>
      </w:r>
      <w:bookmarkEnd w:id="6"/>
    </w:p>
    <w:p w14:paraId="39B4DFD8" w14:textId="77777777" w:rsidR="00090F15" w:rsidRPr="00FD274F" w:rsidRDefault="00090F15" w:rsidP="00090F15">
      <w:pPr>
        <w:pStyle w:val="Head2"/>
      </w:pPr>
      <w:bookmarkStart w:id="7" w:name="_Toc223687709"/>
      <w:r w:rsidRPr="00FD274F">
        <w:t>Chapter 1—Introduction</w:t>
      </w:r>
      <w:bookmarkEnd w:id="7"/>
    </w:p>
    <w:p w14:paraId="6AFC4472" w14:textId="77777777" w:rsidR="00090F15" w:rsidRPr="00FD274F" w:rsidRDefault="00090F15" w:rsidP="00090F15">
      <w:pPr>
        <w:pStyle w:val="SundryBoxHeadBold"/>
      </w:pPr>
      <w:r w:rsidRPr="00FD274F">
        <w:t>Main points</w:t>
      </w:r>
    </w:p>
    <w:p w14:paraId="6ADAC797" w14:textId="31E3A72F" w:rsidR="00090F15" w:rsidRPr="00FD274F" w:rsidRDefault="00090F15" w:rsidP="00090F15">
      <w:pPr>
        <w:pStyle w:val="SundryBoxBullet"/>
      </w:pPr>
      <w:r w:rsidRPr="00FD274F">
        <w:t>•</w:t>
      </w:r>
      <w:r w:rsidRPr="00FD274F">
        <w:tab/>
        <w:t xml:space="preserve">The </w:t>
      </w:r>
      <w:hyperlink r:id="rId22" w:history="1">
        <w:r w:rsidRPr="00FD274F">
          <w:rPr>
            <w:rStyle w:val="Hyperlink"/>
            <w:i/>
            <w:color w:val="auto"/>
          </w:rPr>
          <w:t>Legislation Act 2003</w:t>
        </w:r>
      </w:hyperlink>
      <w:r w:rsidRPr="00FD274F">
        <w:t xml:space="preserve"> is an Act of general application. It establishes a comprehensive regime for the making, publication and review of legislation and related material.</w:t>
      </w:r>
    </w:p>
    <w:p w14:paraId="6627E78F" w14:textId="77777777" w:rsidR="00090F15" w:rsidRPr="00FD274F" w:rsidRDefault="00090F15" w:rsidP="00090F15">
      <w:pPr>
        <w:pStyle w:val="Head3"/>
      </w:pPr>
      <w:bookmarkStart w:id="8" w:name="_Toc223687710"/>
      <w:r w:rsidRPr="00FD274F">
        <w:t>Background</w:t>
      </w:r>
      <w:bookmarkEnd w:id="8"/>
    </w:p>
    <w:p w14:paraId="23EB54F5" w14:textId="38850122" w:rsidR="00090F15" w:rsidRPr="00FD274F" w:rsidRDefault="00090F15" w:rsidP="00090F15">
      <w:pPr>
        <w:pStyle w:val="BodyNum"/>
        <w:numPr>
          <w:ilvl w:val="0"/>
          <w:numId w:val="3"/>
        </w:numPr>
      </w:pPr>
      <w:r w:rsidRPr="00FD274F">
        <w:t xml:space="preserve">The </w:t>
      </w:r>
      <w:hyperlink r:id="rId23" w:history="1">
        <w:r w:rsidRPr="00B00B38">
          <w:rPr>
            <w:rStyle w:val="Hyperlink"/>
            <w:i/>
          </w:rPr>
          <w:t>Legislation Act 2003</w:t>
        </w:r>
        <w:r w:rsidRPr="00B00B38">
          <w:t xml:space="preserve"> </w:t>
        </w:r>
      </w:hyperlink>
      <w:r w:rsidRPr="00B00B38">
        <w:t xml:space="preserve">(the </w:t>
      </w:r>
      <w:r w:rsidRPr="00B00B38">
        <w:rPr>
          <w:b/>
          <w:i/>
        </w:rPr>
        <w:t>L</w:t>
      </w:r>
      <w:r w:rsidRPr="00CC7302">
        <w:rPr>
          <w:b/>
          <w:i/>
        </w:rPr>
        <w:t>A</w:t>
      </w:r>
      <w:r>
        <w:t xml:space="preserve">) </w:t>
      </w:r>
      <w:r w:rsidRPr="00FD274F">
        <w:t>underpins open and transparent government by making a large body of legislation and related material subject to publication and review.</w:t>
      </w:r>
    </w:p>
    <w:p w14:paraId="16270616" w14:textId="77777777" w:rsidR="00090F15" w:rsidRPr="00FD274F" w:rsidRDefault="00090F15" w:rsidP="00090F15">
      <w:pPr>
        <w:pStyle w:val="BodyNum"/>
      </w:pPr>
      <w:r w:rsidRPr="00FD274F">
        <w:t>Under Australia’s Constitution, the Parliament can make laws in the form of Acts of the Parliament, or it can choose to delegate its power to make laws on particular matters to other persons and bodi</w:t>
      </w:r>
      <w:r w:rsidRPr="009A4D26">
        <w:t>es</w:t>
      </w:r>
      <w:r w:rsidRPr="009A4D26">
        <w:rPr>
          <w:rStyle w:val="FootnoteReference"/>
        </w:rPr>
        <w:footnoteReference w:id="1"/>
      </w:r>
      <w:r w:rsidRPr="009A4D26">
        <w:t>.</w:t>
      </w:r>
    </w:p>
    <w:p w14:paraId="72212D9D" w14:textId="1FA23827" w:rsidR="00090F15" w:rsidRPr="00FD274F" w:rsidRDefault="00090F15" w:rsidP="00090F15">
      <w:pPr>
        <w:pStyle w:val="BodyNum"/>
      </w:pPr>
      <w:r w:rsidRPr="00FD274F">
        <w:t>For many years, related documents (</w:t>
      </w:r>
      <w:r w:rsidRPr="00FD274F">
        <w:rPr>
          <w:b/>
          <w:i/>
        </w:rPr>
        <w:t>instruments</w:t>
      </w:r>
      <w:r w:rsidRPr="00FD274F">
        <w:t xml:space="preserve">) had to be printed centrally under the </w:t>
      </w:r>
      <w:hyperlink r:id="rId24" w:history="1">
        <w:r w:rsidRPr="009A4D26">
          <w:rPr>
            <w:rStyle w:val="Hyperlink"/>
            <w:i/>
          </w:rPr>
          <w:t>Statutory Rules Publication Act 1903</w:t>
        </w:r>
      </w:hyperlink>
      <w:r w:rsidRPr="009A4D26">
        <w:t>, o</w:t>
      </w:r>
      <w:r w:rsidRPr="00FD274F">
        <w:t>r notified in the Commonwealth Gazette. Delegated laws including regulatio</w:t>
      </w:r>
      <w:r w:rsidRPr="009A4D26">
        <w:t xml:space="preserve">ns and rules were also subject to disallowance by either House of the Parliament under the </w:t>
      </w:r>
      <w:hyperlink r:id="rId25" w:history="1">
        <w:r w:rsidRPr="009A4D26">
          <w:rPr>
            <w:rStyle w:val="Hyperlink"/>
            <w:i/>
          </w:rPr>
          <w:t>Acts Interpretation Act 1901</w:t>
        </w:r>
      </w:hyperlink>
      <w:r w:rsidRPr="009A4D26">
        <w:t>.</w:t>
      </w:r>
    </w:p>
    <w:p w14:paraId="7DDFE601" w14:textId="77777777" w:rsidR="00090F15" w:rsidRPr="00FD274F" w:rsidRDefault="00090F15" w:rsidP="00090F15">
      <w:pPr>
        <w:pStyle w:val="BodyNum"/>
      </w:pPr>
      <w:r w:rsidRPr="00FD274F">
        <w:t>Initially these arrangements worked well. However, as many new types of instruments began to emerge from the 1970s onwards, a significant body of law developed that was not published or subject to parliamentary scrutiny. Among other things, this meant that people could be held responsible for failure to comply with laws to which they did not have access.</w:t>
      </w:r>
    </w:p>
    <w:p w14:paraId="1187ABE1" w14:textId="77777777" w:rsidR="00090F15" w:rsidRPr="00FD274F" w:rsidRDefault="00090F15" w:rsidP="00090F15">
      <w:pPr>
        <w:pStyle w:val="BodyNum"/>
      </w:pPr>
      <w:r w:rsidRPr="00FD274F">
        <w:t xml:space="preserve">These issues were highlighted by the Administrative Review Council in its 1992 report </w:t>
      </w:r>
      <w:r w:rsidRPr="00FD274F">
        <w:rPr>
          <w:i/>
        </w:rPr>
        <w:t>R</w:t>
      </w:r>
      <w:r w:rsidRPr="009A4D26">
        <w:rPr>
          <w:i/>
        </w:rPr>
        <w:t>ule Making by Commonwealth Agencies</w:t>
      </w:r>
      <w:r w:rsidRPr="009A4D26">
        <w:rPr>
          <w:rStyle w:val="FootnoteReference"/>
        </w:rPr>
        <w:footnoteReference w:id="2"/>
      </w:r>
      <w:r w:rsidRPr="009A4D26">
        <w:t>. In</w:t>
      </w:r>
      <w:r w:rsidRPr="00FD274F">
        <w:t xml:space="preserve"> this report, the Council proposed that all delegated laws be:</w:t>
      </w:r>
    </w:p>
    <w:p w14:paraId="1CD97F6D" w14:textId="77777777" w:rsidR="00090F15" w:rsidRPr="00FD274F" w:rsidRDefault="00090F15" w:rsidP="00090F15">
      <w:pPr>
        <w:pStyle w:val="BodyPara"/>
      </w:pPr>
      <w:r w:rsidRPr="00FD274F">
        <w:t>subject to consultation before making; and</w:t>
      </w:r>
    </w:p>
    <w:p w14:paraId="5EFA4446" w14:textId="77777777" w:rsidR="00090F15" w:rsidRPr="00FD274F" w:rsidRDefault="00090F15" w:rsidP="00090F15">
      <w:pPr>
        <w:pStyle w:val="BodyPara"/>
      </w:pPr>
      <w:r w:rsidRPr="00FD274F">
        <w:t>drafted to a certain standard; and</w:t>
      </w:r>
    </w:p>
    <w:p w14:paraId="421A1CCD" w14:textId="77777777" w:rsidR="00090F15" w:rsidRPr="00FD274F" w:rsidRDefault="00090F15" w:rsidP="00090F15">
      <w:pPr>
        <w:pStyle w:val="BodyPara"/>
      </w:pPr>
      <w:r w:rsidRPr="00FD274F">
        <w:t>made public and accessible; and</w:t>
      </w:r>
    </w:p>
    <w:p w14:paraId="7ECFC979" w14:textId="77777777" w:rsidR="00090F15" w:rsidRPr="00FD274F" w:rsidRDefault="00090F15" w:rsidP="00090F15">
      <w:pPr>
        <w:pStyle w:val="BodyPara"/>
      </w:pPr>
      <w:r>
        <w:t>tabled in the Parliament; and</w:t>
      </w:r>
    </w:p>
    <w:p w14:paraId="04712178" w14:textId="77777777" w:rsidR="00090F15" w:rsidRPr="00FD274F" w:rsidRDefault="00090F15" w:rsidP="00090F15">
      <w:pPr>
        <w:pStyle w:val="BodyPara"/>
      </w:pPr>
      <w:r w:rsidRPr="00FD274F">
        <w:t>subject to disallowance and sunsetting.</w:t>
      </w:r>
    </w:p>
    <w:p w14:paraId="031DAB79" w14:textId="77777777" w:rsidR="00090F15" w:rsidRPr="00FD274F" w:rsidRDefault="00090F15" w:rsidP="00090F15">
      <w:pPr>
        <w:pStyle w:val="BodyNum"/>
      </w:pPr>
      <w:r w:rsidRPr="00FD274F">
        <w:t xml:space="preserve">The recommendations of the Administrative Review Council were largely adopted when </w:t>
      </w:r>
      <w:r w:rsidRPr="00FD274F">
        <w:rPr>
          <w:szCs w:val="24"/>
        </w:rPr>
        <w:t xml:space="preserve">the </w:t>
      </w:r>
      <w:r w:rsidRPr="00FD274F">
        <w:rPr>
          <w:i/>
          <w:szCs w:val="24"/>
        </w:rPr>
        <w:t>Leg</w:t>
      </w:r>
      <w:r w:rsidRPr="00CC183F">
        <w:rPr>
          <w:i/>
          <w:szCs w:val="24"/>
        </w:rPr>
        <w:t>islative Instruments Act 2003</w:t>
      </w:r>
      <w:r w:rsidRPr="00CC183F">
        <w:rPr>
          <w:szCs w:val="24"/>
        </w:rPr>
        <w:t xml:space="preserve"> </w:t>
      </w:r>
      <w:r w:rsidRPr="00B00B38">
        <w:t xml:space="preserve">(the </w:t>
      </w:r>
      <w:r w:rsidRPr="00B00B38">
        <w:rPr>
          <w:b/>
          <w:i/>
        </w:rPr>
        <w:t>L</w:t>
      </w:r>
      <w:r>
        <w:rPr>
          <w:b/>
          <w:i/>
        </w:rPr>
        <w:t>I</w:t>
      </w:r>
      <w:r w:rsidRPr="00CC7302">
        <w:rPr>
          <w:b/>
          <w:i/>
        </w:rPr>
        <w:t>A</w:t>
      </w:r>
      <w:r>
        <w:t xml:space="preserve">) </w:t>
      </w:r>
      <w:r w:rsidRPr="00CC183F">
        <w:t>w</w:t>
      </w:r>
      <w:r w:rsidRPr="00FD274F">
        <w:t>as enacted</w:t>
      </w:r>
      <w:r>
        <w:t>.</w:t>
      </w:r>
    </w:p>
    <w:p w14:paraId="2448013F" w14:textId="77777777" w:rsidR="00090F15" w:rsidRPr="00FD274F" w:rsidRDefault="00090F15" w:rsidP="00090F15">
      <w:pPr>
        <w:pStyle w:val="Head3"/>
      </w:pPr>
      <w:bookmarkStart w:id="9" w:name="_Toc223687711"/>
      <w:r w:rsidRPr="00FD274F">
        <w:lastRenderedPageBreak/>
        <w:t>The Legislative Instruments Act 2003 (the LIA)</w:t>
      </w:r>
      <w:bookmarkEnd w:id="9"/>
    </w:p>
    <w:p w14:paraId="7964A1E1" w14:textId="77777777" w:rsidR="00090F15" w:rsidRPr="00FD274F" w:rsidRDefault="00090F15" w:rsidP="00090F15">
      <w:pPr>
        <w:pStyle w:val="BodyNum"/>
      </w:pPr>
      <w:r w:rsidRPr="00FD274F">
        <w:t xml:space="preserve">The </w:t>
      </w:r>
      <w:r w:rsidRPr="00CC183F">
        <w:rPr>
          <w:i/>
        </w:rPr>
        <w:t>Legislative Instruments Act 2003</w:t>
      </w:r>
      <w:r w:rsidRPr="00CC183F">
        <w:t xml:space="preserve"> e</w:t>
      </w:r>
      <w:r w:rsidRPr="00FD274F">
        <w:t>stablished a comprehensive regime for the management of Commonwealth legislative instruments, and what was then the Federal Register of Legislative Instruments (</w:t>
      </w:r>
      <w:proofErr w:type="spellStart"/>
      <w:r w:rsidRPr="00CC7302">
        <w:rPr>
          <w:b/>
          <w:i/>
        </w:rPr>
        <w:t>FRLI</w:t>
      </w:r>
      <w:proofErr w:type="spellEnd"/>
      <w:r w:rsidRPr="00FD274F">
        <w:t>). The Act also:</w:t>
      </w:r>
    </w:p>
    <w:p w14:paraId="24A33D56" w14:textId="77777777" w:rsidR="00090F15" w:rsidRPr="00FD274F" w:rsidRDefault="00090F15" w:rsidP="00090F15">
      <w:pPr>
        <w:pStyle w:val="BodyPara"/>
        <w:spacing w:before="180"/>
      </w:pPr>
      <w:r w:rsidRPr="00FD274F">
        <w:t>created a concept of legislative instrument based on what an instrument did rather than what i</w:t>
      </w:r>
      <w:r>
        <w:t>t</w:t>
      </w:r>
      <w:r w:rsidRPr="00FD274F">
        <w:t xml:space="preserve"> was called; and</w:t>
      </w:r>
    </w:p>
    <w:p w14:paraId="2574C4D1" w14:textId="77777777" w:rsidR="00090F15" w:rsidRPr="00FD274F" w:rsidRDefault="00090F15" w:rsidP="00090F15">
      <w:pPr>
        <w:pStyle w:val="BodyPara"/>
        <w:spacing w:before="180"/>
      </w:pPr>
      <w:r w:rsidRPr="00FD274F">
        <w:t>required the registration of all new legislative instruments made on or after 1 Januar</w:t>
      </w:r>
      <w:r>
        <w:t>y 2005; and</w:t>
      </w:r>
    </w:p>
    <w:p w14:paraId="0BAF3EBA" w14:textId="77777777" w:rsidR="00090F15" w:rsidRPr="00FD274F" w:rsidRDefault="00090F15" w:rsidP="00090F15">
      <w:pPr>
        <w:pStyle w:val="BodyPara"/>
        <w:spacing w:before="180"/>
      </w:pPr>
      <w:r w:rsidRPr="00FD274F">
        <w:t>repealed any older legislative instrument</w:t>
      </w:r>
      <w:r>
        <w:t>s</w:t>
      </w:r>
      <w:r w:rsidRPr="00FD274F">
        <w:t xml:space="preserve"> that w</w:t>
      </w:r>
      <w:r>
        <w:t>ere</w:t>
      </w:r>
      <w:r w:rsidRPr="00FD274F">
        <w:t xml:space="preserve"> not lodged for registration before 1 January 2008, under what was known as </w:t>
      </w:r>
      <w:proofErr w:type="spellStart"/>
      <w:r w:rsidRPr="00FD274F">
        <w:t>backcapture</w:t>
      </w:r>
      <w:proofErr w:type="spellEnd"/>
      <w:r w:rsidRPr="00FD274F">
        <w:t>.</w:t>
      </w:r>
    </w:p>
    <w:p w14:paraId="5D060CE8" w14:textId="77777777" w:rsidR="00090F15" w:rsidRPr="00FD274F" w:rsidRDefault="00090F15" w:rsidP="00090F15">
      <w:pPr>
        <w:pStyle w:val="BodyNum"/>
      </w:pPr>
      <w:bookmarkStart w:id="10" w:name="_Ref442190464"/>
      <w:r w:rsidRPr="00FD274F">
        <w:t>As part of this, the Act required the online publication of every type of instrument that had previously been printed as a Statutory Rule, and of a much wider range of instruments that had not previously been required to be published systematically.</w:t>
      </w:r>
      <w:bookmarkEnd w:id="10"/>
    </w:p>
    <w:p w14:paraId="4C2A07FB" w14:textId="77777777" w:rsidR="00090F15" w:rsidRPr="00FD274F" w:rsidRDefault="00090F15" w:rsidP="00090F15">
      <w:pPr>
        <w:pStyle w:val="BodyNum"/>
      </w:pPr>
      <w:r w:rsidRPr="00FD274F">
        <w:t>A formal review o</w:t>
      </w:r>
      <w:r w:rsidRPr="00CC183F">
        <w:t>f the LIA c</w:t>
      </w:r>
      <w:r w:rsidRPr="00FD274F">
        <w:t>onducted over 2008</w:t>
      </w:r>
      <w:r>
        <w:noBreakHyphen/>
      </w:r>
      <w:r w:rsidRPr="00FD274F">
        <w:t>09 found that it had “fundamentally changed the way in which Commonwealth legislative instruments are made, published and reviewed. It gives effect to important principles of access to the law and review of executive action which underpin open and accountable government</w:t>
      </w:r>
      <w:r w:rsidRPr="009A4D26">
        <w:t>”</w:t>
      </w:r>
      <w:r w:rsidRPr="009A4D26">
        <w:rPr>
          <w:rStyle w:val="FootnoteReference"/>
        </w:rPr>
        <w:footnoteReference w:id="3"/>
      </w:r>
      <w:r w:rsidRPr="009A4D26">
        <w:t>.</w:t>
      </w:r>
    </w:p>
    <w:p w14:paraId="03811103" w14:textId="13008534" w:rsidR="00090F15" w:rsidRPr="00FD274F" w:rsidRDefault="00090F15" w:rsidP="00090F15">
      <w:pPr>
        <w:pStyle w:val="BodyNum"/>
      </w:pPr>
      <w:r w:rsidRPr="00FD274F">
        <w:t xml:space="preserve">The review also made a number of recommendations, including to amend the LIA to cover a wider range of instruments. Relevant legislation was enacted in stages, culminating in the commencement of the </w:t>
      </w:r>
      <w:hyperlink r:id="rId26" w:history="1">
        <w:r w:rsidRPr="009A4D26">
          <w:rPr>
            <w:rStyle w:val="Hyperlink"/>
            <w:i/>
          </w:rPr>
          <w:t>Acts and Instruments (Framework Reform) Act 2015</w:t>
        </w:r>
      </w:hyperlink>
      <w:r w:rsidRPr="009A4D26">
        <w:t xml:space="preserve"> a</w:t>
      </w:r>
      <w:r w:rsidRPr="00FD274F">
        <w:t xml:space="preserve">nd in the LIA becoming the </w:t>
      </w:r>
      <w:r w:rsidRPr="00FD274F">
        <w:rPr>
          <w:i/>
        </w:rPr>
        <w:t>Legislation Act 2003</w:t>
      </w:r>
      <w:r w:rsidRPr="00FD274F">
        <w:t xml:space="preserve"> on 5 March 2016.</w:t>
      </w:r>
    </w:p>
    <w:p w14:paraId="097657FD" w14:textId="55D0C323" w:rsidR="00090F15" w:rsidRPr="00FD274F" w:rsidRDefault="00090F15" w:rsidP="00090F15">
      <w:pPr>
        <w:pStyle w:val="Head3"/>
      </w:pPr>
      <w:bookmarkStart w:id="11" w:name="_Toc223687712"/>
      <w:r w:rsidRPr="00FD274F">
        <w:t>The Legislation Act 2003</w:t>
      </w:r>
      <w:r w:rsidR="00F41A6C">
        <w:t xml:space="preserve"> (the LA)</w:t>
      </w:r>
      <w:bookmarkEnd w:id="11"/>
    </w:p>
    <w:p w14:paraId="1C1A4BB8" w14:textId="77777777" w:rsidR="00090F15" w:rsidRPr="00FD274F" w:rsidRDefault="00090F15" w:rsidP="00090F15">
      <w:pPr>
        <w:pStyle w:val="BodyNum"/>
      </w:pPr>
      <w:r w:rsidRPr="00FD274F">
        <w:t xml:space="preserve">The </w:t>
      </w:r>
      <w:r w:rsidRPr="00FD274F">
        <w:rPr>
          <w:i/>
        </w:rPr>
        <w:t>Legislation Act 2003</w:t>
      </w:r>
      <w:r w:rsidRPr="00FD274F">
        <w:t xml:space="preserve"> establishes a comprehensive regime for the publication of all Commonwealth legislation and related notices. Of particular note is that:</w:t>
      </w:r>
    </w:p>
    <w:p w14:paraId="37D79E45" w14:textId="77777777" w:rsidR="00090F15" w:rsidRPr="00FD274F" w:rsidRDefault="00090F15" w:rsidP="00090F15">
      <w:pPr>
        <w:pStyle w:val="BodyPara"/>
        <w:spacing w:before="180"/>
      </w:pPr>
      <w:r w:rsidRPr="00FD274F">
        <w:t xml:space="preserve">it extends to Commonwealth Acts, the publication of which was previously </w:t>
      </w:r>
      <w:r>
        <w:t>governed by a separate Act; and</w:t>
      </w:r>
    </w:p>
    <w:p w14:paraId="65DFA165" w14:textId="77777777" w:rsidR="00090F15" w:rsidRPr="00FD274F" w:rsidRDefault="00090F15" w:rsidP="00090F15">
      <w:pPr>
        <w:pStyle w:val="BodyPara"/>
        <w:spacing w:before="180"/>
      </w:pPr>
      <w:r w:rsidRPr="00FD274F">
        <w:t>it also establishes a category of notifiable instrument</w:t>
      </w:r>
      <w:r>
        <w:t>s</w:t>
      </w:r>
      <w:r w:rsidRPr="00FD274F">
        <w:t>, for notices of a legal nature that are not legislative but still of long</w:t>
      </w:r>
      <w:r>
        <w:noBreakHyphen/>
      </w:r>
      <w:r w:rsidRPr="00FD274F">
        <w:t>term public interest; and</w:t>
      </w:r>
    </w:p>
    <w:p w14:paraId="4F3F81D9" w14:textId="77777777" w:rsidR="00090F15" w:rsidRPr="00FD274F" w:rsidRDefault="00090F15" w:rsidP="00090F15">
      <w:pPr>
        <w:pStyle w:val="BodyPara"/>
        <w:spacing w:before="180"/>
      </w:pPr>
      <w:r w:rsidRPr="00FD274F">
        <w:t>it does not change existing requirements relating to the development and scrutiny of legislative instruments (e.g. disallowance and sunsetting).</w:t>
      </w:r>
    </w:p>
    <w:p w14:paraId="526539B9" w14:textId="77777777" w:rsidR="00090F15" w:rsidRPr="00FA2521" w:rsidRDefault="00090F15" w:rsidP="00090F15">
      <w:pPr>
        <w:pStyle w:val="Head3"/>
      </w:pPr>
      <w:bookmarkStart w:id="12" w:name="_Toc223687713"/>
      <w:r w:rsidRPr="00FA2521">
        <w:t>Sunsetting Review</w:t>
      </w:r>
      <w:bookmarkEnd w:id="12"/>
    </w:p>
    <w:p w14:paraId="10644A86" w14:textId="2F94A6A2" w:rsidR="00090F15" w:rsidRPr="00FA2521" w:rsidRDefault="00090F15" w:rsidP="00090F15">
      <w:pPr>
        <w:pStyle w:val="BodyNum"/>
      </w:pPr>
      <w:r w:rsidRPr="00FA2521">
        <w:t xml:space="preserve">In 2017, the </w:t>
      </w:r>
      <w:hyperlink r:id="rId27" w:history="1">
        <w:r w:rsidRPr="00CC183F">
          <w:rPr>
            <w:rStyle w:val="Hyperlink"/>
          </w:rPr>
          <w:t>LA</w:t>
        </w:r>
      </w:hyperlink>
      <w:r w:rsidRPr="00FA2521">
        <w:t xml:space="preserve"> was subject to a review of sunsetting and related matters specified by the Attorney</w:t>
      </w:r>
      <w:r>
        <w:noBreakHyphen/>
      </w:r>
      <w:r w:rsidRPr="00FA2521">
        <w:t xml:space="preserve">General under </w:t>
      </w:r>
      <w:r w:rsidRPr="00CC183F">
        <w:t xml:space="preserve">section 60 of the </w:t>
      </w:r>
      <w:hyperlink r:id="rId28" w:history="1">
        <w:r w:rsidRPr="00CC183F">
          <w:rPr>
            <w:rStyle w:val="Hyperlink"/>
          </w:rPr>
          <w:t>LA</w:t>
        </w:r>
      </w:hyperlink>
      <w:r w:rsidRPr="00CC183F">
        <w:t>.</w:t>
      </w:r>
    </w:p>
    <w:p w14:paraId="6A9521A2" w14:textId="77777777" w:rsidR="00DF16BE" w:rsidRPr="00FA2521" w:rsidRDefault="00DF16BE" w:rsidP="00DF16BE">
      <w:pPr>
        <w:pStyle w:val="BodyNum"/>
      </w:pPr>
      <w:r w:rsidRPr="00FA2521">
        <w:lastRenderedPageBreak/>
        <w:t xml:space="preserve">The </w:t>
      </w:r>
      <w:r w:rsidRPr="009805B7">
        <w:rPr>
          <w:i/>
        </w:rPr>
        <w:t>Report on the Operation of the Sunsetting Provisions in the Legislation Act 2003</w:t>
      </w:r>
      <w:r w:rsidRPr="009805B7">
        <w:t>, published in September 2017</w:t>
      </w:r>
      <w:r w:rsidRPr="009805B7">
        <w:rPr>
          <w:rStyle w:val="FootnoteReference"/>
        </w:rPr>
        <w:footnoteReference w:id="4"/>
      </w:r>
      <w:r w:rsidRPr="009805B7">
        <w:t>,</w:t>
      </w:r>
      <w:r w:rsidRPr="00FA2521">
        <w:t xml:space="preserve"> made a number of recommendations. Overall, the review supported the sunsetting framework and recommended that the 10</w:t>
      </w:r>
      <w:r>
        <w:noBreakHyphen/>
      </w:r>
      <w:r w:rsidRPr="00FA2521">
        <w:t>year</w:t>
      </w:r>
      <w:r>
        <w:t xml:space="preserve"> sunsetting period be maintained.</w:t>
      </w:r>
    </w:p>
    <w:p w14:paraId="763835D1" w14:textId="77777777" w:rsidR="00DF16BE" w:rsidRDefault="00DF16BE" w:rsidP="00DF16BE">
      <w:pPr>
        <w:pStyle w:val="BodyNum"/>
      </w:pPr>
      <w:r>
        <w:t>Some of the other recommendations include that:</w:t>
      </w:r>
    </w:p>
    <w:p w14:paraId="65757754" w14:textId="77777777" w:rsidR="00DF16BE" w:rsidRDefault="00DF16BE" w:rsidP="00DF16BE">
      <w:pPr>
        <w:pStyle w:val="BodyPara"/>
      </w:pPr>
      <w:r>
        <w:t>the sunsetting framework not be extended to Acts; and</w:t>
      </w:r>
    </w:p>
    <w:p w14:paraId="666FBAA3" w14:textId="77777777" w:rsidR="00DF16BE" w:rsidRDefault="00DF16BE" w:rsidP="00DF16BE">
      <w:pPr>
        <w:pStyle w:val="BodyPara"/>
      </w:pPr>
      <w:r>
        <w:t>another review of sunsetting provisions be undertaken by 1 October 2027.</w:t>
      </w:r>
    </w:p>
    <w:p w14:paraId="6757F959" w14:textId="6A19427A" w:rsidR="00DF16BE" w:rsidRDefault="00DF16BE" w:rsidP="00DF16BE">
      <w:pPr>
        <w:pStyle w:val="BodyNum"/>
      </w:pPr>
      <w:r>
        <w:t xml:space="preserve">The </w:t>
      </w:r>
      <w:hyperlink r:id="rId29" w:history="1">
        <w:r w:rsidRPr="009805B7">
          <w:rPr>
            <w:rStyle w:val="Hyperlink"/>
            <w:i/>
          </w:rPr>
          <w:t>Legislation Amendment (Sunsetting Review and Other Measures) Act 2018</w:t>
        </w:r>
      </w:hyperlink>
      <w:r w:rsidRPr="009805B7">
        <w:t xml:space="preserve"> was</w:t>
      </w:r>
      <w:r>
        <w:t xml:space="preserve"> assented to on 24 August 2018. The Act addresses a number of the Sunsetting Review recommendations</w:t>
      </w:r>
      <w:r w:rsidR="00DC31FD">
        <w:t>,</w:t>
      </w:r>
      <w:r>
        <w:t xml:space="preserve"> including that:</w:t>
      </w:r>
    </w:p>
    <w:p w14:paraId="3505A805" w14:textId="77777777" w:rsidR="00DF16BE" w:rsidRDefault="00DF16BE" w:rsidP="00DF16BE">
      <w:pPr>
        <w:pStyle w:val="BodyPara"/>
      </w:pPr>
      <w:r>
        <w:t>the Attorney</w:t>
      </w:r>
      <w:r>
        <w:noBreakHyphen/>
        <w:t>General be allowed to grant deferrals of sunsetting for up to 24 months; and</w:t>
      </w:r>
    </w:p>
    <w:p w14:paraId="350B95BE" w14:textId="41B064D5" w:rsidR="00DF16BE" w:rsidRDefault="00DF16BE" w:rsidP="00DF16BE">
      <w:pPr>
        <w:pStyle w:val="BodyPara"/>
      </w:pPr>
      <w:r>
        <w:t>Parliament be allowed to pass a resolution to roll over a legislative instrument at any time after that instrument is mentioned in the sunsetting list or a certificate of deferral; and</w:t>
      </w:r>
    </w:p>
    <w:p w14:paraId="187C7045" w14:textId="49727ABC" w:rsidR="00DF16BE" w:rsidRDefault="00DF16BE" w:rsidP="00DF16BE">
      <w:pPr>
        <w:pStyle w:val="BodyPara"/>
      </w:pPr>
      <w:r>
        <w:t xml:space="preserve">rules of court should be subject to the registration and publication requirements of the </w:t>
      </w:r>
      <w:hyperlink r:id="rId30" w:history="1">
        <w:r w:rsidRPr="00657CF9">
          <w:rPr>
            <w:rStyle w:val="Hyperlink"/>
          </w:rPr>
          <w:t>LA</w:t>
        </w:r>
      </w:hyperlink>
      <w:r>
        <w:t xml:space="preserve"> but not subject to sunsetting; and</w:t>
      </w:r>
    </w:p>
    <w:p w14:paraId="78EBBD29" w14:textId="44414EDA" w:rsidR="00DF16BE" w:rsidRDefault="00DF16BE" w:rsidP="00DF16BE">
      <w:pPr>
        <w:pStyle w:val="BodyPara"/>
      </w:pPr>
      <w:r>
        <w:t xml:space="preserve">automatic repeal of disallowable legislative instruments under Division 1 of Part 3 of Chapter 3 of the </w:t>
      </w:r>
      <w:hyperlink r:id="rId31" w:history="1">
        <w:r w:rsidRPr="00657CF9">
          <w:rPr>
            <w:rStyle w:val="Hyperlink"/>
          </w:rPr>
          <w:t>LA</w:t>
        </w:r>
      </w:hyperlink>
      <w:r w:rsidRPr="00657CF9">
        <w:t xml:space="preserve"> do</w:t>
      </w:r>
      <w:r>
        <w:t xml:space="preserve"> not operate before the end of the disallowance period; and</w:t>
      </w:r>
    </w:p>
    <w:p w14:paraId="06C4D3A5" w14:textId="3E42A225" w:rsidR="00DF16BE" w:rsidRDefault="00DF16BE" w:rsidP="00DF16BE">
      <w:pPr>
        <w:pStyle w:val="BodyPara"/>
      </w:pPr>
      <w:r>
        <w:t xml:space="preserve">the term </w:t>
      </w:r>
      <w:r>
        <w:rPr>
          <w:b/>
          <w:i/>
        </w:rPr>
        <w:t>sitting day</w:t>
      </w:r>
      <w:r>
        <w:t xml:space="preserve"> be defined in t</w:t>
      </w:r>
      <w:r w:rsidRPr="009805B7">
        <w:t xml:space="preserve">he </w:t>
      </w:r>
      <w:hyperlink r:id="rId32" w:history="1">
        <w:r w:rsidRPr="009A4D26">
          <w:rPr>
            <w:rStyle w:val="Hyperlink"/>
            <w:i/>
          </w:rPr>
          <w:t>Acts Interpretation Act 1901</w:t>
        </w:r>
      </w:hyperlink>
      <w:r w:rsidRPr="009805B7">
        <w:t>.</w:t>
      </w:r>
    </w:p>
    <w:p w14:paraId="47F81D42" w14:textId="77777777" w:rsidR="00DF16BE" w:rsidRPr="00FD274F" w:rsidRDefault="00DF16BE" w:rsidP="00DF16BE">
      <w:pPr>
        <w:pStyle w:val="Head3"/>
      </w:pPr>
      <w:bookmarkStart w:id="13" w:name="_Toc223687714"/>
      <w:r w:rsidRPr="00FD274F">
        <w:t>Further statutory reviews</w:t>
      </w:r>
      <w:bookmarkEnd w:id="13"/>
    </w:p>
    <w:p w14:paraId="0591EB1F" w14:textId="72916F1E" w:rsidR="006C36A7" w:rsidRDefault="00DF16BE" w:rsidP="00C41883">
      <w:pPr>
        <w:pStyle w:val="BodyNum"/>
      </w:pPr>
      <w:r w:rsidRPr="00434F5B">
        <w:t>A review of the operation o</w:t>
      </w:r>
      <w:r w:rsidRPr="00657CF9">
        <w:t>f Part 4 of Chapter 3</w:t>
      </w:r>
      <w:r w:rsidRPr="00434F5B">
        <w:t xml:space="preserve"> of the </w:t>
      </w:r>
      <w:hyperlink r:id="rId33" w:history="1">
        <w:r w:rsidRPr="00657CF9">
          <w:rPr>
            <w:rStyle w:val="Hyperlink"/>
          </w:rPr>
          <w:t>LA</w:t>
        </w:r>
      </w:hyperlink>
      <w:r w:rsidRPr="00657CF9">
        <w:t xml:space="preserve"> (</w:t>
      </w:r>
      <w:r w:rsidRPr="00434F5B">
        <w:t xml:space="preserve">sunsetting of legislative instruments) will be conducted in 2027 under section 60 of the </w:t>
      </w:r>
      <w:hyperlink r:id="rId34" w:history="1">
        <w:r w:rsidRPr="00657CF9">
          <w:rPr>
            <w:rStyle w:val="Hyperlink"/>
          </w:rPr>
          <w:t>LA</w:t>
        </w:r>
      </w:hyperlink>
      <w:r w:rsidRPr="00657CF9">
        <w:t>.</w:t>
      </w:r>
      <w:bookmarkStart w:id="14" w:name="Chapter2"/>
    </w:p>
    <w:p w14:paraId="3E1763BA" w14:textId="77777777" w:rsidR="00915ADF" w:rsidRDefault="00915ADF" w:rsidP="00DF16BE">
      <w:pPr>
        <w:pStyle w:val="Head2"/>
        <w:sectPr w:rsidR="00915ADF" w:rsidSect="00590636">
          <w:headerReference w:type="default" r:id="rId35"/>
          <w:footerReference w:type="even" r:id="rId36"/>
          <w:footerReference w:type="default" r:id="rId37"/>
          <w:pgSz w:w="11907" w:h="16839" w:code="9"/>
          <w:pgMar w:top="1440" w:right="1440" w:bottom="1418" w:left="1440" w:header="720" w:footer="720" w:gutter="0"/>
          <w:pgNumType w:start="1"/>
          <w:cols w:sep="1" w:space="567"/>
          <w:docGrid w:linePitch="360"/>
        </w:sectPr>
      </w:pPr>
    </w:p>
    <w:p w14:paraId="6B57319D" w14:textId="6EB441B4" w:rsidR="00DF16BE" w:rsidRPr="00FD274F" w:rsidRDefault="00DF16BE" w:rsidP="00DF16BE">
      <w:pPr>
        <w:pStyle w:val="Head2"/>
      </w:pPr>
      <w:bookmarkStart w:id="15" w:name="_Toc223687715"/>
      <w:r w:rsidRPr="00FD274F">
        <w:lastRenderedPageBreak/>
        <w:t>Chapter 2—Key concepts</w:t>
      </w:r>
      <w:bookmarkEnd w:id="15"/>
    </w:p>
    <w:bookmarkEnd w:id="14"/>
    <w:p w14:paraId="0B174C99" w14:textId="77777777" w:rsidR="00DF16BE" w:rsidRPr="00FD274F" w:rsidRDefault="00DF16BE" w:rsidP="00DF16BE">
      <w:pPr>
        <w:pStyle w:val="SundryBoxHeadBold"/>
      </w:pPr>
      <w:r w:rsidRPr="00FD274F">
        <w:t>Main points</w:t>
      </w:r>
    </w:p>
    <w:p w14:paraId="17E2471A" w14:textId="2E603612" w:rsidR="00DF16BE" w:rsidRPr="00FD274F" w:rsidRDefault="00DF16BE" w:rsidP="00DF16BE">
      <w:pPr>
        <w:pStyle w:val="SundryBoxBullet"/>
      </w:pPr>
      <w:r w:rsidRPr="00FD274F">
        <w:t>•</w:t>
      </w:r>
      <w:r w:rsidRPr="00FD274F">
        <w:tab/>
        <w:t xml:space="preserve">The </w:t>
      </w:r>
      <w:hyperlink r:id="rId38" w:history="1">
        <w:r w:rsidRPr="00FC211B">
          <w:rPr>
            <w:rStyle w:val="Hyperlink"/>
          </w:rPr>
          <w:t>LA</w:t>
        </w:r>
      </w:hyperlink>
      <w:r w:rsidRPr="00FC211B">
        <w:rPr>
          <w:rStyle w:val="Hyperlink"/>
        </w:rPr>
        <w:t xml:space="preserve"> </w:t>
      </w:r>
      <w:r w:rsidRPr="00FC211B">
        <w:t>im</w:t>
      </w:r>
      <w:r w:rsidRPr="00FD274F">
        <w:t>poses a number of obligations on rule</w:t>
      </w:r>
      <w:r>
        <w:noBreakHyphen/>
      </w:r>
      <w:r w:rsidRPr="00FD274F">
        <w:t>makers in respect of legislative instruments and notifiable instruments.</w:t>
      </w:r>
    </w:p>
    <w:p w14:paraId="5ECE68CA" w14:textId="798D016F" w:rsidR="00DF16BE" w:rsidRPr="00FD274F" w:rsidRDefault="00DF16BE" w:rsidP="00DF16BE">
      <w:pPr>
        <w:pStyle w:val="SundryBoxBullet"/>
      </w:pPr>
      <w:r w:rsidRPr="00FD274F">
        <w:t>•</w:t>
      </w:r>
      <w:r w:rsidRPr="00FD274F">
        <w:tab/>
      </w:r>
      <w:r>
        <w:t xml:space="preserve">For the purposes of the </w:t>
      </w:r>
      <w:hyperlink r:id="rId39" w:history="1">
        <w:r w:rsidRPr="00FC211B">
          <w:rPr>
            <w:rStyle w:val="Hyperlink"/>
          </w:rPr>
          <w:t>LA</w:t>
        </w:r>
      </w:hyperlink>
      <w:r w:rsidRPr="00FC211B">
        <w:t xml:space="preserve">, the </w:t>
      </w:r>
      <w:r w:rsidRPr="00FC211B">
        <w:rPr>
          <w:b/>
          <w:i/>
        </w:rPr>
        <w:t>r</w:t>
      </w:r>
      <w:r w:rsidRPr="00FD274F">
        <w:rPr>
          <w:b/>
          <w:i/>
        </w:rPr>
        <w:t>ule</w:t>
      </w:r>
      <w:r>
        <w:rPr>
          <w:b/>
          <w:i/>
        </w:rPr>
        <w:noBreakHyphen/>
      </w:r>
      <w:r w:rsidRPr="00FD274F">
        <w:rPr>
          <w:b/>
          <w:i/>
        </w:rPr>
        <w:t>maker</w:t>
      </w:r>
      <w:r w:rsidRPr="00FD274F">
        <w:t xml:space="preserve"> generally refers to the person or body </w:t>
      </w:r>
      <w:r>
        <w:t xml:space="preserve">(or a delegate) </w:t>
      </w:r>
      <w:r w:rsidRPr="00FD274F">
        <w:t>authorised to make an instrument under its enabling legislation.</w:t>
      </w:r>
    </w:p>
    <w:p w14:paraId="2F96FE00" w14:textId="189D1ADD" w:rsidR="00DF16BE" w:rsidRPr="00FD274F" w:rsidRDefault="00DF16BE" w:rsidP="00DF16BE">
      <w:pPr>
        <w:pStyle w:val="SundryBoxBullet"/>
      </w:pPr>
      <w:r w:rsidRPr="00FD274F">
        <w:t>•</w:t>
      </w:r>
      <w:r w:rsidRPr="00FD274F">
        <w:tab/>
        <w:t>Declarations about whether or not a class of instrument is a legislative instrument or a notifiable instrument can be found in t</w:t>
      </w:r>
      <w:r w:rsidRPr="00FC211B">
        <w:t xml:space="preserve">he </w:t>
      </w:r>
      <w:hyperlink r:id="rId40" w:history="1">
        <w:r w:rsidRPr="00FC211B">
          <w:rPr>
            <w:rStyle w:val="Hyperlink"/>
          </w:rPr>
          <w:t>LA</w:t>
        </w:r>
      </w:hyperlink>
      <w:r w:rsidRPr="00FC211B">
        <w:t xml:space="preserve">, </w:t>
      </w:r>
      <w:hyperlink r:id="rId41" w:history="1">
        <w:r w:rsidRPr="00FC211B">
          <w:rPr>
            <w:rStyle w:val="Hyperlink"/>
          </w:rPr>
          <w:t>LEOMR</w:t>
        </w:r>
      </w:hyperlink>
      <w:r w:rsidRPr="00FC211B">
        <w:t xml:space="preserve"> a</w:t>
      </w:r>
      <w:r w:rsidRPr="00FD274F">
        <w:t>nd some enabling legislation.</w:t>
      </w:r>
    </w:p>
    <w:p w14:paraId="4E9B2010" w14:textId="0037A0CC" w:rsidR="00DF16BE" w:rsidRPr="00FD274F" w:rsidRDefault="00DF16BE" w:rsidP="00DF16BE">
      <w:pPr>
        <w:pStyle w:val="SundryBoxBullet"/>
      </w:pPr>
      <w:r w:rsidRPr="00FD274F">
        <w:t>•</w:t>
      </w:r>
      <w:r w:rsidRPr="00FD274F">
        <w:tab/>
        <w:t>In the absence of an express declaration, the definition of a</w:t>
      </w:r>
      <w:r w:rsidRPr="00FD274F">
        <w:rPr>
          <w:b/>
        </w:rPr>
        <w:t xml:space="preserve"> </w:t>
      </w:r>
      <w:r w:rsidRPr="00FD274F">
        <w:rPr>
          <w:b/>
          <w:i/>
        </w:rPr>
        <w:t>legislative instrument</w:t>
      </w:r>
      <w:r w:rsidRPr="00FD274F">
        <w:t xml:space="preserve"> in </w:t>
      </w:r>
      <w:r w:rsidRPr="00FC211B">
        <w:t xml:space="preserve">section 8 of the </w:t>
      </w:r>
      <w:hyperlink r:id="rId42" w:history="1">
        <w:r w:rsidRPr="00FC211B">
          <w:rPr>
            <w:rStyle w:val="Hyperlink"/>
          </w:rPr>
          <w:t>LA</w:t>
        </w:r>
      </w:hyperlink>
      <w:r w:rsidRPr="00FD274F">
        <w:rPr>
          <w:rStyle w:val="Hyperlink"/>
        </w:rPr>
        <w:t xml:space="preserve"> </w:t>
      </w:r>
      <w:r w:rsidRPr="00FD274F">
        <w:t>must be applied to an instrument.</w:t>
      </w:r>
    </w:p>
    <w:p w14:paraId="3029EC64" w14:textId="77777777" w:rsidR="00DF16BE" w:rsidRPr="00FD274F" w:rsidRDefault="00DF16BE" w:rsidP="00DF16BE">
      <w:pPr>
        <w:pStyle w:val="SundryBoxBullet"/>
      </w:pPr>
      <w:r w:rsidRPr="00FD274F">
        <w:t>•</w:t>
      </w:r>
      <w:r w:rsidRPr="00FD274F">
        <w:tab/>
        <w:t>If it is unclear whether an instrument is a legislative instrument, it would be prudent to get legal advice and take action if necessary to put the issue beyond doubt.</w:t>
      </w:r>
    </w:p>
    <w:p w14:paraId="535E855B" w14:textId="77777777" w:rsidR="00DF16BE" w:rsidRPr="00FD274F" w:rsidRDefault="00DF16BE" w:rsidP="00DF16BE">
      <w:pPr>
        <w:pStyle w:val="SundryBoxBullet"/>
      </w:pPr>
      <w:r w:rsidRPr="00FD274F">
        <w:t>•</w:t>
      </w:r>
      <w:r w:rsidRPr="00FD274F">
        <w:tab/>
        <w:t>The Federal Register of Legislation is an authorised database of legislation and related material including instruments, their explanatory statements and compilations of instruments as amended.</w:t>
      </w:r>
    </w:p>
    <w:p w14:paraId="6C2EC368" w14:textId="01CF29B7" w:rsidR="00DF16BE" w:rsidRPr="005023D4" w:rsidRDefault="00DF16BE" w:rsidP="00DF16BE">
      <w:pPr>
        <w:pStyle w:val="SundryBoxBullet"/>
      </w:pPr>
      <w:r w:rsidRPr="00FD274F">
        <w:t>•</w:t>
      </w:r>
      <w:r w:rsidRPr="00FD274F">
        <w:tab/>
        <w:t xml:space="preserve">The Register is accessible online free of charge at </w:t>
      </w:r>
      <w:hyperlink r:id="rId43" w:history="1">
        <w:r w:rsidRPr="00FD274F">
          <w:rPr>
            <w:rStyle w:val="Hyperlink"/>
          </w:rPr>
          <w:t>https://www.legislation.gov.au</w:t>
        </w:r>
      </w:hyperlink>
      <w:r w:rsidRPr="005023D4">
        <w:t>.</w:t>
      </w:r>
    </w:p>
    <w:p w14:paraId="590B5455" w14:textId="77777777" w:rsidR="00DF16BE" w:rsidRPr="00FD274F" w:rsidRDefault="00DF16BE" w:rsidP="00DF16BE">
      <w:pPr>
        <w:pStyle w:val="Head3"/>
      </w:pPr>
      <w:bookmarkStart w:id="16" w:name="_Toc223687716"/>
      <w:r w:rsidRPr="00FD274F">
        <w:t>Who is a rule</w:t>
      </w:r>
      <w:r>
        <w:noBreakHyphen/>
      </w:r>
      <w:r w:rsidRPr="00FD274F">
        <w:t>maker?</w:t>
      </w:r>
      <w:bookmarkEnd w:id="16"/>
    </w:p>
    <w:p w14:paraId="22AF1BEB" w14:textId="600ECAE7" w:rsidR="00DF16BE" w:rsidRPr="00FD274F" w:rsidRDefault="00DF16BE" w:rsidP="00DF16BE">
      <w:pPr>
        <w:pStyle w:val="BodyNum"/>
      </w:pPr>
      <w:r w:rsidRPr="00FD274F">
        <w:t>Th</w:t>
      </w:r>
      <w:r w:rsidRPr="00FC211B">
        <w:t xml:space="preserve">e </w:t>
      </w:r>
      <w:hyperlink r:id="rId44" w:history="1">
        <w:r w:rsidRPr="00FC211B">
          <w:rPr>
            <w:rStyle w:val="Hyperlink"/>
          </w:rPr>
          <w:t>LA</w:t>
        </w:r>
      </w:hyperlink>
      <w:r w:rsidRPr="00FD274F">
        <w:t xml:space="preserve"> imposes a number of obligations on rule</w:t>
      </w:r>
      <w:r>
        <w:noBreakHyphen/>
      </w:r>
      <w:r w:rsidRPr="00FD274F">
        <w:t>makers, including lodging instruments for registration, and notifying events that may affect the accuracy an</w:t>
      </w:r>
      <w:r>
        <w:t>d completeness of the Register.</w:t>
      </w:r>
    </w:p>
    <w:p w14:paraId="32CED473" w14:textId="10D9F4A1" w:rsidR="00DF16BE" w:rsidRPr="00FD274F" w:rsidRDefault="00DF16BE" w:rsidP="00DF16BE">
      <w:pPr>
        <w:pStyle w:val="BodyNum"/>
      </w:pPr>
      <w:r w:rsidRPr="00FD274F">
        <w:t xml:space="preserve">For the purposes of the </w:t>
      </w:r>
      <w:hyperlink r:id="rId45" w:history="1">
        <w:r w:rsidRPr="00FC211B">
          <w:rPr>
            <w:rStyle w:val="Hyperlink"/>
          </w:rPr>
          <w:t>LA</w:t>
        </w:r>
      </w:hyperlink>
      <w:r w:rsidRPr="00FC211B">
        <w:t>,</w:t>
      </w:r>
      <w:r w:rsidRPr="00FD274F">
        <w:t xml:space="preserve"> </w:t>
      </w:r>
      <w:r w:rsidRPr="00FD274F">
        <w:rPr>
          <w:b/>
          <w:i/>
        </w:rPr>
        <w:t>rule</w:t>
      </w:r>
      <w:r>
        <w:rPr>
          <w:b/>
          <w:i/>
        </w:rPr>
        <w:noBreakHyphen/>
      </w:r>
      <w:r w:rsidRPr="00FD274F">
        <w:rPr>
          <w:b/>
          <w:i/>
        </w:rPr>
        <w:t>maker</w:t>
      </w:r>
      <w:r w:rsidRPr="00FD274F">
        <w:t xml:space="preserve"> generally means the person or body authorised to make an instrument under its enabling legislation, whether or not the person or body actually made the instrument concerne</w:t>
      </w:r>
      <w:r w:rsidRPr="00FC211B">
        <w:t>d (</w:t>
      </w:r>
      <w:hyperlink r:id="rId46" w:history="1">
        <w:r w:rsidRPr="00FC211B">
          <w:rPr>
            <w:rStyle w:val="Hyperlink"/>
          </w:rPr>
          <w:t>LA</w:t>
        </w:r>
      </w:hyperlink>
      <w:r w:rsidRPr="00FC211B">
        <w:t xml:space="preserve"> s 6(1)(c)).</w:t>
      </w:r>
      <w:r w:rsidRPr="00FD274F">
        <w:t xml:space="preserve"> There is one exception to this rule. For instruments made by the Governor</w:t>
      </w:r>
      <w:r>
        <w:noBreakHyphen/>
      </w:r>
      <w:r w:rsidRPr="00FD274F">
        <w:t>General, the rule</w:t>
      </w:r>
      <w:r>
        <w:noBreakHyphen/>
      </w:r>
      <w:r w:rsidRPr="00FD274F">
        <w:t>maker is taken to be:</w:t>
      </w:r>
    </w:p>
    <w:p w14:paraId="43B8FD98" w14:textId="22D5061D" w:rsidR="00DF16BE" w:rsidRPr="00FD274F" w:rsidRDefault="00DF16BE" w:rsidP="00DF16BE">
      <w:pPr>
        <w:pStyle w:val="BodyPara"/>
      </w:pPr>
      <w:r w:rsidRPr="00FD274F">
        <w:t>the Minister responsible for the enabling legislation under which the instrument is m</w:t>
      </w:r>
      <w:r w:rsidRPr="00FC211B">
        <w:t>ade (</w:t>
      </w:r>
      <w:hyperlink r:id="rId47" w:history="1">
        <w:r w:rsidRPr="00FC211B">
          <w:rPr>
            <w:rStyle w:val="Hyperlink"/>
          </w:rPr>
          <w:t>LA</w:t>
        </w:r>
      </w:hyperlink>
      <w:r w:rsidRPr="00FC211B">
        <w:t xml:space="preserve"> s 6(1)(a)); or</w:t>
      </w:r>
    </w:p>
    <w:p w14:paraId="2AE58471" w14:textId="15A9FDBB" w:rsidR="00DF16BE" w:rsidRPr="00FD274F" w:rsidRDefault="00DF16BE" w:rsidP="00DF16BE">
      <w:pPr>
        <w:pStyle w:val="BodyPara"/>
      </w:pPr>
      <w:r w:rsidRPr="00FD274F">
        <w:t>if the instrument is made under executive power—the Prime Minister, or a Minister prescribed by regulatio</w:t>
      </w:r>
      <w:r w:rsidRPr="00FC211B">
        <w:t>n (</w:t>
      </w:r>
      <w:hyperlink r:id="rId48" w:history="1">
        <w:r w:rsidRPr="00FC211B">
          <w:rPr>
            <w:rStyle w:val="Hyperlink"/>
          </w:rPr>
          <w:t>LA</w:t>
        </w:r>
      </w:hyperlink>
      <w:r w:rsidRPr="00FC211B">
        <w:t xml:space="preserve"> s 6(1)(b)).</w:t>
      </w:r>
    </w:p>
    <w:p w14:paraId="42169CD2" w14:textId="3F4D8059" w:rsidR="00DF16BE" w:rsidRPr="00FD274F" w:rsidRDefault="00DF16BE" w:rsidP="00DF16BE">
      <w:pPr>
        <w:pStyle w:val="BodyNum"/>
      </w:pPr>
      <w:r w:rsidRPr="00FD274F">
        <w:t>A rule</w:t>
      </w:r>
      <w:r>
        <w:noBreakHyphen/>
      </w:r>
      <w:r w:rsidRPr="00FD274F">
        <w:t xml:space="preserve">maker may be able to delegate the power to make an instrument </w:t>
      </w:r>
      <w:r>
        <w:t xml:space="preserve">to another person </w:t>
      </w:r>
      <w:r w:rsidRPr="004A7454">
        <w:t xml:space="preserve">(see paragraphs </w:t>
      </w:r>
      <w:r w:rsidRPr="00FC211B">
        <w:fldChar w:fldCharType="begin"/>
      </w:r>
      <w:r w:rsidRPr="004A7454">
        <w:instrText xml:space="preserve"> REF _Ref369883259 \r \h  \* MERGEFORMAT </w:instrText>
      </w:r>
      <w:r w:rsidRPr="00FC211B">
        <w:fldChar w:fldCharType="separate"/>
      </w:r>
      <w:r w:rsidR="00AB105F">
        <w:t>102</w:t>
      </w:r>
      <w:r w:rsidRPr="00FC211B">
        <w:fldChar w:fldCharType="end"/>
      </w:r>
      <w:r w:rsidRPr="004A7454">
        <w:t xml:space="preserve"> to </w:t>
      </w:r>
      <w:r w:rsidRPr="00FC211B">
        <w:fldChar w:fldCharType="begin"/>
      </w:r>
      <w:r w:rsidRPr="004A7454">
        <w:instrText xml:space="preserve"> REF _Ref449608075 \r \h  \* MERGEFORMAT </w:instrText>
      </w:r>
      <w:r w:rsidRPr="00FC211B">
        <w:fldChar w:fldCharType="separate"/>
      </w:r>
      <w:r w:rsidR="00AB105F">
        <w:t>106</w:t>
      </w:r>
      <w:r w:rsidRPr="00FC211B">
        <w:fldChar w:fldCharType="end"/>
      </w:r>
      <w:r w:rsidRPr="004A7454">
        <w:t>). H</w:t>
      </w:r>
      <w:r>
        <w:t>owever, t</w:t>
      </w:r>
      <w:r w:rsidRPr="00FD274F">
        <w:t>he delegation of power does not affect the obligations of the rule</w:t>
      </w:r>
      <w:r>
        <w:noBreakHyphen/>
      </w:r>
      <w:r w:rsidRPr="00FD274F">
        <w:t>maker under t</w:t>
      </w:r>
      <w:r w:rsidRPr="00FC211B">
        <w:t xml:space="preserve">he </w:t>
      </w:r>
      <w:hyperlink r:id="rId49" w:history="1">
        <w:r w:rsidRPr="00FC211B">
          <w:rPr>
            <w:rStyle w:val="Hyperlink"/>
          </w:rPr>
          <w:t>LA</w:t>
        </w:r>
      </w:hyperlink>
      <w:r w:rsidRPr="00FC211B">
        <w:t>.</w:t>
      </w:r>
    </w:p>
    <w:p w14:paraId="788AFFD9" w14:textId="1EFAE3E8" w:rsidR="00DF16BE" w:rsidRPr="00FD274F" w:rsidRDefault="00DF16BE" w:rsidP="00DF16BE">
      <w:pPr>
        <w:pStyle w:val="BodyNum"/>
      </w:pPr>
      <w:r w:rsidRPr="00FD274F">
        <w:t>Although rule</w:t>
      </w:r>
      <w:r>
        <w:noBreakHyphen/>
      </w:r>
      <w:r w:rsidRPr="00FD274F">
        <w:t xml:space="preserve">makers are responsible for ensuring that the requirements of </w:t>
      </w:r>
      <w:r w:rsidRPr="00FC211B">
        <w:t xml:space="preserve">the </w:t>
      </w:r>
      <w:hyperlink r:id="rId50" w:history="1">
        <w:r w:rsidRPr="00FC211B">
          <w:rPr>
            <w:rStyle w:val="Hyperlink"/>
          </w:rPr>
          <w:t>LA</w:t>
        </w:r>
      </w:hyperlink>
      <w:r>
        <w:t xml:space="preserve"> </w:t>
      </w:r>
      <w:r w:rsidRPr="00FD274F">
        <w:t>are met, agencies play an important role advising rule</w:t>
      </w:r>
      <w:r>
        <w:noBreakHyphen/>
      </w:r>
      <w:r w:rsidRPr="00FD274F">
        <w:t xml:space="preserve">makers on their powers and obligations, </w:t>
      </w:r>
      <w:r w:rsidRPr="00FD274F">
        <w:lastRenderedPageBreak/>
        <w:t>and taking care of administrative matters such as lodgement of instruments and other material for registration, preparation of compilations if required, and payment of associated fees.</w:t>
      </w:r>
    </w:p>
    <w:p w14:paraId="2B491CBD" w14:textId="77777777" w:rsidR="00DF16BE" w:rsidRPr="00FD274F" w:rsidRDefault="00DF16BE" w:rsidP="00DF16BE">
      <w:pPr>
        <w:pStyle w:val="Head3"/>
      </w:pPr>
      <w:bookmarkStart w:id="17" w:name="_Toc223687717"/>
      <w:bookmarkStart w:id="18" w:name="_Ref367445999"/>
      <w:r w:rsidRPr="00FD274F">
        <w:t>What is an instrument?</w:t>
      </w:r>
      <w:bookmarkEnd w:id="17"/>
    </w:p>
    <w:p w14:paraId="2EE03F79" w14:textId="708256AE" w:rsidR="00DF16BE" w:rsidRPr="00FD274F" w:rsidRDefault="00DF16BE" w:rsidP="00DF16BE">
      <w:pPr>
        <w:pStyle w:val="BodyNum"/>
      </w:pPr>
      <w:r w:rsidRPr="00FD274F">
        <w:t xml:space="preserve">An </w:t>
      </w:r>
      <w:r w:rsidRPr="00FD274F">
        <w:rPr>
          <w:b/>
          <w:i/>
        </w:rPr>
        <w:t>instrument</w:t>
      </w:r>
      <w:r w:rsidRPr="00FD274F">
        <w:t xml:space="preserve"> means any writing or other document, and includes an instrument in electronic form </w:t>
      </w:r>
      <w:r w:rsidRPr="00E970D8">
        <w:t>(</w:t>
      </w:r>
      <w:hyperlink r:id="rId51" w:history="1">
        <w:r w:rsidRPr="00E970D8">
          <w:rPr>
            <w:rStyle w:val="Hyperlink"/>
          </w:rPr>
          <w:t>LA</w:t>
        </w:r>
      </w:hyperlink>
      <w:r w:rsidRPr="00E970D8">
        <w:t xml:space="preserve"> s 4). For</w:t>
      </w:r>
      <w:r w:rsidRPr="00FD274F">
        <w:t xml:space="preserve"> the purposes of complying with th</w:t>
      </w:r>
      <w:r w:rsidRPr="00E970D8">
        <w:t xml:space="preserve">e </w:t>
      </w:r>
      <w:hyperlink r:id="rId52" w:history="1">
        <w:r w:rsidRPr="00E970D8">
          <w:rPr>
            <w:rStyle w:val="Hyperlink"/>
          </w:rPr>
          <w:t>LA</w:t>
        </w:r>
      </w:hyperlink>
      <w:r w:rsidRPr="00E970D8">
        <w:t>,</w:t>
      </w:r>
      <w:r w:rsidRPr="00FD274F">
        <w:t xml:space="preserve"> there are three distinct types of instrument to consider:</w:t>
      </w:r>
    </w:p>
    <w:p w14:paraId="6BEFE35D" w14:textId="7AB87215" w:rsidR="00DF16BE" w:rsidRPr="00FD274F" w:rsidRDefault="00DF16BE" w:rsidP="00DF16BE">
      <w:pPr>
        <w:pStyle w:val="BodyPara"/>
      </w:pPr>
      <w:r w:rsidRPr="00FD274F">
        <w:rPr>
          <w:b/>
          <w:i/>
        </w:rPr>
        <w:t>legislative instruments</w:t>
      </w:r>
      <w:r w:rsidR="005A2961" w:rsidRPr="009805B7">
        <w:rPr>
          <w:rStyle w:val="FootnoteReference"/>
        </w:rPr>
        <w:footnoteReference w:id="5"/>
      </w:r>
      <w:r w:rsidRPr="00FD274F">
        <w:t xml:space="preserve">, which are subject to additional requirements as outlined in </w:t>
      </w:r>
      <w:hyperlink w:anchor="Chapter7" w:history="1">
        <w:r w:rsidRPr="004A7454">
          <w:rPr>
            <w:rStyle w:val="Hyperlink"/>
          </w:rPr>
          <w:t>Part 2</w:t>
        </w:r>
      </w:hyperlink>
      <w:r w:rsidRPr="00FD274F">
        <w:t>; and</w:t>
      </w:r>
    </w:p>
    <w:p w14:paraId="6CF261E4" w14:textId="77777777" w:rsidR="00DF16BE" w:rsidRPr="00FD274F" w:rsidRDefault="00DF16BE" w:rsidP="00DF16BE">
      <w:pPr>
        <w:pStyle w:val="BodyPara"/>
      </w:pPr>
      <w:r w:rsidRPr="00FD274F">
        <w:rPr>
          <w:b/>
          <w:i/>
        </w:rPr>
        <w:t>notifiable instruments</w:t>
      </w:r>
      <w:r w:rsidRPr="00FD274F">
        <w:t>; and</w:t>
      </w:r>
    </w:p>
    <w:p w14:paraId="29A25274" w14:textId="77777777" w:rsidR="00DF16BE" w:rsidRPr="00FD274F" w:rsidRDefault="00DF16BE" w:rsidP="00DF16BE">
      <w:pPr>
        <w:pStyle w:val="BodyPara"/>
      </w:pPr>
      <w:r w:rsidRPr="00FD274F">
        <w:t>other instruments</w:t>
      </w:r>
      <w:r>
        <w:t xml:space="preserve"> </w:t>
      </w:r>
      <w:r w:rsidRPr="00FD274F">
        <w:t>that are</w:t>
      </w:r>
      <w:r>
        <w:t xml:space="preserve"> not required to be registered.</w:t>
      </w:r>
    </w:p>
    <w:p w14:paraId="5341F1E6" w14:textId="43DC44F7" w:rsidR="00DF16BE" w:rsidRPr="00FD274F" w:rsidRDefault="00DF16BE" w:rsidP="00DF16BE">
      <w:pPr>
        <w:pStyle w:val="BodyNum"/>
      </w:pPr>
      <w:r>
        <w:t xml:space="preserve">To identify the type of instrument, it is necessary to </w:t>
      </w:r>
      <w:r w:rsidRPr="00FD274F">
        <w:t xml:space="preserve">look at the text of an instrument and see whether it commences, amends or repeals a registered law </w:t>
      </w:r>
      <w:r w:rsidRPr="00235C52">
        <w:t xml:space="preserve">(see paragraph </w:t>
      </w:r>
      <w:r w:rsidRPr="00E970D8">
        <w:fldChar w:fldCharType="begin"/>
      </w:r>
      <w:r w:rsidRPr="00235C52">
        <w:instrText xml:space="preserve"> REF _Ref442190512 \r \h  \* MERGEFORMAT </w:instrText>
      </w:r>
      <w:r w:rsidRPr="00E970D8">
        <w:fldChar w:fldCharType="separate"/>
      </w:r>
      <w:r w:rsidR="00AB105F">
        <w:t>24</w:t>
      </w:r>
      <w:r w:rsidRPr="00E970D8">
        <w:fldChar w:fldCharType="end"/>
      </w:r>
      <w:r w:rsidRPr="00235C52">
        <w:t>). F</w:t>
      </w:r>
      <w:r w:rsidRPr="00FD274F">
        <w:t>or instruments that are stand</w:t>
      </w:r>
      <w:r>
        <w:noBreakHyphen/>
      </w:r>
      <w:r w:rsidRPr="00FD274F">
        <w:t xml:space="preserve">alone or </w:t>
      </w:r>
      <w:r w:rsidRPr="00FD274F">
        <w:rPr>
          <w:b/>
          <w:i/>
        </w:rPr>
        <w:t>principal instruments</w:t>
      </w:r>
      <w:r w:rsidRPr="00FD274F">
        <w:t>, it is necessary to establish whether an instrument:</w:t>
      </w:r>
    </w:p>
    <w:p w14:paraId="23E9E284" w14:textId="040E2CE8" w:rsidR="00DF16BE" w:rsidRPr="00FD274F" w:rsidRDefault="00DF16BE" w:rsidP="00DF16BE">
      <w:pPr>
        <w:pStyle w:val="BodyPara"/>
      </w:pPr>
      <w:r w:rsidRPr="00FD274F">
        <w:t>has been declared to be a legislative instrument (</w:t>
      </w:r>
      <w:r w:rsidRPr="00235C52">
        <w:t xml:space="preserve">paragraph </w:t>
      </w:r>
      <w:r w:rsidRPr="00235C52">
        <w:fldChar w:fldCharType="begin"/>
      </w:r>
      <w:r w:rsidRPr="00E970D8">
        <w:instrText xml:space="preserve"> REF _Ref367445987 \r \h  \* MERGEFORMAT </w:instrText>
      </w:r>
      <w:r w:rsidRPr="00235C52">
        <w:fldChar w:fldCharType="separate"/>
      </w:r>
      <w:r w:rsidR="00AB105F">
        <w:t>27</w:t>
      </w:r>
      <w:r w:rsidRPr="00235C52">
        <w:fldChar w:fldCharType="end"/>
      </w:r>
      <w:r w:rsidRPr="00235C52">
        <w:t>); or</w:t>
      </w:r>
    </w:p>
    <w:p w14:paraId="5EA3B340" w14:textId="005E2EC6" w:rsidR="00DF16BE" w:rsidRPr="00FD274F" w:rsidRDefault="00DF16BE" w:rsidP="00DF16BE">
      <w:pPr>
        <w:pStyle w:val="BodyPara"/>
      </w:pPr>
      <w:r w:rsidRPr="00FD274F">
        <w:t>has been declared to be a notifiable instrumen</w:t>
      </w:r>
      <w:r w:rsidRPr="00235C52">
        <w:t xml:space="preserve">t (paragraph </w:t>
      </w:r>
      <w:r w:rsidRPr="00E970D8">
        <w:fldChar w:fldCharType="begin"/>
      </w:r>
      <w:r w:rsidRPr="00235C52">
        <w:instrText xml:space="preserve"> REF _Ref442195914 \r \h  \* MERGEFORMAT </w:instrText>
      </w:r>
      <w:r w:rsidRPr="00E970D8">
        <w:fldChar w:fldCharType="separate"/>
      </w:r>
      <w:r w:rsidR="00AB105F">
        <w:t>32</w:t>
      </w:r>
      <w:r w:rsidRPr="00E970D8">
        <w:fldChar w:fldCharType="end"/>
      </w:r>
      <w:r w:rsidRPr="00235C52">
        <w:t>); or</w:t>
      </w:r>
    </w:p>
    <w:p w14:paraId="49207B29" w14:textId="68372D65" w:rsidR="00DF16BE" w:rsidRPr="00FD274F" w:rsidRDefault="00DF16BE" w:rsidP="00DF16BE">
      <w:pPr>
        <w:pStyle w:val="BodyPara"/>
      </w:pPr>
      <w:r w:rsidRPr="00FD274F">
        <w:t xml:space="preserve">is subject to other criteria including, in some cases, whether the instrument is of legislative character </w:t>
      </w:r>
      <w:r w:rsidRPr="0009463D">
        <w:t xml:space="preserve">(paragraphs </w:t>
      </w:r>
      <w:r w:rsidRPr="00E970D8">
        <w:fldChar w:fldCharType="begin"/>
      </w:r>
      <w:r w:rsidRPr="0009463D">
        <w:instrText xml:space="preserve"> REF _Ref442196278 \r \h  \* MERGEFORMAT </w:instrText>
      </w:r>
      <w:r w:rsidRPr="00E970D8">
        <w:fldChar w:fldCharType="separate"/>
      </w:r>
      <w:r w:rsidR="00AB105F">
        <w:t>35</w:t>
      </w:r>
      <w:r w:rsidRPr="00E970D8">
        <w:fldChar w:fldCharType="end"/>
      </w:r>
      <w:r w:rsidRPr="0009463D">
        <w:t xml:space="preserve"> to </w:t>
      </w:r>
      <w:r w:rsidRPr="00E970D8">
        <w:fldChar w:fldCharType="begin"/>
      </w:r>
      <w:r w:rsidRPr="0009463D">
        <w:instrText xml:space="preserve"> REF _Ref444606268 \r \h  \* MERGEFORMAT </w:instrText>
      </w:r>
      <w:r w:rsidRPr="00E970D8">
        <w:fldChar w:fldCharType="separate"/>
      </w:r>
      <w:r w:rsidR="00AB105F">
        <w:t>37</w:t>
      </w:r>
      <w:r w:rsidRPr="00E970D8">
        <w:fldChar w:fldCharType="end"/>
      </w:r>
      <w:r w:rsidRPr="0009463D">
        <w:t>).</w:t>
      </w:r>
    </w:p>
    <w:p w14:paraId="7E21B6B9" w14:textId="1EA698B0" w:rsidR="00DF16BE" w:rsidRPr="00FD274F" w:rsidRDefault="00DF16BE" w:rsidP="00DF16BE">
      <w:pPr>
        <w:pStyle w:val="BodyNum"/>
      </w:pPr>
      <w:r>
        <w:t>It cannot be assumed that</w:t>
      </w:r>
      <w:r w:rsidRPr="00FD274F">
        <w:t xml:space="preserve"> a legislative instrument is of legislative character. The fact that an instrument is a legislative instrument does not imply that it is or must be of legislative charact</w:t>
      </w:r>
      <w:r w:rsidRPr="00A01157">
        <w:t>er (</w:t>
      </w:r>
      <w:hyperlink r:id="rId53" w:history="1">
        <w:r w:rsidRPr="00A01157">
          <w:rPr>
            <w:rStyle w:val="Hyperlink"/>
          </w:rPr>
          <w:t>LA</w:t>
        </w:r>
      </w:hyperlink>
      <w:r w:rsidRPr="00A01157">
        <w:t xml:space="preserve"> s 9(1)).</w:t>
      </w:r>
      <w:r w:rsidRPr="00FD274F">
        <w:t xml:space="preserve"> The reverse is also true: the fact that an instrument is not a legislative instrument does not imply that it is not or must not be of legislative chara</w:t>
      </w:r>
      <w:r w:rsidRPr="00A01157">
        <w:t>cter (</w:t>
      </w:r>
      <w:hyperlink r:id="rId54" w:history="1">
        <w:r w:rsidRPr="00A01157">
          <w:rPr>
            <w:rStyle w:val="Hyperlink"/>
          </w:rPr>
          <w:t>LA</w:t>
        </w:r>
      </w:hyperlink>
      <w:r w:rsidRPr="00A01157">
        <w:t xml:space="preserve"> s 9(2))</w:t>
      </w:r>
      <w:r w:rsidRPr="00FD274F">
        <w:t>.</w:t>
      </w:r>
    </w:p>
    <w:p w14:paraId="6E6BC772" w14:textId="77777777" w:rsidR="00DF16BE" w:rsidRPr="00FD274F" w:rsidRDefault="00DF16BE" w:rsidP="00DF16BE">
      <w:pPr>
        <w:pStyle w:val="Head4"/>
      </w:pPr>
      <w:bookmarkStart w:id="19" w:name="_Toc223687718"/>
      <w:r w:rsidRPr="00FD274F">
        <w:t>Instruments that commence, amend or repeal registered laws</w:t>
      </w:r>
      <w:bookmarkEnd w:id="19"/>
    </w:p>
    <w:p w14:paraId="37CF6483" w14:textId="77777777" w:rsidR="00DF16BE" w:rsidRPr="00FD274F" w:rsidRDefault="00DF16BE" w:rsidP="00DF16BE">
      <w:pPr>
        <w:pStyle w:val="BodyNum"/>
      </w:pPr>
      <w:bookmarkStart w:id="20" w:name="_Ref442190512"/>
      <w:r w:rsidRPr="00FD274F">
        <w:t xml:space="preserve">An instrument must be lodged for registration if it commences, amends or repeals a registered instrument, Act or provision of such an instrument or Act (a </w:t>
      </w:r>
      <w:r w:rsidRPr="00FD274F">
        <w:rPr>
          <w:b/>
          <w:i/>
        </w:rPr>
        <w:t>r</w:t>
      </w:r>
      <w:r w:rsidRPr="0009463D">
        <w:rPr>
          <w:b/>
          <w:i/>
        </w:rPr>
        <w:t>egistered law</w:t>
      </w:r>
      <w:r w:rsidRPr="0009463D">
        <w:t>).</w:t>
      </w:r>
      <w:bookmarkEnd w:id="20"/>
    </w:p>
    <w:p w14:paraId="2A4FD86C" w14:textId="60FD9969" w:rsidR="00DF16BE" w:rsidRPr="00FD274F" w:rsidRDefault="00DF16BE" w:rsidP="00DF16BE">
      <w:pPr>
        <w:pStyle w:val="BodyNum"/>
      </w:pPr>
      <w:r w:rsidRPr="00FD274F">
        <w:t xml:space="preserve">An instrument that has the sole effect of commencing a registered law (a </w:t>
      </w:r>
      <w:r w:rsidRPr="0009463D">
        <w:rPr>
          <w:b/>
          <w:i/>
        </w:rPr>
        <w:t>commencement instrument</w:t>
      </w:r>
      <w:r w:rsidRPr="0009463D">
        <w:t>)</w:t>
      </w:r>
      <w:r w:rsidRPr="00FD274F">
        <w:t xml:space="preserve"> must in all cases be lodged for registration as a notifiable instrume</w:t>
      </w:r>
      <w:r w:rsidRPr="00A01157">
        <w:t>nt (</w:t>
      </w:r>
      <w:hyperlink r:id="rId55" w:history="1">
        <w:r w:rsidRPr="00A01157">
          <w:rPr>
            <w:rStyle w:val="Hyperlink"/>
          </w:rPr>
          <w:t>LA</w:t>
        </w:r>
      </w:hyperlink>
      <w:r w:rsidRPr="00A01157">
        <w:t xml:space="preserve"> s 4 and 11(2)(a)). T</w:t>
      </w:r>
      <w:r w:rsidRPr="00FD274F">
        <w:t>his also applies to any instrument that announces the day that an international agreement enters into force for Australia, regardless of whether the treaty itself is ever registered (</w:t>
      </w:r>
      <w:hyperlink r:id="rId56" w:history="1">
        <w:hyperlink r:id="rId57" w:history="1">
          <w:r w:rsidRPr="0053438B">
            <w:rPr>
              <w:rStyle w:val="Hyperlink"/>
            </w:rPr>
            <w:t>LEOMR</w:t>
          </w:r>
        </w:hyperlink>
      </w:hyperlink>
      <w:r w:rsidRPr="0053438B">
        <w:t xml:space="preserve"> s 8 item 1).</w:t>
      </w:r>
    </w:p>
    <w:p w14:paraId="542E711D" w14:textId="385AA55C" w:rsidR="00DF16BE" w:rsidRPr="00FD274F" w:rsidRDefault="00DF16BE" w:rsidP="00DF16BE">
      <w:pPr>
        <w:pStyle w:val="BodyNum"/>
      </w:pPr>
      <w:r w:rsidRPr="00FD274F">
        <w:t>An instrument that amends or repeals a registered law must also be lodged for registration. If it only affects notifiable instruments, it must be lodged as a notifiable instrume</w:t>
      </w:r>
      <w:r w:rsidRPr="00A01157">
        <w:t>nt (</w:t>
      </w:r>
      <w:hyperlink r:id="rId58" w:history="1">
        <w:r w:rsidRPr="00A01157">
          <w:rPr>
            <w:rStyle w:val="Hyperlink"/>
          </w:rPr>
          <w:t>LA</w:t>
        </w:r>
      </w:hyperlink>
      <w:r w:rsidRPr="00A01157">
        <w:t xml:space="preserve"> s 11(2)(d)). O</w:t>
      </w:r>
      <w:r w:rsidRPr="00FD274F">
        <w:t>therwise, unless the instrument’s enabling Act specifies otherwise, it must be lodged as a legislative instrument (</w:t>
      </w:r>
      <w:hyperlink r:id="rId59" w:history="1">
        <w:r w:rsidRPr="00A01157">
          <w:rPr>
            <w:rStyle w:val="Hyperlink"/>
          </w:rPr>
          <w:t>LA</w:t>
        </w:r>
      </w:hyperlink>
      <w:r w:rsidRPr="00A01157">
        <w:t xml:space="preserve"> s 10(1)(d)).</w:t>
      </w:r>
    </w:p>
    <w:p w14:paraId="14B64320" w14:textId="77777777" w:rsidR="00DF16BE" w:rsidRPr="00FD274F" w:rsidRDefault="00DF16BE" w:rsidP="00DF16BE">
      <w:pPr>
        <w:pStyle w:val="Head4"/>
      </w:pPr>
      <w:bookmarkStart w:id="21" w:name="_Toc223687719"/>
      <w:r w:rsidRPr="00FD274F">
        <w:lastRenderedPageBreak/>
        <w:t>Instruments declared to be legislative instruments</w:t>
      </w:r>
      <w:bookmarkEnd w:id="21"/>
    </w:p>
    <w:p w14:paraId="2F39D115" w14:textId="2AA726EE" w:rsidR="00DF16BE" w:rsidRPr="00FD274F" w:rsidRDefault="00DF16BE" w:rsidP="00DF16BE">
      <w:pPr>
        <w:pStyle w:val="BodyNum"/>
        <w:keepNext/>
      </w:pPr>
      <w:bookmarkStart w:id="22" w:name="_Ref367445987"/>
      <w:r w:rsidRPr="00FD274F">
        <w:t>An instrument’s enabling legislation ma</w:t>
      </w:r>
      <w:r w:rsidRPr="00A01157">
        <w:t>y declare it to be a legislative instrument. Examples of provisions that do this are as follows (</w:t>
      </w:r>
      <w:hyperlink r:id="rId60" w:history="1">
        <w:r w:rsidRPr="00A01157">
          <w:rPr>
            <w:rStyle w:val="Hyperlink"/>
          </w:rPr>
          <w:t>LA</w:t>
        </w:r>
      </w:hyperlink>
      <w:r w:rsidRPr="00A01157">
        <w:t xml:space="preserve"> s 8(2)):</w:t>
      </w:r>
      <w:bookmarkEnd w:id="22"/>
    </w:p>
    <w:p w14:paraId="5816DDC8" w14:textId="77777777" w:rsidR="00DF16BE" w:rsidRPr="00FD274F" w:rsidRDefault="00DF16BE" w:rsidP="00DF16BE">
      <w:pPr>
        <w:pStyle w:val="BodyPara"/>
      </w:pPr>
      <w:r w:rsidRPr="00FD274F">
        <w:t>“The Minister may, by legislative instrument, determine licence conditions…”;</w:t>
      </w:r>
    </w:p>
    <w:p w14:paraId="0047229E" w14:textId="77777777" w:rsidR="00DF16BE" w:rsidRPr="00FD274F" w:rsidRDefault="00DF16BE" w:rsidP="00DF16BE">
      <w:pPr>
        <w:pStyle w:val="BodyPara"/>
      </w:pPr>
      <w:r w:rsidRPr="00FD274F">
        <w:t>“An instrument made under ... is a legislative instrument”.</w:t>
      </w:r>
    </w:p>
    <w:p w14:paraId="4407BC86" w14:textId="2F964D22" w:rsidR="00DF16BE" w:rsidRPr="00FD274F" w:rsidRDefault="00DF16BE" w:rsidP="00DF16BE">
      <w:pPr>
        <w:pStyle w:val="BodyNum"/>
      </w:pPr>
      <w:r w:rsidRPr="00FD274F">
        <w:t xml:space="preserve">The </w:t>
      </w:r>
      <w:hyperlink r:id="rId61" w:history="1">
        <w:r w:rsidRPr="006F45CA">
          <w:rPr>
            <w:rStyle w:val="Hyperlink"/>
          </w:rPr>
          <w:t>LA</w:t>
        </w:r>
      </w:hyperlink>
      <w:r w:rsidRPr="006F45CA">
        <w:t xml:space="preserve"> a</w:t>
      </w:r>
      <w:r w:rsidRPr="00FD274F">
        <w:t>lso declares the following to be a legislative instrument:</w:t>
      </w:r>
    </w:p>
    <w:p w14:paraId="77D83233" w14:textId="5D613683" w:rsidR="00DF16BE" w:rsidRPr="00FD274F" w:rsidRDefault="00DF16BE" w:rsidP="00DF16BE">
      <w:pPr>
        <w:pStyle w:val="BodyPara"/>
      </w:pPr>
      <w:r w:rsidRPr="00FD274F">
        <w:t xml:space="preserve">an instrument described as a regulation by its enabling legislation </w:t>
      </w:r>
      <w:r w:rsidRPr="006F45CA">
        <w:t>(</w:t>
      </w:r>
      <w:hyperlink r:id="rId62" w:history="1">
        <w:r w:rsidRPr="006F45CA">
          <w:rPr>
            <w:rStyle w:val="Hyperlink"/>
          </w:rPr>
          <w:t>LA</w:t>
        </w:r>
      </w:hyperlink>
      <w:r w:rsidRPr="006F45CA">
        <w:t> s 10(1)(a));</w:t>
      </w:r>
    </w:p>
    <w:p w14:paraId="3C0ACEBB" w14:textId="29B09360" w:rsidR="00DF16BE" w:rsidRPr="00FD274F" w:rsidRDefault="00DF16BE" w:rsidP="00DF16BE">
      <w:pPr>
        <w:pStyle w:val="BodyPara"/>
      </w:pPr>
      <w:r w:rsidRPr="00FD274F">
        <w:t>an instrument described as a Proclamation by its enabling legislation, unless it is a commencement inst</w:t>
      </w:r>
      <w:r w:rsidRPr="006F45CA">
        <w:t>rument (</w:t>
      </w:r>
      <w:hyperlink r:id="rId63" w:history="1">
        <w:r w:rsidRPr="006F45CA">
          <w:rPr>
            <w:rStyle w:val="Hyperlink"/>
          </w:rPr>
          <w:t>LA</w:t>
        </w:r>
      </w:hyperlink>
      <w:r w:rsidRPr="006F45CA">
        <w:t xml:space="preserve"> s 10(1)(a) and 11(2));</w:t>
      </w:r>
    </w:p>
    <w:p w14:paraId="05A9ADAF" w14:textId="402BA2AD" w:rsidR="00DF16BE" w:rsidRPr="00FD274F" w:rsidRDefault="00DF16BE" w:rsidP="00DF16BE">
      <w:pPr>
        <w:pStyle w:val="BodyPara"/>
      </w:pPr>
      <w:r w:rsidRPr="00FD274F">
        <w:t xml:space="preserve">an ordinance that deals with certain aspects of the governance of Australian Territories (for </w:t>
      </w:r>
      <w:r w:rsidRPr="006F45CA">
        <w:t>details</w:t>
      </w:r>
      <w:r w:rsidR="00C27B60">
        <w:t>,</w:t>
      </w:r>
      <w:r w:rsidRPr="006F45CA">
        <w:t xml:space="preserve"> see </w:t>
      </w:r>
      <w:hyperlink r:id="rId64" w:history="1">
        <w:r w:rsidRPr="006F45CA">
          <w:rPr>
            <w:rStyle w:val="Hyperlink"/>
          </w:rPr>
          <w:t>LA</w:t>
        </w:r>
      </w:hyperlink>
      <w:r w:rsidRPr="006F45CA">
        <w:t xml:space="preserve"> s 10(1)(b) and 10(2));</w:t>
      </w:r>
    </w:p>
    <w:p w14:paraId="5978CC91" w14:textId="2F5DDE8B" w:rsidR="00DF16BE" w:rsidRPr="00FD274F" w:rsidRDefault="00DF16BE" w:rsidP="00DF16BE">
      <w:pPr>
        <w:pStyle w:val="BodyPara"/>
      </w:pPr>
      <w:r w:rsidRPr="00FD274F">
        <w:t xml:space="preserve">an instrument prescribed by regulation </w:t>
      </w:r>
      <w:r w:rsidRPr="006F45CA">
        <w:t>(</w:t>
      </w:r>
      <w:hyperlink r:id="rId65" w:history="1">
        <w:r w:rsidRPr="006F45CA">
          <w:rPr>
            <w:rStyle w:val="Hyperlink"/>
          </w:rPr>
          <w:t>LA</w:t>
        </w:r>
      </w:hyperlink>
      <w:r w:rsidRPr="006F45CA">
        <w:t xml:space="preserve"> s 10(1)(c));</w:t>
      </w:r>
    </w:p>
    <w:p w14:paraId="0A4CC726" w14:textId="14368AC4" w:rsidR="00DF16BE" w:rsidRPr="00FD274F" w:rsidRDefault="00DF16BE" w:rsidP="00DF16BE">
      <w:pPr>
        <w:pStyle w:val="BodyPara"/>
      </w:pPr>
      <w:r w:rsidRPr="00FD274F">
        <w:t>an instrument that includes a provision that amends or repeals another legislative instrumen</w:t>
      </w:r>
      <w:r w:rsidRPr="006F45CA">
        <w:t>t (</w:t>
      </w:r>
      <w:hyperlink r:id="rId66" w:history="1">
        <w:r w:rsidRPr="006F45CA">
          <w:rPr>
            <w:rStyle w:val="Hyperlink"/>
          </w:rPr>
          <w:t>LA</w:t>
        </w:r>
      </w:hyperlink>
      <w:r w:rsidRPr="006F45CA">
        <w:t xml:space="preserve"> s 10(1)(d));</w:t>
      </w:r>
    </w:p>
    <w:p w14:paraId="3E80A292" w14:textId="4FBBD54C" w:rsidR="00DF16BE" w:rsidRPr="00FD274F" w:rsidRDefault="00DF16BE" w:rsidP="00DF16BE">
      <w:pPr>
        <w:pStyle w:val="BodyPara"/>
      </w:pPr>
      <w:r w:rsidRPr="00FD274F">
        <w:t xml:space="preserve">any instrument that is registered as a legislative instrument, unless it is a notifiable instrument that meets certain criteria </w:t>
      </w:r>
      <w:r w:rsidRPr="006F45CA">
        <w:t>(</w:t>
      </w:r>
      <w:hyperlink r:id="rId67" w:history="1">
        <w:r w:rsidRPr="006F45CA">
          <w:rPr>
            <w:rStyle w:val="Hyperlink"/>
          </w:rPr>
          <w:t>LA</w:t>
        </w:r>
      </w:hyperlink>
      <w:r w:rsidRPr="006F45CA">
        <w:t xml:space="preserve"> s 8(8)).</w:t>
      </w:r>
    </w:p>
    <w:p w14:paraId="67E9837E" w14:textId="07AAB000" w:rsidR="00DF16BE" w:rsidRPr="005262F0" w:rsidRDefault="00DF16BE" w:rsidP="00DF16BE">
      <w:pPr>
        <w:pStyle w:val="BodyNum"/>
      </w:pPr>
      <w:r w:rsidRPr="005262F0">
        <w:t xml:space="preserve">Commonwealth rules of court are not legislative instruments </w:t>
      </w:r>
      <w:r w:rsidRPr="006F45CA">
        <w:t>(</w:t>
      </w:r>
      <w:hyperlink r:id="rId68" w:history="1">
        <w:r w:rsidRPr="006F45CA">
          <w:rPr>
            <w:rStyle w:val="Hyperlink"/>
          </w:rPr>
          <w:t>LA</w:t>
        </w:r>
      </w:hyperlink>
      <w:r w:rsidRPr="006F45CA">
        <w:t xml:space="preserve"> s 8(8)(d)).</w:t>
      </w:r>
      <w:r w:rsidRPr="005262F0">
        <w:t xml:space="preserve"> However, the enabling legislation for Commonwealth rules of court has the effect that the </w:t>
      </w:r>
      <w:hyperlink r:id="rId69" w:history="1">
        <w:r w:rsidRPr="006F45CA">
          <w:rPr>
            <w:rStyle w:val="Hyperlink"/>
          </w:rPr>
          <w:t>LA</w:t>
        </w:r>
      </w:hyperlink>
      <w:r w:rsidRPr="005262F0">
        <w:t xml:space="preserve"> generally applies in relation to the rules of court as if a reference in t</w:t>
      </w:r>
      <w:r w:rsidRPr="006F45CA">
        <w:t xml:space="preserve">he </w:t>
      </w:r>
      <w:hyperlink r:id="rId70" w:history="1">
        <w:r w:rsidRPr="006F45CA">
          <w:rPr>
            <w:rStyle w:val="Hyperlink"/>
          </w:rPr>
          <w:t>LA</w:t>
        </w:r>
      </w:hyperlink>
      <w:r w:rsidRPr="006F45CA">
        <w:t xml:space="preserve"> to</w:t>
      </w:r>
      <w:r w:rsidRPr="005262F0">
        <w:t xml:space="preserve"> a legislative instrument were a reference to a rule of court. This means that the rules of court are subject to most of the provisions of th</w:t>
      </w:r>
      <w:r w:rsidRPr="006F45CA">
        <w:t xml:space="preserve">e </w:t>
      </w:r>
      <w:hyperlink r:id="rId71" w:history="1">
        <w:r w:rsidRPr="006F45CA">
          <w:rPr>
            <w:rStyle w:val="Hyperlink"/>
          </w:rPr>
          <w:t>LA</w:t>
        </w:r>
      </w:hyperlink>
      <w:r w:rsidRPr="006F45CA">
        <w:t>, includi</w:t>
      </w:r>
      <w:r w:rsidRPr="005262F0">
        <w:t>ng the provisions about registration</w:t>
      </w:r>
      <w:r>
        <w:t>, publication</w:t>
      </w:r>
      <w:r w:rsidRPr="005262F0">
        <w:t xml:space="preserve"> and disallowance</w:t>
      </w:r>
      <w:r>
        <w:t>.</w:t>
      </w:r>
    </w:p>
    <w:p w14:paraId="04666B6B" w14:textId="77777777" w:rsidR="00DF16BE" w:rsidRPr="00C04082" w:rsidRDefault="00DF16BE" w:rsidP="00DF16BE">
      <w:pPr>
        <w:pStyle w:val="BodyNum"/>
      </w:pPr>
      <w:r>
        <w:t>The exception is that sunsetting does not apply to most rules of court</w:t>
      </w:r>
      <w:r w:rsidRPr="00C04082">
        <w:t>.</w:t>
      </w:r>
    </w:p>
    <w:p w14:paraId="683397E6" w14:textId="2C13FC0B" w:rsidR="00DF16BE" w:rsidRPr="00FD274F" w:rsidRDefault="00DF16BE" w:rsidP="00DF16BE">
      <w:pPr>
        <w:pStyle w:val="BodyNum"/>
      </w:pPr>
      <w:r w:rsidRPr="00FD274F">
        <w:t>If an instrument is declared to be a legislative instrument, no further action is required to establish its status under th</w:t>
      </w:r>
      <w:r w:rsidRPr="006F45CA">
        <w:t xml:space="preserve">e </w:t>
      </w:r>
      <w:hyperlink r:id="rId72" w:history="1">
        <w:r w:rsidRPr="006F45CA">
          <w:rPr>
            <w:rStyle w:val="Hyperlink"/>
          </w:rPr>
          <w:t>LA</w:t>
        </w:r>
      </w:hyperlink>
      <w:r w:rsidRPr="006F45CA">
        <w:t>.</w:t>
      </w:r>
    </w:p>
    <w:p w14:paraId="1E573CF5" w14:textId="77777777" w:rsidR="00DF16BE" w:rsidRPr="00FD274F" w:rsidRDefault="00DF16BE" w:rsidP="00DF16BE">
      <w:pPr>
        <w:pStyle w:val="Head4"/>
      </w:pPr>
      <w:bookmarkStart w:id="23" w:name="_Toc223687720"/>
      <w:r w:rsidRPr="00FD274F">
        <w:t>Instruments declared to be notifiable instruments</w:t>
      </w:r>
      <w:bookmarkEnd w:id="23"/>
    </w:p>
    <w:p w14:paraId="13CA33C9" w14:textId="68123242" w:rsidR="00DF16BE" w:rsidRPr="00FD274F" w:rsidRDefault="00DF16BE" w:rsidP="00DF16BE">
      <w:pPr>
        <w:pStyle w:val="BodyNum"/>
      </w:pPr>
      <w:bookmarkStart w:id="24" w:name="_Ref442195914"/>
      <w:r w:rsidRPr="00FD274F">
        <w:t>An instrument’s enabling legislation may declare it to be a notifiable instrument. Examples of provisions that do this are as follows (</w:t>
      </w:r>
      <w:hyperlink r:id="rId73" w:history="1">
        <w:r w:rsidRPr="006F45CA">
          <w:rPr>
            <w:rStyle w:val="Hyperlink"/>
          </w:rPr>
          <w:t>LA</w:t>
        </w:r>
      </w:hyperlink>
      <w:r w:rsidRPr="006F45CA">
        <w:t xml:space="preserve"> s 11(1)):</w:t>
      </w:r>
      <w:bookmarkEnd w:id="24"/>
    </w:p>
    <w:p w14:paraId="4F316303" w14:textId="77777777" w:rsidR="00DF16BE" w:rsidRPr="00FD274F" w:rsidRDefault="00DF16BE" w:rsidP="00DF16BE">
      <w:pPr>
        <w:pStyle w:val="BodyPara"/>
      </w:pPr>
      <w:r w:rsidRPr="00FD274F">
        <w:t>“The Minister may, by notifiable instrument, approve a form…”;</w:t>
      </w:r>
    </w:p>
    <w:p w14:paraId="34B03E63" w14:textId="77777777" w:rsidR="00DF16BE" w:rsidRPr="00FD274F" w:rsidRDefault="00DF16BE" w:rsidP="00DF16BE">
      <w:pPr>
        <w:pStyle w:val="BodyPara"/>
      </w:pPr>
      <w:r w:rsidRPr="00FD274F">
        <w:t>“An instrument made under ... is a notifiable instrument”.</w:t>
      </w:r>
    </w:p>
    <w:p w14:paraId="68561CB3" w14:textId="396813D9" w:rsidR="00DF16BE" w:rsidRPr="00FD274F" w:rsidRDefault="00DF16BE" w:rsidP="00DF16BE">
      <w:pPr>
        <w:pStyle w:val="BodyNum"/>
      </w:pPr>
      <w:r w:rsidRPr="00FD274F">
        <w:lastRenderedPageBreak/>
        <w:t xml:space="preserve">The </w:t>
      </w:r>
      <w:hyperlink r:id="rId74" w:history="1">
        <w:r w:rsidRPr="006F45CA">
          <w:rPr>
            <w:rStyle w:val="Hyperlink"/>
          </w:rPr>
          <w:t>LA</w:t>
        </w:r>
      </w:hyperlink>
      <w:r w:rsidRPr="0053438B">
        <w:t xml:space="preserve"> and </w:t>
      </w:r>
      <w:hyperlink r:id="rId75" w:history="1">
        <w:hyperlink r:id="rId76" w:history="1">
          <w:r w:rsidRPr="0053438B">
            <w:rPr>
              <w:rStyle w:val="Hyperlink"/>
            </w:rPr>
            <w:t>LEOMR</w:t>
          </w:r>
        </w:hyperlink>
      </w:hyperlink>
      <w:r w:rsidRPr="0053438B">
        <w:t xml:space="preserve"> also de</w:t>
      </w:r>
      <w:r w:rsidRPr="00FD274F">
        <w:t>clare the following to be a notifiable instrument:</w:t>
      </w:r>
    </w:p>
    <w:bookmarkEnd w:id="18"/>
    <w:p w14:paraId="02E2F445" w14:textId="4B6AD3A2" w:rsidR="000C68CB" w:rsidRPr="006F45CA" w:rsidRDefault="000C68CB" w:rsidP="000C68CB">
      <w:pPr>
        <w:pStyle w:val="BodyPara"/>
      </w:pPr>
      <w:r w:rsidRPr="00FD274F">
        <w:t xml:space="preserve">a commencement instrument that commences a registered law </w:t>
      </w:r>
      <w:r w:rsidRPr="006F45CA">
        <w:t>(</w:t>
      </w:r>
      <w:hyperlink r:id="rId77" w:history="1">
        <w:r w:rsidRPr="006F45CA">
          <w:rPr>
            <w:rStyle w:val="Hyperlink"/>
          </w:rPr>
          <w:t>LA</w:t>
        </w:r>
      </w:hyperlink>
      <w:r w:rsidRPr="006F45CA">
        <w:t xml:space="preserve"> s </w:t>
      </w:r>
      <w:r>
        <w:t xml:space="preserve">4 and </w:t>
      </w:r>
      <w:r w:rsidRPr="006F45CA">
        <w:t>8(8)(b)</w:t>
      </w:r>
      <w:r w:rsidR="00260AC6">
        <w:t>)</w:t>
      </w:r>
      <w:r w:rsidRPr="006F45CA">
        <w:t>;</w:t>
      </w:r>
    </w:p>
    <w:p w14:paraId="57C1A1BA" w14:textId="18F315AD" w:rsidR="000C68CB" w:rsidRPr="00FD274F" w:rsidRDefault="000C68CB" w:rsidP="000C68CB">
      <w:pPr>
        <w:pStyle w:val="BodyPara"/>
      </w:pPr>
      <w:r w:rsidRPr="00FD274F">
        <w:t xml:space="preserve">an instrument that announces the day an international agreement enters into force for Australia, regardless of whether the treaty itself has been registered </w:t>
      </w:r>
      <w:r w:rsidRPr="0053438B">
        <w:t>(</w:t>
      </w:r>
      <w:hyperlink r:id="rId78" w:history="1">
        <w:hyperlink r:id="rId79" w:history="1">
          <w:hyperlink r:id="rId80" w:history="1">
            <w:r w:rsidRPr="0053438B">
              <w:rPr>
                <w:rStyle w:val="Hyperlink"/>
              </w:rPr>
              <w:t>LEOMR</w:t>
            </w:r>
          </w:hyperlink>
        </w:hyperlink>
      </w:hyperlink>
      <w:r w:rsidRPr="0053438B">
        <w:t xml:space="preserve"> s 8 item 1).</w:t>
      </w:r>
    </w:p>
    <w:p w14:paraId="3A665249" w14:textId="70DB49AB" w:rsidR="000C68CB" w:rsidRPr="00FD274F" w:rsidRDefault="000C68CB" w:rsidP="000C68CB">
      <w:pPr>
        <w:pStyle w:val="BodyNum"/>
      </w:pPr>
      <w:r w:rsidRPr="00FD274F">
        <w:t>If an instrument is declared to be a notifiable instrument, no further action is required to establish its status under th</w:t>
      </w:r>
      <w:r w:rsidRPr="006F45CA">
        <w:t xml:space="preserve">e </w:t>
      </w:r>
      <w:hyperlink r:id="rId81" w:history="1">
        <w:r w:rsidRPr="006F45CA">
          <w:rPr>
            <w:rStyle w:val="Hyperlink"/>
          </w:rPr>
          <w:t>LA</w:t>
        </w:r>
      </w:hyperlink>
      <w:r w:rsidRPr="006F45CA">
        <w:t>.</w:t>
      </w:r>
    </w:p>
    <w:p w14:paraId="026F92B7" w14:textId="72E27074" w:rsidR="000C68CB" w:rsidRPr="00FD274F" w:rsidRDefault="000C68CB" w:rsidP="000C68CB">
      <w:pPr>
        <w:pStyle w:val="Head4"/>
      </w:pPr>
      <w:bookmarkStart w:id="25" w:name="_Toc223687721"/>
      <w:r w:rsidRPr="00FD274F">
        <w:t>Other instruments</w:t>
      </w:r>
      <w:bookmarkEnd w:id="25"/>
    </w:p>
    <w:p w14:paraId="0D5C21F1" w14:textId="776E8498" w:rsidR="000C68CB" w:rsidRPr="00FD274F" w:rsidRDefault="000C68CB" w:rsidP="000C68CB">
      <w:pPr>
        <w:pStyle w:val="BodyNum"/>
      </w:pPr>
      <w:bookmarkStart w:id="26" w:name="_Ref442196278"/>
      <w:r w:rsidRPr="00FD274F">
        <w:t>Sometimes an instrument’s enabling legislation will include a different kind of declaration to the effect that an instrument is not a legislative instrument</w:t>
      </w:r>
      <w:r>
        <w:t>,</w:t>
      </w:r>
      <w:r w:rsidRPr="00FD274F">
        <w:t xml:space="preserve"> or is not a notifiable instrument. </w:t>
      </w:r>
      <w:r w:rsidRPr="006F45CA">
        <w:t xml:space="preserve">The </w:t>
      </w:r>
      <w:hyperlink r:id="rId82" w:history="1">
        <w:r w:rsidRPr="006F45CA">
          <w:rPr>
            <w:rStyle w:val="Hyperlink"/>
          </w:rPr>
          <w:t>LA</w:t>
        </w:r>
      </w:hyperlink>
      <w:r w:rsidRPr="006F45CA">
        <w:t xml:space="preserve"> an</w:t>
      </w:r>
      <w:r w:rsidRPr="00317B28">
        <w:t xml:space="preserve">d </w:t>
      </w:r>
      <w:hyperlink r:id="rId83" w:history="1">
        <w:r w:rsidRPr="00317B28">
          <w:rPr>
            <w:rStyle w:val="Hyperlink"/>
          </w:rPr>
          <w:t>LEOMR</w:t>
        </w:r>
      </w:hyperlink>
      <w:r w:rsidRPr="00317B28">
        <w:t xml:space="preserve"> also</w:t>
      </w:r>
      <w:r w:rsidRPr="00FD274F">
        <w:t xml:space="preserve"> contain declarations that certain instruments are not legislative instruments as follows:</w:t>
      </w:r>
      <w:bookmarkEnd w:id="26"/>
    </w:p>
    <w:p w14:paraId="228EDB85" w14:textId="0DD7C59D" w:rsidR="000C68CB" w:rsidRPr="00317B28" w:rsidRDefault="000C68CB" w:rsidP="000C68CB">
      <w:pPr>
        <w:pStyle w:val="BodyPara"/>
      </w:pPr>
      <w:r w:rsidRPr="00FD274F">
        <w:t>specific declarations for instruments made u</w:t>
      </w:r>
      <w:r w:rsidRPr="00317B28">
        <w:t>nder a particular Act or provision of an Act (</w:t>
      </w:r>
      <w:hyperlink r:id="rId84" w:history="1">
        <w:r w:rsidRPr="00317B28">
          <w:rPr>
            <w:rStyle w:val="Hyperlink"/>
          </w:rPr>
          <w:t>LA</w:t>
        </w:r>
      </w:hyperlink>
      <w:r w:rsidRPr="00317B28">
        <w:t xml:space="preserve"> s 8(8) and </w:t>
      </w:r>
      <w:hyperlink r:id="rId85" w:history="1">
        <w:hyperlink r:id="rId86" w:history="1">
          <w:r w:rsidRPr="00317B28">
            <w:rPr>
              <w:rStyle w:val="Hyperlink"/>
            </w:rPr>
            <w:t>LEOMR</w:t>
          </w:r>
        </w:hyperlink>
      </w:hyperlink>
      <w:r w:rsidRPr="00317B28">
        <w:t xml:space="preserve"> s 7);</w:t>
      </w:r>
    </w:p>
    <w:p w14:paraId="5D8833F0" w14:textId="23F58ABF" w:rsidR="000C68CB" w:rsidRPr="00FD274F" w:rsidRDefault="000C68CB" w:rsidP="000C68CB">
      <w:pPr>
        <w:pStyle w:val="BodyPara"/>
      </w:pPr>
      <w:r w:rsidRPr="00317B28">
        <w:t>generic declarations that apply to instrum</w:t>
      </w:r>
      <w:r w:rsidRPr="00FD274F">
        <w:t>ents made under a</w:t>
      </w:r>
      <w:r>
        <w:t>ny</w:t>
      </w:r>
      <w:r w:rsidRPr="00FD274F">
        <w:t xml:space="preserve"> Act unless the contrary intention appears (</w:t>
      </w:r>
      <w:hyperlink r:id="rId87" w:history="1">
        <w:hyperlink r:id="rId88" w:history="1">
          <w:r w:rsidRPr="00317B28">
            <w:rPr>
              <w:rStyle w:val="Hyperlink"/>
            </w:rPr>
            <w:t>LEOMR</w:t>
          </w:r>
        </w:hyperlink>
      </w:hyperlink>
      <w:r w:rsidRPr="00317B28">
        <w:t xml:space="preserve"> s 6).</w:t>
      </w:r>
    </w:p>
    <w:p w14:paraId="4D3D67FC" w14:textId="5BAE1EBE" w:rsidR="000C68CB" w:rsidRPr="00FD274F" w:rsidRDefault="000C68CB" w:rsidP="000C68CB">
      <w:pPr>
        <w:pStyle w:val="BodyNum"/>
      </w:pPr>
      <w:bookmarkStart w:id="27" w:name="_Ref184283711"/>
      <w:r w:rsidRPr="00FD274F">
        <w:t xml:space="preserve">Please note, </w:t>
      </w:r>
      <w:hyperlink r:id="rId89" w:history="1">
        <w:hyperlink r:id="rId90" w:history="1">
          <w:r w:rsidRPr="00317B28">
            <w:rPr>
              <w:rStyle w:val="Hyperlink"/>
            </w:rPr>
            <w:t>LEOMR</w:t>
          </w:r>
        </w:hyperlink>
      </w:hyperlink>
      <w:r>
        <w:rPr>
          <w:rStyle w:val="Hyperlink"/>
        </w:rPr>
        <w:t xml:space="preserve"> </w:t>
      </w:r>
      <w:r w:rsidRPr="00FD274F">
        <w:t>does not apply if an Act (such as an instrument’s enabling Act) declares that an instrument is a legislative instrument. An instrument’s enabling Act should always be checked for declarations befo</w:t>
      </w:r>
      <w:r w:rsidRPr="00317B28">
        <w:t xml:space="preserve">re </w:t>
      </w:r>
      <w:hyperlink r:id="rId91" w:history="1">
        <w:hyperlink r:id="rId92" w:history="1">
          <w:r w:rsidRPr="00317B28">
            <w:rPr>
              <w:rStyle w:val="Hyperlink"/>
            </w:rPr>
            <w:t>LEOMR</w:t>
          </w:r>
        </w:hyperlink>
      </w:hyperlink>
      <w:r w:rsidRPr="00317B28">
        <w:t>, a</w:t>
      </w:r>
      <w:r w:rsidRPr="00FD274F">
        <w:t>nd lodging agencies are advised to take particular care when it comes to:</w:t>
      </w:r>
      <w:bookmarkEnd w:id="27"/>
    </w:p>
    <w:p w14:paraId="47CB1AAB" w14:textId="0DA33095" w:rsidR="000C68CB" w:rsidRPr="00317B28" w:rsidRDefault="000C68CB" w:rsidP="000C68CB">
      <w:pPr>
        <w:pStyle w:val="BodyPara"/>
      </w:pPr>
      <w:r w:rsidRPr="00FD274F">
        <w:t xml:space="preserve">instruments of delegation and directions to delegates </w:t>
      </w:r>
      <w:r w:rsidRPr="00317B28">
        <w:t>(</w:t>
      </w:r>
      <w:hyperlink r:id="rId93" w:history="1">
        <w:hyperlink r:id="rId94" w:history="1">
          <w:r w:rsidRPr="00317B28">
            <w:rPr>
              <w:rStyle w:val="Hyperlink"/>
            </w:rPr>
            <w:t>LEOMR</w:t>
          </w:r>
        </w:hyperlink>
      </w:hyperlink>
      <w:r w:rsidRPr="00317B28">
        <w:t xml:space="preserve"> s 6</w:t>
      </w:r>
      <w:r>
        <w:t>(1)</w:t>
      </w:r>
      <w:r w:rsidRPr="00317B28">
        <w:t xml:space="preserve"> items 1 and 2); and</w:t>
      </w:r>
    </w:p>
    <w:p w14:paraId="55CAF015" w14:textId="06E92815" w:rsidR="000C68CB" w:rsidRPr="00FD274F" w:rsidRDefault="000C68CB" w:rsidP="000C68CB">
      <w:pPr>
        <w:pStyle w:val="BodyPara"/>
      </w:pPr>
      <w:r w:rsidRPr="00FD274F">
        <w:t>instruments of authorisation and approval (</w:t>
      </w:r>
      <w:hyperlink r:id="rId95" w:history="1">
        <w:hyperlink r:id="rId96" w:history="1">
          <w:r w:rsidRPr="00FD274F">
            <w:rPr>
              <w:rStyle w:val="Hyperlink"/>
            </w:rPr>
            <w:t>LEOMR</w:t>
          </w:r>
        </w:hyperlink>
      </w:hyperlink>
      <w:r w:rsidRPr="00FD274F">
        <w:t xml:space="preserve"> </w:t>
      </w:r>
      <w:r w:rsidRPr="00317B28">
        <w:t>s 6</w:t>
      </w:r>
      <w:r>
        <w:t>(1)</w:t>
      </w:r>
      <w:r w:rsidRPr="00317B28">
        <w:t xml:space="preserve"> items 4 and 5);</w:t>
      </w:r>
      <w:r>
        <w:t xml:space="preserve"> and</w:t>
      </w:r>
    </w:p>
    <w:p w14:paraId="656926ED" w14:textId="46A5DE70" w:rsidR="000C68CB" w:rsidRPr="00FD274F" w:rsidRDefault="000C68CB" w:rsidP="000C68CB">
      <w:pPr>
        <w:pStyle w:val="BodyPara"/>
      </w:pPr>
      <w:r w:rsidRPr="00FD274F">
        <w:t>instruments prescribing or approving forms (</w:t>
      </w:r>
      <w:hyperlink r:id="rId97" w:history="1">
        <w:hyperlink r:id="rId98" w:history="1">
          <w:r w:rsidRPr="00317B28">
            <w:rPr>
              <w:rStyle w:val="Hyperlink"/>
            </w:rPr>
            <w:t>LEOMR</w:t>
          </w:r>
        </w:hyperlink>
      </w:hyperlink>
      <w:r w:rsidRPr="00317B28">
        <w:t xml:space="preserve"> s 6</w:t>
      </w:r>
      <w:r>
        <w:t>(1)</w:t>
      </w:r>
      <w:r w:rsidRPr="00317B28">
        <w:t xml:space="preserve"> item 6)</w:t>
      </w:r>
      <w:r w:rsidRPr="00FD274F">
        <w:t>.</w:t>
      </w:r>
    </w:p>
    <w:p w14:paraId="0E072F03" w14:textId="7CACE5E9" w:rsidR="000C68CB" w:rsidRPr="00FD274F" w:rsidRDefault="000C68CB" w:rsidP="000C68CB">
      <w:pPr>
        <w:pStyle w:val="BodyNum"/>
      </w:pPr>
      <w:bookmarkStart w:id="28" w:name="_Ref444606268"/>
      <w:r w:rsidRPr="00FD274F">
        <w:t>In the event that no declaration can be found in an Act o</w:t>
      </w:r>
      <w:r w:rsidRPr="00317B28">
        <w:t xml:space="preserve">r </w:t>
      </w:r>
      <w:hyperlink r:id="rId99" w:history="1">
        <w:hyperlink r:id="rId100" w:history="1">
          <w:r w:rsidRPr="00317B28">
            <w:rPr>
              <w:rStyle w:val="Hyperlink"/>
            </w:rPr>
            <w:t>LEOMR</w:t>
          </w:r>
        </w:hyperlink>
      </w:hyperlink>
      <w:r w:rsidRPr="00317B28">
        <w:t>,</w:t>
      </w:r>
      <w:r w:rsidRPr="00FD274F">
        <w:t xml:space="preserve"> the status of the instrument under the </w:t>
      </w:r>
      <w:hyperlink r:id="rId101" w:history="1">
        <w:r w:rsidRPr="006F45CA">
          <w:rPr>
            <w:rStyle w:val="Hyperlink"/>
          </w:rPr>
          <w:t>LA</w:t>
        </w:r>
      </w:hyperlink>
      <w:r w:rsidRPr="00FD274F">
        <w:t xml:space="preserve"> can only be established by looking closely at </w:t>
      </w:r>
      <w:bookmarkStart w:id="29" w:name="_Ref367446033"/>
      <w:r w:rsidRPr="00FD274F">
        <w:t xml:space="preserve">the individual instrument that has been or will be made and whether it is of legislative character. </w:t>
      </w:r>
      <w:bookmarkEnd w:id="29"/>
      <w:r w:rsidRPr="006F45CA">
        <w:t xml:space="preserve">Subsection 8(4) of the </w:t>
      </w:r>
      <w:hyperlink r:id="rId102" w:history="1">
        <w:r w:rsidRPr="006F45CA">
          <w:rPr>
            <w:rStyle w:val="Hyperlink"/>
          </w:rPr>
          <w:t>LA</w:t>
        </w:r>
      </w:hyperlink>
      <w:r w:rsidRPr="006F45CA">
        <w:t xml:space="preserve"> s</w:t>
      </w:r>
      <w:r w:rsidRPr="00FD274F">
        <w:t>pecifies that an instrument is a legislative instrument if:</w:t>
      </w:r>
      <w:bookmarkEnd w:id="28"/>
    </w:p>
    <w:p w14:paraId="44A3428F" w14:textId="77777777" w:rsidR="000C68CB" w:rsidRPr="00FD274F" w:rsidRDefault="000C68CB" w:rsidP="000C68CB">
      <w:pPr>
        <w:pStyle w:val="BodyPara"/>
      </w:pPr>
      <w:r w:rsidRPr="00FD274F">
        <w:t>it is made under a power d</w:t>
      </w:r>
      <w:r>
        <w:t>elegated by the Parliament; and</w:t>
      </w:r>
    </w:p>
    <w:p w14:paraId="463D31D4" w14:textId="77777777" w:rsidR="000C68CB" w:rsidRPr="00FD274F" w:rsidRDefault="000C68CB" w:rsidP="000C68CB">
      <w:pPr>
        <w:pStyle w:val="BodyPara"/>
      </w:pPr>
      <w:r w:rsidRPr="00FD274F">
        <w:t>any provision of the instrument:</w:t>
      </w:r>
    </w:p>
    <w:p w14:paraId="34AD6F9A" w14:textId="77777777" w:rsidR="000C68CB" w:rsidRPr="00FD274F" w:rsidRDefault="000C68CB" w:rsidP="000C68CB">
      <w:pPr>
        <w:pStyle w:val="BodySubPara"/>
      </w:pPr>
      <w:r w:rsidRPr="00FD274F">
        <w:t>determines the law or alters the content of the law, rather than whether or how it applies to particular cases or</w:t>
      </w:r>
      <w:r>
        <w:t xml:space="preserve"> circumstances; and</w:t>
      </w:r>
    </w:p>
    <w:p w14:paraId="7C9F3BC3" w14:textId="77777777" w:rsidR="000C68CB" w:rsidRPr="00FD274F" w:rsidRDefault="000C68CB" w:rsidP="000C68CB">
      <w:pPr>
        <w:pStyle w:val="BodySubPara"/>
      </w:pPr>
      <w:r w:rsidRPr="00FD274F">
        <w:lastRenderedPageBreak/>
        <w:t>has the direct or indirect effect of affecting a privilege or interest, imposing an obligation, creating a right, or varying or removing an obligation or right.</w:t>
      </w:r>
    </w:p>
    <w:p w14:paraId="03C4995C" w14:textId="77777777" w:rsidR="000C68CB" w:rsidRPr="00FD274F" w:rsidRDefault="000C68CB" w:rsidP="000C68CB">
      <w:pPr>
        <w:pStyle w:val="BodyNum"/>
      </w:pPr>
      <w:r w:rsidRPr="00FD274F">
        <w:t>Even if an instrument is not a legislative instrument, it may still be useful to lodge it for registration as a notifiable instrument, especially if it is required to be published in the Gazette or elsewhere. Registering such an instrument as a notifiable instrument:</w:t>
      </w:r>
    </w:p>
    <w:p w14:paraId="283C1918" w14:textId="6896C5C9" w:rsidR="000C68CB" w:rsidRPr="00FD274F" w:rsidRDefault="000C68CB" w:rsidP="000C68CB">
      <w:pPr>
        <w:pStyle w:val="BodyPara"/>
      </w:pPr>
      <w:r w:rsidRPr="00FD274F">
        <w:t>will generally satisfy any statutory requirement for the instrument to be gazetted or publis</w:t>
      </w:r>
      <w:r w:rsidRPr="00102718">
        <w:t xml:space="preserve">hed (see </w:t>
      </w:r>
      <w:hyperlink r:id="rId103" w:history="1">
        <w:r w:rsidRPr="00102718">
          <w:rPr>
            <w:rStyle w:val="Hyperlink"/>
          </w:rPr>
          <w:t>LA</w:t>
        </w:r>
      </w:hyperlink>
      <w:r w:rsidRPr="00102718">
        <w:t xml:space="preserve"> s 11(4)); a</w:t>
      </w:r>
      <w:r w:rsidRPr="00FD274F">
        <w:t>nd</w:t>
      </w:r>
    </w:p>
    <w:p w14:paraId="249B69D0" w14:textId="77777777" w:rsidR="000C68CB" w:rsidRPr="00FD274F" w:rsidRDefault="000C68CB" w:rsidP="000C68CB">
      <w:pPr>
        <w:pStyle w:val="BodyPara"/>
      </w:pPr>
      <w:r w:rsidRPr="00FD274F">
        <w:t>is much cheaper than alternatives suc</w:t>
      </w:r>
      <w:r>
        <w:t>h as newspaper advertising; and</w:t>
      </w:r>
    </w:p>
    <w:p w14:paraId="79371DF6" w14:textId="77777777" w:rsidR="000C68CB" w:rsidRPr="00FD274F" w:rsidRDefault="000C68CB" w:rsidP="000C68CB">
      <w:pPr>
        <w:pStyle w:val="BodyPara"/>
      </w:pPr>
      <w:r w:rsidRPr="00FD274F">
        <w:t>ensures long</w:t>
      </w:r>
      <w:r>
        <w:noBreakHyphen/>
      </w:r>
      <w:r w:rsidRPr="00FD274F">
        <w:t>term access to your instrument (unlike agency websites where there is often pressure to archive older content and to change URLs for agency name changes and website redevelopment).</w:t>
      </w:r>
    </w:p>
    <w:p w14:paraId="5285588F" w14:textId="29ECEE78" w:rsidR="000C68CB" w:rsidRPr="00FD274F" w:rsidRDefault="000C68CB" w:rsidP="000C68CB">
      <w:pPr>
        <w:pStyle w:val="BodyNum"/>
      </w:pPr>
      <w:r w:rsidRPr="00FD274F">
        <w:t xml:space="preserve">Unlike legislative instruments, notifiable instruments are not subject to tabling, disallowance or sunsetting. However, they can still be repealed in bulk by means of a regulation made under </w:t>
      </w:r>
      <w:r w:rsidRPr="00102718">
        <w:t xml:space="preserve">section 48E of the </w:t>
      </w:r>
      <w:hyperlink r:id="rId104" w:history="1">
        <w:r w:rsidRPr="00102718">
          <w:rPr>
            <w:rStyle w:val="Hyperlink"/>
          </w:rPr>
          <w:t>LA</w:t>
        </w:r>
      </w:hyperlink>
      <w:r w:rsidRPr="00102718">
        <w:t xml:space="preserve"> if</w:t>
      </w:r>
      <w:r w:rsidRPr="00FD274F">
        <w:t xml:space="preserve"> appropria</w:t>
      </w:r>
      <w:r w:rsidRPr="0009463D">
        <w:t xml:space="preserve">te (see paragraph </w:t>
      </w:r>
      <w:r>
        <w:fldChar w:fldCharType="begin"/>
      </w:r>
      <w:r>
        <w:instrText xml:space="preserve"> REF _Ref110331308 \r \h </w:instrText>
      </w:r>
      <w:r>
        <w:fldChar w:fldCharType="separate"/>
      </w:r>
      <w:r w:rsidR="00AB105F">
        <w:t>247</w:t>
      </w:r>
      <w:r>
        <w:fldChar w:fldCharType="end"/>
      </w:r>
      <w:r w:rsidRPr="00102718">
        <w:t>).</w:t>
      </w:r>
    </w:p>
    <w:p w14:paraId="60A338E5" w14:textId="77777777" w:rsidR="000C68CB" w:rsidRPr="00FD274F" w:rsidRDefault="000C68CB" w:rsidP="000C68CB">
      <w:pPr>
        <w:pStyle w:val="Head3"/>
      </w:pPr>
      <w:bookmarkStart w:id="30" w:name="_Toc223687722"/>
      <w:r w:rsidRPr="00FD274F">
        <w:t>If there is uncertainty about the status of an instrument</w:t>
      </w:r>
      <w:bookmarkEnd w:id="30"/>
    </w:p>
    <w:p w14:paraId="70CA85F3" w14:textId="0ED06DC9" w:rsidR="000C68CB" w:rsidRPr="00FD274F" w:rsidRDefault="000C68CB" w:rsidP="000C68CB">
      <w:pPr>
        <w:pStyle w:val="BodyNum"/>
      </w:pPr>
      <w:r w:rsidRPr="00FD274F">
        <w:t xml:space="preserve">It is important to identify instruments correctly: a legislative instrument is not enforceable by or against any person including the Commonwealth unless and until it is registered as a legislative instrument </w:t>
      </w:r>
      <w:r w:rsidRPr="00102718">
        <w:t>(</w:t>
      </w:r>
      <w:hyperlink r:id="rId105" w:history="1">
        <w:r w:rsidRPr="00102718">
          <w:rPr>
            <w:rStyle w:val="Hyperlink"/>
          </w:rPr>
          <w:t>LA</w:t>
        </w:r>
      </w:hyperlink>
      <w:r w:rsidRPr="00102718">
        <w:t xml:space="preserve"> s 15K(1)).</w:t>
      </w:r>
    </w:p>
    <w:p w14:paraId="2481B689" w14:textId="5E2F0C15" w:rsidR="000C68CB" w:rsidRPr="00FD274F" w:rsidRDefault="000C68CB" w:rsidP="000C68CB">
      <w:pPr>
        <w:pStyle w:val="BodyNum"/>
      </w:pPr>
      <w:r w:rsidRPr="00FD274F">
        <w:t xml:space="preserve">Lodging agencies, not OPC, are responsible for establishing the status of an instrument under the </w:t>
      </w:r>
      <w:hyperlink r:id="rId106" w:history="1">
        <w:r w:rsidRPr="00102718">
          <w:rPr>
            <w:rStyle w:val="Hyperlink"/>
          </w:rPr>
          <w:t>LA</w:t>
        </w:r>
      </w:hyperlink>
      <w:r w:rsidRPr="00102718">
        <w:t xml:space="preserve"> a</w:t>
      </w:r>
      <w:r w:rsidRPr="00FD274F">
        <w:t xml:space="preserve">nd for choosing the appropriate lodgement type at </w:t>
      </w:r>
      <w:r>
        <w:t xml:space="preserve">the </w:t>
      </w:r>
      <w:r w:rsidRPr="00FD274F">
        <w:t xml:space="preserve">time of lodgement. Under </w:t>
      </w:r>
      <w:r w:rsidRPr="00102718">
        <w:t xml:space="preserve">section 15H of the </w:t>
      </w:r>
      <w:hyperlink r:id="rId107" w:history="1">
        <w:r w:rsidRPr="00102718">
          <w:rPr>
            <w:rStyle w:val="Hyperlink"/>
          </w:rPr>
          <w:t>LA</w:t>
        </w:r>
      </w:hyperlink>
      <w:r w:rsidRPr="00102718">
        <w:t>, if an i</w:t>
      </w:r>
      <w:r w:rsidRPr="00FD274F">
        <w:t>nstrument is lodged for registration:</w:t>
      </w:r>
    </w:p>
    <w:p w14:paraId="1F4477F8" w14:textId="770CE8CA" w:rsidR="000C68CB" w:rsidRPr="00FD274F" w:rsidRDefault="000C68CB" w:rsidP="000C68CB">
      <w:pPr>
        <w:pStyle w:val="BodyPara"/>
      </w:pPr>
      <w:r w:rsidRPr="00FD274F">
        <w:t xml:space="preserve">as a legislative instrument, it must be registered as a legislative instrument </w:t>
      </w:r>
      <w:r w:rsidRPr="00102718">
        <w:t>(</w:t>
      </w:r>
      <w:hyperlink r:id="rId108" w:history="1">
        <w:r w:rsidRPr="00102718">
          <w:rPr>
            <w:rStyle w:val="Hyperlink"/>
          </w:rPr>
          <w:t>LA</w:t>
        </w:r>
      </w:hyperlink>
      <w:r w:rsidRPr="00102718">
        <w:t xml:space="preserve"> s 15H(1)(a));</w:t>
      </w:r>
      <w:r>
        <w:t xml:space="preserve"> or</w:t>
      </w:r>
    </w:p>
    <w:p w14:paraId="20BB228A" w14:textId="7FDC75B7" w:rsidR="000C68CB" w:rsidRPr="00FD274F" w:rsidRDefault="000C68CB" w:rsidP="000C68CB">
      <w:pPr>
        <w:pStyle w:val="BodyPara"/>
      </w:pPr>
      <w:r w:rsidRPr="00FD274F">
        <w:t>as a notifiable instrument, it must be registered as a notifiable instrument (</w:t>
      </w:r>
      <w:hyperlink r:id="rId109" w:history="1">
        <w:r w:rsidRPr="00102718">
          <w:rPr>
            <w:rStyle w:val="Hyperlink"/>
          </w:rPr>
          <w:t>LA</w:t>
        </w:r>
      </w:hyperlink>
      <w:r w:rsidRPr="00102718">
        <w:rPr>
          <w:rStyle w:val="Hyperlink"/>
        </w:rPr>
        <w:t> </w:t>
      </w:r>
      <w:r w:rsidRPr="00102718">
        <w:t>s 15H(1)(b)).</w:t>
      </w:r>
    </w:p>
    <w:p w14:paraId="4628B983" w14:textId="77777777" w:rsidR="000C68CB" w:rsidRPr="00FD274F" w:rsidRDefault="000C68CB" w:rsidP="000C68CB">
      <w:pPr>
        <w:pStyle w:val="Head4"/>
      </w:pPr>
      <w:bookmarkStart w:id="31" w:name="_Toc223687723"/>
      <w:r w:rsidRPr="00FD274F">
        <w:t>For new instruments</w:t>
      </w:r>
      <w:bookmarkEnd w:id="31"/>
    </w:p>
    <w:p w14:paraId="2361A4F8" w14:textId="77777777" w:rsidR="000C68CB" w:rsidRPr="00FD274F" w:rsidRDefault="000C68CB" w:rsidP="000C68CB">
      <w:pPr>
        <w:pStyle w:val="BodyNum"/>
      </w:pPr>
      <w:r w:rsidRPr="00FD274F">
        <w:t>If it is unclear whether a particular instrument is a legislative instrument, it would be prudent to get legal advice and consider the potential risks to government policy if the instrument is, or is not, registered as a legislative instrument. If there is a need to put the issue beyond doubt, there are two options to consider as follows:</w:t>
      </w:r>
    </w:p>
    <w:p w14:paraId="7402716B" w14:textId="6BF231E6" w:rsidR="000C68CB" w:rsidRPr="00FD274F" w:rsidRDefault="000C68CB" w:rsidP="000C68CB">
      <w:pPr>
        <w:pStyle w:val="BodyPara"/>
      </w:pPr>
      <w:r w:rsidRPr="00FD274F">
        <w:t>if the instrument does not need to be made urgently—there may be scope to include an express declaration in relevant legislation (gen</w:t>
      </w:r>
      <w:r w:rsidRPr="00317B28">
        <w:t xml:space="preserve">erally </w:t>
      </w:r>
      <w:hyperlink r:id="rId110" w:history="1">
        <w:r w:rsidRPr="00317B28">
          <w:rPr>
            <w:rStyle w:val="Hyperlink"/>
          </w:rPr>
          <w:t>LEOMR</w:t>
        </w:r>
      </w:hyperlink>
      <w:r w:rsidRPr="00317B28">
        <w:t>);</w:t>
      </w:r>
    </w:p>
    <w:p w14:paraId="1CC5FFF9" w14:textId="77777777" w:rsidR="000C68CB" w:rsidRPr="00FD274F" w:rsidRDefault="000C68CB" w:rsidP="000C68CB">
      <w:pPr>
        <w:pStyle w:val="BodyPara"/>
      </w:pPr>
      <w:r w:rsidRPr="00FD274F">
        <w:t>if the instrument has already been made, or needs to be made urgently—it should be registered as</w:t>
      </w:r>
      <w:r>
        <w:t xml:space="preserve"> a legislative instrument.</w:t>
      </w:r>
    </w:p>
    <w:p w14:paraId="72F9AEB9" w14:textId="255938F2" w:rsidR="000C68CB" w:rsidRPr="00FD274F" w:rsidRDefault="000C68CB" w:rsidP="000C68CB">
      <w:pPr>
        <w:pStyle w:val="BodyNum"/>
      </w:pPr>
      <w:r w:rsidRPr="00FD274F">
        <w:lastRenderedPageBreak/>
        <w:t>Registering an instrument as a legislative instrument generally results in it, and an instrument that amends or repeals it, becoming a legislative instrumen</w:t>
      </w:r>
      <w:r w:rsidRPr="00102718">
        <w:t>t (</w:t>
      </w:r>
      <w:hyperlink r:id="rId111" w:history="1">
        <w:r w:rsidRPr="00102718">
          <w:rPr>
            <w:rStyle w:val="Hyperlink"/>
          </w:rPr>
          <w:t>LA</w:t>
        </w:r>
      </w:hyperlink>
      <w:r w:rsidRPr="00102718">
        <w:t xml:space="preserve"> s 10(</w:t>
      </w:r>
      <w:r>
        <w:t>1</w:t>
      </w:r>
      <w:r w:rsidRPr="00102718">
        <w:t>)(</w:t>
      </w:r>
      <w:r>
        <w:t>d</w:t>
      </w:r>
      <w:r w:rsidRPr="00102718">
        <w:t>)).</w:t>
      </w:r>
      <w:r w:rsidRPr="00FD274F">
        <w:t xml:space="preserve"> However, this principle </w:t>
      </w:r>
      <w:r w:rsidR="00224371">
        <w:t>(</w:t>
      </w:r>
      <w:r w:rsidRPr="00FD274F">
        <w:t>and associated disallowance and sunsetting regimes</w:t>
      </w:r>
      <w:r w:rsidR="00224371">
        <w:t>)</w:t>
      </w:r>
      <w:r w:rsidRPr="00FD274F">
        <w:t>, does not apply to a notifiable instrument that is:</w:t>
      </w:r>
    </w:p>
    <w:p w14:paraId="6FB0E30B" w14:textId="3F106628" w:rsidR="000C68CB" w:rsidRPr="00FD274F" w:rsidRDefault="000C68CB" w:rsidP="000C68CB">
      <w:pPr>
        <w:pStyle w:val="BodyPara"/>
      </w:pPr>
      <w:r w:rsidRPr="00FD274F">
        <w:t>a commencement instrumen</w:t>
      </w:r>
      <w:r w:rsidRPr="00AB101B">
        <w:t>t (</w:t>
      </w:r>
      <w:hyperlink r:id="rId112" w:history="1">
        <w:r w:rsidRPr="00AB101B">
          <w:rPr>
            <w:rStyle w:val="Hyperlink"/>
          </w:rPr>
          <w:t>LA</w:t>
        </w:r>
      </w:hyperlink>
      <w:r w:rsidRPr="00AB101B">
        <w:t xml:space="preserve"> s 8(8)(b) and 11(2)); o</w:t>
      </w:r>
      <w:r w:rsidRPr="00FD274F">
        <w:t>r</w:t>
      </w:r>
    </w:p>
    <w:p w14:paraId="7003164D" w14:textId="76D854AE" w:rsidR="000C68CB" w:rsidRPr="00AB101B" w:rsidRDefault="000C68CB" w:rsidP="000C68CB">
      <w:pPr>
        <w:pStyle w:val="BodyPara"/>
      </w:pPr>
      <w:r w:rsidRPr="00FD274F">
        <w:t xml:space="preserve">declared to be a notifiable instrument by its enabling legislation </w:t>
      </w:r>
      <w:r w:rsidRPr="00AB101B">
        <w:t>(</w:t>
      </w:r>
      <w:hyperlink r:id="rId113" w:history="1">
        <w:r w:rsidRPr="00AB101B">
          <w:rPr>
            <w:rStyle w:val="Hyperlink"/>
          </w:rPr>
          <w:t>LA</w:t>
        </w:r>
      </w:hyperlink>
      <w:r w:rsidRPr="00AB101B">
        <w:t xml:space="preserve"> s 8(8)(a) and 11(1)).</w:t>
      </w:r>
    </w:p>
    <w:p w14:paraId="417B8B2C" w14:textId="23DC3CE4" w:rsidR="000C68CB" w:rsidRDefault="000C68CB" w:rsidP="000C68CB">
      <w:pPr>
        <w:pStyle w:val="noteToPara"/>
        <w:ind w:left="1429"/>
      </w:pPr>
      <w:r w:rsidRPr="00FD274F">
        <w:t xml:space="preserve">Note: </w:t>
      </w:r>
      <w:r w:rsidRPr="00FD274F">
        <w:tab/>
      </w:r>
      <w:r w:rsidR="002F347F">
        <w:t xml:space="preserve">Unlike instruments that are notifiable instruments because of paragraph 8(8)(a) of the </w:t>
      </w:r>
      <w:hyperlink r:id="rId114" w:history="1">
        <w:r w:rsidR="002F347F" w:rsidRPr="00AB101B">
          <w:rPr>
            <w:rStyle w:val="Hyperlink"/>
          </w:rPr>
          <w:t>LA</w:t>
        </w:r>
      </w:hyperlink>
      <w:r w:rsidR="002F347F">
        <w:t xml:space="preserve">, instruments that are notifiable instruments under section 8 of </w:t>
      </w:r>
      <w:hyperlink r:id="rId115" w:history="1">
        <w:hyperlink r:id="rId116" w:history="1">
          <w:r w:rsidR="002F347F" w:rsidRPr="00F409B4">
            <w:rPr>
              <w:rStyle w:val="Hyperlink"/>
            </w:rPr>
            <w:t>LEOMR</w:t>
          </w:r>
        </w:hyperlink>
      </w:hyperlink>
      <w:r w:rsidR="002F347F">
        <w:t xml:space="preserve"> can be registered as, and become, legislative instruments.</w:t>
      </w:r>
    </w:p>
    <w:p w14:paraId="3B96F2EC" w14:textId="70052601" w:rsidR="000C68CB" w:rsidRPr="00FD274F" w:rsidRDefault="000C68CB" w:rsidP="000C68CB">
      <w:pPr>
        <w:pStyle w:val="BodyNum"/>
      </w:pPr>
      <w:r w:rsidRPr="00FD274F">
        <w:t xml:space="preserve">An express declaration that an instrument is not a legislative instrument can be inserted </w:t>
      </w:r>
      <w:r w:rsidRPr="00F409B4">
        <w:t xml:space="preserve">into </w:t>
      </w:r>
      <w:hyperlink r:id="rId117" w:history="1">
        <w:hyperlink r:id="rId118" w:history="1">
          <w:r w:rsidRPr="00F409B4">
            <w:rPr>
              <w:rStyle w:val="Hyperlink"/>
            </w:rPr>
            <w:t>LEOMR</w:t>
          </w:r>
        </w:hyperlink>
      </w:hyperlink>
      <w:r w:rsidRPr="00FD274F">
        <w:t xml:space="preserve"> or an instrument’s enabling legislation, but exceptional policy reasons will be required for a type of instrument that is likely to be of legislative character (</w:t>
      </w:r>
      <w:r w:rsidRPr="0009463D">
        <w:t xml:space="preserve">see paragraph </w:t>
      </w:r>
      <w:r w:rsidRPr="00C856F3">
        <w:fldChar w:fldCharType="begin"/>
      </w:r>
      <w:r w:rsidRPr="0009463D">
        <w:instrText xml:space="preserve"> REF _Ref444606268 \r \h  \* MERGEFORMAT </w:instrText>
      </w:r>
      <w:r w:rsidRPr="00C856F3">
        <w:fldChar w:fldCharType="separate"/>
      </w:r>
      <w:r w:rsidR="00AB105F">
        <w:t>37</w:t>
      </w:r>
      <w:r w:rsidRPr="00C856F3">
        <w:fldChar w:fldCharType="end"/>
      </w:r>
      <w:r w:rsidRPr="0009463D">
        <w:t>).</w:t>
      </w:r>
      <w:r w:rsidRPr="00FD274F">
        <w:t xml:space="preserve"> Before making or instructing OPC to draft an exemption, please consult </w:t>
      </w:r>
      <w:r w:rsidRPr="00F409B4">
        <w:t>AGD (</w:t>
      </w:r>
      <w:r w:rsidR="00E277CA">
        <w:t xml:space="preserve">email </w:t>
      </w:r>
      <w:hyperlink r:id="rId119" w:history="1">
        <w:r w:rsidR="00E277CA" w:rsidRPr="00C24A30">
          <w:rPr>
            <w:rStyle w:val="Hyperlink"/>
          </w:rPr>
          <w:t>adminlaw@ag.gov.au</w:t>
        </w:r>
      </w:hyperlink>
      <w:r w:rsidRPr="00FD274F">
        <w:rPr>
          <w:rStyle w:val="Hyperlink"/>
        </w:rPr>
        <w:t xml:space="preserve"> </w:t>
      </w:r>
      <w:r w:rsidRPr="00FD274F">
        <w:t xml:space="preserve">or </w:t>
      </w:r>
      <w:r w:rsidR="00E277CA">
        <w:t xml:space="preserve">call the AGD Switchboard on </w:t>
      </w:r>
      <w:r w:rsidR="00E277CA" w:rsidRPr="00E277CA">
        <w:t>(02) 6141 6666</w:t>
      </w:r>
      <w:r w:rsidR="00E277CA">
        <w:t xml:space="preserve"> and ask to be redirected to the Administrative Law Section</w:t>
      </w:r>
      <w:r w:rsidRPr="00F409B4">
        <w:t>).</w:t>
      </w:r>
      <w:r w:rsidRPr="00FD274F">
        <w:t xml:space="preserve"> The formal policy approval of the responsible Minister and the Attorney</w:t>
      </w:r>
      <w:r>
        <w:noBreakHyphen/>
      </w:r>
      <w:r w:rsidRPr="00FD274F">
        <w:t>General is required for such a declaration.</w:t>
      </w:r>
    </w:p>
    <w:p w14:paraId="28F21CB4" w14:textId="77777777" w:rsidR="000C68CB" w:rsidRPr="00FD274F" w:rsidRDefault="000C68CB" w:rsidP="000C68CB">
      <w:pPr>
        <w:pStyle w:val="Head4"/>
      </w:pPr>
      <w:bookmarkStart w:id="32" w:name="_Toc223687724"/>
      <w:r w:rsidRPr="00FD274F">
        <w:t>For older instruments</w:t>
      </w:r>
      <w:bookmarkEnd w:id="32"/>
    </w:p>
    <w:p w14:paraId="6B43FE7A" w14:textId="6109F701" w:rsidR="000C68CB" w:rsidRPr="00FD274F" w:rsidRDefault="000C68CB" w:rsidP="000C68CB">
      <w:pPr>
        <w:pStyle w:val="BodyNum"/>
      </w:pPr>
      <w:r w:rsidRPr="00FD274F">
        <w:t xml:space="preserve">Instruments that would be notifiable instruments if they were made on or after 5 March 2016 are not required to be lodged for registration. However, they can be registered if the First Parliamentary Counsel agrees that this is likely to be useful to users of the Register </w:t>
      </w:r>
      <w:r w:rsidR="00C0506C">
        <w:t>(</w:t>
      </w:r>
      <w:r w:rsidRPr="00FD274F">
        <w:t>for example, because instruments of ongoing or historic interest would cease to be available online as a result of m</w:t>
      </w:r>
      <w:r>
        <w:t>achinery of government changes</w:t>
      </w:r>
      <w:r w:rsidR="00C0506C">
        <w:t>)</w:t>
      </w:r>
      <w:r>
        <w:t>.</w:t>
      </w:r>
    </w:p>
    <w:p w14:paraId="2A868D66" w14:textId="1E0B2DBF" w:rsidR="000C68CB" w:rsidRPr="00FD274F" w:rsidRDefault="000C68CB" w:rsidP="000C68CB">
      <w:pPr>
        <w:pStyle w:val="BodyNum"/>
      </w:pPr>
      <w:r w:rsidRPr="00FD274F">
        <w:t>Legislative instruments made before 1 January 2005 were, however, required to be lodged by certain deadlines that have now passed. Any legislative instruments not lodged by the relevant deadline were, in almost all cases, repealed by the operation of s</w:t>
      </w:r>
      <w:r w:rsidRPr="00F409B4">
        <w:t xml:space="preserve">ection 32 of the </w:t>
      </w:r>
      <w:hyperlink r:id="rId120" w:history="1">
        <w:r w:rsidRPr="00F409B4">
          <w:rPr>
            <w:rStyle w:val="Hyperlink"/>
          </w:rPr>
          <w:t>LA</w:t>
        </w:r>
      </w:hyperlink>
      <w:r w:rsidRPr="00FD274F">
        <w:rPr>
          <w:rStyle w:val="Hyperlink"/>
        </w:rPr>
        <w:t xml:space="preserve"> </w:t>
      </w:r>
      <w:r w:rsidRPr="00FD274F">
        <w:t>when it was known as th</w:t>
      </w:r>
      <w:r w:rsidRPr="00F409B4">
        <w:t>e LIA.</w:t>
      </w:r>
      <w:r w:rsidRPr="00FD274F">
        <w:t xml:space="preserve"> That section has since been repealed, but its repeal does not affect:</w:t>
      </w:r>
    </w:p>
    <w:p w14:paraId="06EB5E4C" w14:textId="77777777" w:rsidR="000C68CB" w:rsidRPr="00FD274F" w:rsidRDefault="000C68CB" w:rsidP="000C68CB">
      <w:pPr>
        <w:pStyle w:val="BodyPara"/>
      </w:pPr>
      <w:r w:rsidRPr="00FD274F">
        <w:t>the operation of a handful of older legislative instruments lodged later and registered under subsecti</w:t>
      </w:r>
      <w:r w:rsidRPr="00F409B4">
        <w:t>ons 32(3) and 32(4) of the LIA;</w:t>
      </w:r>
      <w:r>
        <w:t xml:space="preserve"> and</w:t>
      </w:r>
    </w:p>
    <w:p w14:paraId="0E8D2DBA" w14:textId="77777777" w:rsidR="000C68CB" w:rsidRPr="00FD274F" w:rsidRDefault="000C68CB" w:rsidP="000C68CB">
      <w:pPr>
        <w:pStyle w:val="BodyPara"/>
      </w:pPr>
      <w:r w:rsidRPr="00FD274F">
        <w:t>the repeal of all other legislative instruments not lodged as required.</w:t>
      </w:r>
    </w:p>
    <w:p w14:paraId="5920012D" w14:textId="77777777" w:rsidR="000C68CB" w:rsidRPr="00FD274F" w:rsidRDefault="000C68CB" w:rsidP="000C68CB">
      <w:pPr>
        <w:pStyle w:val="Head3"/>
      </w:pPr>
      <w:bookmarkStart w:id="33" w:name="_Toc223687725"/>
      <w:r w:rsidRPr="00FD274F">
        <w:t>What is the Federal Register of Legislation?</w:t>
      </w:r>
      <w:bookmarkEnd w:id="33"/>
    </w:p>
    <w:p w14:paraId="3BD9F590" w14:textId="093339BC" w:rsidR="000C68CB" w:rsidRPr="00FD274F" w:rsidRDefault="000C68CB" w:rsidP="000C68CB">
      <w:pPr>
        <w:pStyle w:val="BodyNum"/>
      </w:pPr>
      <w:r w:rsidRPr="00FD274F">
        <w:t>The Federal Register of Legislation is the authorised whole</w:t>
      </w:r>
      <w:r>
        <w:noBreakHyphen/>
      </w:r>
      <w:r w:rsidRPr="00FD274F">
        <w:t>of</w:t>
      </w:r>
      <w:r>
        <w:noBreakHyphen/>
      </w:r>
      <w:r w:rsidRPr="00FD274F">
        <w:t>government website for Commonwealth legislation and related documents. The Register contains the full text of laws, as well as details of the lifecycle of individual laws and the relationships between them. It is managed by OPC in accordance w</w:t>
      </w:r>
      <w:r w:rsidRPr="00C856F3">
        <w:t xml:space="preserve">ith section 15A of the </w:t>
      </w:r>
      <w:hyperlink r:id="rId121" w:history="1">
        <w:r w:rsidRPr="00C856F3">
          <w:rPr>
            <w:rStyle w:val="Hyperlink"/>
          </w:rPr>
          <w:t>LA</w:t>
        </w:r>
      </w:hyperlink>
      <w:r w:rsidRPr="00C856F3">
        <w:rPr>
          <w:rStyle w:val="Hyperlink"/>
        </w:rPr>
        <w:t xml:space="preserve">, </w:t>
      </w:r>
      <w:r w:rsidRPr="00C856F3">
        <w:t>a</w:t>
      </w:r>
      <w:r w:rsidRPr="00FD274F">
        <w:t>nd it includes:</w:t>
      </w:r>
    </w:p>
    <w:p w14:paraId="33AE6377" w14:textId="77777777" w:rsidR="000C68CB" w:rsidRDefault="000C68CB" w:rsidP="000C68CB">
      <w:pPr>
        <w:pStyle w:val="BodyPara"/>
      </w:pPr>
      <w:r w:rsidRPr="00FD274F">
        <w:t>all Acts as made since 1901; and</w:t>
      </w:r>
    </w:p>
    <w:p w14:paraId="442A9104" w14:textId="77777777" w:rsidR="000C68CB" w:rsidRDefault="000C68CB" w:rsidP="000C68CB">
      <w:pPr>
        <w:pStyle w:val="BodyPara"/>
      </w:pPr>
      <w:r>
        <w:t>all Statutory Rules as made from 1904 to 2004; and</w:t>
      </w:r>
    </w:p>
    <w:p w14:paraId="300A168E" w14:textId="77777777" w:rsidR="000C68CB" w:rsidRPr="00FD274F" w:rsidRDefault="000C68CB" w:rsidP="000C68CB">
      <w:pPr>
        <w:pStyle w:val="BodyPara"/>
      </w:pPr>
      <w:r w:rsidRPr="00FD274F">
        <w:lastRenderedPageBreak/>
        <w:t>all legislative instruments made on or from 1 January 2005, including all older instruments in force on 1 January 200</w:t>
      </w:r>
      <w:r>
        <w:t>5</w:t>
      </w:r>
      <w:r w:rsidRPr="00FD274F">
        <w:t>, and associated explanatory statements; and</w:t>
      </w:r>
    </w:p>
    <w:p w14:paraId="0E0FFFBC" w14:textId="77777777" w:rsidR="000C68CB" w:rsidRPr="00FD274F" w:rsidRDefault="000C68CB" w:rsidP="000C68CB">
      <w:pPr>
        <w:pStyle w:val="BodyPara"/>
      </w:pPr>
      <w:r w:rsidRPr="00FD274F">
        <w:t>all notifiable instruments as made from 5 March 2016; and</w:t>
      </w:r>
    </w:p>
    <w:p w14:paraId="16D280FA" w14:textId="77777777" w:rsidR="000C68CB" w:rsidRPr="00FD274F" w:rsidRDefault="000C68CB" w:rsidP="000C68CB">
      <w:pPr>
        <w:pStyle w:val="BodyPara"/>
      </w:pPr>
      <w:r w:rsidRPr="00FD274F">
        <w:t xml:space="preserve">compilations showing the text of Acts and </w:t>
      </w:r>
      <w:r>
        <w:t>instruments as amended; and</w:t>
      </w:r>
    </w:p>
    <w:p w14:paraId="24AABAB5" w14:textId="38B97FEF" w:rsidR="000C68CB" w:rsidRPr="00FD274F" w:rsidRDefault="000C68CB" w:rsidP="000C68CB">
      <w:pPr>
        <w:pStyle w:val="BodyPara"/>
      </w:pPr>
      <w:r w:rsidRPr="00FD274F">
        <w:t>related documents such as Gazette notices.</w:t>
      </w:r>
    </w:p>
    <w:p w14:paraId="1ADB8802" w14:textId="7AA89605" w:rsidR="00AA291B" w:rsidRDefault="00CE206C" w:rsidP="00736102">
      <w:pPr>
        <w:pStyle w:val="BodyNum"/>
      </w:pPr>
      <w:r>
        <w:t xml:space="preserve">The </w:t>
      </w:r>
      <w:r w:rsidR="00DC10AB">
        <w:t>Register</w:t>
      </w:r>
      <w:r>
        <w:t xml:space="preserve"> does not have a complete collection of all Bills and explanatory material.</w:t>
      </w:r>
      <w:r w:rsidR="00D83534">
        <w:t xml:space="preserve"> On the Register, you will find:</w:t>
      </w:r>
    </w:p>
    <w:p w14:paraId="0D4B5A3B" w14:textId="758326DF" w:rsidR="00AA291B" w:rsidRDefault="00D83534" w:rsidP="00AA291B">
      <w:pPr>
        <w:pStyle w:val="BodyPara"/>
      </w:pPr>
      <w:r>
        <w:t xml:space="preserve">for some older Acts, </w:t>
      </w:r>
      <w:r w:rsidRPr="000624BF">
        <w:t xml:space="preserve">a link to a page with a copy of the Bill as first introduced and the initial </w:t>
      </w:r>
      <w:r>
        <w:t>explanatory memorandum (EM)</w:t>
      </w:r>
      <w:r w:rsidRPr="000624BF">
        <w:t xml:space="preserve"> on the Register</w:t>
      </w:r>
      <w:r w:rsidR="00AA291B" w:rsidRPr="00FD274F">
        <w:t>; and</w:t>
      </w:r>
    </w:p>
    <w:p w14:paraId="60D04E3A" w14:textId="5655C34B" w:rsidR="002B303B" w:rsidRDefault="00D83534" w:rsidP="00D83534">
      <w:pPr>
        <w:pStyle w:val="BodyPara"/>
      </w:pPr>
      <w:r>
        <w:t>f</w:t>
      </w:r>
      <w:r w:rsidRPr="000624BF">
        <w:t xml:space="preserve">or </w:t>
      </w:r>
      <w:r>
        <w:t xml:space="preserve">more recent </w:t>
      </w:r>
      <w:r w:rsidRPr="000624BF">
        <w:t>Acts</w:t>
      </w:r>
      <w:r>
        <w:t>,</w:t>
      </w:r>
      <w:r w:rsidRPr="000624BF">
        <w:t xml:space="preserve"> a link to the </w:t>
      </w:r>
      <w:r>
        <w:t xml:space="preserve">Australian Parliament House (APH) </w:t>
      </w:r>
      <w:r w:rsidRPr="000624BF">
        <w:t xml:space="preserve">website Bills page, with a full history of the Bill, at the bottom of the </w:t>
      </w:r>
      <w:r w:rsidR="00363585">
        <w:t>A</w:t>
      </w:r>
      <w:r w:rsidRPr="000624BF">
        <w:t>ll versions page for each Act</w:t>
      </w:r>
      <w:r>
        <w:t>.</w:t>
      </w:r>
    </w:p>
    <w:p w14:paraId="6DD20B81" w14:textId="7FBA2516" w:rsidR="00234E6D" w:rsidRDefault="00C1051A" w:rsidP="00C32ACE">
      <w:pPr>
        <w:pStyle w:val="BodyNum"/>
      </w:pPr>
      <w:r>
        <w:t>The APH website</w:t>
      </w:r>
      <w:r w:rsidR="00977814" w:rsidRPr="00C97A6C">
        <w:rPr>
          <w:rStyle w:val="FootnoteReference"/>
          <w:spacing w:val="-2"/>
        </w:rPr>
        <w:footnoteReference w:id="6"/>
      </w:r>
      <w:r>
        <w:t xml:space="preserve"> is the authoritative source for Bills, EMs and associated documents and includes information about their passage through Parliament.</w:t>
      </w:r>
      <w:r w:rsidR="00977814">
        <w:t xml:space="preserve"> </w:t>
      </w:r>
      <w:r w:rsidR="00A030F6">
        <w:t>H</w:t>
      </w:r>
      <w:r w:rsidR="00977814">
        <w:t>istoric Bills and EMs (pre-1997</w:t>
      </w:r>
      <w:r w:rsidR="00A030F6">
        <w:t xml:space="preserve">) can be found through </w:t>
      </w:r>
      <w:r w:rsidR="00011D03">
        <w:t>APH’s Parlinfo database</w:t>
      </w:r>
      <w:r w:rsidR="00A030F6" w:rsidRPr="00C97A6C">
        <w:rPr>
          <w:rStyle w:val="FootnoteReference"/>
          <w:spacing w:val="-2"/>
        </w:rPr>
        <w:footnoteReference w:id="7"/>
      </w:r>
      <w:r w:rsidR="00A030F6">
        <w:t>.</w:t>
      </w:r>
    </w:p>
    <w:p w14:paraId="6E726FA0" w14:textId="1B7E60B3" w:rsidR="004175CE" w:rsidRDefault="00B54537" w:rsidP="004175CE">
      <w:pPr>
        <w:pStyle w:val="BodyNum"/>
      </w:pPr>
      <w:r>
        <w:t>For Acts and instruments, t</w:t>
      </w:r>
      <w:r w:rsidR="000C68CB" w:rsidRPr="00FD274F">
        <w:t xml:space="preserve">he authorised version of a document that has been registered is always in a PDF format and is always stamped with the document’s unique identifier and a prescribed form of words such as “Authorised version” or “Authoritative” </w:t>
      </w:r>
      <w:r w:rsidR="000C68CB" w:rsidRPr="00F409B4">
        <w:t>(for a complete list, see</w:t>
      </w:r>
      <w:r w:rsidR="00E35D57">
        <w:t xml:space="preserve"> </w:t>
      </w:r>
      <w:hyperlink r:id="rId122" w:history="1">
        <w:r w:rsidR="00E35D57" w:rsidRPr="00001937">
          <w:rPr>
            <w:rStyle w:val="Hyperlink"/>
          </w:rPr>
          <w:t>LR</w:t>
        </w:r>
      </w:hyperlink>
      <w:r w:rsidR="00E35D57">
        <w:t xml:space="preserve"> </w:t>
      </w:r>
      <w:r w:rsidR="000C68CB" w:rsidRPr="00F409B4">
        <w:t xml:space="preserve">s </w:t>
      </w:r>
      <w:r w:rsidR="00E35D57">
        <w:t>18</w:t>
      </w:r>
      <w:r w:rsidR="000C68CB" w:rsidRPr="00F409B4">
        <w:t>).</w:t>
      </w:r>
    </w:p>
    <w:p w14:paraId="1CEEC6C1" w14:textId="0138ECA9" w:rsidR="004175CE" w:rsidRPr="004175CE" w:rsidRDefault="000C68CB" w:rsidP="004175CE">
      <w:pPr>
        <w:pStyle w:val="BodyNum"/>
        <w:sectPr w:rsidR="004175CE" w:rsidRPr="004175CE" w:rsidSect="008123DC">
          <w:headerReference w:type="default" r:id="rId123"/>
          <w:footerReference w:type="default" r:id="rId124"/>
          <w:pgSz w:w="11907" w:h="16839" w:code="9"/>
          <w:pgMar w:top="1440" w:right="1440" w:bottom="1418" w:left="1440" w:header="720" w:footer="720" w:gutter="0"/>
          <w:cols w:sep="1" w:space="567"/>
          <w:docGrid w:linePitch="360"/>
        </w:sectPr>
      </w:pPr>
      <w:r w:rsidRPr="00FD274F">
        <w:t xml:space="preserve">For information on how and when to lodge instruments and related documents for registration, see </w:t>
      </w:r>
      <w:hyperlink w:anchor="Chapter4" w:history="1">
        <w:r w:rsidRPr="00041A27">
          <w:rPr>
            <w:rStyle w:val="Hyperlink"/>
          </w:rPr>
          <w:t>Chapter 4</w:t>
        </w:r>
      </w:hyperlink>
      <w:r w:rsidRPr="00FD274F">
        <w:t xml:space="preserve">. For information on how and when to lodge compilations, see </w:t>
      </w:r>
      <w:hyperlink w:anchor="Chapter5" w:history="1">
        <w:r w:rsidRPr="00041A27">
          <w:rPr>
            <w:rStyle w:val="Hyperlink"/>
          </w:rPr>
          <w:t>Chapter 5</w:t>
        </w:r>
      </w:hyperlink>
      <w:r w:rsidRPr="00041A27">
        <w:t>.</w:t>
      </w:r>
      <w:bookmarkStart w:id="34" w:name="Chapter3"/>
    </w:p>
    <w:p w14:paraId="3BDB18EF" w14:textId="22443997" w:rsidR="008E40D0" w:rsidRPr="00FD274F" w:rsidRDefault="008E40D0" w:rsidP="008E40D0">
      <w:pPr>
        <w:pStyle w:val="Head2"/>
        <w:rPr>
          <w:rFonts w:cs="Arial"/>
          <w:sz w:val="32"/>
        </w:rPr>
      </w:pPr>
      <w:bookmarkStart w:id="35" w:name="_Toc223687726"/>
      <w:r w:rsidRPr="00FD274F">
        <w:rPr>
          <w:rFonts w:cs="Arial"/>
          <w:sz w:val="32"/>
        </w:rPr>
        <w:lastRenderedPageBreak/>
        <w:t>Chapter 3—Drafting and interpretation of instruments</w:t>
      </w:r>
      <w:bookmarkEnd w:id="35"/>
    </w:p>
    <w:bookmarkEnd w:id="34"/>
    <w:p w14:paraId="5F585121" w14:textId="77777777" w:rsidR="008E40D0" w:rsidRPr="00FD274F" w:rsidRDefault="008E40D0" w:rsidP="008E40D0">
      <w:pPr>
        <w:pStyle w:val="SundryBoxHeadBold"/>
      </w:pPr>
      <w:r w:rsidRPr="00FD274F">
        <w:t>Main points</w:t>
      </w:r>
    </w:p>
    <w:p w14:paraId="5A2D5AB2" w14:textId="77777777" w:rsidR="008E40D0" w:rsidRPr="00FD274F" w:rsidRDefault="008E40D0" w:rsidP="008E40D0">
      <w:pPr>
        <w:pStyle w:val="SundryBoxBullet"/>
      </w:pPr>
      <w:r w:rsidRPr="00FD274F">
        <w:t>•</w:t>
      </w:r>
      <w:r w:rsidRPr="00FD274F">
        <w:tab/>
        <w:t>OPC is required to draft certain instruments, is available to assist with other drafting matters, and publishes detailed guidance on a range of drafting issues.</w:t>
      </w:r>
    </w:p>
    <w:p w14:paraId="18FD343C" w14:textId="2A15361D" w:rsidR="008E40D0" w:rsidRPr="00FD274F" w:rsidRDefault="008E40D0" w:rsidP="008E40D0">
      <w:pPr>
        <w:pStyle w:val="SundryBoxBullet"/>
      </w:pPr>
      <w:r w:rsidRPr="00FD274F">
        <w:t>•</w:t>
      </w:r>
      <w:r w:rsidRPr="00FD274F">
        <w:tab/>
        <w:t>In reading or drafting a legislative instrument, it is important to have regard to any special provisions in the enabling legislation that may apply in addition to, or instead of, the default rules provided b</w:t>
      </w:r>
      <w:r w:rsidRPr="00C856F3">
        <w:t xml:space="preserve">y the </w:t>
      </w:r>
      <w:hyperlink r:id="rId125" w:history="1">
        <w:r w:rsidRPr="00C856F3">
          <w:rPr>
            <w:rStyle w:val="Hyperlink"/>
          </w:rPr>
          <w:t>LA</w:t>
        </w:r>
      </w:hyperlink>
      <w:r w:rsidRPr="00C856F3">
        <w:rPr>
          <w:rStyle w:val="Hyperlink"/>
        </w:rPr>
        <w:t xml:space="preserve"> </w:t>
      </w:r>
      <w:r w:rsidRPr="00C856F3">
        <w:t>o</w:t>
      </w:r>
      <w:r w:rsidRPr="00FD274F">
        <w:t>n issues such as commencement, incorporation of documents by reference, and use of gender</w:t>
      </w:r>
      <w:r>
        <w:noBreakHyphen/>
      </w:r>
      <w:r w:rsidRPr="00FD274F">
        <w:t>specific language.</w:t>
      </w:r>
    </w:p>
    <w:p w14:paraId="44C9A5E8" w14:textId="77D0ACA3" w:rsidR="008E40D0" w:rsidRPr="00FD274F" w:rsidRDefault="008E40D0" w:rsidP="008E40D0">
      <w:pPr>
        <w:pStyle w:val="SundryBoxBullet"/>
      </w:pPr>
      <w:r w:rsidRPr="00FD274F">
        <w:t>•</w:t>
      </w:r>
      <w:r w:rsidRPr="00FD274F">
        <w:tab/>
        <w:t xml:space="preserve">Lack of attention to the default </w:t>
      </w:r>
      <w:hyperlink r:id="rId126" w:history="1">
        <w:r w:rsidRPr="00C856F3">
          <w:rPr>
            <w:rStyle w:val="Hyperlink"/>
          </w:rPr>
          <w:t>LA</w:t>
        </w:r>
      </w:hyperlink>
      <w:r w:rsidRPr="00FD274F">
        <w:rPr>
          <w:rStyle w:val="Hyperlink"/>
        </w:rPr>
        <w:t xml:space="preserve"> </w:t>
      </w:r>
      <w:r w:rsidRPr="00FD274F">
        <w:t>rules can have significant legal and other consequences.</w:t>
      </w:r>
    </w:p>
    <w:p w14:paraId="06EE9365" w14:textId="77777777" w:rsidR="008E40D0" w:rsidRPr="00FD274F" w:rsidRDefault="008E40D0" w:rsidP="008E40D0">
      <w:pPr>
        <w:pStyle w:val="SundryBoxBullet"/>
      </w:pPr>
      <w:r w:rsidRPr="00FD274F">
        <w:t>•</w:t>
      </w:r>
      <w:r w:rsidRPr="00FD274F">
        <w:tab/>
        <w:t>Attention to formatting issues is also important to ensure that registered documents meet government accessibility requirements and read as intended.</w:t>
      </w:r>
    </w:p>
    <w:p w14:paraId="09994291" w14:textId="77777777" w:rsidR="008E40D0" w:rsidRPr="00FD274F" w:rsidRDefault="008E40D0" w:rsidP="008E40D0">
      <w:pPr>
        <w:pStyle w:val="Head3"/>
      </w:pPr>
      <w:bookmarkStart w:id="36" w:name="_Toc223687727"/>
      <w:r w:rsidRPr="00FD274F">
        <w:t>Drafting of legislative instruments</w:t>
      </w:r>
      <w:bookmarkEnd w:id="36"/>
    </w:p>
    <w:p w14:paraId="579B62FB" w14:textId="77A02EB0" w:rsidR="008E40D0" w:rsidRPr="00FD274F" w:rsidRDefault="008E40D0" w:rsidP="008E40D0">
      <w:pPr>
        <w:pStyle w:val="BodyNum"/>
      </w:pPr>
      <w:bookmarkStart w:id="37" w:name="_Ref386114686"/>
      <w:r w:rsidRPr="00FD274F">
        <w:t>Under the</w:t>
      </w:r>
      <w:r>
        <w:t xml:space="preserve"> </w:t>
      </w:r>
      <w:hyperlink r:id="rId127" w:history="1">
        <w:r w:rsidR="005126D4" w:rsidRPr="00B40FDA">
          <w:rPr>
            <w:rStyle w:val="Hyperlink"/>
            <w:i/>
          </w:rPr>
          <w:t>Legal Services Directions 2025</w:t>
        </w:r>
      </w:hyperlink>
      <w:r w:rsidRPr="00B40FDA">
        <w:t>,</w:t>
      </w:r>
      <w:r w:rsidRPr="00C97A6C">
        <w:t xml:space="preserve"> c</w:t>
      </w:r>
      <w:r w:rsidRPr="00FD274F">
        <w:t>ertain drafting work is tied to OPC. Agencies must use OPC’s drafting services to prepare new or amending regulations, Ordinances and regulations of certain Territories, and any other legislative instruments made or approved by the Governor</w:t>
      </w:r>
      <w:r>
        <w:noBreakHyphen/>
      </w:r>
      <w:r w:rsidRPr="00FD274F">
        <w:t>General.</w:t>
      </w:r>
      <w:bookmarkEnd w:id="37"/>
    </w:p>
    <w:p w14:paraId="7F311AC2" w14:textId="11FE2A46" w:rsidR="008E40D0" w:rsidRPr="00FD274F" w:rsidRDefault="008E40D0" w:rsidP="008E40D0">
      <w:pPr>
        <w:pStyle w:val="BodyNum"/>
        <w:rPr>
          <w:spacing w:val="-2"/>
        </w:rPr>
      </w:pPr>
      <w:r w:rsidRPr="00FD274F">
        <w:rPr>
          <w:spacing w:val="-2"/>
        </w:rPr>
        <w:t>To better target OPC’s drafting services to government needs, OPC has a prioritisation system for legislative instruments made or approved by the Governor</w:t>
      </w:r>
      <w:r>
        <w:rPr>
          <w:spacing w:val="-2"/>
        </w:rPr>
        <w:noBreakHyphen/>
      </w:r>
      <w:r w:rsidRPr="00FD274F">
        <w:rPr>
          <w:spacing w:val="-2"/>
        </w:rPr>
        <w:t>General (</w:t>
      </w:r>
      <w:proofErr w:type="spellStart"/>
      <w:r w:rsidRPr="00FD274F">
        <w:rPr>
          <w:spacing w:val="-2"/>
        </w:rPr>
        <w:t>ExCo</w:t>
      </w:r>
      <w:proofErr w:type="spellEnd"/>
      <w:r w:rsidRPr="00FD274F">
        <w:rPr>
          <w:spacing w:val="-2"/>
        </w:rPr>
        <w:t xml:space="preserve"> instruments). General policy approval from the Minister (or the Cabinet) for </w:t>
      </w:r>
      <w:proofErr w:type="spellStart"/>
      <w:r w:rsidRPr="00FD274F">
        <w:rPr>
          <w:spacing w:val="-2"/>
        </w:rPr>
        <w:t>ExCo</w:t>
      </w:r>
      <w:proofErr w:type="spellEnd"/>
      <w:r w:rsidRPr="00FD274F">
        <w:rPr>
          <w:spacing w:val="-2"/>
        </w:rPr>
        <w:t xml:space="preserve"> instruments is also required to be in place at the time drafting instructions are issued to OPC</w:t>
      </w:r>
      <w:r w:rsidR="00B801F2">
        <w:rPr>
          <w:spacing w:val="-2"/>
        </w:rPr>
        <w:t>,</w:t>
      </w:r>
      <w:r w:rsidRPr="00FD274F">
        <w:rPr>
          <w:spacing w:val="-2"/>
        </w:rPr>
        <w:t xml:space="preserve"> unless other arrangements have bee</w:t>
      </w:r>
      <w:r w:rsidRPr="00C97A6C">
        <w:rPr>
          <w:spacing w:val="-2"/>
        </w:rPr>
        <w:t>n made with OPC. More information is available on the OPC website</w:t>
      </w:r>
      <w:r w:rsidR="00BE5D6C">
        <w:rPr>
          <w:spacing w:val="-2"/>
        </w:rPr>
        <w:t xml:space="preserve"> </w:t>
      </w:r>
      <w:hyperlink r:id="rId128" w:history="1">
        <w:r w:rsidR="00BE5D6C" w:rsidRPr="00E12592">
          <w:rPr>
            <w:rStyle w:val="Hyperlink"/>
          </w:rPr>
          <w:t>https://www.opc.gov.au/</w:t>
        </w:r>
      </w:hyperlink>
      <w:r w:rsidRPr="00C97A6C">
        <w:rPr>
          <w:spacing w:val="-2"/>
        </w:rPr>
        <w:t xml:space="preserve"> or </w:t>
      </w:r>
      <w:bookmarkStart w:id="38" w:name="_Hlk175821279"/>
      <w:r w:rsidRPr="00C97A6C">
        <w:rPr>
          <w:spacing w:val="-2"/>
        </w:rPr>
        <w:t xml:space="preserve">by contacting </w:t>
      </w:r>
      <w:hyperlink r:id="rId129" w:history="1">
        <w:r w:rsidRPr="00E12592">
          <w:rPr>
            <w:rStyle w:val="Hyperlink"/>
            <w:spacing w:val="-2"/>
          </w:rPr>
          <w:t>OPC’s instrument client advisers</w:t>
        </w:r>
      </w:hyperlink>
      <w:r w:rsidRPr="00C97A6C">
        <w:rPr>
          <w:spacing w:val="-2"/>
        </w:rPr>
        <w:t>.</w:t>
      </w:r>
      <w:bookmarkEnd w:id="38"/>
    </w:p>
    <w:p w14:paraId="19DC940B" w14:textId="7EB1C6EF" w:rsidR="008E40D0" w:rsidRPr="00FD274F" w:rsidRDefault="008E40D0" w:rsidP="008E40D0">
      <w:pPr>
        <w:pStyle w:val="BodyNum"/>
      </w:pPr>
      <w:r w:rsidRPr="00FD274F">
        <w:t>Agencies that are developing legislative proposals for instruments required to be drafted by OPC but that lack the in</w:t>
      </w:r>
      <w:r>
        <w:noBreakHyphen/>
      </w:r>
      <w:r w:rsidRPr="00FD274F">
        <w:t>house expertise to answer key legal questions can also get quick, informal advice on drafting aspects of legislation proposals from OPC</w:t>
      </w:r>
      <w:r>
        <w:t>’s</w:t>
      </w:r>
      <w:r w:rsidRPr="00FD274F">
        <w:t xml:space="preserve"> instrument client adviser</w:t>
      </w:r>
      <w:r>
        <w:t>s</w:t>
      </w:r>
      <w:r w:rsidRPr="00FD274F">
        <w:t>.</w:t>
      </w:r>
      <w:r w:rsidR="00C32ACE">
        <w:t xml:space="preserve"> </w:t>
      </w:r>
      <w:hyperlink r:id="rId130" w:history="1">
        <w:r w:rsidR="00E92C08">
          <w:rPr>
            <w:rStyle w:val="Hyperlink"/>
          </w:rPr>
          <w:t>OPC’s Instrument Fact Sheet Series</w:t>
        </w:r>
      </w:hyperlink>
      <w:r w:rsidR="000C130E">
        <w:t xml:space="preserve"> </w:t>
      </w:r>
      <w:r w:rsidR="00D14549">
        <w:t xml:space="preserve">provide brief guides and summaries on key </w:t>
      </w:r>
      <w:r w:rsidR="003F0D7A">
        <w:t xml:space="preserve">considerations for </w:t>
      </w:r>
      <w:r w:rsidR="00F10559">
        <w:t>instruments</w:t>
      </w:r>
      <w:r w:rsidR="00D14549">
        <w:t>.</w:t>
      </w:r>
    </w:p>
    <w:p w14:paraId="3E281E5F" w14:textId="2C5BCF42" w:rsidR="008E40D0" w:rsidRPr="00FD274F" w:rsidRDefault="008E40D0" w:rsidP="008E40D0">
      <w:pPr>
        <w:pStyle w:val="BodyNum"/>
        <w:rPr>
          <w:rStyle w:val="Hyperlink"/>
          <w:color w:val="auto"/>
        </w:rPr>
      </w:pPr>
      <w:r w:rsidRPr="00FD274F">
        <w:t>OPC is available to draft other instruments on a fee</w:t>
      </w:r>
      <w:r>
        <w:noBreakHyphen/>
      </w:r>
      <w:r w:rsidRPr="00FD274F">
        <w:t>for</w:t>
      </w:r>
      <w:r>
        <w:noBreakHyphen/>
      </w:r>
      <w:r w:rsidRPr="00FD274F">
        <w:t xml:space="preserve">service basis. OPC can also provide a range of support services for </w:t>
      </w:r>
      <w:r>
        <w:t>agencies drafting their own instruments</w:t>
      </w:r>
      <w:r w:rsidR="00914F11">
        <w:t>,</w:t>
      </w:r>
      <w:r w:rsidRPr="00FD274F">
        <w:t xml:space="preserve"> including editorial, document design and compilation services on this basis. More information about OPC instrument drafting and support services is available on the OPC website</w:t>
      </w:r>
      <w:r w:rsidR="00BE5D6C">
        <w:t xml:space="preserve"> </w:t>
      </w:r>
      <w:hyperlink r:id="rId131" w:history="1">
        <w:r w:rsidRPr="00E12592">
          <w:rPr>
            <w:rStyle w:val="Hyperlink"/>
          </w:rPr>
          <w:t>https://www.opc.gov.au/</w:t>
        </w:r>
      </w:hyperlink>
      <w:r w:rsidRPr="00E12592">
        <w:rPr>
          <w:rStyle w:val="Hyperlink"/>
        </w:rPr>
        <w:t>.</w:t>
      </w:r>
    </w:p>
    <w:p w14:paraId="2421FB14" w14:textId="77777777" w:rsidR="008E40D0" w:rsidRPr="00FD274F" w:rsidRDefault="008E40D0" w:rsidP="008E40D0">
      <w:pPr>
        <w:pStyle w:val="BodyNum"/>
        <w:keepNext/>
      </w:pPr>
      <w:r w:rsidRPr="00FD274F">
        <w:lastRenderedPageBreak/>
        <w:t>If an instrument is not to be drafted by OPC, the person drafting the instrument needs to be aware of the drafting and publishing standards set out in th</w:t>
      </w:r>
      <w:r w:rsidRPr="00DA1B94">
        <w:t>is Chapter</w:t>
      </w:r>
      <w:r w:rsidRPr="00FD274F">
        <w:t>. Compliance with these standards is important and will help ensure that new instruments are:</w:t>
      </w:r>
    </w:p>
    <w:p w14:paraId="46A9FC91" w14:textId="613D96D4" w:rsidR="008E40D0" w:rsidRPr="00FD274F" w:rsidRDefault="008E40D0" w:rsidP="008E40D0">
      <w:pPr>
        <w:pStyle w:val="BodyPara"/>
      </w:pPr>
      <w:r w:rsidRPr="00FD274F">
        <w:t xml:space="preserve">legally effective—there are a number of laws of general application to consider (see </w:t>
      </w:r>
      <w:r w:rsidRPr="00DA1B94">
        <w:t xml:space="preserve">paragraphs </w:t>
      </w:r>
      <w:r w:rsidRPr="007841D1">
        <w:fldChar w:fldCharType="begin"/>
      </w:r>
      <w:r w:rsidRPr="00DA1B94">
        <w:instrText xml:space="preserve"> REF _Ref367446103 \r \h  \* MERGEFORMAT </w:instrText>
      </w:r>
      <w:r w:rsidRPr="007841D1">
        <w:fldChar w:fldCharType="separate"/>
      </w:r>
      <w:r w:rsidR="00AB105F">
        <w:t>57</w:t>
      </w:r>
      <w:r w:rsidRPr="007841D1">
        <w:fldChar w:fldCharType="end"/>
      </w:r>
      <w:r w:rsidRPr="00DA1B94">
        <w:t xml:space="preserve"> to </w:t>
      </w:r>
      <w:r>
        <w:rPr>
          <w:highlight w:val="yellow"/>
        </w:rPr>
        <w:fldChar w:fldCharType="begin"/>
      </w:r>
      <w:r>
        <w:instrText xml:space="preserve"> REF _Ref384706703 \r \h </w:instrText>
      </w:r>
      <w:r>
        <w:rPr>
          <w:highlight w:val="yellow"/>
        </w:rPr>
      </w:r>
      <w:r>
        <w:rPr>
          <w:highlight w:val="yellow"/>
        </w:rPr>
        <w:fldChar w:fldCharType="separate"/>
      </w:r>
      <w:r w:rsidR="00AB105F">
        <w:t>95</w:t>
      </w:r>
      <w:r>
        <w:rPr>
          <w:highlight w:val="yellow"/>
        </w:rPr>
        <w:fldChar w:fldCharType="end"/>
      </w:r>
      <w:r w:rsidRPr="00DA1B94">
        <w:t>);</w:t>
      </w:r>
      <w:r w:rsidRPr="00FD274F">
        <w:t xml:space="preserve"> and</w:t>
      </w:r>
    </w:p>
    <w:p w14:paraId="024B1967" w14:textId="77777777" w:rsidR="008E40D0" w:rsidRPr="00FD274F" w:rsidRDefault="008E40D0" w:rsidP="008E40D0">
      <w:pPr>
        <w:pStyle w:val="BodyPara"/>
      </w:pPr>
      <w:r>
        <w:t>clear; and</w:t>
      </w:r>
    </w:p>
    <w:p w14:paraId="161A25EA" w14:textId="59F4B56C" w:rsidR="008E40D0" w:rsidRPr="00FD274F" w:rsidRDefault="008E40D0" w:rsidP="008E40D0">
      <w:pPr>
        <w:pStyle w:val="BodyPara"/>
      </w:pPr>
      <w:r w:rsidRPr="00FD274F">
        <w:t>intelligible to anticipated users, including people who may rely on assistive technolog</w:t>
      </w:r>
      <w:r w:rsidRPr="00DA1B94">
        <w:t xml:space="preserve">y (see paragraph </w:t>
      </w:r>
      <w:r w:rsidR="009A15A0">
        <w:fldChar w:fldCharType="begin"/>
      </w:r>
      <w:r w:rsidR="009A15A0">
        <w:instrText xml:space="preserve"> REF _Ref185322055 \r \h </w:instrText>
      </w:r>
      <w:r w:rsidR="009A15A0">
        <w:fldChar w:fldCharType="separate"/>
      </w:r>
      <w:r w:rsidR="00AB105F">
        <w:t>118</w:t>
      </w:r>
      <w:r w:rsidR="009A15A0">
        <w:fldChar w:fldCharType="end"/>
      </w:r>
      <w:r w:rsidR="00020490">
        <w:t>)</w:t>
      </w:r>
    </w:p>
    <w:p w14:paraId="042D3CE8" w14:textId="77777777" w:rsidR="008E40D0" w:rsidRPr="00FD274F" w:rsidRDefault="008E40D0" w:rsidP="008E40D0">
      <w:pPr>
        <w:pStyle w:val="Head3"/>
      </w:pPr>
      <w:bookmarkStart w:id="39" w:name="_Toc223687728"/>
      <w:r w:rsidRPr="00FD274F">
        <w:t>General principles for interpretation of instruments</w:t>
      </w:r>
      <w:bookmarkEnd w:id="39"/>
    </w:p>
    <w:p w14:paraId="568651EB" w14:textId="5E1502BA" w:rsidR="008E40D0" w:rsidRPr="00FD274F" w:rsidRDefault="008E40D0" w:rsidP="008E40D0">
      <w:pPr>
        <w:pStyle w:val="BodyNum"/>
      </w:pPr>
      <w:bookmarkStart w:id="40" w:name="_Ref367446103"/>
      <w:r w:rsidRPr="00FD274F">
        <w:t xml:space="preserve">Subject to a contrary intention in the enabling legislation, the </w:t>
      </w:r>
      <w:hyperlink r:id="rId132" w:history="1">
        <w:r w:rsidRPr="007841D1">
          <w:rPr>
            <w:rStyle w:val="Hyperlink"/>
          </w:rPr>
          <w:t>LA</w:t>
        </w:r>
      </w:hyperlink>
      <w:r w:rsidRPr="007841D1">
        <w:t>:</w:t>
      </w:r>
      <w:bookmarkEnd w:id="40"/>
    </w:p>
    <w:p w14:paraId="7A0182B4" w14:textId="5536557A" w:rsidR="008E40D0" w:rsidRPr="00FD274F" w:rsidRDefault="008E40D0" w:rsidP="008E40D0">
      <w:pPr>
        <w:pStyle w:val="BodyPara"/>
      </w:pPr>
      <w:r w:rsidRPr="00FD274F">
        <w:t xml:space="preserve">applies the </w:t>
      </w:r>
      <w:hyperlink r:id="rId133" w:history="1">
        <w:hyperlink r:id="rId134" w:history="1">
          <w:r w:rsidRPr="00E12592">
            <w:rPr>
              <w:rStyle w:val="Hyperlink"/>
              <w:i/>
            </w:rPr>
            <w:t>Acts Interpretation Act 1901</w:t>
          </w:r>
        </w:hyperlink>
      </w:hyperlink>
      <w:r w:rsidRPr="00E12592">
        <w:t xml:space="preserve"> to</w:t>
      </w:r>
      <w:r w:rsidRPr="00FD274F">
        <w:t xml:space="preserve"> a legislative instrument as if it were an Act and each provision were a section of an Act </w:t>
      </w:r>
      <w:r w:rsidRPr="007841D1">
        <w:t>(</w:t>
      </w:r>
      <w:hyperlink r:id="rId135" w:history="1">
        <w:r w:rsidRPr="007841D1">
          <w:rPr>
            <w:rStyle w:val="Hyperlink"/>
          </w:rPr>
          <w:t>LA</w:t>
        </w:r>
      </w:hyperlink>
      <w:r w:rsidRPr="007841D1">
        <w:t xml:space="preserve"> s 13(1)(a));</w:t>
      </w:r>
      <w:r w:rsidRPr="00FD274F">
        <w:t xml:space="preserve"> and</w:t>
      </w:r>
    </w:p>
    <w:p w14:paraId="27002788" w14:textId="03E66CEC" w:rsidR="008E40D0" w:rsidRPr="00FD274F" w:rsidRDefault="008E40D0" w:rsidP="008E40D0">
      <w:pPr>
        <w:pStyle w:val="BodyPara"/>
      </w:pPr>
      <w:r w:rsidRPr="00FD274F">
        <w:t xml:space="preserve">gives expressions used in a legislative instrument the same meaning as in the enabling legislation as in force from time to time </w:t>
      </w:r>
      <w:r w:rsidRPr="007841D1">
        <w:t>(</w:t>
      </w:r>
      <w:hyperlink r:id="rId136" w:history="1">
        <w:r w:rsidRPr="007841D1">
          <w:rPr>
            <w:rStyle w:val="Hyperlink"/>
          </w:rPr>
          <w:t>LA</w:t>
        </w:r>
      </w:hyperlink>
      <w:r w:rsidRPr="007841D1">
        <w:t xml:space="preserve"> s 13(1)(b));</w:t>
      </w:r>
      <w:r w:rsidRPr="00FD274F">
        <w:t xml:space="preserve"> and</w:t>
      </w:r>
    </w:p>
    <w:p w14:paraId="4BF954DD" w14:textId="624FE46A" w:rsidR="008E40D0" w:rsidRPr="00FD274F" w:rsidRDefault="008E40D0" w:rsidP="008E40D0">
      <w:pPr>
        <w:pStyle w:val="BodyPara"/>
      </w:pPr>
      <w:r w:rsidRPr="00FD274F">
        <w:t>requires a legislative instrument to be read subject to the enabling legislation as in force from time to time, and so as not to exceed the rule</w:t>
      </w:r>
      <w:r>
        <w:noBreakHyphen/>
      </w:r>
      <w:r w:rsidRPr="00FD274F">
        <w:t xml:space="preserve">maker’s power </w:t>
      </w:r>
      <w:r w:rsidRPr="007841D1">
        <w:t>(</w:t>
      </w:r>
      <w:hyperlink r:id="rId137" w:history="1">
        <w:r w:rsidRPr="007841D1">
          <w:rPr>
            <w:rStyle w:val="Hyperlink"/>
          </w:rPr>
          <w:t>LA</w:t>
        </w:r>
      </w:hyperlink>
      <w:r w:rsidRPr="007841D1">
        <w:t xml:space="preserve"> s 13(1)(c)); a</w:t>
      </w:r>
      <w:r w:rsidRPr="00FD274F">
        <w:t>nd</w:t>
      </w:r>
    </w:p>
    <w:p w14:paraId="37396E90" w14:textId="01804C7F" w:rsidR="008E40D0" w:rsidRPr="00FD274F" w:rsidRDefault="008E40D0" w:rsidP="008E40D0">
      <w:pPr>
        <w:pStyle w:val="BodyPara"/>
        <w:rPr>
          <w:spacing w:val="-2"/>
        </w:rPr>
      </w:pPr>
      <w:r w:rsidRPr="00FD274F">
        <w:rPr>
          <w:spacing w:val="-2"/>
        </w:rPr>
        <w:t>provides that, if the legislative instrument exceeds the rule</w:t>
      </w:r>
      <w:r>
        <w:rPr>
          <w:spacing w:val="-2"/>
        </w:rPr>
        <w:noBreakHyphen/>
      </w:r>
      <w:r w:rsidRPr="00FD274F">
        <w:rPr>
          <w:spacing w:val="-2"/>
        </w:rPr>
        <w:t>maker’s power, the instrument is taken to be valid to the extent that it is within pow</w:t>
      </w:r>
      <w:r w:rsidRPr="007841D1">
        <w:rPr>
          <w:spacing w:val="-2"/>
        </w:rPr>
        <w:t>er (</w:t>
      </w:r>
      <w:hyperlink r:id="rId138" w:history="1">
        <w:r w:rsidRPr="007841D1">
          <w:rPr>
            <w:rStyle w:val="Hyperlink"/>
            <w:spacing w:val="-2"/>
          </w:rPr>
          <w:t>LA</w:t>
        </w:r>
      </w:hyperlink>
      <w:r w:rsidRPr="007841D1">
        <w:rPr>
          <w:rStyle w:val="Hyperlink"/>
          <w:spacing w:val="-2"/>
        </w:rPr>
        <w:t> </w:t>
      </w:r>
      <w:r w:rsidRPr="007841D1">
        <w:rPr>
          <w:spacing w:val="-2"/>
        </w:rPr>
        <w:t>s 13(2))</w:t>
      </w:r>
      <w:r w:rsidRPr="00FD274F">
        <w:rPr>
          <w:spacing w:val="-2"/>
        </w:rPr>
        <w:t>.</w:t>
      </w:r>
    </w:p>
    <w:p w14:paraId="315360B5" w14:textId="5319722F" w:rsidR="008E40D0" w:rsidRPr="00FD274F" w:rsidRDefault="008E40D0" w:rsidP="008E40D0">
      <w:pPr>
        <w:pStyle w:val="BodyNum"/>
      </w:pPr>
      <w:r w:rsidRPr="00FD274F">
        <w:t xml:space="preserve">The </w:t>
      </w:r>
      <w:hyperlink r:id="rId139" w:history="1">
        <w:r w:rsidRPr="007841D1">
          <w:rPr>
            <w:rStyle w:val="Hyperlink"/>
          </w:rPr>
          <w:t>LA</w:t>
        </w:r>
      </w:hyperlink>
      <w:r w:rsidRPr="007841D1">
        <w:rPr>
          <w:rStyle w:val="Hyperlink"/>
        </w:rPr>
        <w:t xml:space="preserve"> </w:t>
      </w:r>
      <w:r w:rsidRPr="007841D1">
        <w:t>als</w:t>
      </w:r>
      <w:r w:rsidRPr="00FD274F">
        <w:t>o provides that a rule</w:t>
      </w:r>
      <w:r>
        <w:noBreakHyphen/>
      </w:r>
      <w:r w:rsidRPr="00FD274F">
        <w:t>maker, in exercising a power to make a legislative instrument in relation to a matter (including a thing, person or animal), may identify the matter by referring to a class or classes of matter</w:t>
      </w:r>
      <w:r w:rsidRPr="007841D1">
        <w:t>s (</w:t>
      </w:r>
      <w:hyperlink r:id="rId140" w:history="1">
        <w:r w:rsidRPr="007841D1">
          <w:rPr>
            <w:rStyle w:val="Hyperlink"/>
          </w:rPr>
          <w:t>LA</w:t>
        </w:r>
      </w:hyperlink>
      <w:r w:rsidRPr="007841D1">
        <w:t xml:space="preserve"> s 13(3)).</w:t>
      </w:r>
      <w:r w:rsidRPr="00FD274F">
        <w:t xml:space="preserve"> A rule</w:t>
      </w:r>
      <w:r>
        <w:noBreakHyphen/>
      </w:r>
      <w:r w:rsidRPr="00FD274F">
        <w:t>maker may also:</w:t>
      </w:r>
    </w:p>
    <w:p w14:paraId="66B1C3C9" w14:textId="1989EE84" w:rsidR="008E40D0" w:rsidRPr="00FD274F" w:rsidRDefault="008E40D0" w:rsidP="008E40D0">
      <w:pPr>
        <w:pStyle w:val="BodyPara"/>
      </w:pPr>
      <w:r w:rsidRPr="00FD274F">
        <w:t>specify when the instrument or a provision of the instrument commences (within the limits set out i</w:t>
      </w:r>
      <w:r w:rsidRPr="007841D1">
        <w:t xml:space="preserve">n </w:t>
      </w:r>
      <w:hyperlink r:id="rId141" w:history="1">
        <w:r w:rsidRPr="007841D1">
          <w:rPr>
            <w:rStyle w:val="Hyperlink"/>
          </w:rPr>
          <w:t>LA</w:t>
        </w:r>
      </w:hyperlink>
      <w:r w:rsidRPr="007841D1">
        <w:t xml:space="preserve"> s 12</w:t>
      </w:r>
      <w:r w:rsidRPr="00FD274F">
        <w:t>: s</w:t>
      </w:r>
      <w:r w:rsidRPr="00F719B9">
        <w:t xml:space="preserve">ee paragraph </w:t>
      </w:r>
      <w:r w:rsidRPr="007841D1">
        <w:fldChar w:fldCharType="begin"/>
      </w:r>
      <w:r w:rsidRPr="00F719B9">
        <w:instrText xml:space="preserve"> REF _Ref367446165 \r \h  \* MERGEFORMAT </w:instrText>
      </w:r>
      <w:r w:rsidRPr="007841D1">
        <w:fldChar w:fldCharType="separate"/>
      </w:r>
      <w:r w:rsidR="00AB105F">
        <w:t>70</w:t>
      </w:r>
      <w:r w:rsidRPr="007841D1">
        <w:fldChar w:fldCharType="end"/>
      </w:r>
      <w:r w:rsidRPr="00F719B9">
        <w:t>);</w:t>
      </w:r>
      <w:r w:rsidRPr="00FD274F">
        <w:t xml:space="preserve"> and</w:t>
      </w:r>
    </w:p>
    <w:p w14:paraId="4CB0F386" w14:textId="2EC91100" w:rsidR="008E40D0" w:rsidRPr="00FD274F" w:rsidRDefault="008E40D0" w:rsidP="008E40D0">
      <w:pPr>
        <w:pStyle w:val="BodyPara"/>
      </w:pPr>
      <w:r w:rsidRPr="00FD274F">
        <w:t xml:space="preserve">prescribe matters by reference to another document (within the limits set out in </w:t>
      </w:r>
      <w:hyperlink r:id="rId142" w:history="1">
        <w:r w:rsidRPr="007841D1">
          <w:rPr>
            <w:rStyle w:val="Hyperlink"/>
          </w:rPr>
          <w:t>LA</w:t>
        </w:r>
      </w:hyperlink>
      <w:r w:rsidRPr="007841D1">
        <w:rPr>
          <w:rStyle w:val="Hyperlink"/>
        </w:rPr>
        <w:t xml:space="preserve"> </w:t>
      </w:r>
      <w:r w:rsidRPr="007841D1">
        <w:t>s 14:</w:t>
      </w:r>
      <w:r w:rsidRPr="00FD274F">
        <w:t xml:space="preserve"> see </w:t>
      </w:r>
      <w:r w:rsidRPr="00F719B9">
        <w:t>paragraph</w:t>
      </w:r>
      <w:r w:rsidR="005C704A">
        <w:t xml:space="preserve">s </w:t>
      </w:r>
      <w:r w:rsidR="005C704A">
        <w:fldChar w:fldCharType="begin"/>
      </w:r>
      <w:r w:rsidR="005C704A">
        <w:instrText xml:space="preserve"> REF _Ref428882029 \r \h </w:instrText>
      </w:r>
      <w:r w:rsidR="005C704A">
        <w:fldChar w:fldCharType="separate"/>
      </w:r>
      <w:r w:rsidR="00AB105F">
        <w:t>96</w:t>
      </w:r>
      <w:r w:rsidR="005C704A">
        <w:fldChar w:fldCharType="end"/>
      </w:r>
      <w:r w:rsidR="005C704A">
        <w:t xml:space="preserve"> to </w:t>
      </w:r>
      <w:r w:rsidR="005C704A">
        <w:fldChar w:fldCharType="begin"/>
      </w:r>
      <w:r w:rsidR="005C704A">
        <w:instrText xml:space="preserve"> REF _Ref184283646 \r \h </w:instrText>
      </w:r>
      <w:r w:rsidR="005C704A">
        <w:fldChar w:fldCharType="separate"/>
      </w:r>
      <w:r w:rsidR="00AB105F">
        <w:t>101</w:t>
      </w:r>
      <w:r w:rsidR="005C704A">
        <w:fldChar w:fldCharType="end"/>
      </w:r>
      <w:r w:rsidRPr="00F719B9">
        <w:t>).</w:t>
      </w:r>
    </w:p>
    <w:p w14:paraId="3B7B3F09" w14:textId="77777777" w:rsidR="008E40D0" w:rsidRPr="00FD274F" w:rsidRDefault="008E40D0" w:rsidP="008E40D0">
      <w:pPr>
        <w:pStyle w:val="Head3"/>
      </w:pPr>
      <w:bookmarkStart w:id="41" w:name="_Toc223687729"/>
      <w:r w:rsidRPr="00FD274F">
        <w:t>What should be included in an instrument</w:t>
      </w:r>
      <w:bookmarkEnd w:id="41"/>
    </w:p>
    <w:p w14:paraId="022E1091" w14:textId="77777777" w:rsidR="008E40D0" w:rsidRPr="00FD274F" w:rsidRDefault="008E40D0" w:rsidP="008E40D0">
      <w:pPr>
        <w:pStyle w:val="BodyNum"/>
      </w:pPr>
      <w:r w:rsidRPr="00FD274F">
        <w:t>Appropriate Australian Government branding (e.g. the Commonwealth Coat of Arms or Australian Government logo) is important to ensure that an instrument is easily identifiable as an official document. The branding chosen should be consistent with relevant whole</w:t>
      </w:r>
      <w:r>
        <w:noBreakHyphen/>
      </w:r>
      <w:r w:rsidRPr="00FD274F">
        <w:t>of</w:t>
      </w:r>
      <w:r>
        <w:noBreakHyphen/>
      </w:r>
      <w:r w:rsidRPr="00FD274F">
        <w:t>government guidelin</w:t>
      </w:r>
      <w:r w:rsidRPr="00E12592">
        <w:t>es</w:t>
      </w:r>
      <w:r w:rsidRPr="00E12592">
        <w:rPr>
          <w:rStyle w:val="FootnoteReference"/>
        </w:rPr>
        <w:footnoteReference w:id="8"/>
      </w:r>
      <w:r w:rsidRPr="00E12592">
        <w:t>.</w:t>
      </w:r>
    </w:p>
    <w:p w14:paraId="3CDFF8F4" w14:textId="77777777" w:rsidR="008E40D0" w:rsidRPr="00FD274F" w:rsidRDefault="008E40D0" w:rsidP="008E40D0">
      <w:pPr>
        <w:pStyle w:val="Head4"/>
      </w:pPr>
      <w:bookmarkStart w:id="42" w:name="_Toc223687730"/>
      <w:r w:rsidRPr="00FD274F">
        <w:lastRenderedPageBreak/>
        <w:t>Recommended approach</w:t>
      </w:r>
      <w:bookmarkEnd w:id="42"/>
    </w:p>
    <w:p w14:paraId="775E7224" w14:textId="77777777" w:rsidR="008E40D0" w:rsidRPr="00134960" w:rsidRDefault="008E40D0" w:rsidP="008E40D0">
      <w:pPr>
        <w:pStyle w:val="BodyNum"/>
        <w:rPr>
          <w:spacing w:val="-4"/>
        </w:rPr>
      </w:pPr>
      <w:r w:rsidRPr="00FD274F">
        <w:rPr>
          <w:spacing w:val="-4"/>
        </w:rPr>
        <w:t xml:space="preserve">In addition to Australian Government branding, an instrument should include the following </w:t>
      </w:r>
      <w:r w:rsidRPr="00FD274F">
        <w:t xml:space="preserve">(see also </w:t>
      </w:r>
      <w:r w:rsidRPr="00134960">
        <w:t>Illustration 3A)</w:t>
      </w:r>
      <w:r w:rsidRPr="00134960">
        <w:rPr>
          <w:spacing w:val="-4"/>
        </w:rPr>
        <w:t>:</w:t>
      </w:r>
    </w:p>
    <w:p w14:paraId="7D4DD68C" w14:textId="77777777" w:rsidR="008E40D0" w:rsidRPr="00FD274F" w:rsidRDefault="008E40D0" w:rsidP="008E40D0">
      <w:pPr>
        <w:pStyle w:val="BodyPara"/>
      </w:pPr>
      <w:r w:rsidRPr="00FD274F">
        <w:t>the words making the instrument—these should reflect the language of the enabling Act;</w:t>
      </w:r>
    </w:p>
    <w:p w14:paraId="2E2CA249" w14:textId="77777777" w:rsidR="008E40D0" w:rsidRPr="00FD274F" w:rsidRDefault="008E40D0" w:rsidP="008E40D0">
      <w:pPr>
        <w:pStyle w:val="BodyPara"/>
      </w:pPr>
      <w:r w:rsidRPr="00FD274F">
        <w:t>the date of making;</w:t>
      </w:r>
    </w:p>
    <w:p w14:paraId="015A93E1" w14:textId="77777777" w:rsidR="008E40D0" w:rsidRDefault="008E40D0" w:rsidP="008E40D0">
      <w:pPr>
        <w:pStyle w:val="BodyPara"/>
      </w:pPr>
      <w:r w:rsidRPr="00FD274F">
        <w:t>the name as signed, and title, of each maker of the instrument.</w:t>
      </w:r>
    </w:p>
    <w:p w14:paraId="0AE7CB8D" w14:textId="489E669E" w:rsidR="008E40D0" w:rsidRDefault="008E40D0" w:rsidP="008E40D0">
      <w:pPr>
        <w:pStyle w:val="BodyNum"/>
      </w:pPr>
      <w:r>
        <w:t>For a Minister or Assistant Minister, the title of the rule-maker should be the title by which the Minister or Assistant Minister was sworn in by the Governor-General.</w:t>
      </w:r>
    </w:p>
    <w:p w14:paraId="79788529" w14:textId="343E6490" w:rsidR="008E40D0" w:rsidRDefault="0024295D" w:rsidP="008E40D0">
      <w:pPr>
        <w:pStyle w:val="BodyNum"/>
      </w:pPr>
      <w:r>
        <w:t>For example</w:t>
      </w:r>
      <w:r w:rsidR="008E40D0">
        <w:t xml:space="preserve">, </w:t>
      </w:r>
      <w:r>
        <w:t>the ti</w:t>
      </w:r>
      <w:r w:rsidR="00105C9B">
        <w:t>t</w:t>
      </w:r>
      <w:r>
        <w:t>le for an</w:t>
      </w:r>
      <w:r w:rsidR="008E40D0">
        <w:t xml:space="preserve"> Assistant Minister will include the formal Parliamentary Secretary title, such as “</w:t>
      </w:r>
      <w:r w:rsidR="008E40D0" w:rsidRPr="008262BB">
        <w:rPr>
          <w:iCs/>
          <w:szCs w:val="22"/>
        </w:rPr>
        <w:t xml:space="preserve">Assistant Minister to the Attorney-General, </w:t>
      </w:r>
      <w:r w:rsidR="008E40D0" w:rsidRPr="008262BB">
        <w:rPr>
          <w:szCs w:val="22"/>
        </w:rPr>
        <w:t xml:space="preserve">Parliamentary Secretary to the </w:t>
      </w:r>
      <w:r w:rsidR="008E40D0" w:rsidRPr="008262BB">
        <w:rPr>
          <w:iCs/>
          <w:szCs w:val="22"/>
        </w:rPr>
        <w:t>Attorney-General</w:t>
      </w:r>
      <w:r w:rsidR="008E40D0">
        <w:rPr>
          <w:iCs/>
          <w:szCs w:val="22"/>
        </w:rPr>
        <w:t>”</w:t>
      </w:r>
      <w:r w:rsidR="008E40D0">
        <w:t>.</w:t>
      </w:r>
    </w:p>
    <w:p w14:paraId="1F99704B" w14:textId="77777777" w:rsidR="008E40D0" w:rsidRPr="00FD274F" w:rsidRDefault="008E40D0" w:rsidP="008E40D0">
      <w:pPr>
        <w:pStyle w:val="BodyNum"/>
      </w:pPr>
      <w:r>
        <w:t xml:space="preserve">These titles can be verified with the </w:t>
      </w:r>
      <w:proofErr w:type="spellStart"/>
      <w:r>
        <w:t>ExCo</w:t>
      </w:r>
      <w:proofErr w:type="spellEnd"/>
      <w:r>
        <w:t xml:space="preserve"> and Government Division of </w:t>
      </w:r>
      <w:proofErr w:type="spellStart"/>
      <w:r>
        <w:t>PM&amp;C</w:t>
      </w:r>
      <w:proofErr w:type="spellEnd"/>
      <w:r>
        <w:t>.</w:t>
      </w:r>
    </w:p>
    <w:p w14:paraId="5C75A8D0" w14:textId="32AD4DD9" w:rsidR="008E40D0" w:rsidRPr="00FD274F" w:rsidRDefault="008E40D0" w:rsidP="008E40D0">
      <w:pPr>
        <w:pStyle w:val="Body"/>
        <w:widowControl w:val="0"/>
        <w:rPr>
          <w:b/>
        </w:rPr>
      </w:pPr>
      <w:r w:rsidRPr="00134960">
        <w:rPr>
          <w:b/>
        </w:rPr>
        <w:t>Illustration 3A</w:t>
      </w:r>
      <w:r w:rsidRPr="00FD274F">
        <w:rPr>
          <w:b/>
        </w:rPr>
        <w:t>—generic official branding and making word</w:t>
      </w:r>
      <w:r w:rsidRPr="00E12592">
        <w:rPr>
          <w:b/>
        </w:rPr>
        <w:t>s</w:t>
      </w:r>
      <w:r w:rsidRPr="00E12592">
        <w:rPr>
          <w:rStyle w:val="FootnoteReference"/>
          <w:b/>
        </w:rPr>
        <w:footnoteReference w:id="9"/>
      </w:r>
    </w:p>
    <w:p w14:paraId="28DA1CEA" w14:textId="77777777" w:rsidR="008E40D0" w:rsidRPr="00FD274F" w:rsidRDefault="008E40D0" w:rsidP="008E40D0">
      <w:pPr>
        <w:pStyle w:val="BodyNum"/>
        <w:numPr>
          <w:ilvl w:val="0"/>
          <w:numId w:val="0"/>
        </w:numPr>
      </w:pPr>
      <w:r w:rsidRPr="00FD274F">
        <w:rPr>
          <w:noProof/>
        </w:rPr>
        <w:drawing>
          <wp:inline distT="0" distB="0" distL="0" distR="0" wp14:anchorId="02E90001" wp14:editId="5582A559">
            <wp:extent cx="5241600" cy="3960000"/>
            <wp:effectExtent l="19050" t="19050" r="16510" b="21590"/>
            <wp:docPr id="5" name="Picture 5" descr="Shows generic official branding (the Australian coat of arms) and making words followed by a signature block." title="Illustration 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ration 3A.png"/>
                    <pic:cNvPicPr/>
                  </pic:nvPicPr>
                  <pic:blipFill>
                    <a:blip r:embed="rId143">
                      <a:extLst>
                        <a:ext uri="{28A0092B-C50C-407E-A947-70E740481C1C}">
                          <a14:useLocalDpi xmlns:a14="http://schemas.microsoft.com/office/drawing/2010/main" val="0"/>
                        </a:ext>
                      </a:extLst>
                    </a:blip>
                    <a:stretch>
                      <a:fillRect/>
                    </a:stretch>
                  </pic:blipFill>
                  <pic:spPr>
                    <a:xfrm>
                      <a:off x="0" y="0"/>
                      <a:ext cx="5241600" cy="3960000"/>
                    </a:xfrm>
                    <a:prstGeom prst="rect">
                      <a:avLst/>
                    </a:prstGeom>
                    <a:ln>
                      <a:solidFill>
                        <a:schemeClr val="tx1"/>
                      </a:solidFill>
                    </a:ln>
                  </pic:spPr>
                </pic:pic>
              </a:graphicData>
            </a:graphic>
          </wp:inline>
        </w:drawing>
      </w:r>
    </w:p>
    <w:p w14:paraId="5293FF52" w14:textId="349CE72D" w:rsidR="008E40D0" w:rsidRPr="00FD274F" w:rsidRDefault="008E40D0" w:rsidP="008E40D0">
      <w:pPr>
        <w:pStyle w:val="BodyNum"/>
        <w:keepNext/>
        <w:keepLines/>
      </w:pPr>
      <w:r w:rsidRPr="00FD274F">
        <w:lastRenderedPageBreak/>
        <w:t xml:space="preserve">The making words are usually followed by a page break, a table of contents </w:t>
      </w:r>
      <w:r w:rsidR="003376ED">
        <w:t>(</w:t>
      </w:r>
      <w:r w:rsidRPr="00FD274F">
        <w:t>unless the instrument is very short</w:t>
      </w:r>
      <w:r w:rsidR="003376ED">
        <w:t>)</w:t>
      </w:r>
      <w:r w:rsidRPr="00FD274F">
        <w:t xml:space="preserve">, and the main body of the instrument. The main body of the instrument should start with certain standard provisions, and these provisions should not be combined with the making words or with any other provisions. These standard provisions, and the recommended order of provisions, is as follows (see </w:t>
      </w:r>
      <w:r w:rsidRPr="00134960">
        <w:t>also Illustration 3B):</w:t>
      </w:r>
    </w:p>
    <w:p w14:paraId="12B6BD1E" w14:textId="58BFE895" w:rsidR="008E40D0" w:rsidRPr="00FD274F" w:rsidRDefault="008E40D0" w:rsidP="008E40D0">
      <w:pPr>
        <w:pStyle w:val="BodyPara"/>
        <w:keepNext/>
        <w:keepLines/>
      </w:pPr>
      <w:r w:rsidRPr="00FD274F">
        <w:rPr>
          <w:b/>
        </w:rPr>
        <w:t xml:space="preserve">Name. </w:t>
      </w:r>
      <w:r w:rsidRPr="00FD274F">
        <w:t xml:space="preserve">A naming provision should be included in all legislative instruments other than commencement instruments. The name given to an instrument should be convenient (not too long) and unique, so that the instrument can be identified with complete certainty from its name alone. For detailed guidance </w:t>
      </w:r>
      <w:r w:rsidRPr="0023124E">
        <w:t xml:space="preserve">on the naming of instruments, please refer to </w:t>
      </w:r>
      <w:hyperlink r:id="rId144" w:history="1">
        <w:r w:rsidRPr="0023124E">
          <w:rPr>
            <w:rStyle w:val="Hyperlink"/>
          </w:rPr>
          <w:t>OPC Drafting Direction 1.1A</w:t>
        </w:r>
      </w:hyperlink>
      <w:r w:rsidRPr="0023124E">
        <w:rPr>
          <w:rStyle w:val="Hyperlink"/>
        </w:rPr>
        <w:t>.</w:t>
      </w:r>
      <w:r w:rsidRPr="00FD274F">
        <w:rPr>
          <w:rStyle w:val="Hyperlink"/>
        </w:rPr>
        <w:t xml:space="preserve"> </w:t>
      </w:r>
      <w:r w:rsidRPr="00FD274F">
        <w:t>Note also that</w:t>
      </w:r>
      <w:r w:rsidR="00950B07">
        <w:t xml:space="preserve"> the</w:t>
      </w:r>
      <w:r w:rsidRPr="00FD274F">
        <w:t xml:space="preserve"> </w:t>
      </w:r>
      <w:r>
        <w:t>First Parliamentary Counsel</w:t>
      </w:r>
      <w:r w:rsidRPr="00FD274F">
        <w:t xml:space="preserve"> may name or rename </w:t>
      </w:r>
      <w:r>
        <w:t>instruments</w:t>
      </w:r>
      <w:r w:rsidRPr="00FD274F">
        <w:t xml:space="preserve"> if they do not have a name that is unique (</w:t>
      </w:r>
      <w:r w:rsidRPr="00481F36">
        <w:t xml:space="preserve">see </w:t>
      </w:r>
      <w:hyperlink r:id="rId145" w:history="1">
        <w:r w:rsidRPr="00481F36">
          <w:rPr>
            <w:rStyle w:val="Hyperlink"/>
          </w:rPr>
          <w:t>LA</w:t>
        </w:r>
      </w:hyperlink>
      <w:r w:rsidRPr="00481F36">
        <w:t xml:space="preserve"> s 15M(</w:t>
      </w:r>
      <w:r w:rsidRPr="00FD274F">
        <w:t>b) an</w:t>
      </w:r>
      <w:r w:rsidRPr="0023124E">
        <w:t xml:space="preserve">d </w:t>
      </w:r>
      <w:hyperlink r:id="rId146" w:history="1">
        <w:r w:rsidR="00705AF3" w:rsidRPr="00001937">
          <w:rPr>
            <w:rStyle w:val="Hyperlink"/>
          </w:rPr>
          <w:t>LR</w:t>
        </w:r>
      </w:hyperlink>
      <w:r w:rsidRPr="0023124E">
        <w:t xml:space="preserve"> s 1</w:t>
      </w:r>
      <w:r w:rsidR="009C5658">
        <w:t>1</w:t>
      </w:r>
      <w:r w:rsidRPr="0023124E">
        <w:t>)</w:t>
      </w:r>
      <w:r w:rsidRPr="00FD274F">
        <w:t>.</w:t>
      </w:r>
      <w:r w:rsidR="009C5658">
        <w:t xml:space="preserve"> Additionally, the First Parliamentary Counsel may amend the name of an instrument or other document lodged for registration to give the instrument or document a name that includes the year of its making</w:t>
      </w:r>
      <w:r w:rsidR="00657835">
        <w:t xml:space="preserve"> (see </w:t>
      </w:r>
      <w:hyperlink r:id="rId147" w:history="1">
        <w:r w:rsidR="00657835" w:rsidRPr="00001937">
          <w:rPr>
            <w:rStyle w:val="Hyperlink"/>
          </w:rPr>
          <w:t>LR</w:t>
        </w:r>
      </w:hyperlink>
      <w:r w:rsidR="00657835">
        <w:t xml:space="preserve"> s 12)</w:t>
      </w:r>
      <w:r w:rsidR="009C5658">
        <w:t>.</w:t>
      </w:r>
    </w:p>
    <w:p w14:paraId="0781D097" w14:textId="210F2CB2" w:rsidR="008E40D0" w:rsidRPr="00873C43" w:rsidRDefault="008E40D0" w:rsidP="008E40D0">
      <w:pPr>
        <w:pStyle w:val="BodyPara"/>
      </w:pPr>
      <w:r w:rsidRPr="00FD274F">
        <w:rPr>
          <w:b/>
        </w:rPr>
        <w:t xml:space="preserve">Commencement. </w:t>
      </w:r>
      <w:r w:rsidRPr="00FD274F">
        <w:t xml:space="preserve">A commencement provision is important to set out when the instrument </w:t>
      </w:r>
      <w:r w:rsidRPr="00481F36">
        <w:t>will commence, even if the default commencement applying under th</w:t>
      </w:r>
      <w:r w:rsidRPr="00FD274F">
        <w:t xml:space="preserve">e </w:t>
      </w:r>
      <w:hyperlink r:id="rId148" w:history="1">
        <w:r w:rsidRPr="00FD274F">
          <w:rPr>
            <w:rStyle w:val="Hyperlink"/>
          </w:rPr>
          <w:t>LA</w:t>
        </w:r>
      </w:hyperlink>
      <w:r w:rsidRPr="00FD274F">
        <w:t xml:space="preserve"> is to be used. For more information on commencement, see paragra</w:t>
      </w:r>
      <w:r w:rsidRPr="00873C43">
        <w:t xml:space="preserve">phs </w:t>
      </w:r>
      <w:r w:rsidRPr="00873C43">
        <w:fldChar w:fldCharType="begin"/>
      </w:r>
      <w:r w:rsidRPr="00481F36">
        <w:instrText xml:space="preserve"> REF _Ref367446165 \r \h  \* MERGEFORMAT </w:instrText>
      </w:r>
      <w:r w:rsidRPr="00873C43">
        <w:fldChar w:fldCharType="separate"/>
      </w:r>
      <w:r w:rsidR="00AB105F">
        <w:t>70</w:t>
      </w:r>
      <w:r w:rsidRPr="00873C43">
        <w:fldChar w:fldCharType="end"/>
      </w:r>
      <w:r w:rsidRPr="00873C43">
        <w:t xml:space="preserve"> to </w:t>
      </w:r>
      <w:r w:rsidRPr="00481F36">
        <w:fldChar w:fldCharType="begin"/>
      </w:r>
      <w:r w:rsidRPr="00873C43">
        <w:instrText xml:space="preserve"> REF _Ref386036642 \r \h  \* MERGEFORMAT </w:instrText>
      </w:r>
      <w:r w:rsidRPr="00481F36">
        <w:fldChar w:fldCharType="separate"/>
      </w:r>
      <w:r w:rsidR="00AB105F">
        <w:t>81</w:t>
      </w:r>
      <w:r w:rsidRPr="00481F36">
        <w:fldChar w:fldCharType="end"/>
      </w:r>
      <w:r w:rsidRPr="00873C43">
        <w:t>.</w:t>
      </w:r>
    </w:p>
    <w:p w14:paraId="1A2BD62C" w14:textId="5E236643" w:rsidR="008E40D0" w:rsidRPr="00FD274F" w:rsidRDefault="008E40D0" w:rsidP="008E40D0">
      <w:pPr>
        <w:pStyle w:val="BodyPara"/>
      </w:pPr>
      <w:r w:rsidRPr="00FD274F">
        <w:rPr>
          <w:b/>
        </w:rPr>
        <w:t xml:space="preserve">Authority. </w:t>
      </w:r>
      <w:r w:rsidRPr="00FD274F">
        <w:t xml:space="preserve">An authority provision should be included in all legislative instruments other than commencement instruments, to identify the enabling legislation as defined </w:t>
      </w:r>
      <w:r w:rsidRPr="00481F36">
        <w:t xml:space="preserve">in </w:t>
      </w:r>
      <w:hyperlink r:id="rId149" w:history="1">
        <w:r w:rsidRPr="00481F36">
          <w:rPr>
            <w:rStyle w:val="Hyperlink"/>
          </w:rPr>
          <w:t>LA</w:t>
        </w:r>
      </w:hyperlink>
      <w:r w:rsidRPr="00481F36">
        <w:rPr>
          <w:rStyle w:val="Hyperlink"/>
        </w:rPr>
        <w:t xml:space="preserve"> </w:t>
      </w:r>
      <w:r w:rsidRPr="00481F36">
        <w:t>s 4. Th</w:t>
      </w:r>
      <w:r w:rsidRPr="00FD274F">
        <w:t>e authority provision should cite the full name of each piece of enabling legislation, and also the enabling provision unless the instrument is made under a general instrument</w:t>
      </w:r>
      <w:r>
        <w:noBreakHyphen/>
      </w:r>
      <w:r w:rsidRPr="00FD274F">
        <w:t>making power.</w:t>
      </w:r>
    </w:p>
    <w:p w14:paraId="1EC41AFF" w14:textId="00CE03EF" w:rsidR="008E40D0" w:rsidRPr="00FD274F" w:rsidRDefault="008E40D0" w:rsidP="008E40D0">
      <w:pPr>
        <w:pStyle w:val="BodyPara"/>
      </w:pPr>
      <w:r w:rsidRPr="00FD274F">
        <w:rPr>
          <w:b/>
        </w:rPr>
        <w:t>Definitions.</w:t>
      </w:r>
      <w:r w:rsidRPr="00FD274F">
        <w:t xml:space="preserve"> Any definitions should generally be presented together </w:t>
      </w:r>
      <w:r>
        <w:t>at the start of the instrument</w:t>
      </w:r>
      <w:r w:rsidRPr="00FD274F">
        <w:t xml:space="preserve"> wherever possible. If an expression is already defined </w:t>
      </w:r>
      <w:r>
        <w:t xml:space="preserve">for the purposes of the whole of </w:t>
      </w:r>
      <w:r w:rsidRPr="00FD274F">
        <w:t>an instrument’s enabling legislation, it is useful to note this but the definition should not be duplicated. An expression used in an instrument will generally have the same meaning as in its enabling legislation</w:t>
      </w:r>
      <w:r w:rsidRPr="00481F36">
        <w:t xml:space="preserve"> </w:t>
      </w:r>
      <w:r w:rsidR="00B345EA">
        <w:t>(</w:t>
      </w:r>
      <w:hyperlink r:id="rId150" w:history="1">
        <w:r w:rsidRPr="00481F36">
          <w:rPr>
            <w:rStyle w:val="Hyperlink"/>
          </w:rPr>
          <w:t>LA</w:t>
        </w:r>
      </w:hyperlink>
      <w:r w:rsidRPr="00481F36">
        <w:rPr>
          <w:rStyle w:val="Hyperlink"/>
        </w:rPr>
        <w:t xml:space="preserve"> </w:t>
      </w:r>
      <w:r w:rsidRPr="00481F36">
        <w:t>s 13(1)(b)</w:t>
      </w:r>
      <w:r w:rsidR="00B345EA">
        <w:t>)</w:t>
      </w:r>
      <w:r w:rsidRPr="00481F36">
        <w:t>.</w:t>
      </w:r>
      <w:r>
        <w:t xml:space="preserve"> However, this will generally apply only if the definition applies for the purposes of the entire enabling legislation, and not just a part of the enabling legislation.</w:t>
      </w:r>
    </w:p>
    <w:p w14:paraId="644C6746" w14:textId="2852D31C" w:rsidR="008E40D0" w:rsidRPr="00FD274F" w:rsidRDefault="008E40D0" w:rsidP="008E40D0">
      <w:pPr>
        <w:pStyle w:val="BodyNum"/>
      </w:pPr>
      <w:bookmarkStart w:id="43" w:name="_Ref422844015"/>
      <w:r w:rsidRPr="00FD274F">
        <w:t>Each provision in the main body of the instrument and in any Schedules should be referred to and numbered in an orderly way. This ensures that the provisions of an instrument can be referred to readily and amended with certainty, and compilations can be prepared of the instrument as amende</w:t>
      </w:r>
      <w:r w:rsidRPr="00A15B35">
        <w:t xml:space="preserve">d (see </w:t>
      </w:r>
      <w:hyperlink w:anchor="Chapter5" w:history="1">
        <w:r w:rsidRPr="00A15B35">
          <w:rPr>
            <w:rStyle w:val="Hyperlink"/>
          </w:rPr>
          <w:t>Chapter 5</w:t>
        </w:r>
      </w:hyperlink>
      <w:r w:rsidRPr="00A15B35">
        <w:t>). For c</w:t>
      </w:r>
      <w:r w:rsidRPr="00FD274F">
        <w:t xml:space="preserve">onsistency with the rest of the Commonwealth statute book, </w:t>
      </w:r>
      <w:r>
        <w:t>the person drafting the instrument</w:t>
      </w:r>
      <w:r w:rsidRPr="00FD274F">
        <w:t xml:space="preserve"> should:</w:t>
      </w:r>
      <w:bookmarkEnd w:id="43"/>
    </w:p>
    <w:p w14:paraId="6222E2F0" w14:textId="77777777" w:rsidR="008E40D0" w:rsidRPr="00FD274F" w:rsidRDefault="008E40D0" w:rsidP="008E40D0">
      <w:pPr>
        <w:pStyle w:val="BodyPara"/>
        <w:rPr>
          <w:spacing w:val="-2"/>
        </w:rPr>
      </w:pPr>
      <w:r w:rsidRPr="00FD274F">
        <w:rPr>
          <w:spacing w:val="-2"/>
        </w:rPr>
        <w:t>use Arabic numerals (e.g. 1, 2, 3) for all headings, sections and subsections; and</w:t>
      </w:r>
    </w:p>
    <w:p w14:paraId="6F68EA59" w14:textId="77777777" w:rsidR="008E40D0" w:rsidRPr="00FD274F" w:rsidRDefault="008E40D0" w:rsidP="008E40D0">
      <w:pPr>
        <w:pStyle w:val="BodyPara"/>
      </w:pPr>
      <w:r w:rsidRPr="00FD274F">
        <w:t>use letters (e.g. (a) and (b)) for paragraphs; and</w:t>
      </w:r>
    </w:p>
    <w:p w14:paraId="26F35E61" w14:textId="77777777" w:rsidR="008E40D0" w:rsidRPr="00FD274F" w:rsidRDefault="008E40D0" w:rsidP="008E40D0">
      <w:pPr>
        <w:pStyle w:val="BodyPara"/>
      </w:pPr>
      <w:r w:rsidRPr="00FD274F">
        <w:lastRenderedPageBreak/>
        <w:t>if inserting a new section/s (e.g. after section 25), use capital letters after the numeral to indicate the sequence of sections (e.g. section 25A, 25B etc.); and</w:t>
      </w:r>
    </w:p>
    <w:p w14:paraId="6178876D" w14:textId="77777777" w:rsidR="008E40D0" w:rsidRPr="00FD274F" w:rsidRDefault="008E40D0" w:rsidP="008E40D0">
      <w:pPr>
        <w:pStyle w:val="BodyPara"/>
        <w:rPr>
          <w:spacing w:val="-2"/>
        </w:rPr>
      </w:pPr>
      <w:r w:rsidRPr="00FD274F">
        <w:rPr>
          <w:spacing w:val="-2"/>
        </w:rPr>
        <w:t>if many new sections have been/are to be inserted, skip the letters “I” and “O” after numerals to avoid confusion e.g. between 25I and 251, and 25O and 250; and</w:t>
      </w:r>
    </w:p>
    <w:p w14:paraId="67F058C8" w14:textId="77777777" w:rsidR="008E40D0" w:rsidRPr="00FD274F" w:rsidRDefault="008E40D0" w:rsidP="008E40D0">
      <w:pPr>
        <w:pStyle w:val="BodyPara"/>
      </w:pPr>
      <w:r w:rsidRPr="00FD274F">
        <w:t>avoid using capitalised Roman numerals (e.g. I, II, III), unless inserting provisions into an existing instrum</w:t>
      </w:r>
      <w:r>
        <w:t>ent that already uses them; and</w:t>
      </w:r>
    </w:p>
    <w:p w14:paraId="0A8AD7FC" w14:textId="77777777" w:rsidR="008E40D0" w:rsidRPr="00FD274F" w:rsidRDefault="008E40D0" w:rsidP="008E40D0">
      <w:pPr>
        <w:pStyle w:val="BodyPara"/>
      </w:pPr>
      <w:r w:rsidRPr="00FD274F">
        <w:t>avoid “tidying up” legislation by renumbering it, without carefully considering the risks (especially if there are cross</w:t>
      </w:r>
      <w:r>
        <w:noBreakHyphen/>
      </w:r>
      <w:r w:rsidRPr="00FD274F">
        <w:t>references in related documents).</w:t>
      </w:r>
    </w:p>
    <w:p w14:paraId="0B8CA489" w14:textId="32541D18" w:rsidR="008E40D0" w:rsidRPr="0023124E" w:rsidRDefault="008E40D0" w:rsidP="008E40D0">
      <w:pPr>
        <w:pStyle w:val="BodyNum"/>
      </w:pPr>
      <w:r w:rsidRPr="00FD274F">
        <w:t xml:space="preserve">For detailed guidance on the numbering of provisions, and the risks involved in renumbering provisions, please refer </w:t>
      </w:r>
      <w:r w:rsidRPr="0023124E">
        <w:t xml:space="preserve">to </w:t>
      </w:r>
      <w:hyperlink r:id="rId151" w:history="1">
        <w:r w:rsidRPr="0023124E">
          <w:rPr>
            <w:rStyle w:val="Hyperlink"/>
          </w:rPr>
          <w:t>OPC Drafting Direction 1.7</w:t>
        </w:r>
      </w:hyperlink>
      <w:r w:rsidRPr="0023124E">
        <w:t>.</w:t>
      </w:r>
    </w:p>
    <w:p w14:paraId="2D90C1E9" w14:textId="77777777" w:rsidR="008E40D0" w:rsidRDefault="008E40D0" w:rsidP="008E40D0">
      <w:pPr>
        <w:pStyle w:val="Body"/>
        <w:pageBreakBefore/>
        <w:rPr>
          <w:b/>
        </w:rPr>
      </w:pPr>
      <w:r w:rsidRPr="00FD274F">
        <w:rPr>
          <w:b/>
        </w:rPr>
        <w:lastRenderedPageBreak/>
        <w:t>Illu</w:t>
      </w:r>
      <w:r w:rsidRPr="00A15B35">
        <w:rPr>
          <w:b/>
        </w:rPr>
        <w:t>stration 3B—s</w:t>
      </w:r>
      <w:r w:rsidRPr="00FD274F">
        <w:rPr>
          <w:b/>
        </w:rPr>
        <w:t>tandard order and format of provis</w:t>
      </w:r>
      <w:r>
        <w:rPr>
          <w:b/>
        </w:rPr>
        <w:t>ions in main body of instrument</w:t>
      </w:r>
    </w:p>
    <w:p w14:paraId="256BCC95" w14:textId="77777777" w:rsidR="008E40D0" w:rsidRPr="00FD274F" w:rsidRDefault="008E40D0" w:rsidP="008E40D0">
      <w:pPr>
        <w:pStyle w:val="Body"/>
        <w:jc w:val="center"/>
        <w:rPr>
          <w:b/>
        </w:rPr>
      </w:pPr>
      <w:r>
        <w:rPr>
          <w:noProof/>
        </w:rPr>
        <w:drawing>
          <wp:inline distT="0" distB="0" distL="0" distR="0" wp14:anchorId="24104984" wp14:editId="5AAB61F3">
            <wp:extent cx="4777200" cy="7920000"/>
            <wp:effectExtent l="19050" t="19050" r="23495" b="24130"/>
            <wp:docPr id="8" name="Picture 8" descr="Template showing sections 1 to 5 with wording that is consistently used and brackets with descriptions of text to be custom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2"/>
                    <a:stretch>
                      <a:fillRect/>
                    </a:stretch>
                  </pic:blipFill>
                  <pic:spPr>
                    <a:xfrm>
                      <a:off x="0" y="0"/>
                      <a:ext cx="4777200" cy="7920000"/>
                    </a:xfrm>
                    <a:prstGeom prst="rect">
                      <a:avLst/>
                    </a:prstGeom>
                    <a:ln>
                      <a:solidFill>
                        <a:schemeClr val="tx1"/>
                      </a:solidFill>
                    </a:ln>
                  </pic:spPr>
                </pic:pic>
              </a:graphicData>
            </a:graphic>
          </wp:inline>
        </w:drawing>
      </w:r>
    </w:p>
    <w:p w14:paraId="339427CD" w14:textId="77777777" w:rsidR="008E40D0" w:rsidRPr="002600D1" w:rsidRDefault="008E40D0" w:rsidP="008E40D0">
      <w:pPr>
        <w:pStyle w:val="BodyNum"/>
      </w:pPr>
      <w:r>
        <w:lastRenderedPageBreak/>
        <w:t>If different provisions of the instrument commence at different times, additional rows can be added to the commencement table</w:t>
      </w:r>
      <w:r w:rsidRPr="0091228E">
        <w:rPr>
          <w:szCs w:val="24"/>
        </w:rPr>
        <w:t xml:space="preserve"> </w:t>
      </w:r>
      <w:r w:rsidRPr="00A15B35">
        <w:t>(see Illustration 3C)</w:t>
      </w:r>
      <w:r w:rsidRPr="00A15B35">
        <w:rPr>
          <w:szCs w:val="24"/>
        </w:rPr>
        <w:t>.</w:t>
      </w:r>
    </w:p>
    <w:p w14:paraId="55C7BBBD" w14:textId="77777777" w:rsidR="008E40D0" w:rsidRDefault="008E40D0" w:rsidP="008E40D0">
      <w:pPr>
        <w:pStyle w:val="Body"/>
        <w:rPr>
          <w:b/>
        </w:rPr>
      </w:pPr>
      <w:r w:rsidRPr="00FD274F">
        <w:rPr>
          <w:b/>
        </w:rPr>
        <w:t>Illustration 3</w:t>
      </w:r>
      <w:r>
        <w:rPr>
          <w:b/>
        </w:rPr>
        <w:t>C</w:t>
      </w:r>
      <w:r w:rsidRPr="00FD274F">
        <w:rPr>
          <w:b/>
        </w:rPr>
        <w:t>—</w:t>
      </w:r>
      <w:r>
        <w:rPr>
          <w:b/>
        </w:rPr>
        <w:t>commencement table with multiple commencement dates</w:t>
      </w:r>
    </w:p>
    <w:p w14:paraId="6A7A1A73" w14:textId="77777777" w:rsidR="008E40D0" w:rsidRPr="00FD274F" w:rsidRDefault="008E40D0" w:rsidP="008E40D0">
      <w:pPr>
        <w:pStyle w:val="Body"/>
        <w:jc w:val="center"/>
        <w:rPr>
          <w:b/>
        </w:rPr>
      </w:pPr>
      <w:r>
        <w:rPr>
          <w:noProof/>
        </w:rPr>
        <w:drawing>
          <wp:inline distT="0" distB="0" distL="0" distR="0" wp14:anchorId="18BFEC45" wp14:editId="15D7D109">
            <wp:extent cx="5666667" cy="4819048"/>
            <wp:effectExtent l="19050" t="19050" r="10795" b="19685"/>
            <wp:docPr id="6" name="Picture 6" descr="Template showing a section 2 commencement table formatted with multiple rows for multiple commencement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3"/>
                    <a:stretch>
                      <a:fillRect/>
                    </a:stretch>
                  </pic:blipFill>
                  <pic:spPr>
                    <a:xfrm>
                      <a:off x="0" y="0"/>
                      <a:ext cx="5666667" cy="4819048"/>
                    </a:xfrm>
                    <a:prstGeom prst="rect">
                      <a:avLst/>
                    </a:prstGeom>
                    <a:ln>
                      <a:solidFill>
                        <a:schemeClr val="tx1"/>
                      </a:solidFill>
                    </a:ln>
                  </pic:spPr>
                </pic:pic>
              </a:graphicData>
            </a:graphic>
          </wp:inline>
        </w:drawing>
      </w:r>
    </w:p>
    <w:p w14:paraId="695590FB" w14:textId="77777777" w:rsidR="008E40D0" w:rsidRPr="00FD274F" w:rsidRDefault="008E40D0" w:rsidP="008E40D0">
      <w:pPr>
        <w:pStyle w:val="Head4"/>
      </w:pPr>
      <w:bookmarkStart w:id="44" w:name="_Toc223687731"/>
      <w:r w:rsidRPr="00FD274F">
        <w:t>Use of other approaches</w:t>
      </w:r>
      <w:bookmarkEnd w:id="44"/>
    </w:p>
    <w:p w14:paraId="12A7D9E8" w14:textId="77777777" w:rsidR="008E40D0" w:rsidRPr="00FD274F" w:rsidRDefault="008E40D0" w:rsidP="008E40D0">
      <w:pPr>
        <w:pStyle w:val="BodyNum"/>
      </w:pPr>
      <w:r>
        <w:t>The person drafting the instrument is</w:t>
      </w:r>
      <w:r w:rsidRPr="00FD274F">
        <w:t xml:space="preserve"> sometimes asked to omit standard provisions or numbering, or to include images or other content that is not legally necessary. Although this approach may make an instrument “look nice”, it can also make it difficult to apply amendments and, in extreme cases, to enforce an instrument. Consequently, if a rule</w:t>
      </w:r>
      <w:r>
        <w:noBreakHyphen/>
      </w:r>
      <w:r w:rsidRPr="00FD274F">
        <w:t>maker wishes to proceed with a non</w:t>
      </w:r>
      <w:r>
        <w:noBreakHyphen/>
      </w:r>
      <w:r w:rsidRPr="00FD274F">
        <w:t>standard approach, agencies are advised to ensure that the rule</w:t>
      </w:r>
      <w:r>
        <w:noBreakHyphen/>
      </w:r>
      <w:r w:rsidRPr="00FD274F">
        <w:t>maker:</w:t>
      </w:r>
    </w:p>
    <w:p w14:paraId="4C5F6243" w14:textId="77777777" w:rsidR="008E40D0" w:rsidRPr="00FD274F" w:rsidRDefault="008E40D0" w:rsidP="008E40D0">
      <w:pPr>
        <w:pStyle w:val="BodyPara"/>
      </w:pPr>
      <w:r w:rsidRPr="00FD274F">
        <w:t>is awa</w:t>
      </w:r>
      <w:r>
        <w:t>re of the associated risks; and</w:t>
      </w:r>
    </w:p>
    <w:p w14:paraId="02497B09" w14:textId="77777777" w:rsidR="008E40D0" w:rsidRPr="00FD274F" w:rsidRDefault="008E40D0" w:rsidP="008E40D0">
      <w:pPr>
        <w:pStyle w:val="BodyPara"/>
      </w:pPr>
      <w:r w:rsidRPr="00FD274F">
        <w:t>includes non</w:t>
      </w:r>
      <w:r>
        <w:noBreakHyphen/>
      </w:r>
      <w:r w:rsidRPr="00FD274F">
        <w:t>standa</w:t>
      </w:r>
      <w:r>
        <w:t>rd content as an attachment or S</w:t>
      </w:r>
      <w:r w:rsidRPr="00FD274F">
        <w:t>chedule to a short instrument that fo</w:t>
      </w:r>
      <w:r>
        <w:t>llows the recommended approach.</w:t>
      </w:r>
    </w:p>
    <w:p w14:paraId="5801C1D0" w14:textId="77777777" w:rsidR="008E40D0" w:rsidRPr="00FD274F" w:rsidRDefault="008E40D0" w:rsidP="008E40D0">
      <w:pPr>
        <w:pStyle w:val="BodyNum"/>
      </w:pPr>
      <w:r w:rsidRPr="00FD274F">
        <w:lastRenderedPageBreak/>
        <w:t>Even a very short instrument should include the enabling legislation and making words appropriate to that legislation in the text of the instrument. These details are important to establish whether the in</w:t>
      </w:r>
      <w:r>
        <w:t>strument has been validly made.</w:t>
      </w:r>
    </w:p>
    <w:p w14:paraId="56753596" w14:textId="77777777" w:rsidR="008E40D0" w:rsidRPr="00FD274F" w:rsidRDefault="008E40D0" w:rsidP="008E40D0">
      <w:pPr>
        <w:pStyle w:val="Head3"/>
      </w:pPr>
      <w:bookmarkStart w:id="45" w:name="_Toc223687732"/>
      <w:r w:rsidRPr="00FD274F">
        <w:t>Default rules on commencement of instrument or provision</w:t>
      </w:r>
      <w:bookmarkEnd w:id="45"/>
    </w:p>
    <w:p w14:paraId="699590FC" w14:textId="0C2970FA" w:rsidR="008E40D0" w:rsidRDefault="008E40D0" w:rsidP="008E40D0">
      <w:pPr>
        <w:pStyle w:val="BodyNum"/>
      </w:pPr>
      <w:bookmarkStart w:id="46" w:name="_Ref367446165"/>
      <w:r w:rsidRPr="00FD274F">
        <w:t>In exercising the power to make a legislative instrument, the rule</w:t>
      </w:r>
      <w:r>
        <w:noBreakHyphen/>
      </w:r>
      <w:r w:rsidRPr="00FD274F">
        <w:t>maker should always specify when the instrument, or each provision of the instrument, commences. In doing so, the rule</w:t>
      </w:r>
      <w:r>
        <w:noBreakHyphen/>
      </w:r>
      <w:r w:rsidRPr="00FD274F">
        <w:t xml:space="preserve">maker must have regard to any special provisions in the instrument’s enabling legislation, and the default provisions of the </w:t>
      </w:r>
      <w:hyperlink r:id="rId154" w:history="1">
        <w:r w:rsidRPr="00FD274F">
          <w:rPr>
            <w:rStyle w:val="Hyperlink"/>
          </w:rPr>
          <w:t>LA</w:t>
        </w:r>
      </w:hyperlink>
      <w:r w:rsidRPr="00FD274F">
        <w:rPr>
          <w:rStyle w:val="Hyperlink"/>
        </w:rPr>
        <w:t xml:space="preserve"> </w:t>
      </w:r>
      <w:r w:rsidRPr="00DE3286">
        <w:t>(particularly s 12).</w:t>
      </w:r>
      <w:bookmarkEnd w:id="46"/>
    </w:p>
    <w:p w14:paraId="4DC2A9E2" w14:textId="45AA1E54" w:rsidR="005A7E70" w:rsidRDefault="005A7E70" w:rsidP="005A7E70">
      <w:pPr>
        <w:pStyle w:val="BodyNum"/>
      </w:pPr>
      <w:r>
        <w:t>To clearly indicate commencement, the word “commences” should be used rather than wording such as “takes effect on”, “is valid from” or “has effect for a specified period”, u</w:t>
      </w:r>
      <w:r w:rsidRPr="00FD274F">
        <w:t xml:space="preserve">nless a specific term is required by the </w:t>
      </w:r>
      <w:r>
        <w:t xml:space="preserve">authorising </w:t>
      </w:r>
      <w:r w:rsidRPr="00FD274F">
        <w:t>legislation</w:t>
      </w:r>
      <w:r>
        <w:t>.</w:t>
      </w:r>
    </w:p>
    <w:p w14:paraId="29E7F70E" w14:textId="1DEF177E" w:rsidR="008E40D0" w:rsidRPr="00FD274F" w:rsidRDefault="008E40D0" w:rsidP="008E40D0">
      <w:pPr>
        <w:pStyle w:val="BodyNum"/>
      </w:pPr>
      <w:r w:rsidRPr="00FD274F">
        <w:t xml:space="preserve">An instrument may provide for its commencement by enabling a commencement instrument to be made </w:t>
      </w:r>
      <w:r w:rsidR="00796E6B">
        <w:t>(</w:t>
      </w:r>
      <w:hyperlink r:id="rId155" w:history="1">
        <w:r w:rsidRPr="00DE3286">
          <w:rPr>
            <w:rStyle w:val="Hyperlink"/>
          </w:rPr>
          <w:t>LA</w:t>
        </w:r>
      </w:hyperlink>
      <w:r w:rsidRPr="00DE3286">
        <w:t xml:space="preserve"> s 12(5)</w:t>
      </w:r>
      <w:r w:rsidR="00796E6B">
        <w:t>)</w:t>
      </w:r>
      <w:r w:rsidRPr="00DE3286">
        <w:t>.</w:t>
      </w:r>
      <w:r w:rsidRPr="00FD274F">
        <w:t xml:space="preserve"> Alternatively, an instrument or provision of an instrument may be expressed as commencing as follows:</w:t>
      </w:r>
    </w:p>
    <w:p w14:paraId="42FD8FF4" w14:textId="52FFDD51" w:rsidR="008E40D0" w:rsidRPr="00FD274F" w:rsidRDefault="008E40D0" w:rsidP="008E40D0">
      <w:pPr>
        <w:pStyle w:val="BodyPara"/>
      </w:pPr>
      <w:r w:rsidRPr="00FD274F">
        <w:t xml:space="preserve">on a specified day—if no time is specified, the commencement will occur at the start of the </w:t>
      </w:r>
      <w:r>
        <w:t xml:space="preserve">specified </w:t>
      </w:r>
      <w:r w:rsidRPr="00FD274F">
        <w:t xml:space="preserve">day </w:t>
      </w:r>
      <w:r>
        <w:t>(</w:t>
      </w:r>
      <w:hyperlink r:id="rId156" w:history="1">
        <w:r w:rsidRPr="00414F6F">
          <w:rPr>
            <w:rStyle w:val="Hyperlink"/>
            <w:i/>
          </w:rPr>
          <w:t>Acts Interpretation Act 1901</w:t>
        </w:r>
      </w:hyperlink>
      <w:r w:rsidRPr="00414F6F">
        <w:rPr>
          <w:rStyle w:val="Hyperlink"/>
          <w:i/>
        </w:rPr>
        <w:t xml:space="preserve"> </w:t>
      </w:r>
      <w:r w:rsidRPr="00414F6F">
        <w:t>s 3);</w:t>
      </w:r>
    </w:p>
    <w:p w14:paraId="14886281" w14:textId="77777777" w:rsidR="008E40D0" w:rsidRPr="00FD274F" w:rsidRDefault="008E40D0" w:rsidP="008E40D0">
      <w:pPr>
        <w:pStyle w:val="BodyPara"/>
      </w:pPr>
      <w:r w:rsidRPr="00FD274F">
        <w:t>on a specified day and time—if a time is specified, it may be necessary to specify a time zone;</w:t>
      </w:r>
    </w:p>
    <w:p w14:paraId="4F37A0B1" w14:textId="77777777" w:rsidR="008E40D0" w:rsidRPr="00FD274F" w:rsidRDefault="008E40D0" w:rsidP="008E40D0">
      <w:pPr>
        <w:pStyle w:val="BodyPara"/>
      </w:pPr>
      <w:r w:rsidRPr="00FD274F">
        <w:t>on or after a specified event such as:</w:t>
      </w:r>
    </w:p>
    <w:p w14:paraId="241C7820" w14:textId="77777777" w:rsidR="008E40D0" w:rsidRPr="00FD274F" w:rsidRDefault="008E40D0" w:rsidP="008E40D0">
      <w:pPr>
        <w:pStyle w:val="BodySubPara"/>
      </w:pPr>
      <w:r w:rsidRPr="00FD274F">
        <w:t>the instrument’s registration; or</w:t>
      </w:r>
    </w:p>
    <w:p w14:paraId="73392496" w14:textId="77777777" w:rsidR="008E40D0" w:rsidRPr="00FD274F" w:rsidRDefault="008E40D0" w:rsidP="008E40D0">
      <w:pPr>
        <w:pStyle w:val="BodySubPara"/>
      </w:pPr>
      <w:r w:rsidRPr="00FD274F">
        <w:t>the commencement of a Commonwealth Act or provision of an Act; or</w:t>
      </w:r>
    </w:p>
    <w:p w14:paraId="723D7AD6" w14:textId="77777777" w:rsidR="008E40D0" w:rsidRPr="00FD274F" w:rsidRDefault="008E40D0" w:rsidP="008E40D0">
      <w:pPr>
        <w:pStyle w:val="BodySubPara"/>
      </w:pPr>
      <w:r w:rsidRPr="00FD274F">
        <w:t>the commencement of a provision of a State law; or</w:t>
      </w:r>
    </w:p>
    <w:p w14:paraId="3B9E56C2" w14:textId="4846AB45" w:rsidR="008E40D0" w:rsidRPr="00FD274F" w:rsidRDefault="008E40D0" w:rsidP="008E40D0">
      <w:pPr>
        <w:pStyle w:val="BodySubPara"/>
      </w:pPr>
      <w:r w:rsidRPr="00FD274F">
        <w:t>the entering into force for Australia of a treaty—this would normally be notified through a notifiable instrumen</w:t>
      </w:r>
      <w:r w:rsidRPr="00414F6F">
        <w:t>t (</w:t>
      </w:r>
      <w:hyperlink r:id="rId157" w:history="1">
        <w:hyperlink r:id="rId158" w:history="1">
          <w:hyperlink r:id="rId159" w:history="1">
            <w:r w:rsidRPr="00414F6F">
              <w:rPr>
                <w:rStyle w:val="Hyperlink"/>
              </w:rPr>
              <w:t>LEOMR</w:t>
            </w:r>
          </w:hyperlink>
        </w:hyperlink>
      </w:hyperlink>
      <w:r w:rsidRPr="00414F6F">
        <w:t xml:space="preserve"> s 8 item 1).</w:t>
      </w:r>
    </w:p>
    <w:p w14:paraId="4473236C" w14:textId="4EDD0D8A" w:rsidR="008E40D0" w:rsidRPr="00FD274F" w:rsidRDefault="008E40D0" w:rsidP="008E40D0">
      <w:pPr>
        <w:pStyle w:val="BodyNum"/>
      </w:pPr>
      <w:bookmarkStart w:id="47" w:name="_Ref444692813"/>
      <w:bookmarkStart w:id="48" w:name="_Ref444869799"/>
      <w:bookmarkStart w:id="49" w:name="_Ref384384731"/>
      <w:bookmarkStart w:id="50" w:name="_Ref82670448"/>
      <w:r>
        <w:t xml:space="preserve">As a general rule it is not safe to commence an instrument when it is signed by the rule-maker for the reasons set out in </w:t>
      </w:r>
      <w:r w:rsidRPr="0020724A">
        <w:t xml:space="preserve">paragraph </w:t>
      </w:r>
      <w:r w:rsidRPr="00DE3286">
        <w:fldChar w:fldCharType="begin"/>
      </w:r>
      <w:r w:rsidRPr="0020724A">
        <w:instrText xml:space="preserve"> REF _Ref82670539 \r \h </w:instrText>
      </w:r>
      <w:r>
        <w:rPr>
          <w:highlight w:val="yellow"/>
        </w:rPr>
        <w:instrText xml:space="preserve"> \* MERGEFORMAT </w:instrText>
      </w:r>
      <w:r w:rsidRPr="00DE3286">
        <w:fldChar w:fldCharType="separate"/>
      </w:r>
      <w:r w:rsidR="00AB105F">
        <w:t>75</w:t>
      </w:r>
      <w:r w:rsidRPr="00DE3286">
        <w:fldChar w:fldCharType="end"/>
      </w:r>
      <w:r w:rsidRPr="0020724A">
        <w:t>.</w:t>
      </w:r>
    </w:p>
    <w:p w14:paraId="1022C300" w14:textId="46E73998" w:rsidR="008E40D0" w:rsidRPr="00FD274F" w:rsidRDefault="008E40D0" w:rsidP="008E40D0">
      <w:pPr>
        <w:pStyle w:val="BodyNum"/>
        <w:keepLines/>
      </w:pPr>
      <w:bookmarkStart w:id="51" w:name="_Ref112862478"/>
      <w:r w:rsidRPr="00FD274F">
        <w:t xml:space="preserve">Special care is needed if an instrument is to be expressed to commence retrospectively, that is, before it is registered. </w:t>
      </w:r>
      <w:bookmarkEnd w:id="47"/>
      <w:bookmarkEnd w:id="48"/>
      <w:bookmarkEnd w:id="49"/>
      <w:r w:rsidRPr="00FD274F">
        <w:t xml:space="preserve">Subject to any contrary provision in an Act, a provision of an instrument may commence retrospectively </w:t>
      </w:r>
      <w:r w:rsidRPr="00DE3286">
        <w:t>(</w:t>
      </w:r>
      <w:hyperlink r:id="rId160" w:history="1">
        <w:r w:rsidRPr="00DE3286">
          <w:rPr>
            <w:rStyle w:val="Hyperlink"/>
          </w:rPr>
          <w:t>LA</w:t>
        </w:r>
      </w:hyperlink>
      <w:r w:rsidRPr="00DE3286">
        <w:t xml:space="preserve"> s 12(1A) and (2)).</w:t>
      </w:r>
      <w:r w:rsidRPr="00FD274F">
        <w:t xml:space="preserve"> However, a provision that commences before it is registered does not apply in relation to a person (other than the Commonwealth or an authority of the Commonwealth) to the extent that as a result </w:t>
      </w:r>
      <w:r w:rsidRPr="00DE3286">
        <w:t>(</w:t>
      </w:r>
      <w:hyperlink r:id="rId161" w:history="1">
        <w:r w:rsidRPr="00DE3286">
          <w:rPr>
            <w:rStyle w:val="Hyperlink"/>
          </w:rPr>
          <w:t>LA</w:t>
        </w:r>
      </w:hyperlink>
      <w:r w:rsidRPr="00DE3286">
        <w:rPr>
          <w:rStyle w:val="Hyperlink"/>
        </w:rPr>
        <w:t xml:space="preserve"> </w:t>
      </w:r>
      <w:r w:rsidRPr="00DE3286">
        <w:t>s 12(2)):</w:t>
      </w:r>
      <w:bookmarkEnd w:id="50"/>
      <w:bookmarkEnd w:id="51"/>
    </w:p>
    <w:p w14:paraId="209F8588" w14:textId="77777777" w:rsidR="008E40D0" w:rsidRPr="00FD274F" w:rsidRDefault="008E40D0" w:rsidP="008E40D0">
      <w:pPr>
        <w:pStyle w:val="BodyPara"/>
      </w:pPr>
      <w:r w:rsidRPr="00FD274F">
        <w:t xml:space="preserve">the person’s rights as at </w:t>
      </w:r>
      <w:r>
        <w:t>the time the instrument is registered</w:t>
      </w:r>
      <w:r w:rsidRPr="00FD274F">
        <w:t xml:space="preserve"> would be affected so as to disadvantage the person; or</w:t>
      </w:r>
    </w:p>
    <w:p w14:paraId="22D28488" w14:textId="77777777" w:rsidR="008E40D0" w:rsidRDefault="008E40D0" w:rsidP="008E40D0">
      <w:pPr>
        <w:pStyle w:val="BodyPara"/>
      </w:pPr>
      <w:r w:rsidRPr="00FD274F">
        <w:lastRenderedPageBreak/>
        <w:t xml:space="preserve">liabilities would be imposed on the person in respect of anything done or omitted to be done before </w:t>
      </w:r>
      <w:r>
        <w:t>the instrument is registered</w:t>
      </w:r>
      <w:r w:rsidRPr="00FD274F">
        <w:t>.</w:t>
      </w:r>
    </w:p>
    <w:p w14:paraId="01330BE2" w14:textId="659C7BC3" w:rsidR="008E40D0" w:rsidRPr="006903BF" w:rsidRDefault="008E40D0" w:rsidP="008E40D0">
      <w:pPr>
        <w:pStyle w:val="BodyNum"/>
      </w:pPr>
      <w:bookmarkStart w:id="52" w:name="_Ref82670539"/>
      <w:r>
        <w:t xml:space="preserve">It is for this reason that legislative instruments should generally not be expressed to commence when the instrument is signed because this will be before the instrument is registered, and so the rules in </w:t>
      </w:r>
      <w:hyperlink r:id="rId162" w:history="1">
        <w:r w:rsidRPr="00DE3286">
          <w:rPr>
            <w:rStyle w:val="Hyperlink"/>
          </w:rPr>
          <w:t>LA</w:t>
        </w:r>
      </w:hyperlink>
      <w:r w:rsidRPr="00DE3286">
        <w:t xml:space="preserve"> s 12(1A) and (2)</w:t>
      </w:r>
      <w:r>
        <w:t xml:space="preserve"> will apply.</w:t>
      </w:r>
    </w:p>
    <w:bookmarkEnd w:id="52"/>
    <w:p w14:paraId="1E5B929A" w14:textId="77777777" w:rsidR="008E40D0" w:rsidRDefault="008E40D0" w:rsidP="008E40D0">
      <w:pPr>
        <w:pStyle w:val="BodyNum"/>
      </w:pPr>
      <w:r>
        <w:t xml:space="preserve">Care should also be taken to avoid having regulations made under a provision in a Bill if the regulations are to be made on the same day as the Bill is to be given Royal Assent. While this can be organised, it does require careful timing to ensure that the Royal Assent is given before the regulations are made. You should raise this with the </w:t>
      </w:r>
      <w:proofErr w:type="spellStart"/>
      <w:r>
        <w:t>ExCo</w:t>
      </w:r>
      <w:proofErr w:type="spellEnd"/>
      <w:r>
        <w:t xml:space="preserve"> Secretariat if this is required.</w:t>
      </w:r>
    </w:p>
    <w:p w14:paraId="3A13EBF3" w14:textId="28539173" w:rsidR="008E40D0" w:rsidRDefault="008E40D0" w:rsidP="008E40D0">
      <w:pPr>
        <w:pStyle w:val="BodyNum"/>
      </w:pPr>
      <w:bookmarkStart w:id="53" w:name="_Ref444873872"/>
      <w:r>
        <w:t>A</w:t>
      </w:r>
      <w:r w:rsidRPr="00FD274F">
        <w:t xml:space="preserve"> legislative instrument is not enforceable unless and until it is registered as a legislative instrument </w:t>
      </w:r>
      <w:r w:rsidRPr="00E21206">
        <w:t>(</w:t>
      </w:r>
      <w:hyperlink r:id="rId163" w:history="1">
        <w:r w:rsidRPr="00E21206">
          <w:rPr>
            <w:rStyle w:val="Hyperlink"/>
          </w:rPr>
          <w:t>LA</w:t>
        </w:r>
      </w:hyperlink>
      <w:r w:rsidRPr="00E21206">
        <w:t xml:space="preserve"> s 15K(1)).</w:t>
      </w:r>
      <w:bookmarkEnd w:id="53"/>
    </w:p>
    <w:p w14:paraId="294F8BA1" w14:textId="3F84F0A7" w:rsidR="008E40D0" w:rsidRPr="00E21206" w:rsidRDefault="008E40D0" w:rsidP="008E40D0">
      <w:pPr>
        <w:pStyle w:val="BodyNum"/>
      </w:pPr>
      <w:bookmarkStart w:id="54" w:name="_Ref112918881"/>
      <w:r w:rsidRPr="00FD274F">
        <w:t>Retrospectivity is an issue of concern to the Parliame</w:t>
      </w:r>
      <w:r w:rsidRPr="00B06770">
        <w:t>nt, s</w:t>
      </w:r>
      <w:r w:rsidRPr="00FD274F">
        <w:t>o if an instrument contains a retrospective provision, the instrument’s explanatory statement</w:t>
      </w:r>
      <w:r w:rsidRPr="00B06770">
        <w:t xml:space="preserve"> (see </w:t>
      </w:r>
      <w:hyperlink w:anchor="Chapter8" w:history="1">
        <w:r>
          <w:rPr>
            <w:rStyle w:val="Hyperlink"/>
          </w:rPr>
          <w:t>Chapter 8</w:t>
        </w:r>
      </w:hyperlink>
      <w:r w:rsidRPr="00B06770">
        <w:t>)</w:t>
      </w:r>
      <w:r w:rsidRPr="00FD274F">
        <w:t xml:space="preserve"> should explain why retrospective commencement is appropriate and include an assurance that it is not affected by </w:t>
      </w:r>
      <w:r w:rsidRPr="00E21206">
        <w:t xml:space="preserve">subsection 12(2) of the </w:t>
      </w:r>
      <w:hyperlink r:id="rId164" w:history="1">
        <w:r w:rsidRPr="00E21206">
          <w:rPr>
            <w:rStyle w:val="Hyperlink"/>
          </w:rPr>
          <w:t>LA</w:t>
        </w:r>
      </w:hyperlink>
      <w:r w:rsidRPr="00E21206">
        <w:t>.</w:t>
      </w:r>
      <w:r w:rsidRPr="00FD274F">
        <w:t xml:space="preserve"> Additional assurances may be required for instruments to be made by the Governor</w:t>
      </w:r>
      <w:r>
        <w:noBreakHyphen/>
      </w:r>
      <w:r w:rsidRPr="00FD274F">
        <w:t>General—please refer to the Federal Executive Council Handbook for up</w:t>
      </w:r>
      <w:r>
        <w:noBreakHyphen/>
      </w:r>
      <w:r w:rsidRPr="00FD274F">
        <w:t>to</w:t>
      </w:r>
      <w:r>
        <w:noBreakHyphen/>
      </w:r>
      <w:r w:rsidRPr="00FD274F">
        <w:t>date information on current requirement</w:t>
      </w:r>
      <w:r w:rsidRPr="00E21206">
        <w:t>s</w:t>
      </w:r>
      <w:r w:rsidRPr="00E21206">
        <w:rPr>
          <w:rStyle w:val="FootnoteReference"/>
        </w:rPr>
        <w:footnoteReference w:id="10"/>
      </w:r>
      <w:r w:rsidRPr="00E21206">
        <w:t>.</w:t>
      </w:r>
      <w:bookmarkEnd w:id="54"/>
    </w:p>
    <w:p w14:paraId="6BAC6013" w14:textId="28BF1EEA" w:rsidR="008E40D0" w:rsidRPr="00414F6F" w:rsidRDefault="008E40D0" w:rsidP="008E40D0">
      <w:pPr>
        <w:pStyle w:val="BodyNum"/>
      </w:pPr>
      <w:bookmarkStart w:id="55" w:name="_Ref369624675"/>
      <w:r w:rsidRPr="00FD274F">
        <w:t xml:space="preserve">Special care is also needed if an instrument is being made under a provision of an Act that has received </w:t>
      </w:r>
      <w:r w:rsidR="00783AC0">
        <w:t>Royal Assent</w:t>
      </w:r>
      <w:r w:rsidR="00783AC0" w:rsidRPr="00FD274F">
        <w:t xml:space="preserve"> </w:t>
      </w:r>
      <w:r w:rsidRPr="00FD274F">
        <w:t xml:space="preserve">but that has not yet commenced. Such an instrument cannot commence before its enabling provision, and is usually expressed as commencing at the same time as the enabling provision commences (rather than on a particular date that might change). There are also limits on what such an instrument can do: see </w:t>
      </w:r>
      <w:r w:rsidRPr="00414F6F">
        <w:t xml:space="preserve">section 4 of the </w:t>
      </w:r>
      <w:hyperlink r:id="rId165" w:history="1">
        <w:r w:rsidRPr="00414F6F">
          <w:rPr>
            <w:rStyle w:val="Hyperlink"/>
            <w:i/>
          </w:rPr>
          <w:t>Acts Interpretation Act 1901</w:t>
        </w:r>
      </w:hyperlink>
      <w:r w:rsidRPr="00414F6F">
        <w:t>.</w:t>
      </w:r>
    </w:p>
    <w:p w14:paraId="34CD6EC0" w14:textId="0D27B8D1" w:rsidR="008E40D0" w:rsidRDefault="008E40D0" w:rsidP="008E40D0">
      <w:pPr>
        <w:pStyle w:val="BodyNum"/>
      </w:pPr>
      <w:r w:rsidRPr="00FD274F">
        <w:t xml:space="preserve">If there is no commencement provision, an instrument commences on the start of the day after it is registered </w:t>
      </w:r>
      <w:r w:rsidRPr="00E21206">
        <w:t>(</w:t>
      </w:r>
      <w:hyperlink r:id="rId166" w:history="1">
        <w:r w:rsidRPr="00E21206">
          <w:rPr>
            <w:rStyle w:val="Hyperlink"/>
          </w:rPr>
          <w:t>LA</w:t>
        </w:r>
      </w:hyperlink>
      <w:r w:rsidRPr="00E21206">
        <w:t xml:space="preserve"> s 12(1)(a)).</w:t>
      </w:r>
      <w:bookmarkEnd w:id="55"/>
      <w:r w:rsidRPr="00FD274F">
        <w:t xml:space="preserve"> OPC’s practice when drafting is to always specify when an instrument commences in a separate provision to ensure this is clear.</w:t>
      </w:r>
    </w:p>
    <w:p w14:paraId="481E85C7" w14:textId="40B1A4D3" w:rsidR="008E40D0" w:rsidRPr="00FD274F" w:rsidRDefault="008E40D0" w:rsidP="008E40D0">
      <w:pPr>
        <w:pStyle w:val="BodyNum"/>
      </w:pPr>
      <w:bookmarkStart w:id="56" w:name="_Ref386036642"/>
      <w:r w:rsidRPr="00FD274F">
        <w:t xml:space="preserve">For further guidance and advice on commencement issues, please contact </w:t>
      </w:r>
      <w:hyperlink r:id="rId167" w:history="1">
        <w:r w:rsidR="00963574" w:rsidRPr="00E12592">
          <w:rPr>
            <w:rStyle w:val="Hyperlink"/>
            <w:spacing w:val="-2"/>
          </w:rPr>
          <w:t>OPC’s instrument client advisers</w:t>
        </w:r>
      </w:hyperlink>
      <w:r w:rsidR="00963574">
        <w:rPr>
          <w:spacing w:val="-2"/>
        </w:rPr>
        <w:t xml:space="preserve">, </w:t>
      </w:r>
      <w:r w:rsidRPr="00FD274F">
        <w:t>preferably before an instrument is made.</w:t>
      </w:r>
      <w:bookmarkEnd w:id="56"/>
    </w:p>
    <w:p w14:paraId="55FF0ED0" w14:textId="77777777" w:rsidR="008E40D0" w:rsidRPr="00FD274F" w:rsidRDefault="008E40D0" w:rsidP="008E40D0">
      <w:pPr>
        <w:pStyle w:val="Head3"/>
      </w:pPr>
      <w:bookmarkStart w:id="57" w:name="_Toc223687733"/>
      <w:r w:rsidRPr="00FD274F">
        <w:t>Default rules on amendment or repeal</w:t>
      </w:r>
      <w:bookmarkEnd w:id="57"/>
    </w:p>
    <w:p w14:paraId="34E83481" w14:textId="291456E7" w:rsidR="008E40D0" w:rsidRPr="00FD274F" w:rsidRDefault="008E40D0" w:rsidP="008E40D0">
      <w:pPr>
        <w:pStyle w:val="BodyNum"/>
      </w:pPr>
      <w:bookmarkStart w:id="58" w:name="_Ref384376054"/>
      <w:r w:rsidRPr="00FD274F">
        <w:t xml:space="preserve">The general consequences of amending or repealing a legislative instrument, or a provision of a legislative instrument, are set out in </w:t>
      </w:r>
      <w:r w:rsidRPr="00414F6F">
        <w:t xml:space="preserve">section 7 of the </w:t>
      </w:r>
      <w:hyperlink r:id="rId168" w:history="1">
        <w:hyperlink r:id="rId169" w:history="1">
          <w:r w:rsidRPr="00414F6F">
            <w:rPr>
              <w:rStyle w:val="Hyperlink"/>
              <w:i/>
            </w:rPr>
            <w:t>Acts Interpretation Act 1901</w:t>
          </w:r>
        </w:hyperlink>
      </w:hyperlink>
      <w:r w:rsidRPr="00FD274F">
        <w:rPr>
          <w:rStyle w:val="Hyperlink"/>
          <w:i/>
        </w:rPr>
        <w:t xml:space="preserve"> </w:t>
      </w:r>
      <w:r w:rsidRPr="00FD274F">
        <w:t xml:space="preserve">as applied by </w:t>
      </w:r>
      <w:r w:rsidRPr="00E21206">
        <w:t xml:space="preserve">paragraph 13(1)(a) of the </w:t>
      </w:r>
      <w:hyperlink r:id="rId170" w:history="1">
        <w:r w:rsidRPr="00E21206">
          <w:rPr>
            <w:rStyle w:val="Hyperlink"/>
          </w:rPr>
          <w:t>LA</w:t>
        </w:r>
      </w:hyperlink>
      <w:r w:rsidRPr="00E21206">
        <w:t>.</w:t>
      </w:r>
      <w:r w:rsidRPr="00FD274F">
        <w:t xml:space="preserve"> Subject to a contrary intention in an instrument or Act, the amendment or repeal of an instrument does not, among other things:</w:t>
      </w:r>
    </w:p>
    <w:p w14:paraId="4B3304C4" w14:textId="77777777" w:rsidR="008E40D0" w:rsidRPr="00FD274F" w:rsidRDefault="008E40D0" w:rsidP="008E40D0">
      <w:pPr>
        <w:pStyle w:val="BodyPara"/>
      </w:pPr>
      <w:r w:rsidRPr="00FD274F">
        <w:t>revive an instrument or provision repealed by the first instrument or provision unless express provision is made for the revival; or</w:t>
      </w:r>
    </w:p>
    <w:p w14:paraId="7F4AAD1D" w14:textId="77777777" w:rsidR="008E40D0" w:rsidRPr="00FD274F" w:rsidRDefault="008E40D0" w:rsidP="008E40D0">
      <w:pPr>
        <w:pStyle w:val="BodyPara"/>
      </w:pPr>
      <w:r w:rsidRPr="00FD274F">
        <w:lastRenderedPageBreak/>
        <w:t>revive anything else not in force or existing when the repeal or amendment takes effect (unless express provision is and can be made for the revival); or</w:t>
      </w:r>
    </w:p>
    <w:p w14:paraId="6EE03089" w14:textId="77777777" w:rsidR="008E40D0" w:rsidRPr="00FD274F" w:rsidRDefault="008E40D0" w:rsidP="008E40D0">
      <w:pPr>
        <w:pStyle w:val="BodyPara"/>
      </w:pPr>
      <w:r w:rsidRPr="00FD274F">
        <w:t>affect the previous operation of (including any amendment made by), or anything done under, the instrument or provision; or</w:t>
      </w:r>
    </w:p>
    <w:p w14:paraId="29B2F37A" w14:textId="77777777" w:rsidR="008E40D0" w:rsidRPr="00FD274F" w:rsidRDefault="008E40D0" w:rsidP="008E40D0">
      <w:pPr>
        <w:pStyle w:val="BodyPara"/>
      </w:pPr>
      <w:r w:rsidRPr="00FD274F">
        <w:t>affect any right, privilege, obligation or liability acquired, accrued or incurred under the instrument or provision; or</w:t>
      </w:r>
    </w:p>
    <w:p w14:paraId="513364F6" w14:textId="77777777" w:rsidR="008E40D0" w:rsidRPr="00FD274F" w:rsidRDefault="008E40D0" w:rsidP="008E40D0">
      <w:pPr>
        <w:pStyle w:val="BodyPara"/>
      </w:pPr>
      <w:r w:rsidRPr="00FD274F">
        <w:t xml:space="preserve">affect any penalty, forfeiture or punishment incurred in respect of an offence committed against </w:t>
      </w:r>
      <w:r>
        <w:t>the instrument or provision; or</w:t>
      </w:r>
    </w:p>
    <w:p w14:paraId="3BB522CF" w14:textId="77777777" w:rsidR="008E40D0" w:rsidRPr="00FD274F" w:rsidRDefault="008E40D0" w:rsidP="008E40D0">
      <w:pPr>
        <w:pStyle w:val="BodyPara"/>
      </w:pPr>
      <w:r w:rsidRPr="00FD274F">
        <w:t>affect any associated investigation, legal proceeding or remedy.</w:t>
      </w:r>
    </w:p>
    <w:p w14:paraId="2F053931" w14:textId="093B01C9" w:rsidR="008E40D0" w:rsidRPr="00FD274F" w:rsidRDefault="008E40D0" w:rsidP="008E40D0">
      <w:pPr>
        <w:pStyle w:val="BodyNum"/>
      </w:pPr>
      <w:r w:rsidRPr="00FD274F">
        <w:t xml:space="preserve">Under </w:t>
      </w:r>
      <w:r w:rsidRPr="005735D0">
        <w:t xml:space="preserve">the </w:t>
      </w:r>
      <w:hyperlink r:id="rId171" w:history="1">
        <w:r w:rsidRPr="005735D0">
          <w:rPr>
            <w:rStyle w:val="Hyperlink"/>
          </w:rPr>
          <w:t>LA</w:t>
        </w:r>
      </w:hyperlink>
      <w:r w:rsidRPr="005735D0">
        <w:t>, a</w:t>
      </w:r>
      <w:r w:rsidRPr="00FD274F">
        <w:t xml:space="preserve">mending an instrument generally triggers a requirement for one or more compilations to be prepared (see </w:t>
      </w:r>
      <w:hyperlink w:anchor="Chapter5" w:history="1">
        <w:r w:rsidRPr="005C17A5">
          <w:rPr>
            <w:rStyle w:val="Hyperlink"/>
          </w:rPr>
          <w:t>Chapter 5</w:t>
        </w:r>
      </w:hyperlink>
      <w:r>
        <w:t>)</w:t>
      </w:r>
      <w:r w:rsidRPr="00FD274F">
        <w:t xml:space="preserve"> but does not affect any sunset date that may apply to the instrument unde</w:t>
      </w:r>
      <w:r w:rsidRPr="005735D0">
        <w:t xml:space="preserve">r Part 4 of Chapter 3 of the </w:t>
      </w:r>
      <w:hyperlink r:id="rId172" w:history="1">
        <w:r w:rsidRPr="005735D0">
          <w:rPr>
            <w:rStyle w:val="Hyperlink"/>
          </w:rPr>
          <w:t>LA</w:t>
        </w:r>
      </w:hyperlink>
      <w:r w:rsidRPr="005C17A5">
        <w:rPr>
          <w:rStyle w:val="Hyperlink"/>
        </w:rPr>
        <w:t xml:space="preserve"> </w:t>
      </w:r>
      <w:r w:rsidRPr="005C17A5">
        <w:t xml:space="preserve">(see </w:t>
      </w:r>
      <w:hyperlink w:anchor="Chapter10" w:history="1">
        <w:r w:rsidRPr="005C17A5">
          <w:rPr>
            <w:rStyle w:val="Hyperlink"/>
          </w:rPr>
          <w:t>Chapter 10</w:t>
        </w:r>
      </w:hyperlink>
      <w:r w:rsidRPr="005C17A5">
        <w:t>).</w:t>
      </w:r>
      <w:r w:rsidRPr="00FD274F">
        <w:t xml:space="preserve"> Consequently, it may be better to </w:t>
      </w:r>
      <w:r>
        <w:t>repeal and replace</w:t>
      </w:r>
      <w:r w:rsidRPr="00FD274F">
        <w:t xml:space="preserve"> an instrument if it is approaching its sunset date or if extensive changes are being made to the text of the instrument.</w:t>
      </w:r>
    </w:p>
    <w:p w14:paraId="766FC60B" w14:textId="62FC2C08" w:rsidR="008E40D0" w:rsidRPr="00FD274F" w:rsidRDefault="008E40D0" w:rsidP="008E40D0">
      <w:pPr>
        <w:pStyle w:val="BodyNum"/>
      </w:pPr>
      <w:r w:rsidRPr="00FD274F">
        <w:t>If an instrument is repealed, it is not removed from the Register. The instrument remains on permanen</w:t>
      </w:r>
      <w:r>
        <w:t>t public record on the Register</w:t>
      </w:r>
      <w:r w:rsidRPr="00FD274F">
        <w:t xml:space="preserve"> but is no longer displayed as in force. Th</w:t>
      </w:r>
      <w:r w:rsidRPr="005735D0">
        <w:t xml:space="preserve">e </w:t>
      </w:r>
      <w:hyperlink r:id="rId173" w:history="1">
        <w:r w:rsidRPr="005735D0">
          <w:rPr>
            <w:rStyle w:val="Hyperlink"/>
          </w:rPr>
          <w:t>LA</w:t>
        </w:r>
      </w:hyperlink>
      <w:r w:rsidRPr="00FD274F">
        <w:t xml:space="preserve"> makes no provision for registered instruments (or parts of registered instruments) to be removed from the Register for any reason.</w:t>
      </w:r>
    </w:p>
    <w:p w14:paraId="390D8B82" w14:textId="77777777" w:rsidR="008E40D0" w:rsidRPr="00FD274F" w:rsidRDefault="008E40D0" w:rsidP="008E40D0">
      <w:pPr>
        <w:pStyle w:val="Head4"/>
      </w:pPr>
      <w:bookmarkStart w:id="59" w:name="_Toc223687734"/>
      <w:r w:rsidRPr="00FD274F">
        <w:t>Amending and repealing instruments</w:t>
      </w:r>
      <w:bookmarkEnd w:id="59"/>
    </w:p>
    <w:p w14:paraId="57ADC946" w14:textId="1AD2F1C5" w:rsidR="008E40D0" w:rsidRPr="00FD274F" w:rsidRDefault="008E40D0" w:rsidP="008E40D0">
      <w:pPr>
        <w:pStyle w:val="BodyNum"/>
      </w:pPr>
      <w:r w:rsidRPr="00FD274F">
        <w:t>A rule</w:t>
      </w:r>
      <w:r>
        <w:noBreakHyphen/>
      </w:r>
      <w:r w:rsidRPr="00FD274F">
        <w:t>maker who is authorised to make a particular type of instrument may amend or repeal any instrument of the same type that is in force.</w:t>
      </w:r>
      <w:r w:rsidR="00183BE0" w:rsidRPr="00E21206">
        <w:rPr>
          <w:rStyle w:val="FootnoteReference"/>
        </w:rPr>
        <w:footnoteReference w:id="11"/>
      </w:r>
      <w:r w:rsidRPr="00FD274F">
        <w:t xml:space="preserve"> However, the rule</w:t>
      </w:r>
      <w:r>
        <w:noBreakHyphen/>
      </w:r>
      <w:r w:rsidRPr="00FD274F">
        <w:t xml:space="preserve">maker must have regard to any special provisions in the instrument’s enabling legislation and the default provisions of the </w:t>
      </w:r>
      <w:hyperlink r:id="rId174" w:history="1">
        <w:hyperlink r:id="rId175" w:history="1">
          <w:r w:rsidRPr="00414F6F">
            <w:rPr>
              <w:rStyle w:val="Hyperlink"/>
              <w:i/>
            </w:rPr>
            <w:t>Acts Interpretation Act 1901</w:t>
          </w:r>
        </w:hyperlink>
      </w:hyperlink>
      <w:r w:rsidRPr="00414F6F">
        <w:t xml:space="preserve"> an</w:t>
      </w:r>
      <w:r w:rsidRPr="00FD274F">
        <w:t>d th</w:t>
      </w:r>
      <w:r w:rsidRPr="005735D0">
        <w:t xml:space="preserve">e </w:t>
      </w:r>
      <w:hyperlink r:id="rId176" w:history="1">
        <w:r w:rsidRPr="005735D0">
          <w:rPr>
            <w:rStyle w:val="Hyperlink"/>
          </w:rPr>
          <w:t>LA</w:t>
        </w:r>
      </w:hyperlink>
      <w:r w:rsidRPr="005735D0">
        <w:t>. T</w:t>
      </w:r>
      <w:r w:rsidRPr="00FD274F">
        <w:t>he rule</w:t>
      </w:r>
      <w:r>
        <w:noBreakHyphen/>
      </w:r>
      <w:r w:rsidRPr="00FD274F">
        <w:t>maker should also:</w:t>
      </w:r>
    </w:p>
    <w:p w14:paraId="410F7479" w14:textId="77777777" w:rsidR="008E40D0" w:rsidRPr="00FD274F" w:rsidRDefault="008E40D0" w:rsidP="008E40D0">
      <w:pPr>
        <w:pStyle w:val="BodyPara"/>
      </w:pPr>
      <w:r w:rsidRPr="00FD274F">
        <w:t>ensure that each instrument to be amended or repealed is clearly identified; and</w:t>
      </w:r>
    </w:p>
    <w:p w14:paraId="08F40AF8" w14:textId="2775A4DE" w:rsidR="008E40D0" w:rsidRPr="00FD274F" w:rsidRDefault="008E40D0" w:rsidP="008E40D0">
      <w:pPr>
        <w:pStyle w:val="BodyPara"/>
      </w:pPr>
      <w:r w:rsidRPr="00FD274F">
        <w:t>consider whether a saving, transitional, application or self</w:t>
      </w:r>
      <w:r>
        <w:noBreakHyphen/>
      </w:r>
      <w:r w:rsidRPr="00FD274F">
        <w:t xml:space="preserve">repealing provision is needed (see </w:t>
      </w:r>
      <w:r w:rsidRPr="005C17A5">
        <w:t xml:space="preserve">also paragraphs </w:t>
      </w:r>
      <w:r w:rsidRPr="005735D0">
        <w:fldChar w:fldCharType="begin"/>
      </w:r>
      <w:r w:rsidRPr="005C17A5">
        <w:instrText xml:space="preserve"> REF _Ref384650277 \r \h  \* MERGEFORMAT </w:instrText>
      </w:r>
      <w:r w:rsidRPr="005735D0">
        <w:fldChar w:fldCharType="separate"/>
      </w:r>
      <w:r w:rsidR="00AB105F">
        <w:t>94</w:t>
      </w:r>
      <w:r w:rsidRPr="005735D0">
        <w:fldChar w:fldCharType="end"/>
      </w:r>
      <w:r w:rsidRPr="005C17A5">
        <w:t xml:space="preserve"> and </w:t>
      </w:r>
      <w:r w:rsidRPr="005735D0">
        <w:fldChar w:fldCharType="begin"/>
      </w:r>
      <w:r w:rsidRPr="005C17A5">
        <w:instrText xml:space="preserve"> REF _Ref384706703 \r \h </w:instrText>
      </w:r>
      <w:r>
        <w:rPr>
          <w:highlight w:val="yellow"/>
        </w:rPr>
        <w:instrText xml:space="preserve"> \* MERGEFORMAT </w:instrText>
      </w:r>
      <w:r w:rsidRPr="005735D0">
        <w:fldChar w:fldCharType="separate"/>
      </w:r>
      <w:r w:rsidR="00AB105F">
        <w:t>95</w:t>
      </w:r>
      <w:r w:rsidRPr="005735D0">
        <w:fldChar w:fldCharType="end"/>
      </w:r>
      <w:r w:rsidRPr="005C17A5">
        <w:t>);</w:t>
      </w:r>
      <w:r>
        <w:t xml:space="preserve"> and</w:t>
      </w:r>
    </w:p>
    <w:p w14:paraId="15558ABD" w14:textId="77777777" w:rsidR="008E40D0" w:rsidRPr="00FD274F" w:rsidRDefault="008E40D0" w:rsidP="008E40D0">
      <w:pPr>
        <w:pStyle w:val="BodyPara"/>
      </w:pPr>
      <w:r w:rsidRPr="00FD274F">
        <w:t>consider whether separate instruments are needed e.g. because only some of the instruments to be dealt with would normally be subject to disallowance.</w:t>
      </w:r>
    </w:p>
    <w:p w14:paraId="0DB82272" w14:textId="1A9E6093" w:rsidR="008E40D0" w:rsidRPr="005735D0" w:rsidRDefault="008E40D0" w:rsidP="008E40D0">
      <w:pPr>
        <w:pStyle w:val="BodyNum"/>
      </w:pPr>
      <w:r w:rsidRPr="00FD274F">
        <w:t xml:space="preserve">To ensure that an amendment or repeal is effective and does not have unintended consequences, it is essential to clearly identify each instrument that is to be amended or repealed. Under </w:t>
      </w:r>
      <w:r w:rsidRPr="00DF0E7B">
        <w:t xml:space="preserve">paragraph 40(1A)(b) of the </w:t>
      </w:r>
      <w:hyperlink r:id="rId177" w:history="1">
        <w:hyperlink r:id="rId178" w:history="1">
          <w:r w:rsidRPr="00DF0E7B">
            <w:rPr>
              <w:rStyle w:val="Hyperlink"/>
              <w:i/>
            </w:rPr>
            <w:t>Acts Interpretation Act 1901</w:t>
          </w:r>
        </w:hyperlink>
      </w:hyperlink>
      <w:r w:rsidRPr="00DF0E7B">
        <w:t xml:space="preserve"> (as ap</w:t>
      </w:r>
      <w:r w:rsidRPr="00FD274F">
        <w:t xml:space="preserve">plied by </w:t>
      </w:r>
      <w:r w:rsidRPr="005735D0">
        <w:t xml:space="preserve">paragraph 13(1)(a) of the </w:t>
      </w:r>
      <w:hyperlink r:id="rId179" w:history="1">
        <w:r w:rsidRPr="005735D0">
          <w:rPr>
            <w:rStyle w:val="Hyperlink"/>
          </w:rPr>
          <w:t>LA</w:t>
        </w:r>
      </w:hyperlink>
      <w:r w:rsidRPr="005735D0">
        <w:t>), a legislative instrument may be identified by any of the following:</w:t>
      </w:r>
    </w:p>
    <w:p w14:paraId="6C0E2237" w14:textId="77777777" w:rsidR="008E40D0" w:rsidRPr="00FD274F" w:rsidRDefault="008E40D0" w:rsidP="008E40D0">
      <w:pPr>
        <w:pStyle w:val="BodyPara"/>
      </w:pPr>
      <w:r w:rsidRPr="00FD274F">
        <w:lastRenderedPageBreak/>
        <w:t>its name, if the instrument has a unique name equivalent to the short title of an Act;</w:t>
      </w:r>
    </w:p>
    <w:p w14:paraId="754377A9" w14:textId="13A12465" w:rsidR="008E40D0" w:rsidRDefault="008E40D0" w:rsidP="008E40D0">
      <w:pPr>
        <w:pStyle w:val="BodyPara"/>
      </w:pPr>
      <w:r>
        <w:t xml:space="preserve">a unique identifier given to the instrument in accordance with rules prescribed under </w:t>
      </w:r>
      <w:r w:rsidRPr="005735D0">
        <w:t xml:space="preserve">the </w:t>
      </w:r>
      <w:hyperlink r:id="rId180" w:history="1">
        <w:r w:rsidRPr="005735D0">
          <w:rPr>
            <w:rStyle w:val="Hyperlink"/>
          </w:rPr>
          <w:t>LA</w:t>
        </w:r>
      </w:hyperlink>
      <w:r w:rsidRPr="005735D0">
        <w:t>;</w:t>
      </w:r>
    </w:p>
    <w:p w14:paraId="38528CF3" w14:textId="19598B1F" w:rsidR="008E40D0" w:rsidRDefault="008E40D0" w:rsidP="008E40D0">
      <w:pPr>
        <w:pStyle w:val="BodyPara"/>
      </w:pPr>
      <w:r>
        <w:t>if the instrument was numbered under a Commonwealth law—the year it was made and its number, together with a reference (if necessary) to the kind of instrument;</w:t>
      </w:r>
    </w:p>
    <w:p w14:paraId="51F6182C" w14:textId="1B3AEDFE" w:rsidR="008E40D0" w:rsidRDefault="008E40D0" w:rsidP="008E40D0">
      <w:pPr>
        <w:pStyle w:val="BodyPara"/>
      </w:pPr>
      <w:r>
        <w:t>if the instrument was notified or published in the Gazette—the date and (if necessary) number and page of the Gazette in which it was notified or published;</w:t>
      </w:r>
    </w:p>
    <w:p w14:paraId="690A3E47" w14:textId="77777777" w:rsidR="008E40D0" w:rsidRPr="00FD274F" w:rsidRDefault="008E40D0" w:rsidP="008E40D0">
      <w:pPr>
        <w:pStyle w:val="BodyPara"/>
      </w:pPr>
      <w:r>
        <w:t>the date it was made, together with a reference to the Act or instrument, and (if necessary) provision, under which it was made.</w:t>
      </w:r>
    </w:p>
    <w:p w14:paraId="49041205" w14:textId="5249CE16" w:rsidR="008E40D0" w:rsidRPr="00FD274F" w:rsidRDefault="008E40D0" w:rsidP="008E40D0">
      <w:pPr>
        <w:pStyle w:val="BodyNum"/>
      </w:pPr>
      <w:r w:rsidRPr="00FD274F">
        <w:t>In the case of amendments, it is important to ensure that the provisions to be amended are clearly identified to ensure the amendments have effect and a compilation can be prepared that clearly indicates the history of amendments (s</w:t>
      </w:r>
      <w:r w:rsidRPr="005C434C">
        <w:t xml:space="preserve">ee </w:t>
      </w:r>
      <w:hyperlink w:anchor="Chapter5" w:history="1">
        <w:r w:rsidRPr="005C434C">
          <w:rPr>
            <w:rStyle w:val="Hyperlink"/>
          </w:rPr>
          <w:t>Chapter 5</w:t>
        </w:r>
      </w:hyperlink>
      <w:r w:rsidRPr="00FD274F">
        <w:rPr>
          <w:rStyle w:val="Hyperlink"/>
          <w:color w:val="auto"/>
        </w:rPr>
        <w:t>)</w:t>
      </w:r>
      <w:r w:rsidRPr="00FD274F">
        <w:t>. Unless a specific practice is required by the enabling legislation, it is also important:</w:t>
      </w:r>
    </w:p>
    <w:p w14:paraId="3C3416B2" w14:textId="055DB92B" w:rsidR="008E40D0" w:rsidRPr="00FD274F" w:rsidRDefault="008E40D0" w:rsidP="008E40D0">
      <w:pPr>
        <w:pStyle w:val="BodyPara"/>
      </w:pPr>
      <w:r w:rsidRPr="00FD274F">
        <w:t xml:space="preserve">to clearly indicate that the relevant instrument is being amended, preferably by using the word “amend” for consistency with the </w:t>
      </w:r>
      <w:hyperlink r:id="rId181" w:history="1">
        <w:hyperlink r:id="rId182" w:history="1">
          <w:r w:rsidRPr="00DF0E7B">
            <w:rPr>
              <w:rStyle w:val="Hyperlink"/>
              <w:i/>
            </w:rPr>
            <w:t>Acts Interpretation Act 1901</w:t>
          </w:r>
        </w:hyperlink>
      </w:hyperlink>
      <w:r w:rsidRPr="00FD274F">
        <w:t xml:space="preserve"> and </w:t>
      </w:r>
      <w:r w:rsidRPr="0033228A">
        <w:t xml:space="preserve">the </w:t>
      </w:r>
      <w:hyperlink r:id="rId183" w:history="1">
        <w:r w:rsidRPr="0033228A">
          <w:rPr>
            <w:rStyle w:val="Hyperlink"/>
          </w:rPr>
          <w:t>LA</w:t>
        </w:r>
      </w:hyperlink>
      <w:r w:rsidRPr="0033228A">
        <w:t>;</w:t>
      </w:r>
      <w:r w:rsidRPr="00FD274F">
        <w:t xml:space="preserve"> and</w:t>
      </w:r>
    </w:p>
    <w:p w14:paraId="35576C14" w14:textId="77777777" w:rsidR="008E40D0" w:rsidRPr="00FD274F" w:rsidRDefault="008E40D0" w:rsidP="008E40D0">
      <w:pPr>
        <w:pStyle w:val="BodyPara"/>
      </w:pPr>
      <w:r w:rsidRPr="00FD274F">
        <w:t>to avoid a potentially ambiguous term that may have other meanings such as modify, sup</w:t>
      </w:r>
      <w:r>
        <w:t>ersede, replace or reverse; and</w:t>
      </w:r>
    </w:p>
    <w:p w14:paraId="75DA04B1" w14:textId="015F3E46" w:rsidR="008E40D0" w:rsidRPr="00FD274F" w:rsidRDefault="008E40D0" w:rsidP="008E40D0">
      <w:pPr>
        <w:pStyle w:val="BodyPara"/>
      </w:pPr>
      <w:r w:rsidRPr="00FD274F">
        <w:t xml:space="preserve">to ensure that any provisions that are inserted are numbered appropriately—for further guidance on numbering and renumbering issues, see </w:t>
      </w:r>
      <w:r w:rsidRPr="005C434C">
        <w:t xml:space="preserve">paragraph </w:t>
      </w:r>
      <w:r w:rsidRPr="0033228A">
        <w:fldChar w:fldCharType="begin"/>
      </w:r>
      <w:r w:rsidRPr="005C434C">
        <w:instrText xml:space="preserve"> REF _Ref422844015 \r \h  \* MERGEFORMAT </w:instrText>
      </w:r>
      <w:r w:rsidRPr="0033228A">
        <w:fldChar w:fldCharType="separate"/>
      </w:r>
      <w:r w:rsidR="00AB105F">
        <w:t>65</w:t>
      </w:r>
      <w:r w:rsidRPr="0033228A">
        <w:fldChar w:fldCharType="end"/>
      </w:r>
      <w:r w:rsidRPr="005C434C">
        <w:t>;</w:t>
      </w:r>
      <w:r>
        <w:t xml:space="preserve"> and</w:t>
      </w:r>
    </w:p>
    <w:p w14:paraId="47F2FACD" w14:textId="0E94D061" w:rsidR="008E40D0" w:rsidRPr="00FD274F" w:rsidRDefault="008E40D0" w:rsidP="008E40D0">
      <w:pPr>
        <w:pStyle w:val="BodyPara"/>
      </w:pPr>
      <w:bookmarkStart w:id="60" w:name="_Hlk183783989"/>
      <w:r w:rsidRPr="00FD274F">
        <w:t>to include any application, saving or transitional provisions relating to an amendment into the principal instrument by amendment.</w:t>
      </w:r>
    </w:p>
    <w:bookmarkEnd w:id="60"/>
    <w:p w14:paraId="4F8C7818" w14:textId="09FD52BC" w:rsidR="008E40D0" w:rsidRPr="00DF0E7B" w:rsidRDefault="008E40D0" w:rsidP="008E40D0">
      <w:pPr>
        <w:pStyle w:val="BodyNum"/>
      </w:pPr>
      <w:r w:rsidRPr="00FD274F">
        <w:t>It is OPC’s drafting practice to present amendments and partial repeals in one or more Schedules, and to number the Schedules so that even if there is only one Schedule, it is called “Schedule 1”. Further guidance on such matters is available in the O</w:t>
      </w:r>
      <w:r w:rsidRPr="0033228A">
        <w:t>P</w:t>
      </w:r>
      <w:r w:rsidRPr="00FD274F">
        <w:t xml:space="preserve">C </w:t>
      </w:r>
      <w:hyperlink r:id="rId184" w:history="1">
        <w:r w:rsidRPr="00DF0E7B">
          <w:rPr>
            <w:rStyle w:val="Hyperlink"/>
          </w:rPr>
          <w:t>Amending forms manual</w:t>
        </w:r>
      </w:hyperlink>
      <w:r w:rsidRPr="00DF0E7B">
        <w:t>.</w:t>
      </w:r>
    </w:p>
    <w:p w14:paraId="5AE80097" w14:textId="7ADC95A5" w:rsidR="008E40D0" w:rsidRPr="00FD274F" w:rsidRDefault="008E40D0" w:rsidP="008E40D0">
      <w:pPr>
        <w:pStyle w:val="BodyNum"/>
      </w:pPr>
      <w:r w:rsidRPr="00FD274F">
        <w:t>Amending an instrument does not change when it sunsets, so the date of amendment provided by the rule</w:t>
      </w:r>
      <w:r>
        <w:noBreakHyphen/>
      </w:r>
      <w:r w:rsidRPr="00FD274F">
        <w:t xml:space="preserve">maker cannot be later than any sunset date that already applies to an instrument under </w:t>
      </w:r>
      <w:r w:rsidRPr="0033228A">
        <w:t xml:space="preserve">Part 4 of Chapter 3 of the </w:t>
      </w:r>
      <w:hyperlink r:id="rId185" w:history="1">
        <w:r w:rsidRPr="0033228A">
          <w:rPr>
            <w:rStyle w:val="Hyperlink"/>
          </w:rPr>
          <w:t>LA</w:t>
        </w:r>
      </w:hyperlink>
      <w:r w:rsidRPr="0033228A">
        <w:t>. If</w:t>
      </w:r>
      <w:r w:rsidRPr="00FD274F">
        <w:t xml:space="preserve"> the sunset date is soon, there may be workload and other benefits in making a single replacement instrument that incorporates amendments. More information on sunsetting issues is provided in </w:t>
      </w:r>
      <w:hyperlink w:anchor="Chapter10" w:history="1">
        <w:r w:rsidRPr="005C434C">
          <w:rPr>
            <w:rStyle w:val="Hyperlink"/>
          </w:rPr>
          <w:t>Chapter 10</w:t>
        </w:r>
      </w:hyperlink>
      <w:r w:rsidRPr="00FD274F">
        <w:t>.</w:t>
      </w:r>
    </w:p>
    <w:p w14:paraId="116B92D3" w14:textId="6F66FAB9" w:rsidR="008E40D0" w:rsidRPr="00FD274F" w:rsidRDefault="008E40D0" w:rsidP="008E40D0">
      <w:pPr>
        <w:pStyle w:val="BodyNum"/>
      </w:pPr>
      <w:r w:rsidRPr="00FD274F">
        <w:t xml:space="preserve">In repealing an instrument in its entirety, the date of repeal </w:t>
      </w:r>
      <w:bookmarkStart w:id="61" w:name="_Ref367446721"/>
      <w:r w:rsidRPr="00FD274F">
        <w:t>provided by the rule</w:t>
      </w:r>
      <w:r>
        <w:noBreakHyphen/>
      </w:r>
      <w:r w:rsidRPr="00FD274F">
        <w:t xml:space="preserve">maker </w:t>
      </w:r>
      <w:r>
        <w:t>will have no effect if it is</w:t>
      </w:r>
      <w:r w:rsidRPr="00FD274F">
        <w:t xml:space="preserve"> later than any sunset date that already applies under </w:t>
      </w:r>
      <w:r w:rsidRPr="0033228A">
        <w:t xml:space="preserve">Part </w:t>
      </w:r>
      <w:r w:rsidRPr="0033228A">
        <w:lastRenderedPageBreak/>
        <w:t xml:space="preserve">4 of Chapter 3 of the </w:t>
      </w:r>
      <w:hyperlink r:id="rId186" w:history="1">
        <w:r w:rsidRPr="0033228A">
          <w:rPr>
            <w:rStyle w:val="Hyperlink"/>
          </w:rPr>
          <w:t>LA</w:t>
        </w:r>
      </w:hyperlink>
      <w:r w:rsidRPr="005C434C">
        <w:rPr>
          <w:rStyle w:val="Hyperlink"/>
        </w:rPr>
        <w:t xml:space="preserve"> </w:t>
      </w:r>
      <w:r w:rsidRPr="005C434C">
        <w:t xml:space="preserve">(see </w:t>
      </w:r>
      <w:hyperlink w:anchor="Chapter10" w:history="1">
        <w:r w:rsidRPr="005C434C">
          <w:rPr>
            <w:rStyle w:val="Hyperlink"/>
          </w:rPr>
          <w:t>Chapter 10</w:t>
        </w:r>
      </w:hyperlink>
      <w:r w:rsidRPr="005C434C">
        <w:t>). U</w:t>
      </w:r>
      <w:r w:rsidRPr="00FD274F">
        <w:t>nless a specific term is required by the enabling legislation, it is also important:</w:t>
      </w:r>
      <w:bookmarkEnd w:id="61"/>
    </w:p>
    <w:p w14:paraId="66EC66B1" w14:textId="20BEE208" w:rsidR="008E40D0" w:rsidRPr="00FD274F" w:rsidRDefault="008E40D0" w:rsidP="008E40D0">
      <w:pPr>
        <w:pStyle w:val="BodyPara"/>
      </w:pPr>
      <w:bookmarkStart w:id="62" w:name="_Ref369624772"/>
      <w:r w:rsidRPr="00FD274F">
        <w:t>to clearly indicate that the relevant instrument is being repealed</w:t>
      </w:r>
      <w:r w:rsidR="009E58AA">
        <w:t>,</w:t>
      </w:r>
      <w:r w:rsidRPr="00FD274F">
        <w:t xml:space="preserve"> preferably by using the word “repeal”</w:t>
      </w:r>
      <w:r w:rsidR="00263B0F">
        <w:t>, “revoke” or “rescind”</w:t>
      </w:r>
      <w:r w:rsidRPr="00FD274F">
        <w:t xml:space="preserve"> for consistency with </w:t>
      </w:r>
      <w:r w:rsidRPr="00DF0E7B">
        <w:t xml:space="preserve">section 7 of the </w:t>
      </w:r>
      <w:hyperlink r:id="rId187" w:history="1">
        <w:hyperlink r:id="rId188" w:history="1">
          <w:r w:rsidRPr="00DF0E7B">
            <w:rPr>
              <w:rStyle w:val="Hyperlink"/>
              <w:i/>
            </w:rPr>
            <w:t>Acts Interpretation Act 1901</w:t>
          </w:r>
        </w:hyperlink>
      </w:hyperlink>
      <w:bookmarkEnd w:id="62"/>
      <w:r w:rsidRPr="00FD274F">
        <w:rPr>
          <w:rStyle w:val="Hyperlink"/>
          <w:i/>
        </w:rPr>
        <w:t xml:space="preserve"> </w:t>
      </w:r>
      <w:r w:rsidRPr="00FD274F">
        <w:t xml:space="preserve">and </w:t>
      </w:r>
      <w:r w:rsidR="006A174A">
        <w:t xml:space="preserve">the definition of </w:t>
      </w:r>
      <w:r w:rsidR="006A174A">
        <w:rPr>
          <w:b/>
          <w:i/>
        </w:rPr>
        <w:t>repeal</w:t>
      </w:r>
      <w:r w:rsidR="006A174A">
        <w:t xml:space="preserve"> in section 4 of </w:t>
      </w:r>
      <w:r w:rsidRPr="00FD274F">
        <w:t xml:space="preserve">the </w:t>
      </w:r>
      <w:hyperlink r:id="rId189" w:history="1">
        <w:r w:rsidRPr="0033228A">
          <w:rPr>
            <w:rStyle w:val="Hyperlink"/>
          </w:rPr>
          <w:t>LA</w:t>
        </w:r>
      </w:hyperlink>
      <w:r w:rsidRPr="0033228A">
        <w:t>; a</w:t>
      </w:r>
      <w:r w:rsidRPr="00FD274F">
        <w:t>nd</w:t>
      </w:r>
    </w:p>
    <w:p w14:paraId="162C7D6E" w14:textId="5A7821B7" w:rsidR="008E40D0" w:rsidRPr="00FD274F" w:rsidRDefault="008E40D0" w:rsidP="008E40D0">
      <w:pPr>
        <w:pStyle w:val="BodyPara"/>
      </w:pPr>
      <w:r w:rsidRPr="00FD274F">
        <w:t>to avoid a potentially ambiguous term such as cease, end, finish, replace, sunset, supersede</w:t>
      </w:r>
      <w:r>
        <w:t xml:space="preserve">, </w:t>
      </w:r>
      <w:r w:rsidRPr="00FD274F">
        <w:t>terminate</w:t>
      </w:r>
      <w:r>
        <w:t xml:space="preserve"> or expire as if repealed</w:t>
      </w:r>
      <w:r w:rsidRPr="00FD274F">
        <w:t>—these terms cease the effect of a law without removing it from the statute book.</w:t>
      </w:r>
    </w:p>
    <w:p w14:paraId="43D4925E" w14:textId="77777777" w:rsidR="008E40D0" w:rsidRPr="00FD274F" w:rsidRDefault="008E40D0" w:rsidP="008E40D0">
      <w:pPr>
        <w:pStyle w:val="Head4"/>
      </w:pPr>
      <w:bookmarkStart w:id="63" w:name="_Toc223687735"/>
      <w:r w:rsidRPr="00FD274F">
        <w:t>Certain instruments will be subject to automatic repeal</w:t>
      </w:r>
      <w:bookmarkEnd w:id="63"/>
    </w:p>
    <w:p w14:paraId="4CFFFCD6" w14:textId="421F0917" w:rsidR="008E40D0" w:rsidRDefault="008E40D0" w:rsidP="008E40D0">
      <w:pPr>
        <w:pStyle w:val="BodyNum"/>
      </w:pPr>
      <w:bookmarkStart w:id="64" w:name="_Ref384703176"/>
      <w:bookmarkStart w:id="65" w:name="_Ref384723656"/>
      <w:r w:rsidRPr="00FD274F">
        <w:t xml:space="preserve">If an instrument is solely commencing, amending or repealing, it will be repealed automatically in full under </w:t>
      </w:r>
      <w:r w:rsidRPr="004B337C">
        <w:t xml:space="preserve">section 48A or 48B of the </w:t>
      </w:r>
      <w:hyperlink r:id="rId190" w:history="1">
        <w:r w:rsidRPr="004B337C">
          <w:rPr>
            <w:rStyle w:val="Hyperlink"/>
          </w:rPr>
          <w:t>LA</w:t>
        </w:r>
      </w:hyperlink>
      <w:r w:rsidRPr="004B337C">
        <w:rPr>
          <w:rStyle w:val="Hyperlink"/>
        </w:rPr>
        <w:t xml:space="preserve"> </w:t>
      </w:r>
      <w:bookmarkEnd w:id="64"/>
      <w:bookmarkEnd w:id="65"/>
      <w:r w:rsidRPr="004B337C">
        <w:t>on</w:t>
      </w:r>
      <w:r w:rsidRPr="005E23E3">
        <w:t xml:space="preserve"> the day after</w:t>
      </w:r>
      <w:r>
        <w:t xml:space="preserve"> the latest of:</w:t>
      </w:r>
    </w:p>
    <w:p w14:paraId="13936BAC" w14:textId="3F21D901" w:rsidR="008E40D0" w:rsidRDefault="008E40D0" w:rsidP="008E40D0">
      <w:pPr>
        <w:pStyle w:val="BodyPara"/>
      </w:pPr>
      <w:r w:rsidRPr="00A837B6">
        <w:t xml:space="preserve">for a disallowable legislative instrument—the end of the </w:t>
      </w:r>
      <w:r>
        <w:t xml:space="preserve">disallowance period </w:t>
      </w:r>
      <w:r w:rsidRPr="00CD3326">
        <w:t>for that instrument, when the instrument has fully commenced, or when the capacity for any further provisions to commence has been e</w:t>
      </w:r>
      <w:r>
        <w:t>xhausted;</w:t>
      </w:r>
      <w:r w:rsidR="000738C6">
        <w:t xml:space="preserve"> or</w:t>
      </w:r>
    </w:p>
    <w:p w14:paraId="1996555E" w14:textId="77777777" w:rsidR="008E40D0" w:rsidRDefault="008E40D0" w:rsidP="008E40D0">
      <w:pPr>
        <w:pStyle w:val="BodyPara"/>
      </w:pPr>
      <w:r w:rsidRPr="00A837B6">
        <w:t xml:space="preserve">for a legislative instrument </w:t>
      </w:r>
      <w:r>
        <w:t>that is exempt from disallowance</w:t>
      </w:r>
      <w:r w:rsidRPr="00A837B6">
        <w:t xml:space="preserve"> or </w:t>
      </w:r>
      <w:r>
        <w:t xml:space="preserve">for </w:t>
      </w:r>
      <w:r w:rsidRPr="00A837B6">
        <w:t>a notifiable instrument—</w:t>
      </w:r>
      <w:r w:rsidRPr="00CD3326">
        <w:t>when the instrument has fully commenced, the capacity for any further provisions to commence has been exhausted, or the instrument is re</w:t>
      </w:r>
      <w:r>
        <w:t>gistered</w:t>
      </w:r>
      <w:r w:rsidRPr="00A837B6">
        <w:t>.</w:t>
      </w:r>
    </w:p>
    <w:p w14:paraId="3755AD3F" w14:textId="77777777" w:rsidR="008E40D0" w:rsidRPr="00FD274F" w:rsidRDefault="008E40D0" w:rsidP="008E40D0">
      <w:pPr>
        <w:pStyle w:val="BodyNum"/>
      </w:pPr>
      <w:r w:rsidRPr="00FD274F">
        <w:t>There is no need to provide for its repeal.</w:t>
      </w:r>
    </w:p>
    <w:p w14:paraId="6CE42945" w14:textId="65B8636E" w:rsidR="008E40D0" w:rsidRPr="00FD274F" w:rsidRDefault="008E40D0" w:rsidP="008E40D0">
      <w:pPr>
        <w:pStyle w:val="BodyNum"/>
      </w:pPr>
      <w:bookmarkStart w:id="66" w:name="_Ref384713268"/>
      <w:r w:rsidRPr="00FD274F">
        <w:t>Agencies do, however, need to assess whether an instrument meets th</w:t>
      </w:r>
      <w:r w:rsidRPr="004B337C">
        <w:t xml:space="preserve">e </w:t>
      </w:r>
      <w:hyperlink r:id="rId191" w:history="1">
        <w:r w:rsidRPr="004B337C">
          <w:rPr>
            <w:rStyle w:val="Hyperlink"/>
          </w:rPr>
          <w:t>LA</w:t>
        </w:r>
      </w:hyperlink>
      <w:r w:rsidRPr="00FD274F">
        <w:t xml:space="preserve"> criteria for automatic repeal and advise OPC of this (ideally at </w:t>
      </w:r>
      <w:r>
        <w:t xml:space="preserve">the </w:t>
      </w:r>
      <w:r w:rsidRPr="00FD274F">
        <w:t xml:space="preserve">time of lodgement). </w:t>
      </w:r>
      <w:r>
        <w:t>N</w:t>
      </w:r>
      <w:r w:rsidRPr="00FD274F">
        <w:t>ote that the following do not affect whether an instrument is solely commencing, amending or repealing:</w:t>
      </w:r>
      <w:bookmarkEnd w:id="66"/>
    </w:p>
    <w:p w14:paraId="08101EAD" w14:textId="77777777" w:rsidR="008E40D0" w:rsidRPr="00FD274F" w:rsidRDefault="008E40D0" w:rsidP="008E40D0">
      <w:pPr>
        <w:pStyle w:val="BodyPara"/>
      </w:pPr>
      <w:r w:rsidRPr="00FD274F">
        <w:t>a preamble or recital (however described);</w:t>
      </w:r>
    </w:p>
    <w:p w14:paraId="6D7587D2" w14:textId="77777777" w:rsidR="008E40D0" w:rsidRPr="00FD274F" w:rsidRDefault="008E40D0" w:rsidP="008E40D0">
      <w:pPr>
        <w:pStyle w:val="BodyPara"/>
      </w:pPr>
      <w:r w:rsidRPr="00FD274F">
        <w:t>a naming provision;</w:t>
      </w:r>
    </w:p>
    <w:p w14:paraId="50E86D3D" w14:textId="77777777" w:rsidR="008E40D0" w:rsidRPr="00FD274F" w:rsidRDefault="008E40D0" w:rsidP="008E40D0">
      <w:pPr>
        <w:pStyle w:val="BodyPara"/>
      </w:pPr>
      <w:r w:rsidRPr="00FD274F">
        <w:t>a commencement provision;</w:t>
      </w:r>
    </w:p>
    <w:p w14:paraId="7FB39100" w14:textId="77777777" w:rsidR="008E40D0" w:rsidRPr="00FD274F" w:rsidRDefault="008E40D0" w:rsidP="008E40D0">
      <w:pPr>
        <w:pStyle w:val="BodyPara"/>
      </w:pPr>
      <w:r w:rsidRPr="00FD274F">
        <w:t>an authority provision;</w:t>
      </w:r>
    </w:p>
    <w:p w14:paraId="26CEB705" w14:textId="77777777" w:rsidR="008E40D0" w:rsidRPr="00FD274F" w:rsidRDefault="008E40D0" w:rsidP="008E40D0">
      <w:pPr>
        <w:pStyle w:val="BodyPara"/>
      </w:pPr>
      <w:r w:rsidRPr="00FD274F">
        <w:t>an objects provision, simplified outline or similar provision that sets out the purposes of, or explains, the instrument or any of its provisions;</w:t>
      </w:r>
    </w:p>
    <w:p w14:paraId="635004C5" w14:textId="77777777" w:rsidR="008E40D0" w:rsidRPr="00FD274F" w:rsidRDefault="008E40D0" w:rsidP="008E40D0">
      <w:pPr>
        <w:pStyle w:val="BodyPara"/>
      </w:pPr>
      <w:r w:rsidRPr="00FD274F">
        <w:t>any provision that is being inserted into another instrument by amendment.</w:t>
      </w:r>
    </w:p>
    <w:p w14:paraId="0FD3DE20" w14:textId="77777777" w:rsidR="008E40D0" w:rsidRPr="00FD274F" w:rsidRDefault="008E40D0" w:rsidP="008E40D0">
      <w:pPr>
        <w:pStyle w:val="BodyNum"/>
      </w:pPr>
      <w:bookmarkStart w:id="67" w:name="_Ref384650277"/>
      <w:r w:rsidRPr="00FD274F">
        <w:t>An instrument can</w:t>
      </w:r>
      <w:r>
        <w:t xml:space="preserve">not </w:t>
      </w:r>
      <w:r w:rsidRPr="00FD274F">
        <w:t xml:space="preserve">be considered solely commencing, amending or repealing if it contains any of the following provisions, </w:t>
      </w:r>
      <w:r>
        <w:t xml:space="preserve">unless </w:t>
      </w:r>
      <w:r w:rsidRPr="00FD274F">
        <w:t>the provision is inserted into another instrument by amendment:</w:t>
      </w:r>
      <w:bookmarkEnd w:id="67"/>
    </w:p>
    <w:p w14:paraId="4DFD1BF5" w14:textId="77777777" w:rsidR="008E40D0" w:rsidRPr="00FD274F" w:rsidRDefault="008E40D0" w:rsidP="008E40D0">
      <w:pPr>
        <w:pStyle w:val="BodyPara"/>
      </w:pPr>
      <w:r w:rsidRPr="00FD274F">
        <w:lastRenderedPageBreak/>
        <w:t xml:space="preserve">a saving provision such as “Parts X and Y of the </w:t>
      </w:r>
      <w:r w:rsidRPr="00FD274F">
        <w:rPr>
          <w:i/>
        </w:rPr>
        <w:t>Cat and Dog Regulation 2016</w:t>
      </w:r>
      <w:r w:rsidRPr="00FD274F">
        <w:t xml:space="preserve"> continue to apply in relation to …”;</w:t>
      </w:r>
    </w:p>
    <w:p w14:paraId="022677E6" w14:textId="77777777" w:rsidR="008E40D0" w:rsidRPr="00FD274F" w:rsidRDefault="008E40D0" w:rsidP="008E40D0">
      <w:pPr>
        <w:pStyle w:val="BodyPara"/>
      </w:pPr>
      <w:r w:rsidRPr="00FD274F">
        <w:t>a transitional provision such as “If a person has lodged a claim before the commencement of the instrument … the claim is taken to have been ...”;</w:t>
      </w:r>
    </w:p>
    <w:p w14:paraId="18D269A1" w14:textId="77777777" w:rsidR="008E40D0" w:rsidRPr="00FD274F" w:rsidRDefault="008E40D0" w:rsidP="008E40D0">
      <w:pPr>
        <w:pStyle w:val="BodyPara"/>
      </w:pPr>
      <w:r w:rsidRPr="00FD274F">
        <w:t>an application provision such as “The amendments made by Schedule X apply / do not apply / only apply …”;</w:t>
      </w:r>
    </w:p>
    <w:p w14:paraId="5B2B0C5F" w14:textId="77777777" w:rsidR="008E40D0" w:rsidRPr="00FD274F" w:rsidRDefault="008E40D0" w:rsidP="008E40D0">
      <w:pPr>
        <w:pStyle w:val="BodyPara"/>
      </w:pPr>
      <w:r w:rsidRPr="00FD274F">
        <w:t>a modification</w:t>
      </w:r>
      <w:r w:rsidRPr="00FD274F">
        <w:rPr>
          <w:spacing w:val="-2"/>
        </w:rPr>
        <w:t xml:space="preserve"> provision such as “The formula in section 99 is modified by …” </w:t>
      </w:r>
      <w:r w:rsidRPr="00FD274F">
        <w:t>(this may need to be read in the context of an application provision);</w:t>
      </w:r>
    </w:p>
    <w:p w14:paraId="1D8682EA" w14:textId="77777777" w:rsidR="008E40D0" w:rsidRPr="00FD274F" w:rsidRDefault="008E40D0" w:rsidP="008E40D0">
      <w:pPr>
        <w:pStyle w:val="BodyPara"/>
      </w:pPr>
      <w:r w:rsidRPr="00FD274F">
        <w:t>any other substantive provision such as a requirement to notify or gazette certain information.</w:t>
      </w:r>
    </w:p>
    <w:p w14:paraId="4C58FBC9" w14:textId="77777777" w:rsidR="008E40D0" w:rsidRPr="00FD274F" w:rsidRDefault="008E40D0" w:rsidP="008E40D0">
      <w:pPr>
        <w:pStyle w:val="Head4"/>
      </w:pPr>
      <w:bookmarkStart w:id="68" w:name="_Toc223687736"/>
      <w:bookmarkStart w:id="69" w:name="_Ref384376105"/>
      <w:r w:rsidRPr="00FD274F">
        <w:t>Use of self</w:t>
      </w:r>
      <w:r>
        <w:noBreakHyphen/>
      </w:r>
      <w:r w:rsidRPr="00FD274F">
        <w:t>repealing provisions</w:t>
      </w:r>
      <w:bookmarkEnd w:id="68"/>
    </w:p>
    <w:p w14:paraId="0CC03161" w14:textId="77777777" w:rsidR="008E40D0" w:rsidRPr="00FD274F" w:rsidRDefault="008E40D0" w:rsidP="008E40D0">
      <w:pPr>
        <w:pStyle w:val="BodyNum"/>
      </w:pPr>
      <w:bookmarkStart w:id="70" w:name="_Ref384706703"/>
      <w:r w:rsidRPr="00FD274F">
        <w:t>Unless an instrument is subject to automatic repeal, it will remain in force until it is repealed by some other means. If an instrument is only likely to be needed for a particular event or a limited period such as a financial or calendar year, a self</w:t>
      </w:r>
      <w:r>
        <w:noBreakHyphen/>
      </w:r>
      <w:r w:rsidRPr="00FD274F">
        <w:t>repealing provision may be considered. In drafting such a provision, OPC’s current practice is</w:t>
      </w:r>
      <w:r>
        <w:t xml:space="preserve"> generally</w:t>
      </w:r>
      <w:r w:rsidRPr="00FD274F">
        <w:t>:</w:t>
      </w:r>
      <w:bookmarkEnd w:id="69"/>
      <w:bookmarkEnd w:id="70"/>
    </w:p>
    <w:p w14:paraId="4433042B" w14:textId="77777777" w:rsidR="008E40D0" w:rsidRPr="00FD274F" w:rsidRDefault="008E40D0" w:rsidP="008E40D0">
      <w:pPr>
        <w:pStyle w:val="BodyPara"/>
      </w:pPr>
      <w:r w:rsidRPr="00FD274F">
        <w:t>to include a separate self</w:t>
      </w:r>
      <w:r>
        <w:noBreakHyphen/>
      </w:r>
      <w:r w:rsidRPr="00FD274F">
        <w:t>repealing provision under a heading such as “Repeal”; and</w:t>
      </w:r>
    </w:p>
    <w:p w14:paraId="7433CCB8" w14:textId="77777777" w:rsidR="008E40D0" w:rsidRPr="00FD274F" w:rsidRDefault="008E40D0" w:rsidP="008E40D0">
      <w:pPr>
        <w:pStyle w:val="BodyPara"/>
      </w:pPr>
      <w:r w:rsidRPr="00FD274F">
        <w:t>to provide that the instrument is repealed; and</w:t>
      </w:r>
    </w:p>
    <w:p w14:paraId="0241ACA7" w14:textId="77777777" w:rsidR="008E40D0" w:rsidRPr="00F53136" w:rsidRDefault="008E40D0" w:rsidP="008E40D0">
      <w:pPr>
        <w:pStyle w:val="BodyPara"/>
      </w:pPr>
      <w:r w:rsidRPr="00F53136">
        <w:t xml:space="preserve">to specify that the instrument is repealed </w:t>
      </w:r>
      <w:r>
        <w:t>at the start of</w:t>
      </w:r>
      <w:r w:rsidRPr="00F53136">
        <w:t xml:space="preserve"> a specified day, with the day chosen taking into account not only any sunset date that may apply, but also the need for the instrument:</w:t>
      </w:r>
    </w:p>
    <w:p w14:paraId="2C89353F" w14:textId="77777777" w:rsidR="008E40D0" w:rsidRPr="00FD274F" w:rsidRDefault="008E40D0" w:rsidP="008E40D0">
      <w:pPr>
        <w:pStyle w:val="BodySubPara"/>
      </w:pPr>
      <w:r w:rsidRPr="00FD274F">
        <w:t>to be registered and to commence in full before it is repealed; and</w:t>
      </w:r>
    </w:p>
    <w:p w14:paraId="26CC7CAB" w14:textId="77777777" w:rsidR="008E40D0" w:rsidRPr="00FD274F" w:rsidRDefault="008E40D0" w:rsidP="008E40D0">
      <w:pPr>
        <w:pStyle w:val="BodySubPara"/>
      </w:pPr>
      <w:r w:rsidRPr="00FD274F">
        <w:t>to remain in force until the event or period to which it relates has passed.</w:t>
      </w:r>
    </w:p>
    <w:p w14:paraId="0DD7813E" w14:textId="77777777" w:rsidR="008E40D0" w:rsidRPr="00FD274F" w:rsidRDefault="008E40D0" w:rsidP="008E40D0">
      <w:pPr>
        <w:pStyle w:val="Head3"/>
      </w:pPr>
      <w:bookmarkStart w:id="71" w:name="_Toc223687737"/>
      <w:bookmarkStart w:id="72" w:name="_Ref367446182"/>
      <w:bookmarkEnd w:id="58"/>
      <w:r w:rsidRPr="00FD274F">
        <w:t>Default rules on incorporating documents by reference</w:t>
      </w:r>
      <w:bookmarkEnd w:id="71"/>
    </w:p>
    <w:p w14:paraId="1F85E830" w14:textId="19B5C8BB" w:rsidR="008E40D0" w:rsidRPr="00FD274F" w:rsidRDefault="008E40D0" w:rsidP="008E40D0">
      <w:pPr>
        <w:pStyle w:val="BodyNum"/>
      </w:pPr>
      <w:bookmarkStart w:id="73" w:name="_Ref428882029"/>
      <w:r w:rsidRPr="00FD274F">
        <w:t>In exercising the power to make a legislative instrument in relation to a matter, a rule</w:t>
      </w:r>
      <w:r>
        <w:noBreakHyphen/>
      </w:r>
      <w:r w:rsidRPr="00FD274F">
        <w:t>maker may prescribe matters by reference to another document, such as model legislation enacted by another jurisdiction. In doing so, the rule</w:t>
      </w:r>
      <w:r>
        <w:noBreakHyphen/>
      </w:r>
      <w:r w:rsidRPr="00FD274F">
        <w:t xml:space="preserve">maker must comply with the default provisions of </w:t>
      </w:r>
      <w:r w:rsidRPr="004B337C">
        <w:t xml:space="preserve">the </w:t>
      </w:r>
      <w:hyperlink r:id="rId192" w:history="1">
        <w:r w:rsidRPr="004B337C">
          <w:rPr>
            <w:rStyle w:val="Hyperlink"/>
          </w:rPr>
          <w:t>LA</w:t>
        </w:r>
      </w:hyperlink>
      <w:r w:rsidRPr="004B337C">
        <w:rPr>
          <w:rStyle w:val="Hyperlink"/>
        </w:rPr>
        <w:t xml:space="preserve"> </w:t>
      </w:r>
      <w:r w:rsidRPr="004B337C">
        <w:t>(particularly section 14), a</w:t>
      </w:r>
      <w:r w:rsidRPr="00FD274F">
        <w:t>nd any special provisions of the instrument’s enabling legislation.</w:t>
      </w:r>
      <w:bookmarkEnd w:id="72"/>
      <w:bookmarkEnd w:id="73"/>
    </w:p>
    <w:p w14:paraId="6F2949E8" w14:textId="2DFD273D" w:rsidR="008E40D0" w:rsidRPr="00A2685F" w:rsidRDefault="008E40D0" w:rsidP="008E40D0">
      <w:pPr>
        <w:pStyle w:val="BodyNum"/>
      </w:pPr>
      <w:bookmarkStart w:id="74" w:name="_Ref428882045"/>
      <w:r w:rsidRPr="00A2685F">
        <w:t>Unde</w:t>
      </w:r>
      <w:r w:rsidRPr="004B337C">
        <w:t xml:space="preserve">r section 14 of the </w:t>
      </w:r>
      <w:hyperlink r:id="rId193" w:history="1">
        <w:r w:rsidRPr="004B337C">
          <w:rPr>
            <w:rStyle w:val="Hyperlink"/>
          </w:rPr>
          <w:t>LA</w:t>
        </w:r>
      </w:hyperlink>
      <w:r w:rsidRPr="004B337C">
        <w:t>, if a</w:t>
      </w:r>
      <w:r w:rsidRPr="00A2685F">
        <w:t>uthorised</w:t>
      </w:r>
      <w:r>
        <w:t xml:space="preserve"> or required</w:t>
      </w:r>
      <w:r w:rsidRPr="00A2685F">
        <w:t xml:space="preserve"> by the enabling legislation</w:t>
      </w:r>
      <w:r>
        <w:t>,</w:t>
      </w:r>
      <w:r w:rsidRPr="00A2685F">
        <w:t xml:space="preserve"> a legislative instrument or notifiable instrument may make provision in relation to any matter by applying, adopting or incorporating</w:t>
      </w:r>
      <w:bookmarkEnd w:id="74"/>
      <w:r>
        <w:t xml:space="preserve"> </w:t>
      </w:r>
      <w:r w:rsidRPr="00A2685F">
        <w:t>some or all of another document, with or without modification. A document may be:</w:t>
      </w:r>
    </w:p>
    <w:p w14:paraId="1E054CA2" w14:textId="77777777" w:rsidR="008E40D0" w:rsidRPr="00A2685F" w:rsidRDefault="008E40D0" w:rsidP="008E40D0">
      <w:pPr>
        <w:pStyle w:val="BodyPara"/>
      </w:pPr>
      <w:r w:rsidRPr="00A2685F">
        <w:lastRenderedPageBreak/>
        <w:t>the provisions of an Act, disallowable legislative instrument or rule of court as in force at a particular time or as in force from time to time</w:t>
      </w:r>
      <w:r>
        <w:t>; or</w:t>
      </w:r>
    </w:p>
    <w:p w14:paraId="4C59A65D" w14:textId="77777777" w:rsidR="008E40D0" w:rsidRPr="00A2685F" w:rsidRDefault="008E40D0" w:rsidP="008E40D0">
      <w:pPr>
        <w:pStyle w:val="BodyPara"/>
      </w:pPr>
      <w:r w:rsidRPr="00A2685F">
        <w:t>any other instrument or writing as in force or existing at the time the instrument commences or a time before the instrument commences (and not from time to time, unless the contrary intention appears).</w:t>
      </w:r>
    </w:p>
    <w:p w14:paraId="26500A83" w14:textId="77777777" w:rsidR="008E40D0" w:rsidRPr="00A2685F" w:rsidRDefault="008E40D0" w:rsidP="008E40D0">
      <w:pPr>
        <w:pStyle w:val="BodyNum"/>
      </w:pPr>
      <w:r w:rsidRPr="00A2685F">
        <w:t>To ensure that an incorporation by reference is effective, does not have unintended consequences, and is clear on the face of the instrument, it is essential to clearly identify the document that is incorporated.</w:t>
      </w:r>
    </w:p>
    <w:p w14:paraId="67B01D6D" w14:textId="4C5EA3EF" w:rsidR="008E40D0" w:rsidRPr="00FD274F" w:rsidRDefault="008E40D0" w:rsidP="008E40D0">
      <w:pPr>
        <w:pStyle w:val="BodyNum"/>
      </w:pPr>
      <w:r w:rsidRPr="00FD274F">
        <w:t xml:space="preserve">As it is usually necessary to refer to the document to understand or apply the law made by the instrument, </w:t>
      </w:r>
      <w:r w:rsidRPr="004B337C">
        <w:t xml:space="preserve">the </w:t>
      </w:r>
      <w:hyperlink r:id="rId194" w:history="1">
        <w:r w:rsidRPr="004B337C">
          <w:rPr>
            <w:rStyle w:val="Hyperlink"/>
          </w:rPr>
          <w:t>LA</w:t>
        </w:r>
      </w:hyperlink>
      <w:r w:rsidRPr="004B337C">
        <w:rPr>
          <w:rStyle w:val="Hyperlink"/>
        </w:rPr>
        <w:t xml:space="preserve"> </w:t>
      </w:r>
      <w:r w:rsidRPr="004B337C">
        <w:t>re</w:t>
      </w:r>
      <w:r w:rsidRPr="00FD274F">
        <w:t>quires the rule</w:t>
      </w:r>
      <w:r>
        <w:noBreakHyphen/>
      </w:r>
      <w:r w:rsidRPr="00FD274F">
        <w:t>maker:</w:t>
      </w:r>
    </w:p>
    <w:p w14:paraId="6A65D6A1" w14:textId="2FD970C0" w:rsidR="008E40D0" w:rsidRPr="00FD274F" w:rsidRDefault="008E40D0" w:rsidP="008E40D0">
      <w:pPr>
        <w:pStyle w:val="BodyPara"/>
      </w:pPr>
      <w:r w:rsidRPr="00FD274F">
        <w:t>to describe the document, and indicate how it may be obtained, in the explanatory statemen</w:t>
      </w:r>
      <w:r w:rsidRPr="004B337C">
        <w:t xml:space="preserve">t (see </w:t>
      </w:r>
      <w:hyperlink r:id="rId195" w:history="1">
        <w:r w:rsidRPr="004B337C">
          <w:rPr>
            <w:rStyle w:val="Hyperlink"/>
          </w:rPr>
          <w:t>LA</w:t>
        </w:r>
      </w:hyperlink>
      <w:r w:rsidRPr="004B337C">
        <w:rPr>
          <w:rStyle w:val="Hyperlink"/>
        </w:rPr>
        <w:t xml:space="preserve"> </w:t>
      </w:r>
      <w:r w:rsidRPr="004B337C">
        <w:t>s 15J(2)(c</w:t>
      </w:r>
      <w:r w:rsidRPr="00FD274F">
        <w:t xml:space="preserve">) and </w:t>
      </w:r>
      <w:hyperlink w:anchor="Chapter8" w:history="1">
        <w:r w:rsidRPr="002763E0">
          <w:rPr>
            <w:rStyle w:val="Hyperlink"/>
          </w:rPr>
          <w:t>Chapter 8</w:t>
        </w:r>
      </w:hyperlink>
      <w:r w:rsidRPr="002763E0">
        <w:t>);</w:t>
      </w:r>
      <w:r w:rsidRPr="00FD274F">
        <w:t xml:space="preserve"> and</w:t>
      </w:r>
    </w:p>
    <w:p w14:paraId="5FE7DE3D" w14:textId="2B03CB49" w:rsidR="008E40D0" w:rsidRPr="00FD274F" w:rsidRDefault="008E40D0" w:rsidP="008E40D0">
      <w:pPr>
        <w:pStyle w:val="BodyPara"/>
      </w:pPr>
      <w:r w:rsidRPr="00FD274F">
        <w:t>to make the document available for inspection, if and as required by either House of the Parliament, while the instrument is open to disallowance (se</w:t>
      </w:r>
      <w:r w:rsidRPr="004B337C">
        <w:t xml:space="preserve">e </w:t>
      </w:r>
      <w:hyperlink r:id="rId196" w:history="1">
        <w:r w:rsidRPr="004B337C">
          <w:rPr>
            <w:rStyle w:val="Hyperlink"/>
          </w:rPr>
          <w:t>LA</w:t>
        </w:r>
      </w:hyperlink>
      <w:r w:rsidRPr="004B337C">
        <w:rPr>
          <w:rStyle w:val="Hyperlink"/>
        </w:rPr>
        <w:t xml:space="preserve"> </w:t>
      </w:r>
      <w:r w:rsidRPr="004B337C">
        <w:t>s 41 a</w:t>
      </w:r>
      <w:r w:rsidRPr="00FD274F">
        <w:t xml:space="preserve">nd </w:t>
      </w:r>
      <w:hyperlink w:anchor="Chapter9" w:history="1">
        <w:r w:rsidRPr="002763E0">
          <w:rPr>
            <w:rStyle w:val="Hyperlink"/>
          </w:rPr>
          <w:t>Chapter 9</w:t>
        </w:r>
      </w:hyperlink>
      <w:r w:rsidRPr="002763E0">
        <w:t>).</w:t>
      </w:r>
    </w:p>
    <w:p w14:paraId="5D45BEBF" w14:textId="4668EC80" w:rsidR="008E40D0" w:rsidRDefault="008E40D0" w:rsidP="008E40D0">
      <w:pPr>
        <w:pStyle w:val="BodyNum"/>
        <w:keepLines/>
      </w:pPr>
      <w:bookmarkStart w:id="75" w:name="_Ref435530063"/>
      <w:r w:rsidRPr="00FD274F">
        <w:t>Although agencies are not required to make documents incorporated by reference available elsewhere, the practice of incorporating documents that are not readily available “may increase the cost of compliance for the community and the risk of non</w:t>
      </w:r>
      <w:r>
        <w:noBreakHyphen/>
      </w:r>
      <w:r w:rsidRPr="00FD274F">
        <w:t>compliance”</w:t>
      </w:r>
      <w:r w:rsidRPr="00FD274F">
        <w:rPr>
          <w:rStyle w:val="FootnoteReference"/>
        </w:rPr>
        <w:footnoteReference w:id="12"/>
      </w:r>
      <w:r w:rsidRPr="00FD274F">
        <w:t>. If it is necessary to incorporate such material, it may be possible to reduce the costs and risks e.g. by purchasing print copies for distribution to major regional libraries through the Commonwealth Library Deposit and Free Issue Scheme</w:t>
      </w:r>
      <w:r w:rsidRPr="004B337C">
        <w:t>s</w:t>
      </w:r>
      <w:r w:rsidRPr="004B337C">
        <w:rPr>
          <w:rStyle w:val="FootnoteReference"/>
        </w:rPr>
        <w:footnoteReference w:id="13"/>
      </w:r>
      <w:r w:rsidRPr="004B337C">
        <w:t>.</w:t>
      </w:r>
      <w:bookmarkEnd w:id="75"/>
    </w:p>
    <w:p w14:paraId="4245B4C1" w14:textId="3E62B87A" w:rsidR="000707EC" w:rsidRPr="00FD274F" w:rsidRDefault="000707EC" w:rsidP="008E40D0">
      <w:pPr>
        <w:pStyle w:val="BodyNum"/>
        <w:keepLines/>
      </w:pPr>
      <w:bookmarkStart w:id="76" w:name="_Ref184283646"/>
      <w:r>
        <w:t xml:space="preserve">Alternatively, </w:t>
      </w:r>
      <w:r w:rsidR="00553C04">
        <w:t xml:space="preserve">attaching </w:t>
      </w:r>
      <w:r w:rsidR="00AE636D">
        <w:t xml:space="preserve">copies of the documents incorporated by reference or </w:t>
      </w:r>
      <w:r w:rsidR="00553C04">
        <w:t>providing direct links to those documents as supporting material on the Register greatly improves accessibility.</w:t>
      </w:r>
      <w:bookmarkEnd w:id="76"/>
    </w:p>
    <w:p w14:paraId="57B39780" w14:textId="77777777" w:rsidR="008E40D0" w:rsidRDefault="008E40D0" w:rsidP="008E40D0">
      <w:pPr>
        <w:pStyle w:val="Head3"/>
      </w:pPr>
      <w:bookmarkStart w:id="77" w:name="_Toc526347512"/>
      <w:bookmarkStart w:id="78" w:name="_Toc223687738"/>
      <w:r w:rsidRPr="00FD274F">
        <w:t>Scope to delegate power</w:t>
      </w:r>
      <w:bookmarkEnd w:id="77"/>
      <w:bookmarkEnd w:id="78"/>
    </w:p>
    <w:p w14:paraId="1FC7FBD8" w14:textId="77777777" w:rsidR="008E40D0" w:rsidRPr="001F1262" w:rsidRDefault="008E40D0" w:rsidP="008E40D0">
      <w:pPr>
        <w:pStyle w:val="Head4"/>
      </w:pPr>
      <w:bookmarkStart w:id="79" w:name="_Toc223687739"/>
      <w:r>
        <w:t>Delegating a power to make a legislative instrument</w:t>
      </w:r>
      <w:bookmarkEnd w:id="79"/>
    </w:p>
    <w:p w14:paraId="561547FD" w14:textId="77777777" w:rsidR="008E40D0" w:rsidRPr="00FD274F" w:rsidRDefault="008E40D0" w:rsidP="008E40D0">
      <w:pPr>
        <w:pStyle w:val="BodyNum"/>
      </w:pPr>
      <w:bookmarkStart w:id="80" w:name="_Ref369883259"/>
      <w:r w:rsidRPr="00FD274F">
        <w:t>A rule</w:t>
      </w:r>
      <w:r w:rsidRPr="00FD274F">
        <w:noBreakHyphen/>
        <w:t>maker may, in some circumstances, be able to delegate to a third party the power to make instruments or exercise other powers. It is important to note, however, that delegation is usually only possible if an Act makes explicit provision for it to occur. Examples of provisions that do this include the following:</w:t>
      </w:r>
      <w:bookmarkEnd w:id="80"/>
    </w:p>
    <w:p w14:paraId="0977896F" w14:textId="77777777" w:rsidR="008E40D0" w:rsidRPr="00FD274F" w:rsidRDefault="008E40D0" w:rsidP="008E40D0">
      <w:pPr>
        <w:pStyle w:val="BodyParaBullet"/>
        <w:numPr>
          <w:ilvl w:val="0"/>
          <w:numId w:val="0"/>
        </w:numPr>
        <w:ind w:left="720"/>
      </w:pPr>
      <w:r w:rsidRPr="00FD274F">
        <w:t>“The Minister may, in writing, delegate his or her powers under this Act to an SES employee or an APS employee performing duties in the Department.”</w:t>
      </w:r>
    </w:p>
    <w:p w14:paraId="49E0169B" w14:textId="77777777" w:rsidR="008E40D0" w:rsidRPr="00FD274F" w:rsidRDefault="008E40D0" w:rsidP="008E40D0">
      <w:pPr>
        <w:pStyle w:val="BodyParaBullet"/>
        <w:numPr>
          <w:ilvl w:val="0"/>
          <w:numId w:val="0"/>
        </w:numPr>
        <w:ind w:left="720"/>
        <w:rPr>
          <w:spacing w:val="-2"/>
        </w:rPr>
      </w:pPr>
      <w:r w:rsidRPr="00FD274F">
        <w:rPr>
          <w:spacing w:val="-2"/>
        </w:rPr>
        <w:t>“The First Parliamentary Counsel may, by signed instrument, delegate to … an SES employee in the Office of Parliamentary Counsel or in the Department any of the powers or functions of the First Parliamentary Counsel under this Act.”</w:t>
      </w:r>
    </w:p>
    <w:p w14:paraId="34D00363" w14:textId="00EE7A11" w:rsidR="008E40D0" w:rsidRPr="00FD274F" w:rsidRDefault="008E40D0" w:rsidP="008E40D0">
      <w:pPr>
        <w:pStyle w:val="BodyNum"/>
      </w:pPr>
      <w:r w:rsidRPr="00FD274F">
        <w:rPr>
          <w:color w:val="000000"/>
        </w:rPr>
        <w:lastRenderedPageBreak/>
        <w:t xml:space="preserve">It is also important to note that delegating a power does not </w:t>
      </w:r>
      <w:r w:rsidRPr="00FD274F">
        <w:t>expand the statutory limits of that power, affect any obligations that may apply under Acts of general application</w:t>
      </w:r>
      <w:r w:rsidR="00251CCC">
        <w:t>,</w:t>
      </w:r>
      <w:r w:rsidRPr="00FD274F">
        <w:t xml:space="preserve"> including </w:t>
      </w:r>
      <w:r w:rsidRPr="004B337C">
        <w:t xml:space="preserve">the </w:t>
      </w:r>
      <w:hyperlink r:id="rId197" w:history="1">
        <w:r w:rsidRPr="004B337C">
          <w:rPr>
            <w:rStyle w:val="Hyperlink"/>
          </w:rPr>
          <w:t>LA</w:t>
        </w:r>
      </w:hyperlink>
      <w:r w:rsidRPr="00FD274F">
        <w:t>, or mean that the delegate can sub</w:t>
      </w:r>
      <w:r w:rsidRPr="00FD274F">
        <w:noBreakHyphen/>
        <w:t>delegate the power further (</w:t>
      </w:r>
      <w:r w:rsidRPr="00390F6E">
        <w:t xml:space="preserve">see </w:t>
      </w:r>
      <w:hyperlink r:id="rId198" w:history="1">
        <w:hyperlink r:id="rId199" w:history="1">
          <w:r w:rsidRPr="00390F6E">
            <w:rPr>
              <w:rStyle w:val="Hyperlink"/>
              <w:i/>
            </w:rPr>
            <w:t>Acts Interpretation Act 1901</w:t>
          </w:r>
        </w:hyperlink>
      </w:hyperlink>
      <w:r w:rsidRPr="00390F6E">
        <w:t xml:space="preserve"> s 34AB(1)(b)). In ad</w:t>
      </w:r>
      <w:r w:rsidRPr="00FD274F">
        <w:t>dition, the delegator:</w:t>
      </w:r>
    </w:p>
    <w:p w14:paraId="2B1EC6F5" w14:textId="77777777" w:rsidR="008E40D0" w:rsidRPr="00FD274F" w:rsidRDefault="008E40D0" w:rsidP="008E40D0">
      <w:pPr>
        <w:pStyle w:val="BodyPara"/>
      </w:pPr>
      <w:r w:rsidRPr="00FD274F">
        <w:t>will need to make a formal instrument of delegation specifying who can exercise the power being delegated; and</w:t>
      </w:r>
    </w:p>
    <w:p w14:paraId="56C35E40" w14:textId="77777777" w:rsidR="008E40D0" w:rsidRPr="00FD274F" w:rsidRDefault="008E40D0" w:rsidP="008E40D0">
      <w:pPr>
        <w:pStyle w:val="BodyPara"/>
      </w:pPr>
      <w:r w:rsidRPr="00FD274F">
        <w:t>may identify delegates by job title, by management level, by position number or by name (noting that doing so by name may necessitate regular updates); and</w:t>
      </w:r>
    </w:p>
    <w:p w14:paraId="20038E66" w14:textId="03F4E9DF" w:rsidR="008E40D0" w:rsidRPr="00FD274F" w:rsidRDefault="008E40D0" w:rsidP="008E40D0">
      <w:pPr>
        <w:pStyle w:val="BodyPara"/>
      </w:pPr>
      <w:r w:rsidRPr="00FD274F">
        <w:t>may wish to issue directions to delegates that apply in addition to the general obligations imposed by legislation</w:t>
      </w:r>
      <w:r w:rsidR="00BE1629">
        <w:t>,</w:t>
      </w:r>
      <w:r w:rsidRPr="00FD274F">
        <w:t xml:space="preserve"> including t</w:t>
      </w:r>
      <w:r w:rsidRPr="004B337C">
        <w:t xml:space="preserve">he </w:t>
      </w:r>
      <w:hyperlink r:id="rId200" w:history="1">
        <w:r w:rsidRPr="004B337C">
          <w:rPr>
            <w:rStyle w:val="Hyperlink"/>
          </w:rPr>
          <w:t>LA</w:t>
        </w:r>
      </w:hyperlink>
      <w:r w:rsidRPr="004B337C">
        <w:t>; an</w:t>
      </w:r>
      <w:r w:rsidRPr="00FD274F">
        <w:t>d</w:t>
      </w:r>
    </w:p>
    <w:p w14:paraId="437AAE07" w14:textId="5B189303" w:rsidR="008E40D0" w:rsidRPr="00FD274F" w:rsidRDefault="008E40D0" w:rsidP="008E40D0">
      <w:pPr>
        <w:pStyle w:val="BodyPara"/>
      </w:pPr>
      <w:r w:rsidRPr="00FD274F">
        <w:t>should review the instrument of delegation and any directions to delegates on a regular basis, to ensure that they remain appropriate and up</w:t>
      </w:r>
      <w:r w:rsidR="001928FA">
        <w:t xml:space="preserve"> </w:t>
      </w:r>
      <w:r w:rsidRPr="00FD274F">
        <w:t>to</w:t>
      </w:r>
      <w:r w:rsidR="001928FA">
        <w:t xml:space="preserve"> </w:t>
      </w:r>
      <w:r w:rsidRPr="00FD274F">
        <w:t>date.</w:t>
      </w:r>
    </w:p>
    <w:p w14:paraId="54732D9D" w14:textId="1239017C" w:rsidR="008E40D0" w:rsidRPr="00FD274F" w:rsidRDefault="008E40D0" w:rsidP="008E40D0">
      <w:pPr>
        <w:pStyle w:val="BodyNum"/>
        <w:keepNext/>
        <w:keepLines/>
      </w:pPr>
      <w:r w:rsidRPr="00FD274F">
        <w:t>Instruments of delegation and any instructions issued to delegates are not normally required to be registered (</w:t>
      </w:r>
      <w:hyperlink r:id="rId201" w:history="1">
        <w:hyperlink r:id="rId202" w:history="1">
          <w:hyperlink r:id="rId203" w:history="1">
            <w:r w:rsidRPr="00CB5883">
              <w:rPr>
                <w:rStyle w:val="Hyperlink"/>
              </w:rPr>
              <w:t>LEOMR</w:t>
            </w:r>
          </w:hyperlink>
        </w:hyperlink>
      </w:hyperlink>
      <w:r w:rsidRPr="00CB5883">
        <w:t xml:space="preserve"> s 6(1) item 1) bu</w:t>
      </w:r>
      <w:r w:rsidRPr="00FD274F">
        <w:t>t are crucial to the legitimacy of any action taken in reliance on them. Consequently:</w:t>
      </w:r>
    </w:p>
    <w:p w14:paraId="61A9CF87" w14:textId="67514FEF" w:rsidR="008E40D0" w:rsidRPr="00FD274F" w:rsidRDefault="008E40D0" w:rsidP="008E40D0">
      <w:pPr>
        <w:pStyle w:val="BodyPara"/>
      </w:pPr>
      <w:r w:rsidRPr="00FD274F">
        <w:t>agencies should maintain detailed records of their documents, including those that have been superseded; and</w:t>
      </w:r>
    </w:p>
    <w:p w14:paraId="4A8B52AC" w14:textId="77777777" w:rsidR="008E40D0" w:rsidRDefault="008E40D0" w:rsidP="008E40D0">
      <w:pPr>
        <w:pStyle w:val="BodyPara"/>
      </w:pPr>
      <w:r w:rsidRPr="00FD274F">
        <w:t>delegates should review their documents on a regular basis to ensure that they are acting lawfully.</w:t>
      </w:r>
    </w:p>
    <w:p w14:paraId="5DEF6826" w14:textId="77777777" w:rsidR="008E40D0" w:rsidRPr="001F1262" w:rsidRDefault="008E40D0" w:rsidP="008E40D0">
      <w:pPr>
        <w:pStyle w:val="Head4"/>
      </w:pPr>
      <w:bookmarkStart w:id="81" w:name="_Toc223687740"/>
      <w:r>
        <w:t>Legislative instruments that delegate power</w:t>
      </w:r>
      <w:bookmarkEnd w:id="81"/>
    </w:p>
    <w:p w14:paraId="447B6793" w14:textId="77777777" w:rsidR="008E40D0" w:rsidRPr="00FD274F" w:rsidRDefault="008E40D0" w:rsidP="008E40D0">
      <w:pPr>
        <w:pStyle w:val="BodyNum"/>
      </w:pPr>
      <w:bookmarkStart w:id="82" w:name="_Ref369708785"/>
      <w:r w:rsidRPr="00FD274F">
        <w:rPr>
          <w:color w:val="000000"/>
        </w:rPr>
        <w:t xml:space="preserve">Special care is needed when a legislative instrument contains a delegation of power. The delegation must be </w:t>
      </w:r>
      <w:r w:rsidRPr="00FD274F">
        <w:t>within the scope permitted by the legislative framework and related case law. Specialist drafting assistance is recommended if the proposed delegation involves:</w:t>
      </w:r>
    </w:p>
    <w:p w14:paraId="4D415036" w14:textId="77777777" w:rsidR="008E40D0" w:rsidRPr="00FD274F" w:rsidRDefault="008E40D0" w:rsidP="008E40D0">
      <w:pPr>
        <w:pStyle w:val="BodyPara"/>
      </w:pPr>
      <w:r w:rsidRPr="00FD274F">
        <w:t>a delegate who is outside the agency; or</w:t>
      </w:r>
    </w:p>
    <w:p w14:paraId="5DAF1157" w14:textId="5DD230D2" w:rsidR="008E40D0" w:rsidRPr="00FD274F" w:rsidRDefault="008E40D0" w:rsidP="008E40D0">
      <w:pPr>
        <w:pStyle w:val="BodyPara"/>
      </w:pPr>
      <w:r w:rsidRPr="00FD274F">
        <w:t>sub</w:t>
      </w:r>
      <w:r w:rsidRPr="00FD274F">
        <w:noBreakHyphen/>
        <w:t>delegation of the power to make an instrument that is, or is likely to be, a legislative instrument (</w:t>
      </w:r>
      <w:r w:rsidRPr="00E40EAB">
        <w:t>see paragraph</w:t>
      </w:r>
      <w:r w:rsidR="00420ACC">
        <w:t xml:space="preserve"> </w:t>
      </w:r>
      <w:r w:rsidR="00420ACC">
        <w:fldChar w:fldCharType="begin"/>
      </w:r>
      <w:r w:rsidR="00420ACC">
        <w:instrText xml:space="preserve"> REF _Ref184283711 \r \h </w:instrText>
      </w:r>
      <w:r w:rsidR="00420ACC">
        <w:fldChar w:fldCharType="separate"/>
      </w:r>
      <w:r w:rsidR="00AB105F">
        <w:t>36</w:t>
      </w:r>
      <w:r w:rsidR="00420ACC">
        <w:fldChar w:fldCharType="end"/>
      </w:r>
      <w:r w:rsidRPr="00E40EAB">
        <w:t>).</w:t>
      </w:r>
    </w:p>
    <w:p w14:paraId="20391BC3" w14:textId="2FD71F86" w:rsidR="008E40D0" w:rsidRPr="00FD274F" w:rsidRDefault="008E40D0" w:rsidP="008E40D0">
      <w:pPr>
        <w:pStyle w:val="BodyNum"/>
      </w:pPr>
      <w:bookmarkStart w:id="83" w:name="_Ref449608075"/>
      <w:r w:rsidRPr="00FD274F">
        <w:rPr>
          <w:color w:val="000000"/>
        </w:rPr>
        <w:t>Sub</w:t>
      </w:r>
      <w:r w:rsidRPr="00FD274F">
        <w:rPr>
          <w:color w:val="000000"/>
        </w:rPr>
        <w:noBreakHyphen/>
        <w:t>delegation of power has also been identified as an i</w:t>
      </w:r>
      <w:r w:rsidRPr="00FD274F">
        <w:t>ssue of concern to the Parliament (se</w:t>
      </w:r>
      <w:r w:rsidRPr="00E40EAB">
        <w:t xml:space="preserve">e </w:t>
      </w:r>
      <w:hyperlink w:anchor="Chapter9" w:history="1">
        <w:r w:rsidRPr="00E40EAB">
          <w:rPr>
            <w:rStyle w:val="Hyperlink"/>
          </w:rPr>
          <w:t>Chapter 9</w:t>
        </w:r>
      </w:hyperlink>
      <w:r w:rsidRPr="00E40EAB">
        <w:t>) a</w:t>
      </w:r>
      <w:r w:rsidRPr="00FD274F">
        <w:t>nd is only acceptable if an instrument’s enabling legislation provides for this. Accordingly, if a legislative instrument provides for sub</w:t>
      </w:r>
      <w:r w:rsidRPr="00FD274F">
        <w:noBreakHyphen/>
        <w:t>delegation of power:</w:t>
      </w:r>
      <w:bookmarkEnd w:id="83"/>
    </w:p>
    <w:p w14:paraId="49EAC38F" w14:textId="3DDD53A0" w:rsidR="008E40D0" w:rsidRPr="00FD274F" w:rsidRDefault="008E40D0" w:rsidP="008E40D0">
      <w:pPr>
        <w:pStyle w:val="BodyPara"/>
      </w:pPr>
      <w:r w:rsidRPr="00FD274F">
        <w:t>the instrument’s explanatory statement should provide the authority for the sub</w:t>
      </w:r>
      <w:r w:rsidRPr="00FD274F">
        <w:noBreakHyphen/>
        <w:t>delegation, and describe the training, monitoring or other strategies being put in place to ensure that the sub</w:t>
      </w:r>
      <w:r w:rsidRPr="00FD274F">
        <w:noBreakHyphen/>
        <w:t>delegation is exercised with appropriate skill and care</w:t>
      </w:r>
      <w:bookmarkEnd w:id="82"/>
      <w:r w:rsidRPr="00FD274F">
        <w:t>; and</w:t>
      </w:r>
    </w:p>
    <w:p w14:paraId="4E5D15DF" w14:textId="77777777" w:rsidR="008E40D0" w:rsidRPr="00FD274F" w:rsidRDefault="008E40D0" w:rsidP="008E40D0">
      <w:pPr>
        <w:pStyle w:val="BodyPara"/>
      </w:pPr>
      <w:bookmarkStart w:id="84" w:name="_Ref369883280"/>
      <w:r w:rsidRPr="00FD274F">
        <w:lastRenderedPageBreak/>
        <w:t>if a legislative instrument is made by a delegate, the instrument’s explanatory statement should describe how and when the power to make it was delegated to the rule</w:t>
      </w:r>
      <w:r w:rsidRPr="00FD274F">
        <w:noBreakHyphen/>
        <w:t>maker, and include an assurance and details of compliance with any directions to delegates that may apply.</w:t>
      </w:r>
      <w:bookmarkEnd w:id="84"/>
    </w:p>
    <w:p w14:paraId="641CEC71" w14:textId="77777777" w:rsidR="008E40D0" w:rsidRPr="00FD274F" w:rsidRDefault="008E40D0" w:rsidP="008E40D0">
      <w:pPr>
        <w:pStyle w:val="Head3"/>
      </w:pPr>
      <w:bookmarkStart w:id="85" w:name="_Toc223687741"/>
      <w:r w:rsidRPr="00FD274F">
        <w:t>Offences, infringement notices and enforcement powers</w:t>
      </w:r>
      <w:bookmarkEnd w:id="85"/>
    </w:p>
    <w:p w14:paraId="44A7A27D" w14:textId="77777777" w:rsidR="008E40D0" w:rsidRPr="00FD274F" w:rsidRDefault="008E40D0" w:rsidP="008E40D0">
      <w:pPr>
        <w:pStyle w:val="BodyNum"/>
      </w:pPr>
      <w:r w:rsidRPr="00FD274F">
        <w:t>If the Parliament has delegated the power to make an instrument prescribing criminal offences or infringement and enforcement provisions, care needs to be taken to ensure that the provisions are legally enforceable and consistent with Australian Government policy.</w:t>
      </w:r>
    </w:p>
    <w:p w14:paraId="6E115D6A" w14:textId="25162C1F" w:rsidR="008E40D0" w:rsidRPr="00FD274F" w:rsidRDefault="008E40D0" w:rsidP="008E40D0">
      <w:pPr>
        <w:pStyle w:val="BodyNum"/>
      </w:pPr>
      <w:r w:rsidRPr="00FD274F">
        <w:t xml:space="preserve">Before seeking policy approval for such a provision, agencies should assess whether the proposal is consistent with the </w:t>
      </w:r>
      <w:r w:rsidRPr="000A7964">
        <w:t xml:space="preserve">AGD </w:t>
      </w:r>
      <w:r w:rsidRPr="000A7964">
        <w:rPr>
          <w:i/>
        </w:rPr>
        <w:t>Guide to Framing Commonwealth Offences, Infringement Notices and Enforcement Powers</w:t>
      </w:r>
      <w:r w:rsidRPr="000A7964">
        <w:rPr>
          <w:rStyle w:val="FootnoteReference"/>
        </w:rPr>
        <w:footnoteReference w:id="14"/>
      </w:r>
      <w:r w:rsidR="00595D07">
        <w:t xml:space="preserve"> (the </w:t>
      </w:r>
      <w:r w:rsidR="00595D07" w:rsidRPr="00916682">
        <w:rPr>
          <w:b/>
          <w:i/>
        </w:rPr>
        <w:t>Guide</w:t>
      </w:r>
      <w:r w:rsidR="00595D07">
        <w:t>)</w:t>
      </w:r>
      <w:r w:rsidRPr="000A7964">
        <w:t xml:space="preserve">. </w:t>
      </w:r>
      <w:r w:rsidRPr="006306BD">
        <w:t xml:space="preserve">Agencies should contact </w:t>
      </w:r>
      <w:proofErr w:type="spellStart"/>
      <w:r w:rsidRPr="006306BD">
        <w:t>AGD’s</w:t>
      </w:r>
      <w:proofErr w:type="spellEnd"/>
      <w:r w:rsidRPr="006306BD">
        <w:t xml:space="preserve"> Criminal Law Section via email at </w:t>
      </w:r>
      <w:hyperlink r:id="rId204" w:history="1">
        <w:r w:rsidRPr="006306BD">
          <w:rPr>
            <w:rStyle w:val="Hyperlink"/>
          </w:rPr>
          <w:t>CriminalLaw@ag.gov.au</w:t>
        </w:r>
      </w:hyperlink>
      <w:r w:rsidRPr="006306BD">
        <w:t xml:space="preserve"> if the proposal</w:t>
      </w:r>
      <w:r w:rsidRPr="00FD274F">
        <w:t>:</w:t>
      </w:r>
    </w:p>
    <w:p w14:paraId="2B399AB4" w14:textId="77777777" w:rsidR="008E40D0" w:rsidRPr="00FD274F" w:rsidRDefault="008E40D0" w:rsidP="008E40D0">
      <w:pPr>
        <w:pStyle w:val="BodyPara"/>
      </w:pPr>
      <w:r w:rsidRPr="00FD274F">
        <w:t>contains novel or complex issues that the Guide does not address; or</w:t>
      </w:r>
    </w:p>
    <w:p w14:paraId="5BF0B425" w14:textId="77777777" w:rsidR="008E40D0" w:rsidRPr="00FD274F" w:rsidRDefault="008E40D0" w:rsidP="008E40D0">
      <w:pPr>
        <w:pStyle w:val="BodyPara"/>
      </w:pPr>
      <w:r w:rsidRPr="00FD274F">
        <w:t>departs significantly from the principles in the Guide.</w:t>
      </w:r>
    </w:p>
    <w:p w14:paraId="3C3BD798" w14:textId="59BD2B08" w:rsidR="008E40D0" w:rsidRPr="00FD274F" w:rsidRDefault="008E40D0" w:rsidP="008E40D0">
      <w:pPr>
        <w:pStyle w:val="BodyNum"/>
      </w:pPr>
      <w:r w:rsidRPr="00FD274F">
        <w:t xml:space="preserve">Further guidance on related matters can be found in </w:t>
      </w:r>
      <w:hyperlink r:id="rId205" w:history="1">
        <w:r w:rsidRPr="00BC7C81">
          <w:rPr>
            <w:rStyle w:val="Hyperlink"/>
          </w:rPr>
          <w:t>OPC Drafting Direction 3.5</w:t>
        </w:r>
      </w:hyperlink>
      <w:r w:rsidRPr="00BC7C81">
        <w:t>.</w:t>
      </w:r>
    </w:p>
    <w:p w14:paraId="5ECAA820" w14:textId="77777777" w:rsidR="008E40D0" w:rsidRPr="00FD274F" w:rsidRDefault="008E40D0" w:rsidP="008E40D0">
      <w:pPr>
        <w:pStyle w:val="Head3"/>
      </w:pPr>
      <w:bookmarkStart w:id="86" w:name="_Toc223687742"/>
      <w:r w:rsidRPr="00FD274F">
        <w:t>Gender</w:t>
      </w:r>
      <w:r>
        <w:noBreakHyphen/>
      </w:r>
      <w:r w:rsidRPr="00FD274F">
        <w:t>specific and gender</w:t>
      </w:r>
      <w:r>
        <w:noBreakHyphen/>
      </w:r>
      <w:r w:rsidRPr="00FD274F">
        <w:t>neutral language</w:t>
      </w:r>
      <w:bookmarkEnd w:id="86"/>
    </w:p>
    <w:p w14:paraId="1FA0BF86" w14:textId="77777777" w:rsidR="008E40D0" w:rsidRPr="00FD274F" w:rsidRDefault="008E40D0" w:rsidP="008E40D0">
      <w:pPr>
        <w:pStyle w:val="BodyNum"/>
      </w:pPr>
      <w:r w:rsidRPr="00FD274F">
        <w:t>In exercising the power to make a legislative instrument in relation to a matter, it is generally important to use gender</w:t>
      </w:r>
      <w:r>
        <w:noBreakHyphen/>
      </w:r>
      <w:r w:rsidRPr="00FD274F">
        <w:t>neutral language. Language that might be reasonably seen to imply a single gender should be avoided, unless:</w:t>
      </w:r>
    </w:p>
    <w:p w14:paraId="74E040BB" w14:textId="77777777" w:rsidR="008E40D0" w:rsidRPr="00FD274F" w:rsidRDefault="008E40D0" w:rsidP="008E40D0">
      <w:pPr>
        <w:pStyle w:val="BodyPara"/>
      </w:pPr>
      <w:r w:rsidRPr="00FD274F">
        <w:t>the instrument is intended to apply only to people of one sex; or</w:t>
      </w:r>
    </w:p>
    <w:p w14:paraId="5A2049F5" w14:textId="77777777" w:rsidR="008E40D0" w:rsidRPr="00FD274F" w:rsidRDefault="008E40D0" w:rsidP="008E40D0">
      <w:pPr>
        <w:pStyle w:val="BodyPara"/>
      </w:pPr>
      <w:r w:rsidRPr="00FD274F">
        <w:t>it is important to use a particular term for consistency</w:t>
      </w:r>
      <w:r>
        <w:t xml:space="preserve"> with the enabling legislation.</w:t>
      </w:r>
    </w:p>
    <w:p w14:paraId="23C217F1" w14:textId="034E15A2" w:rsidR="008E40D0" w:rsidRPr="00FD274F" w:rsidRDefault="008E40D0" w:rsidP="008E40D0">
      <w:pPr>
        <w:pStyle w:val="BodyNum"/>
      </w:pPr>
      <w:r w:rsidRPr="00FD274F">
        <w:t>Inappropriate use of gender</w:t>
      </w:r>
      <w:r>
        <w:noBreakHyphen/>
      </w:r>
      <w:r w:rsidRPr="00FD274F">
        <w:t>specific language is clearly identified in th</w:t>
      </w:r>
      <w:r w:rsidRPr="004B337C">
        <w:t xml:space="preserve">e </w:t>
      </w:r>
      <w:hyperlink r:id="rId206" w:history="1">
        <w:r w:rsidRPr="004B337C">
          <w:rPr>
            <w:rStyle w:val="Hyperlink"/>
          </w:rPr>
          <w:t>LA</w:t>
        </w:r>
      </w:hyperlink>
      <w:r w:rsidRPr="004B337C">
        <w:rPr>
          <w:rStyle w:val="Hyperlink"/>
        </w:rPr>
        <w:t xml:space="preserve"> </w:t>
      </w:r>
      <w:r w:rsidRPr="004B337C">
        <w:t>as</w:t>
      </w:r>
      <w:r w:rsidRPr="00FD274F">
        <w:t xml:space="preserve"> undesirable. Under </w:t>
      </w:r>
      <w:r w:rsidRPr="004B337C">
        <w:t xml:space="preserve">section 16 of the </w:t>
      </w:r>
      <w:hyperlink r:id="rId207" w:history="1">
        <w:r w:rsidRPr="004B337C">
          <w:rPr>
            <w:rStyle w:val="Hyperlink"/>
          </w:rPr>
          <w:t>LA</w:t>
        </w:r>
      </w:hyperlink>
      <w:r w:rsidRPr="004B337C">
        <w:t>,</w:t>
      </w:r>
      <w:r w:rsidRPr="00FD274F">
        <w:t xml:space="preserve"> the First Parliamentary Counsel is required to take steps to prevent the inappropriate use of gender</w:t>
      </w:r>
      <w:r>
        <w:noBreakHyphen/>
      </w:r>
      <w:r w:rsidRPr="00FD274F">
        <w:t>specific language in legislative instruments, and to notify both the rule</w:t>
      </w:r>
      <w:r>
        <w:noBreakHyphen/>
      </w:r>
      <w:r w:rsidRPr="00FD274F">
        <w:t>maker and the Parliament of any instances that may be identified.</w:t>
      </w:r>
    </w:p>
    <w:p w14:paraId="681D4D84" w14:textId="5F56A176" w:rsidR="008E40D0" w:rsidRPr="00FD274F" w:rsidRDefault="008E40D0" w:rsidP="008E40D0">
      <w:pPr>
        <w:pStyle w:val="BodyNum"/>
      </w:pPr>
      <w:r w:rsidRPr="00FD274F">
        <w:t>Further guidance on what constitutes gender</w:t>
      </w:r>
      <w:r>
        <w:noBreakHyphen/>
      </w:r>
      <w:r w:rsidRPr="00FD274F">
        <w:t>specific and gender</w:t>
      </w:r>
      <w:r>
        <w:noBreakHyphen/>
      </w:r>
      <w:r w:rsidRPr="00FD274F">
        <w:t>neutral language can be fou</w:t>
      </w:r>
      <w:r w:rsidRPr="00961F7C">
        <w:t xml:space="preserve">nd in </w:t>
      </w:r>
      <w:hyperlink r:id="rId208" w:history="1">
        <w:r w:rsidRPr="00961F7C">
          <w:rPr>
            <w:rStyle w:val="Hyperlink"/>
          </w:rPr>
          <w:t>OPC Drafting Direction 2.1</w:t>
        </w:r>
      </w:hyperlink>
      <w:r w:rsidRPr="00FD274F">
        <w:t>.</w:t>
      </w:r>
    </w:p>
    <w:p w14:paraId="41D6B394" w14:textId="39FEA687" w:rsidR="00446EF0" w:rsidRPr="00FD274F" w:rsidRDefault="00446EF0" w:rsidP="00446EF0">
      <w:pPr>
        <w:pStyle w:val="Head3"/>
      </w:pPr>
      <w:bookmarkStart w:id="87" w:name="_Toc223687743"/>
      <w:bookmarkStart w:id="88" w:name="_Ref422930454"/>
      <w:r>
        <w:t>Security</w:t>
      </w:r>
      <w:bookmarkEnd w:id="87"/>
    </w:p>
    <w:p w14:paraId="09299A61" w14:textId="791510EC" w:rsidR="008E40D0" w:rsidRDefault="008E40D0" w:rsidP="002E3F8C">
      <w:pPr>
        <w:pStyle w:val="BodyNum"/>
      </w:pPr>
      <w:r w:rsidRPr="00FD274F">
        <w:t>When it comes to the content of an instrument and related documents, rule</w:t>
      </w:r>
      <w:r>
        <w:noBreakHyphen/>
      </w:r>
      <w:r w:rsidRPr="00FD274F">
        <w:t xml:space="preserve">makers need to exercise care and judgement in deciding what level of detail to include. For example, </w:t>
      </w:r>
      <w:r w:rsidRPr="00FD274F">
        <w:lastRenderedPageBreak/>
        <w:t>it may not be necessary or appropriate to disclose</w:t>
      </w:r>
      <w:r w:rsidR="00B46ACE">
        <w:t xml:space="preserve"> </w:t>
      </w:r>
      <w:r w:rsidR="00B46ACE" w:rsidRPr="00F11E8B">
        <w:t xml:space="preserve">information that would be assessed as requiring protection and assigned a </w:t>
      </w:r>
      <w:r w:rsidR="00B46ACE" w:rsidRPr="00BA4F47">
        <w:t xml:space="preserve">security classification </w:t>
      </w:r>
      <w:r w:rsidR="0064393A" w:rsidRPr="00BA4F47">
        <w:t>or protective markings</w:t>
      </w:r>
      <w:r w:rsidR="00B46ACE" w:rsidRPr="00BA4F47">
        <w:rPr>
          <w:rStyle w:val="FootnoteReference"/>
          <w:rFonts w:eastAsia="Calibri"/>
        </w:rPr>
        <w:footnoteReference w:id="15"/>
      </w:r>
      <w:r w:rsidR="00B46ACE" w:rsidRPr="00BA4F47">
        <w:t>.</w:t>
      </w:r>
    </w:p>
    <w:p w14:paraId="4D7B5A79" w14:textId="6DFC5376" w:rsidR="002E3F8C" w:rsidRDefault="00446EF0" w:rsidP="002E3F8C">
      <w:pPr>
        <w:pStyle w:val="Head3"/>
      </w:pPr>
      <w:bookmarkStart w:id="89" w:name="_Toc223687744"/>
      <w:r>
        <w:t>Privacy</w:t>
      </w:r>
      <w:bookmarkEnd w:id="89"/>
    </w:p>
    <w:p w14:paraId="41AF76AA" w14:textId="43D58874" w:rsidR="002E3F8C" w:rsidRDefault="006979ED" w:rsidP="00B25E03">
      <w:pPr>
        <w:pStyle w:val="BodyNum"/>
      </w:pPr>
      <w:r>
        <w:t xml:space="preserve">Rule-makers are </w:t>
      </w:r>
      <w:r w:rsidR="00ED7A5D">
        <w:t xml:space="preserve">bound </w:t>
      </w:r>
      <w:r>
        <w:t xml:space="preserve">by the </w:t>
      </w:r>
      <w:hyperlink r:id="rId209" w:history="1">
        <w:r w:rsidRPr="002E3F8C">
          <w:rPr>
            <w:rStyle w:val="Hyperlink"/>
            <w:i/>
          </w:rPr>
          <w:t>Privacy Act 1988</w:t>
        </w:r>
      </w:hyperlink>
      <w:r w:rsidRPr="002E3F8C">
        <w:rPr>
          <w:i/>
        </w:rPr>
        <w:t xml:space="preserve"> </w:t>
      </w:r>
      <w:r>
        <w:t>and the Australian Privacy Principles within the Act in relation to handling, use and management of personal information.</w:t>
      </w:r>
      <w:r w:rsidR="00ED7A5D">
        <w:t xml:space="preserve"> </w:t>
      </w:r>
      <w:r w:rsidR="00783E22">
        <w:t xml:space="preserve">Rule-makers need to exercise care </w:t>
      </w:r>
      <w:r w:rsidR="00ED7A5D">
        <w:t xml:space="preserve">and judgement </w:t>
      </w:r>
      <w:r w:rsidR="00783E22">
        <w:t xml:space="preserve">in </w:t>
      </w:r>
      <w:r w:rsidR="00ED7A5D">
        <w:t xml:space="preserve">deciding what level of detail to include in </w:t>
      </w:r>
      <w:r w:rsidR="00160CB3">
        <w:t xml:space="preserve">an instrument and related documents. </w:t>
      </w:r>
      <w:r w:rsidR="002E3F8C" w:rsidRPr="00FD274F">
        <w:t>For example, it may not be necessary or appropriate to disclose</w:t>
      </w:r>
      <w:r w:rsidR="002E3F8C">
        <w:t xml:space="preserve"> </w:t>
      </w:r>
      <w:r w:rsidR="002E3F8C" w:rsidRPr="00F11E8B">
        <w:t xml:space="preserve">information </w:t>
      </w:r>
      <w:r w:rsidR="002E3F8C" w:rsidRPr="00FD274F">
        <w:t>such as a person’s home address</w:t>
      </w:r>
      <w:r w:rsidR="00160CB3">
        <w:t xml:space="preserve"> as </w:t>
      </w:r>
      <w:r w:rsidR="002E3F8C" w:rsidRPr="00FD274F">
        <w:t xml:space="preserve">this may breach the </w:t>
      </w:r>
      <w:hyperlink r:id="rId210" w:history="1">
        <w:r w:rsidR="002E3F8C" w:rsidRPr="00160CB3">
          <w:rPr>
            <w:rStyle w:val="Hyperlink"/>
            <w:i/>
          </w:rPr>
          <w:t>Privacy Act 1988</w:t>
        </w:r>
      </w:hyperlink>
      <w:r w:rsidR="002E3F8C" w:rsidRPr="00160CB3">
        <w:rPr>
          <w:i/>
        </w:rPr>
        <w:t xml:space="preserve"> </w:t>
      </w:r>
      <w:r w:rsidR="002E3F8C" w:rsidRPr="00961F7C">
        <w:t>and raise safe</w:t>
      </w:r>
      <w:r w:rsidR="002E3F8C" w:rsidRPr="00FD274F">
        <w:t>ty issues, although it may still be desirable to find some other way to identify a person unambiguously so as to minimise unintended consequences for other people with the same name.</w:t>
      </w:r>
    </w:p>
    <w:p w14:paraId="6E635A11" w14:textId="22AF2A90" w:rsidR="007D7DEF" w:rsidRPr="007D7DEF" w:rsidRDefault="00456E48" w:rsidP="00B25E03">
      <w:pPr>
        <w:pStyle w:val="BodyNum"/>
        <w:rPr>
          <w:rStyle w:val="Hyperlink"/>
          <w:color w:val="auto"/>
        </w:rPr>
      </w:pPr>
      <w:r w:rsidRPr="00B74849">
        <w:t xml:space="preserve">Section </w:t>
      </w:r>
      <w:r w:rsidR="00FF782B">
        <w:t>15</w:t>
      </w:r>
      <w:r w:rsidRPr="00B74849">
        <w:t xml:space="preserve"> of the </w:t>
      </w:r>
      <w:hyperlink r:id="rId211" w:history="1">
        <w:r w:rsidR="00FF782B" w:rsidRPr="00001937">
          <w:rPr>
            <w:rStyle w:val="Hyperlink"/>
          </w:rPr>
          <w:t>LR</w:t>
        </w:r>
      </w:hyperlink>
      <w:r w:rsidR="00FF782B">
        <w:t xml:space="preserve"> </w:t>
      </w:r>
      <w:r w:rsidRPr="00B74849">
        <w:rPr>
          <w:rStyle w:val="Hyperlink"/>
          <w:color w:val="auto"/>
          <w:spacing w:val="-6"/>
        </w:rPr>
        <w:t xml:space="preserve">provides that </w:t>
      </w:r>
      <w:r w:rsidR="00107D46">
        <w:rPr>
          <w:rStyle w:val="Hyperlink"/>
          <w:color w:val="auto"/>
          <w:spacing w:val="-6"/>
        </w:rPr>
        <w:t xml:space="preserve">the </w:t>
      </w:r>
      <w:r w:rsidRPr="00B74849">
        <w:rPr>
          <w:rStyle w:val="Hyperlink"/>
          <w:color w:val="auto"/>
          <w:spacing w:val="-6"/>
        </w:rPr>
        <w:t xml:space="preserve">First Parliamentary Counsel may redact personal information (within the meaning of the </w:t>
      </w:r>
      <w:hyperlink r:id="rId212" w:history="1">
        <w:r w:rsidR="00B74849" w:rsidRPr="00160CB3">
          <w:rPr>
            <w:rStyle w:val="Hyperlink"/>
            <w:i/>
          </w:rPr>
          <w:t>Privacy Act 1988</w:t>
        </w:r>
      </w:hyperlink>
      <w:r w:rsidRPr="00B74849">
        <w:rPr>
          <w:rStyle w:val="Hyperlink"/>
          <w:color w:val="auto"/>
          <w:spacing w:val="-6"/>
        </w:rPr>
        <w:t>) from a document on the Register, other than a</w:t>
      </w:r>
      <w:r w:rsidR="00BB1A2A">
        <w:rPr>
          <w:rStyle w:val="Hyperlink"/>
          <w:color w:val="auto"/>
          <w:spacing w:val="-6"/>
        </w:rPr>
        <w:t>n Act, a</w:t>
      </w:r>
      <w:r w:rsidRPr="00B74849">
        <w:rPr>
          <w:rStyle w:val="Hyperlink"/>
          <w:color w:val="auto"/>
          <w:spacing w:val="-6"/>
        </w:rPr>
        <w:t xml:space="preserve"> legislative </w:t>
      </w:r>
      <w:r w:rsidR="00BB1A2A">
        <w:rPr>
          <w:rStyle w:val="Hyperlink"/>
          <w:color w:val="auto"/>
          <w:spacing w:val="-6"/>
        </w:rPr>
        <w:t xml:space="preserve">instrument </w:t>
      </w:r>
      <w:r w:rsidRPr="00B74849">
        <w:rPr>
          <w:rStyle w:val="Hyperlink"/>
          <w:color w:val="auto"/>
          <w:spacing w:val="-6"/>
        </w:rPr>
        <w:t>or</w:t>
      </w:r>
      <w:r w:rsidR="00BB1A2A">
        <w:rPr>
          <w:rStyle w:val="Hyperlink"/>
          <w:color w:val="auto"/>
          <w:spacing w:val="-6"/>
        </w:rPr>
        <w:t xml:space="preserve"> a</w:t>
      </w:r>
      <w:r w:rsidRPr="00B74849">
        <w:rPr>
          <w:rStyle w:val="Hyperlink"/>
          <w:color w:val="auto"/>
          <w:spacing w:val="-6"/>
        </w:rPr>
        <w:t xml:space="preserve"> notifiable instrument.</w:t>
      </w:r>
    </w:p>
    <w:p w14:paraId="5B37E9FE" w14:textId="305610F9" w:rsidR="00456E48" w:rsidRDefault="007D7DEF" w:rsidP="00B25E03">
      <w:pPr>
        <w:pStyle w:val="BodyNum"/>
      </w:pPr>
      <w:r>
        <w:t xml:space="preserve">However, it is preferable to </w:t>
      </w:r>
      <w:r w:rsidR="001E7FC9">
        <w:t xml:space="preserve">deal with potential privacy issues well in advance of registration. </w:t>
      </w:r>
      <w:r w:rsidRPr="00FD274F">
        <w:t xml:space="preserve">If your agency has </w:t>
      </w:r>
      <w:r w:rsidR="001E7FC9">
        <w:t xml:space="preserve">any </w:t>
      </w:r>
      <w:r w:rsidRPr="00FD274F">
        <w:t>concerns, please contact OPC (</w:t>
      </w:r>
      <w:hyperlink r:id="rId213" w:history="1">
        <w:hyperlink r:id="rId214" w:history="1">
          <w:r w:rsidRPr="00FD274F">
            <w:rPr>
              <w:rStyle w:val="Hyperlink"/>
              <w:rFonts w:eastAsiaTheme="minorHAnsi"/>
              <w:szCs w:val="24"/>
              <w:lang w:eastAsia="en-US"/>
            </w:rPr>
            <w:t>lodge@legislation.gov.au</w:t>
          </w:r>
        </w:hyperlink>
      </w:hyperlink>
      <w:r w:rsidR="002F328F">
        <w:rPr>
          <w:szCs w:val="24"/>
        </w:rPr>
        <w:t xml:space="preserve"> </w:t>
      </w:r>
      <w:r w:rsidR="002F328F" w:rsidRPr="00FD274F">
        <w:rPr>
          <w:color w:val="000000"/>
          <w:spacing w:val="-2"/>
          <w:szCs w:val="24"/>
        </w:rPr>
        <w:t xml:space="preserve">or (02) </w:t>
      </w:r>
      <w:r w:rsidR="002F328F" w:rsidRPr="00FD274F">
        <w:rPr>
          <w:spacing w:val="-2"/>
          <w:szCs w:val="24"/>
        </w:rPr>
        <w:t>6120 1350</w:t>
      </w:r>
      <w:r w:rsidR="002F328F">
        <w:rPr>
          <w:spacing w:val="-2"/>
          <w:szCs w:val="24"/>
        </w:rPr>
        <w:t>)</w:t>
      </w:r>
      <w:r>
        <w:rPr>
          <w:szCs w:val="24"/>
        </w:rPr>
        <w:t xml:space="preserve"> </w:t>
      </w:r>
      <w:r w:rsidRPr="00FD274F">
        <w:t>to discuss the issues and options.</w:t>
      </w:r>
    </w:p>
    <w:p w14:paraId="78B2B6EA" w14:textId="01969FEF" w:rsidR="00446EF0" w:rsidRPr="00FD274F" w:rsidRDefault="00446EF0" w:rsidP="00446EF0">
      <w:pPr>
        <w:pStyle w:val="Head3"/>
      </w:pPr>
      <w:bookmarkStart w:id="90" w:name="_Toc223687745"/>
      <w:r>
        <w:t>Copyright</w:t>
      </w:r>
      <w:bookmarkEnd w:id="90"/>
    </w:p>
    <w:p w14:paraId="4B03AEAA" w14:textId="77588379" w:rsidR="008E40D0" w:rsidRPr="00FD274F" w:rsidRDefault="008E40D0" w:rsidP="00B25E03">
      <w:pPr>
        <w:pStyle w:val="BodyNum"/>
      </w:pPr>
      <w:r w:rsidRPr="00FD274F">
        <w:t>A copyright notice should only be included in an instrument or related document if this is essential to acknowledge the intellectual property (IP) rights of a third party, and if the legal and other implications of reusing this IP has been carefully considered. For more information on copyright of registered content, se</w:t>
      </w:r>
      <w:r w:rsidRPr="00655352">
        <w:t xml:space="preserve">e paragraph </w:t>
      </w:r>
      <w:r w:rsidRPr="004B337C">
        <w:fldChar w:fldCharType="begin"/>
      </w:r>
      <w:r w:rsidRPr="00655352">
        <w:instrText xml:space="preserve"> REF _Ref474413213 \r \h  \* MERGEFORMAT </w:instrText>
      </w:r>
      <w:r w:rsidRPr="004B337C">
        <w:fldChar w:fldCharType="separate"/>
      </w:r>
      <w:r w:rsidR="00AB105F">
        <w:t>239</w:t>
      </w:r>
      <w:r w:rsidRPr="004B337C">
        <w:fldChar w:fldCharType="end"/>
      </w:r>
      <w:r w:rsidRPr="00655352">
        <w:t>.</w:t>
      </w:r>
    </w:p>
    <w:p w14:paraId="675089F8" w14:textId="77777777" w:rsidR="008E40D0" w:rsidRPr="00FD274F" w:rsidRDefault="008E40D0" w:rsidP="008E40D0">
      <w:pPr>
        <w:pStyle w:val="Head3"/>
      </w:pPr>
      <w:bookmarkStart w:id="91" w:name="_Toc223687746"/>
      <w:bookmarkEnd w:id="88"/>
      <w:r w:rsidRPr="00FD274F">
        <w:t>Technical considerations</w:t>
      </w:r>
      <w:bookmarkEnd w:id="91"/>
    </w:p>
    <w:p w14:paraId="48BF1BB6" w14:textId="58117446" w:rsidR="00B25E03" w:rsidRPr="001F1262" w:rsidRDefault="00B25E03" w:rsidP="00B25E03">
      <w:pPr>
        <w:pStyle w:val="Head4"/>
      </w:pPr>
      <w:bookmarkStart w:id="92" w:name="_Toc223687747"/>
      <w:bookmarkStart w:id="93" w:name="_Ref367446139"/>
      <w:r>
        <w:t>Accessibility</w:t>
      </w:r>
      <w:bookmarkEnd w:id="92"/>
    </w:p>
    <w:p w14:paraId="2869CBA9" w14:textId="7E1C658B" w:rsidR="007F21B5" w:rsidRDefault="00FC7B9A" w:rsidP="008E40D0">
      <w:pPr>
        <w:pStyle w:val="BodyNum"/>
      </w:pPr>
      <w:bookmarkStart w:id="94" w:name="_Ref185322055"/>
      <w:bookmarkEnd w:id="93"/>
      <w:r>
        <w:t xml:space="preserve">Given their legal nature, it is essential that all registered documents are accessible to the widest range of users, including people who may rely on assistive technology such as screen readers. This is a requirement of the </w:t>
      </w:r>
      <w:hyperlink r:id="rId215" w:history="1">
        <w:r>
          <w:rPr>
            <w:rStyle w:val="Hyperlink"/>
            <w:i/>
            <w:iCs/>
          </w:rPr>
          <w:t>Disability Discrimination Act 1992</w:t>
        </w:r>
      </w:hyperlink>
      <w:r>
        <w:t>—see section 29 of that Act in particular on the administration of Commonwealth laws and programs.</w:t>
      </w:r>
      <w:bookmarkEnd w:id="94"/>
    </w:p>
    <w:p w14:paraId="756629FE" w14:textId="3D6F683C" w:rsidR="00FC7B9A" w:rsidRDefault="00FC7B9A" w:rsidP="00FC7B9A">
      <w:pPr>
        <w:pStyle w:val="BodyNum"/>
      </w:pPr>
      <w:r>
        <w:t>In addition,</w:t>
      </w:r>
      <w:r w:rsidR="00CB23CE">
        <w:t xml:space="preserve"> in the Dat</w:t>
      </w:r>
      <w:r w:rsidR="00257663">
        <w:t>a</w:t>
      </w:r>
      <w:r w:rsidR="00CB23CE">
        <w:t xml:space="preserve"> and Digital Government Strategy,</w:t>
      </w:r>
      <w:r>
        <w:t xml:space="preserve"> the Australian Government has committed to ensuring all websites and services meet the latest </w:t>
      </w:r>
      <w:hyperlink r:id="rId216" w:history="1">
        <w:r>
          <w:rPr>
            <w:rStyle w:val="Hyperlink"/>
          </w:rPr>
          <w:t>Web Content Accessibility Guidelines</w:t>
        </w:r>
      </w:hyperlink>
      <w:r>
        <w:t>. While the Register is generally compliant, agency software and other choices can have a major impact on the accessibility of individual documents. Agencies are encouraged to consider the impact of their processes on general accessibility.</w:t>
      </w:r>
    </w:p>
    <w:p w14:paraId="5C75A7B6" w14:textId="0961D316" w:rsidR="005D3FE1" w:rsidRPr="001F1262" w:rsidRDefault="005D3FE1" w:rsidP="005D3FE1">
      <w:pPr>
        <w:pStyle w:val="Head4"/>
      </w:pPr>
      <w:bookmarkStart w:id="95" w:name="_Toc223687748"/>
      <w:r>
        <w:t>Word or RTF format</w:t>
      </w:r>
      <w:bookmarkEnd w:id="95"/>
    </w:p>
    <w:p w14:paraId="6BD8049A" w14:textId="7BBB4535" w:rsidR="008E40D0" w:rsidRPr="00961F7C" w:rsidRDefault="008E40D0" w:rsidP="008E40D0">
      <w:pPr>
        <w:pStyle w:val="BodyNum"/>
      </w:pPr>
      <w:r w:rsidRPr="00277385">
        <w:t xml:space="preserve">To ensure that documents are searchable and can be read by a wide range of devices, all documents must be supplied to OPC in </w:t>
      </w:r>
      <w:r w:rsidR="0057512E">
        <w:t>RTF, DOC or DOCX format</w:t>
      </w:r>
      <w:r w:rsidRPr="00277385">
        <w:t xml:space="preserve">, unless the First </w:t>
      </w:r>
      <w:r w:rsidRPr="00277385">
        <w:lastRenderedPageBreak/>
        <w:t>Parliamentary Counsel has agreed otherwi</w:t>
      </w:r>
      <w:r w:rsidRPr="00961F7C">
        <w:t>se (</w:t>
      </w:r>
      <w:hyperlink r:id="rId217" w:history="1">
        <w:r w:rsidR="0057512E" w:rsidRPr="00001937">
          <w:rPr>
            <w:rStyle w:val="Hyperlink"/>
          </w:rPr>
          <w:t>LR</w:t>
        </w:r>
      </w:hyperlink>
      <w:r w:rsidRPr="00961F7C">
        <w:t xml:space="preserve"> s </w:t>
      </w:r>
      <w:r w:rsidR="0057512E">
        <w:t>6</w:t>
      </w:r>
      <w:r w:rsidRPr="00961F7C">
        <w:t>(3)).</w:t>
      </w:r>
      <w:r w:rsidRPr="00277385">
        <w:t xml:space="preserve"> This ensures documents can be indexed and offered to users in a choice of file formats. For more information on current formats, s</w:t>
      </w:r>
      <w:r w:rsidRPr="00961F7C">
        <w:t>ee</w:t>
      </w:r>
      <w:r w:rsidR="009D0DA3">
        <w:t xml:space="preserve"> </w:t>
      </w:r>
      <w:r w:rsidR="00ED12DB">
        <w:t xml:space="preserve">the </w:t>
      </w:r>
      <w:hyperlink r:id="rId218" w:history="1">
        <w:r w:rsidR="00ED12DB" w:rsidRPr="00194060">
          <w:rPr>
            <w:rStyle w:val="Hyperlink"/>
          </w:rPr>
          <w:t>terms of use on the Federal Register of Legislation</w:t>
        </w:r>
      </w:hyperlink>
      <w:r w:rsidRPr="00961F7C">
        <w:t>.</w:t>
      </w:r>
    </w:p>
    <w:p w14:paraId="2335EEFD" w14:textId="25CADE7B" w:rsidR="005D3FE1" w:rsidRPr="001F1262" w:rsidRDefault="005D3FE1" w:rsidP="005D3FE1">
      <w:pPr>
        <w:pStyle w:val="Head4"/>
      </w:pPr>
      <w:bookmarkStart w:id="96" w:name="_Toc223687749"/>
      <w:r>
        <w:t>Alternative text</w:t>
      </w:r>
      <w:bookmarkEnd w:id="96"/>
    </w:p>
    <w:p w14:paraId="59356874" w14:textId="53893953" w:rsidR="008E40D0" w:rsidRPr="00277385" w:rsidRDefault="008E40D0" w:rsidP="008E40D0">
      <w:pPr>
        <w:pStyle w:val="BodyNum"/>
      </w:pPr>
      <w:r w:rsidRPr="00277385">
        <w:t>To meet accessibility requirements, alt text (short for “alternative text”) should be applied to any images contained in the document, including formulas. Alt text is a short textual description of the image that is not visible on the face of the relevant document but, instead, sits in the properties of the image.</w:t>
      </w:r>
    </w:p>
    <w:p w14:paraId="70F5022E" w14:textId="675F9DDB" w:rsidR="008E40D0" w:rsidRPr="00277385" w:rsidRDefault="008E40D0" w:rsidP="008E40D0">
      <w:pPr>
        <w:pStyle w:val="BodyNum"/>
      </w:pPr>
      <w:r w:rsidRPr="00277385">
        <w:t>It is important to include alt text because screen readers (mentioned in pa</w:t>
      </w:r>
      <w:r w:rsidRPr="00655352">
        <w:t>ragraph</w:t>
      </w:r>
      <w:r w:rsidR="000F2F90">
        <w:t xml:space="preserve"> </w:t>
      </w:r>
      <w:r w:rsidR="009A15A0">
        <w:fldChar w:fldCharType="begin"/>
      </w:r>
      <w:r w:rsidR="009A15A0">
        <w:instrText xml:space="preserve"> REF _Ref185322055 \r \h </w:instrText>
      </w:r>
      <w:r w:rsidR="009A15A0">
        <w:fldChar w:fldCharType="separate"/>
      </w:r>
      <w:r w:rsidR="00AB105F">
        <w:t>118</w:t>
      </w:r>
      <w:r w:rsidR="009A15A0">
        <w:fldChar w:fldCharType="end"/>
      </w:r>
      <w:r w:rsidR="009A15A0">
        <w:t xml:space="preserve"> </w:t>
      </w:r>
      <w:r w:rsidRPr="00655352">
        <w:t>ab</w:t>
      </w:r>
      <w:r w:rsidR="009A15A0">
        <w:t>ove</w:t>
      </w:r>
      <w:r w:rsidRPr="00655352">
        <w:t>)</w:t>
      </w:r>
      <w:r w:rsidRPr="00277385">
        <w:t xml:space="preserve"> rely on the alt text description. More information on alt text, including examples and guidance on what alt text to include, can be </w:t>
      </w:r>
      <w:r w:rsidRPr="00961F7C">
        <w:t xml:space="preserve">found in </w:t>
      </w:r>
      <w:hyperlink r:id="rId219" w:history="1">
        <w:r w:rsidRPr="00961F7C">
          <w:rPr>
            <w:rStyle w:val="Hyperlink"/>
          </w:rPr>
          <w:t>OPC Drafting Direction 1.9</w:t>
        </w:r>
      </w:hyperlink>
      <w:r>
        <w:t>.</w:t>
      </w:r>
    </w:p>
    <w:p w14:paraId="026188F7" w14:textId="2B0145D3" w:rsidR="008E40D0" w:rsidRPr="005D3FE1" w:rsidRDefault="008E40D0" w:rsidP="008E40D0">
      <w:pPr>
        <w:pStyle w:val="BodyNum"/>
        <w:rPr>
          <w:szCs w:val="24"/>
        </w:rPr>
      </w:pPr>
      <w:r>
        <w:t xml:space="preserve"> An additional service fee will apply if OPC is required to add alt text to any images or objects. See </w:t>
      </w:r>
      <w:r w:rsidRPr="00FD274F">
        <w:t xml:space="preserve">paragraph </w:t>
      </w:r>
      <w:r w:rsidRPr="00FD274F">
        <w:fldChar w:fldCharType="begin"/>
      </w:r>
      <w:r w:rsidRPr="00FD274F">
        <w:instrText xml:space="preserve"> REF _Ref434314290 \r \h  \* MERGEFORMAT </w:instrText>
      </w:r>
      <w:r w:rsidRPr="00FD274F">
        <w:fldChar w:fldCharType="separate"/>
      </w:r>
      <w:r w:rsidR="00AB105F">
        <w:t>162</w:t>
      </w:r>
      <w:r w:rsidRPr="00FD274F">
        <w:fldChar w:fldCharType="end"/>
      </w:r>
      <w:r w:rsidRPr="00FE5134">
        <w:t xml:space="preserve"> for furt</w:t>
      </w:r>
      <w:r>
        <w:t>her information on OPC’s special requirement and additional services fees.</w:t>
      </w:r>
    </w:p>
    <w:p w14:paraId="095A9686" w14:textId="298CFFE1" w:rsidR="00F6466E" w:rsidRPr="001F1262" w:rsidRDefault="00F6466E" w:rsidP="00F6466E">
      <w:pPr>
        <w:pStyle w:val="Head4"/>
      </w:pPr>
      <w:bookmarkStart w:id="97" w:name="_Toc223687750"/>
      <w:r>
        <w:t>Dynamic content</w:t>
      </w:r>
      <w:bookmarkEnd w:id="97"/>
    </w:p>
    <w:p w14:paraId="41E457F4" w14:textId="2EAE7CAC" w:rsidR="005101DF" w:rsidRDefault="00F6466E" w:rsidP="005101DF">
      <w:pPr>
        <w:pStyle w:val="BodyNum"/>
      </w:pPr>
      <w:r>
        <w:t xml:space="preserve">To ensure the accuracy of the Register </w:t>
      </w:r>
      <w:r w:rsidR="00C4129B">
        <w:t>(see</w:t>
      </w:r>
      <w:r w:rsidR="00140EA6">
        <w:t xml:space="preserve"> </w:t>
      </w:r>
      <w:hyperlink r:id="rId220" w:history="1">
        <w:r w:rsidR="00140EA6" w:rsidRPr="00C429A4">
          <w:rPr>
            <w:rStyle w:val="Hyperlink"/>
          </w:rPr>
          <w:t>LA</w:t>
        </w:r>
      </w:hyperlink>
      <w:r w:rsidR="006E64AD">
        <w:t xml:space="preserve"> s 15B)</w:t>
      </w:r>
      <w:r w:rsidR="00140EA6">
        <w:t>, d</w:t>
      </w:r>
      <w:r w:rsidR="00603316" w:rsidRPr="00603316">
        <w:t>ocuments must be lodged without content that is both dynamic and interferes with the accuracy of the document</w:t>
      </w:r>
      <w:r w:rsidR="005101DF">
        <w:t xml:space="preserve"> (</w:t>
      </w:r>
      <w:hyperlink r:id="rId221" w:history="1">
        <w:r w:rsidR="005101DF" w:rsidRPr="00001937">
          <w:rPr>
            <w:rStyle w:val="Hyperlink"/>
          </w:rPr>
          <w:t>LR</w:t>
        </w:r>
      </w:hyperlink>
      <w:r w:rsidR="005101DF">
        <w:t xml:space="preserve"> s 6(5))</w:t>
      </w:r>
      <w:r w:rsidR="00603316" w:rsidRPr="00603316">
        <w:t>. Content that is dynamic, but does not interfere with accuracy, can be included in documents.</w:t>
      </w:r>
    </w:p>
    <w:p w14:paraId="1CCB18B7" w14:textId="6CFA52FA" w:rsidR="00EB0315" w:rsidRDefault="00603316" w:rsidP="00C40473">
      <w:pPr>
        <w:pStyle w:val="BodyNum"/>
      </w:pPr>
      <w:r w:rsidRPr="00603316">
        <w:t>An example of content that can be dynamic but could be included, if it functions as intended in an instrument, compilation of an instrument or other document</w:t>
      </w:r>
      <w:r w:rsidR="00E83807">
        <w:t>,</w:t>
      </w:r>
      <w:r w:rsidRPr="00603316">
        <w:t xml:space="preserve"> is a table of contents. Examples of dynamic content </w:t>
      </w:r>
      <w:r w:rsidR="004E09A7">
        <w:t>that interfere</w:t>
      </w:r>
      <w:r w:rsidRPr="00603316">
        <w:t xml:space="preserve"> with the accuracy of a document include when a document is converted and dynamic content updates to no longer match the document as made, or where useability elements do not function as intended, such as dynamic page numbers not reflecting the actual page numbers.</w:t>
      </w:r>
      <w:r w:rsidR="00C40473">
        <w:t xml:space="preserve"> </w:t>
      </w:r>
      <w:r w:rsidR="00EB0315">
        <w:t>A common instance of dynamic content interfering with accuracy is where a field code is unable to pull relevant data and results in an error</w:t>
      </w:r>
      <w:r w:rsidR="00667939">
        <w:t xml:space="preserve"> message.</w:t>
      </w:r>
    </w:p>
    <w:p w14:paraId="1F336792" w14:textId="233DD584" w:rsidR="005D3FE1" w:rsidRPr="001F1262" w:rsidRDefault="005D3FE1" w:rsidP="005D3FE1">
      <w:pPr>
        <w:pStyle w:val="Head4"/>
      </w:pPr>
      <w:bookmarkStart w:id="98" w:name="_Toc223687751"/>
      <w:r>
        <w:t>Other considerations</w:t>
      </w:r>
      <w:bookmarkEnd w:id="98"/>
    </w:p>
    <w:p w14:paraId="72D00EB8" w14:textId="77777777" w:rsidR="008E40D0" w:rsidRPr="00FD274F" w:rsidRDefault="008E40D0" w:rsidP="008E40D0">
      <w:pPr>
        <w:pStyle w:val="BodyNum"/>
      </w:pPr>
      <w:r w:rsidRPr="00FD274F">
        <w:t>Meeting these requirements is important but may not, on its own, ensure that text and other content is fully machine and people</w:t>
      </w:r>
      <w:r>
        <w:noBreakHyphen/>
      </w:r>
      <w:r w:rsidRPr="00FD274F">
        <w:t>readable. Agencies should, therefore:</w:t>
      </w:r>
    </w:p>
    <w:p w14:paraId="32D1A262" w14:textId="77777777" w:rsidR="008E40D0" w:rsidRPr="00FD274F" w:rsidRDefault="008E40D0" w:rsidP="008E40D0">
      <w:pPr>
        <w:pStyle w:val="BodyPara"/>
      </w:pPr>
      <w:r w:rsidRPr="00FD274F">
        <w:t>format the text of documents using styles or equivalent; and</w:t>
      </w:r>
    </w:p>
    <w:p w14:paraId="2F4F459F" w14:textId="77777777" w:rsidR="008E40D0" w:rsidRPr="00FD274F" w:rsidRDefault="008E40D0" w:rsidP="008E40D0">
      <w:pPr>
        <w:pStyle w:val="BodyPara"/>
      </w:pPr>
      <w:r w:rsidRPr="00FD274F">
        <w:t>choose an easily readable font and font size for normal text—OPC’s current practice is to use 11 point Times New Roman for most text; and</w:t>
      </w:r>
    </w:p>
    <w:p w14:paraId="0F2EAB33" w14:textId="77777777" w:rsidR="008E40D0" w:rsidRPr="00FD274F" w:rsidRDefault="008E40D0" w:rsidP="008E40D0">
      <w:pPr>
        <w:pStyle w:val="BodyPara"/>
      </w:pPr>
      <w:r w:rsidRPr="00FD274F">
        <w:t>present mathematical formulas as images; and</w:t>
      </w:r>
    </w:p>
    <w:p w14:paraId="0C6A6D1E" w14:textId="7978F32A" w:rsidR="008E40D0" w:rsidRPr="00FD274F" w:rsidRDefault="008E40D0" w:rsidP="008E40D0">
      <w:pPr>
        <w:pStyle w:val="BodyPara"/>
      </w:pPr>
      <w:r w:rsidRPr="00FD274F">
        <w:t xml:space="preserve">ensure all images are legible, and are tagged with an “alt text” description for people who use </w:t>
      </w:r>
      <w:r w:rsidR="005D78F5">
        <w:t>screen readers</w:t>
      </w:r>
      <w:r w:rsidRPr="00FD274F">
        <w:t>; and</w:t>
      </w:r>
    </w:p>
    <w:p w14:paraId="69E8C41B" w14:textId="77777777" w:rsidR="008E40D0" w:rsidRPr="00FD274F" w:rsidRDefault="008E40D0" w:rsidP="008E40D0">
      <w:pPr>
        <w:pStyle w:val="BodyPara"/>
      </w:pPr>
      <w:r w:rsidRPr="00FD274F">
        <w:lastRenderedPageBreak/>
        <w:t>preview what the document is likely to look like when converted into PDF or HTML format (for example, by using the “Save As” feature in Word); and</w:t>
      </w:r>
    </w:p>
    <w:p w14:paraId="21B82018" w14:textId="77777777" w:rsidR="008E40D0" w:rsidRPr="00FD274F" w:rsidRDefault="008E40D0" w:rsidP="008E40D0">
      <w:pPr>
        <w:pStyle w:val="BodyPara"/>
      </w:pPr>
      <w:r w:rsidRPr="00FD274F">
        <w:t>consider splitting very large files that exceed 10MB or 600 pages into multiple volumes to avoid excessive download times; and</w:t>
      </w:r>
    </w:p>
    <w:p w14:paraId="2FB3FBDB" w14:textId="77777777" w:rsidR="008E40D0" w:rsidRPr="00FD274F" w:rsidRDefault="008E40D0" w:rsidP="008E40D0">
      <w:pPr>
        <w:pStyle w:val="BodyPara"/>
      </w:pPr>
      <w:r w:rsidRPr="00FD274F">
        <w:t>finalise the document only after checking for hidden issues—in Word 2010, for example, this can be done using the File | Info | Check for Issues toolset.</w:t>
      </w:r>
    </w:p>
    <w:p w14:paraId="42F73999" w14:textId="0CF49608" w:rsidR="00EE05CE" w:rsidRPr="001F1262" w:rsidRDefault="001F2679" w:rsidP="00EE05CE">
      <w:pPr>
        <w:pStyle w:val="Head4"/>
      </w:pPr>
      <w:bookmarkStart w:id="99" w:name="_Toc223687752"/>
      <w:r>
        <w:t>Preventable issues</w:t>
      </w:r>
      <w:bookmarkEnd w:id="99"/>
    </w:p>
    <w:p w14:paraId="26D1D0CF" w14:textId="53E50834" w:rsidR="008E40D0" w:rsidRPr="00FD274F" w:rsidRDefault="008E40D0" w:rsidP="008E40D0">
      <w:pPr>
        <w:pStyle w:val="BodyNum"/>
      </w:pPr>
      <w:r w:rsidRPr="00FD274F">
        <w:t>Things that are likely to cause problems, and that should be avoided</w:t>
      </w:r>
      <w:r w:rsidR="00AB7DEA">
        <w:t xml:space="preserve"> whenever possible</w:t>
      </w:r>
      <w:r w:rsidRPr="00FD274F">
        <w:t>, include the following:</w:t>
      </w:r>
    </w:p>
    <w:p w14:paraId="5A445D47" w14:textId="2E6FF4B7" w:rsidR="008E40D0" w:rsidRPr="00FD274F" w:rsidRDefault="008E40D0" w:rsidP="008E40D0">
      <w:pPr>
        <w:pStyle w:val="BodyPara"/>
      </w:pPr>
      <w:r w:rsidRPr="00FD274F">
        <w:t>content such as revisions and comments</w:t>
      </w:r>
      <w:r w:rsidR="00F32BB7">
        <w:t>, whether visible or hidden,</w:t>
      </w:r>
      <w:r w:rsidRPr="00FD274F">
        <w:t xml:space="preserve"> that may not be intend</w:t>
      </w:r>
      <w:r>
        <w:t>ed or suitable for publication</w:t>
      </w:r>
      <w:r w:rsidR="002672AC">
        <w:t xml:space="preserve"> (see </w:t>
      </w:r>
      <w:hyperlink r:id="rId222" w:history="1">
        <w:r w:rsidR="002672AC" w:rsidRPr="00001937">
          <w:rPr>
            <w:rStyle w:val="Hyperlink"/>
          </w:rPr>
          <w:t>LR</w:t>
        </w:r>
      </w:hyperlink>
      <w:r w:rsidR="002672AC">
        <w:t xml:space="preserve"> s 16)</w:t>
      </w:r>
      <w:r>
        <w:t>;</w:t>
      </w:r>
    </w:p>
    <w:p w14:paraId="0BBB62F5" w14:textId="77777777" w:rsidR="008E40D0" w:rsidRPr="00FD274F" w:rsidRDefault="008E40D0" w:rsidP="008E40D0">
      <w:pPr>
        <w:pStyle w:val="BodyPara"/>
      </w:pPr>
      <w:r w:rsidRPr="00FD274F">
        <w:t>field codes and macros—these may no longer work, or may not work in the way intended, when the document is published by OPC;</w:t>
      </w:r>
    </w:p>
    <w:p w14:paraId="2ED015A4" w14:textId="77777777" w:rsidR="008E40D0" w:rsidRPr="00FD274F" w:rsidRDefault="008E40D0" w:rsidP="008E40D0">
      <w:pPr>
        <w:pStyle w:val="BodyPara"/>
      </w:pPr>
      <w:r w:rsidRPr="00FD274F">
        <w:t xml:space="preserve">special symbols—the Greek letter “Mu” (μ) in particular is at risk of being misread by some devices/software so </w:t>
      </w:r>
      <w:proofErr w:type="spellStart"/>
      <w:r w:rsidRPr="00FD274F">
        <w:t>μg</w:t>
      </w:r>
      <w:proofErr w:type="spellEnd"/>
      <w:r w:rsidRPr="00FD274F">
        <w:t xml:space="preserve"> may be misread as mg;</w:t>
      </w:r>
    </w:p>
    <w:p w14:paraId="7FDAF6BC" w14:textId="77777777" w:rsidR="008E40D0" w:rsidRPr="00FD274F" w:rsidRDefault="008E40D0" w:rsidP="008E40D0">
      <w:pPr>
        <w:pStyle w:val="BodyPara"/>
      </w:pPr>
      <w:r w:rsidRPr="00FD274F">
        <w:t>highlighting, watermarks or background images that may obscure the text.</w:t>
      </w:r>
    </w:p>
    <w:p w14:paraId="25FF61AD" w14:textId="57D941FD" w:rsidR="00AB7DEA" w:rsidRDefault="00944E2A" w:rsidP="00AB7DEA">
      <w:pPr>
        <w:pStyle w:val="BodyNum"/>
      </w:pPr>
      <w:r>
        <w:t xml:space="preserve">The elements identified above may have unintended consequences on the appearance and readability of </w:t>
      </w:r>
      <w:r w:rsidR="00B13AF7">
        <w:t>legislation</w:t>
      </w:r>
      <w:r>
        <w:t>, negatively impacting accessibility. Resolving these issues during the registration process can be both complex and time-consuming</w:t>
      </w:r>
      <w:r w:rsidR="00B13AF7">
        <w:t>.</w:t>
      </w:r>
    </w:p>
    <w:p w14:paraId="64B884ED" w14:textId="68D36A84" w:rsidR="00477BDA" w:rsidRPr="001F1262" w:rsidRDefault="00477BDA" w:rsidP="00477BDA">
      <w:pPr>
        <w:pStyle w:val="Head4"/>
      </w:pPr>
      <w:bookmarkStart w:id="100" w:name="_Toc223687753"/>
      <w:r>
        <w:t>Footers</w:t>
      </w:r>
      <w:bookmarkEnd w:id="100"/>
    </w:p>
    <w:p w14:paraId="0E38996A" w14:textId="1C2EDD34" w:rsidR="008E40D0" w:rsidRPr="00961F7C" w:rsidRDefault="00477BDA" w:rsidP="008E40D0">
      <w:pPr>
        <w:pStyle w:val="BodyNum"/>
        <w:keepLines/>
      </w:pPr>
      <w:r>
        <w:t>A</w:t>
      </w:r>
      <w:r w:rsidR="008E40D0" w:rsidRPr="00FD274F">
        <w:t xml:space="preserve">gencies should also ensure that at least 1cm is left blank at the bottom of each page. This is so that no content is obscured when the document is stamped with its unique identifier and, if applicable, the words that indicate that it is an authorised version </w:t>
      </w:r>
      <w:r w:rsidR="008E40D0" w:rsidRPr="00961F7C">
        <w:t xml:space="preserve">(see </w:t>
      </w:r>
      <w:hyperlink r:id="rId223" w:history="1">
        <w:r w:rsidR="000E1625" w:rsidRPr="00001937">
          <w:rPr>
            <w:rStyle w:val="Hyperlink"/>
          </w:rPr>
          <w:t>LR</w:t>
        </w:r>
      </w:hyperlink>
      <w:r w:rsidR="000E1625">
        <w:t xml:space="preserve"> s 13 and 1</w:t>
      </w:r>
      <w:r w:rsidR="00982C8A">
        <w:t>8(2)</w:t>
      </w:r>
      <w:r w:rsidR="008E40D0" w:rsidRPr="00961F7C">
        <w:t>).</w:t>
      </w:r>
    </w:p>
    <w:p w14:paraId="74CC438A" w14:textId="686FE2D3" w:rsidR="00F74BA7" w:rsidRPr="001F1262" w:rsidRDefault="00F74BA7" w:rsidP="00F74BA7">
      <w:pPr>
        <w:pStyle w:val="Head4"/>
      </w:pPr>
      <w:bookmarkStart w:id="101" w:name="_Toc223687754"/>
      <w:bookmarkStart w:id="102" w:name="_Ref384353433"/>
      <w:r>
        <w:t>Resolving issues</w:t>
      </w:r>
      <w:bookmarkEnd w:id="101"/>
    </w:p>
    <w:p w14:paraId="2C622896" w14:textId="1EB721DE" w:rsidR="008E40D0" w:rsidRDefault="008E40D0" w:rsidP="008E40D0">
      <w:pPr>
        <w:pStyle w:val="BodyNum"/>
      </w:pPr>
      <w:bookmarkStart w:id="103" w:name="_Ref184284176"/>
      <w:r w:rsidRPr="00FD274F">
        <w:t>If significant technical issues are identified during or after the registration process, OPC will generally contact the lodging agency to discuss the situation and suggest what can be done to resolve it.</w:t>
      </w:r>
      <w:bookmarkEnd w:id="102"/>
      <w:bookmarkEnd w:id="103"/>
    </w:p>
    <w:p w14:paraId="4CBBDB5B" w14:textId="77777777" w:rsidR="008E40D0" w:rsidRPr="00FD274F" w:rsidRDefault="008E40D0" w:rsidP="008E40D0">
      <w:pPr>
        <w:pStyle w:val="Head3"/>
      </w:pPr>
      <w:bookmarkStart w:id="104" w:name="_Toc223687755"/>
      <w:r w:rsidRPr="00FD274F">
        <w:t>Improving drafting standards</w:t>
      </w:r>
      <w:bookmarkEnd w:id="104"/>
    </w:p>
    <w:p w14:paraId="5DDB1C3B" w14:textId="1DA77F9C" w:rsidR="008E40D0" w:rsidRPr="00FD274F" w:rsidRDefault="008E40D0" w:rsidP="008E40D0">
      <w:pPr>
        <w:pStyle w:val="BodyNum"/>
        <w:keepNext/>
      </w:pPr>
      <w:r w:rsidRPr="004B337C">
        <w:t xml:space="preserve">Section 16 of the </w:t>
      </w:r>
      <w:hyperlink r:id="rId224" w:history="1">
        <w:r w:rsidRPr="004B337C">
          <w:rPr>
            <w:rStyle w:val="Hyperlink"/>
          </w:rPr>
          <w:t>LA</w:t>
        </w:r>
      </w:hyperlink>
      <w:r w:rsidRPr="004B337C">
        <w:rPr>
          <w:rStyle w:val="Hyperlink"/>
        </w:rPr>
        <w:t xml:space="preserve"> </w:t>
      </w:r>
      <w:r w:rsidRPr="004B337C">
        <w:t>r</w:t>
      </w:r>
      <w:r w:rsidRPr="00FD274F">
        <w:t>equires the First Parliamentary Counsel to cause steps to be taken to promote the legal effectiveness, clarity, and intelligibility to anticipated users, of legislative instruments</w:t>
      </w:r>
      <w:r>
        <w:t xml:space="preserve"> and notifiable instruments</w:t>
      </w:r>
      <w:r w:rsidRPr="00FD274F">
        <w:t>. The steps may include, but are not limited to, the following:</w:t>
      </w:r>
    </w:p>
    <w:p w14:paraId="39D6EC09" w14:textId="77777777" w:rsidR="008E40D0" w:rsidRPr="00FD274F" w:rsidRDefault="008E40D0" w:rsidP="008E40D0">
      <w:pPr>
        <w:pStyle w:val="BodyPara"/>
      </w:pPr>
      <w:r w:rsidRPr="00FD274F">
        <w:t>undertaking or supervising the drafting of instruments;</w:t>
      </w:r>
    </w:p>
    <w:p w14:paraId="0529DEA1" w14:textId="77777777" w:rsidR="008E40D0" w:rsidRPr="00FD274F" w:rsidRDefault="008E40D0" w:rsidP="008E40D0">
      <w:pPr>
        <w:pStyle w:val="BodyPara"/>
      </w:pPr>
      <w:r w:rsidRPr="00FD274F">
        <w:lastRenderedPageBreak/>
        <w:t>scrutinising preliminary drafts of instruments;</w:t>
      </w:r>
    </w:p>
    <w:p w14:paraId="324E734C" w14:textId="77777777" w:rsidR="008E40D0" w:rsidRPr="00FD274F" w:rsidRDefault="008E40D0" w:rsidP="008E40D0">
      <w:pPr>
        <w:pStyle w:val="BodyPara"/>
      </w:pPr>
      <w:r w:rsidRPr="00FD274F">
        <w:t>providing advice about the drafting of instruments;</w:t>
      </w:r>
    </w:p>
    <w:p w14:paraId="06A9F5EB" w14:textId="77777777" w:rsidR="008E40D0" w:rsidRPr="00FD274F" w:rsidRDefault="008E40D0" w:rsidP="008E40D0">
      <w:pPr>
        <w:pStyle w:val="BodyPara"/>
      </w:pPr>
      <w:r w:rsidRPr="00FD274F">
        <w:t>providing training in drafting and drafting</w:t>
      </w:r>
      <w:r>
        <w:noBreakHyphen/>
      </w:r>
      <w:r w:rsidRPr="00FD274F">
        <w:t>related matters to agencies;</w:t>
      </w:r>
    </w:p>
    <w:p w14:paraId="414BDA8A" w14:textId="77777777" w:rsidR="008E40D0" w:rsidRPr="00FD274F" w:rsidRDefault="008E40D0" w:rsidP="008E40D0">
      <w:pPr>
        <w:pStyle w:val="BodyPara"/>
      </w:pPr>
      <w:r w:rsidRPr="00FD274F">
        <w:t>arranging the temporary secondment of OPC staff to agencies;</w:t>
      </w:r>
    </w:p>
    <w:p w14:paraId="160BB362" w14:textId="77777777" w:rsidR="008E40D0" w:rsidRPr="00FD274F" w:rsidRDefault="008E40D0" w:rsidP="008E40D0">
      <w:pPr>
        <w:pStyle w:val="BodyPara"/>
      </w:pPr>
      <w:r w:rsidRPr="00FD274F">
        <w:t>providing drafting precedents to agencies.</w:t>
      </w:r>
    </w:p>
    <w:p w14:paraId="51672A2D" w14:textId="57CE07AA" w:rsidR="0066424A" w:rsidRDefault="008E40D0" w:rsidP="00406FA2">
      <w:pPr>
        <w:pStyle w:val="BodyNum"/>
        <w:sectPr w:rsidR="0066424A" w:rsidSect="008123DC">
          <w:headerReference w:type="default" r:id="rId225"/>
          <w:footerReference w:type="default" r:id="rId226"/>
          <w:pgSz w:w="11907" w:h="16839" w:code="9"/>
          <w:pgMar w:top="1440" w:right="1440" w:bottom="1418" w:left="1440" w:header="720" w:footer="720" w:gutter="0"/>
          <w:cols w:sep="1" w:space="567"/>
          <w:docGrid w:linePitch="360"/>
        </w:sectPr>
      </w:pPr>
      <w:bookmarkStart w:id="105" w:name="_Ref367446214"/>
      <w:r w:rsidRPr="00FD274F">
        <w:t>This Handbook, issued by the First Parliamentary Counsel, includes important information to assist agencies to improve drafting standards. OP</w:t>
      </w:r>
      <w:r w:rsidRPr="00961F7C">
        <w:t xml:space="preserve">C’s </w:t>
      </w:r>
      <w:hyperlink r:id="rId227" w:history="1">
        <w:r w:rsidRPr="00961F7C">
          <w:rPr>
            <w:rStyle w:val="Hyperlink"/>
          </w:rPr>
          <w:t>Drafting Directions</w:t>
        </w:r>
      </w:hyperlink>
      <w:r w:rsidRPr="00FD274F">
        <w:t xml:space="preserve"> deal comprehensively with the drafting of instruments as well as Bills. </w:t>
      </w:r>
      <w:hyperlink r:id="rId228" w:history="1">
        <w:r w:rsidR="00DD06EE">
          <w:rPr>
            <w:rStyle w:val="Hyperlink"/>
          </w:rPr>
          <w:t>OPC’s Instrument Fact Sheet Series</w:t>
        </w:r>
      </w:hyperlink>
      <w:r w:rsidR="00DD06EE">
        <w:t xml:space="preserve"> provide brief guides and summaries on key considerations for instruments. </w:t>
      </w:r>
      <w:r w:rsidRPr="00FD274F">
        <w:t>OPC is also available on a fee</w:t>
      </w:r>
      <w:r>
        <w:noBreakHyphen/>
      </w:r>
      <w:r w:rsidRPr="00FD274F">
        <w:t>for</w:t>
      </w:r>
      <w:r>
        <w:noBreakHyphen/>
      </w:r>
      <w:r w:rsidRPr="00FD274F">
        <w:t>service basis to provide training to agency staff who prepare legislative instruments.</w:t>
      </w:r>
      <w:bookmarkEnd w:id="105"/>
      <w:r w:rsidRPr="00FD274F">
        <w:t xml:space="preserve"> For further information, please contact </w:t>
      </w:r>
      <w:r>
        <w:t>O</w:t>
      </w:r>
      <w:r w:rsidRPr="00961F7C">
        <w:t>PC’s</w:t>
      </w:r>
      <w:r>
        <w:t xml:space="preserve"> </w:t>
      </w:r>
      <w:hyperlink r:id="rId229" w:history="1">
        <w:r w:rsidR="009467A6">
          <w:rPr>
            <w:rStyle w:val="Hyperlink"/>
          </w:rPr>
          <w:t>instrument client advisers</w:t>
        </w:r>
      </w:hyperlink>
      <w:r>
        <w:t>.</w:t>
      </w:r>
      <w:bookmarkStart w:id="106" w:name="Chapter4"/>
    </w:p>
    <w:p w14:paraId="4A7EF613" w14:textId="4394411E" w:rsidR="0084047D" w:rsidRPr="00FD274F" w:rsidRDefault="0084047D" w:rsidP="00BC14EC">
      <w:pPr>
        <w:pStyle w:val="Head2"/>
      </w:pPr>
      <w:bookmarkStart w:id="107" w:name="_Toc223687756"/>
      <w:r w:rsidRPr="00FD274F">
        <w:lastRenderedPageBreak/>
        <w:t>Chapter 4—</w:t>
      </w:r>
      <w:r w:rsidR="00E94C94" w:rsidRPr="00FD274F">
        <w:t>Lodgement and registration of instruments</w:t>
      </w:r>
      <w:bookmarkEnd w:id="107"/>
    </w:p>
    <w:p w14:paraId="03B31B29" w14:textId="77777777" w:rsidR="0084047D" w:rsidRPr="00FD274F" w:rsidRDefault="00942F8D" w:rsidP="0084047D">
      <w:pPr>
        <w:pStyle w:val="SundryBoxHeadBold"/>
      </w:pPr>
      <w:r>
        <w:t>Main points</w:t>
      </w:r>
    </w:p>
    <w:p w14:paraId="0925A8B9" w14:textId="5919A8DD" w:rsidR="0084047D" w:rsidRDefault="0084047D" w:rsidP="00E94C94">
      <w:pPr>
        <w:pStyle w:val="SundryBoxBullet"/>
      </w:pPr>
      <w:r w:rsidRPr="00FD274F">
        <w:t>•</w:t>
      </w:r>
      <w:r w:rsidRPr="00FD274F">
        <w:tab/>
      </w:r>
      <w:r w:rsidR="00E94C94" w:rsidRPr="00FD274F">
        <w:t xml:space="preserve">An </w:t>
      </w:r>
      <w:r w:rsidRPr="00FD274F">
        <w:t xml:space="preserve">instrument must be lodged for registration as soon as practicable after making, preferably </w:t>
      </w:r>
      <w:r w:rsidR="00E94C94" w:rsidRPr="00FD274F">
        <w:t>with its explanatory statement if required.</w:t>
      </w:r>
    </w:p>
    <w:p w14:paraId="36D23266" w14:textId="04389D1E" w:rsidR="002526E1" w:rsidRDefault="002526E1" w:rsidP="002526E1">
      <w:pPr>
        <w:pStyle w:val="SundryBoxBullet"/>
      </w:pPr>
      <w:r w:rsidRPr="00FD274F">
        <w:t>•</w:t>
      </w:r>
      <w:r w:rsidRPr="00FD274F">
        <w:tab/>
      </w:r>
      <w:bookmarkStart w:id="108" w:name="_Hlk181256906"/>
      <w:r>
        <w:rPr>
          <w:rFonts w:eastAsia="Times New Roman"/>
        </w:rPr>
        <w:t xml:space="preserve">There is limited ability to remove items from the Register </w:t>
      </w:r>
      <w:r w:rsidR="00B26735">
        <w:rPr>
          <w:rFonts w:eastAsia="Times New Roman"/>
        </w:rPr>
        <w:t xml:space="preserve">once registered, </w:t>
      </w:r>
      <w:r>
        <w:rPr>
          <w:rFonts w:eastAsia="Times New Roman"/>
        </w:rPr>
        <w:t xml:space="preserve">so </w:t>
      </w:r>
      <w:r w:rsidR="00560B62">
        <w:rPr>
          <w:rFonts w:eastAsia="Times New Roman"/>
        </w:rPr>
        <w:t xml:space="preserve">agencies should check </w:t>
      </w:r>
      <w:r>
        <w:rPr>
          <w:rFonts w:eastAsia="Times New Roman"/>
        </w:rPr>
        <w:t xml:space="preserve">items carefully </w:t>
      </w:r>
      <w:r w:rsidR="00DA278C">
        <w:rPr>
          <w:rFonts w:eastAsia="Times New Roman"/>
        </w:rPr>
        <w:t>before lodging</w:t>
      </w:r>
      <w:r>
        <w:rPr>
          <w:rFonts w:eastAsia="Times New Roman"/>
        </w:rPr>
        <w:t>.</w:t>
      </w:r>
      <w:bookmarkEnd w:id="108"/>
    </w:p>
    <w:p w14:paraId="04C676DC" w14:textId="77777777" w:rsidR="0084047D" w:rsidRPr="00FD274F" w:rsidRDefault="0084047D" w:rsidP="0084047D">
      <w:pPr>
        <w:pStyle w:val="SundryBoxBullet"/>
      </w:pPr>
      <w:r w:rsidRPr="00FD274F">
        <w:t>•</w:t>
      </w:r>
      <w:r w:rsidRPr="00FD274F">
        <w:tab/>
        <w:t>Registration is not the end of the process—</w:t>
      </w:r>
      <w:r w:rsidR="006734B9" w:rsidRPr="00FD274F">
        <w:t xml:space="preserve">both agencies and OPC are required to take action to ensure that </w:t>
      </w:r>
      <w:r w:rsidR="00A34456" w:rsidRPr="00FD274F">
        <w:t>the Register</w:t>
      </w:r>
      <w:r w:rsidRPr="00FD274F">
        <w:t xml:space="preserve"> remains complete and accurate.</w:t>
      </w:r>
    </w:p>
    <w:p w14:paraId="4CCA8B7F" w14:textId="77777777" w:rsidR="0084047D" w:rsidRPr="00FD274F" w:rsidRDefault="0084047D" w:rsidP="0084047D">
      <w:pPr>
        <w:pStyle w:val="Head3"/>
      </w:pPr>
      <w:bookmarkStart w:id="109" w:name="_Toc223687757"/>
      <w:r w:rsidRPr="00FD274F">
        <w:t>Requirement to lodge instruments with OPC</w:t>
      </w:r>
      <w:bookmarkEnd w:id="109"/>
    </w:p>
    <w:p w14:paraId="689BFC9F" w14:textId="6FB1C9D6" w:rsidR="00B12E43" w:rsidRDefault="00B12E43" w:rsidP="00B12E43">
      <w:pPr>
        <w:pStyle w:val="BodyNum"/>
      </w:pPr>
      <w:r w:rsidRPr="00FD274F">
        <w:t xml:space="preserve">All instruments must be lodged for registration as soon as practicable after making </w:t>
      </w:r>
      <w:r w:rsidRPr="004B337C">
        <w:t>(</w:t>
      </w:r>
      <w:hyperlink r:id="rId230" w:history="1">
        <w:r w:rsidRPr="004B337C">
          <w:rPr>
            <w:rStyle w:val="Hyperlink"/>
          </w:rPr>
          <w:t>LA</w:t>
        </w:r>
      </w:hyperlink>
      <w:r w:rsidRPr="004B337C">
        <w:t xml:space="preserve"> s 15G).</w:t>
      </w:r>
    </w:p>
    <w:p w14:paraId="168D767F" w14:textId="481FDD1C" w:rsidR="005F2A7F" w:rsidRDefault="00435C8E" w:rsidP="000E3C61">
      <w:pPr>
        <w:pStyle w:val="BodyNum"/>
      </w:pPr>
      <w:r>
        <w:t>All material lodged for registration will be publicly available</w:t>
      </w:r>
      <w:r w:rsidR="005F2A7F">
        <w:t xml:space="preserve"> </w:t>
      </w:r>
      <w:r w:rsidR="00E9491C">
        <w:t xml:space="preserve">on the Register, </w:t>
      </w:r>
      <w:r w:rsidR="005F2A7F">
        <w:t xml:space="preserve">and should not </w:t>
      </w:r>
      <w:r w:rsidR="0042391D">
        <w:t>contain security classifications or protective markings of any kind</w:t>
      </w:r>
      <w:r w:rsidR="002525CA">
        <w:t xml:space="preserve"> as set out by the Protective Security Policy Framework</w:t>
      </w:r>
      <w:r w:rsidR="002525CA" w:rsidRPr="004532FE">
        <w:rPr>
          <w:rStyle w:val="FootnoteReference"/>
        </w:rPr>
        <w:footnoteReference w:id="16"/>
      </w:r>
      <w:r w:rsidR="0042391D">
        <w:t xml:space="preserve">. </w:t>
      </w:r>
      <w:r w:rsidR="00471378">
        <w:t xml:space="preserve">Prior to lodging, </w:t>
      </w:r>
      <w:r w:rsidR="001B718D">
        <w:t xml:space="preserve">please ensure </w:t>
      </w:r>
      <w:r w:rsidR="00545636">
        <w:t>there are no</w:t>
      </w:r>
      <w:r w:rsidR="001B718D">
        <w:t xml:space="preserve"> </w:t>
      </w:r>
      <w:r w:rsidR="00471378">
        <w:t>s</w:t>
      </w:r>
      <w:r w:rsidR="0042391D">
        <w:t xml:space="preserve">ecurity classifications </w:t>
      </w:r>
      <w:r w:rsidR="001B718D">
        <w:t>or</w:t>
      </w:r>
      <w:r w:rsidR="0042391D">
        <w:t xml:space="preserve"> any other protective markings </w:t>
      </w:r>
      <w:r w:rsidR="00616DEC">
        <w:t xml:space="preserve">in </w:t>
      </w:r>
      <w:r w:rsidR="00471378">
        <w:t xml:space="preserve">material to be registered, </w:t>
      </w:r>
      <w:r w:rsidR="00616DEC">
        <w:t>including in the document properties.</w:t>
      </w:r>
    </w:p>
    <w:p w14:paraId="42E45668" w14:textId="5CCA6CA6" w:rsidR="00435C8E" w:rsidRDefault="00435C8E" w:rsidP="00B12E43">
      <w:pPr>
        <w:pStyle w:val="BodyNum"/>
      </w:pPr>
      <w:r>
        <w:t>Prior to lodging, please ensure that no author details</w:t>
      </w:r>
      <w:r w:rsidR="00533C6C">
        <w:t xml:space="preserve"> or</w:t>
      </w:r>
      <w:r>
        <w:t xml:space="preserve"> personal information </w:t>
      </w:r>
      <w:r w:rsidR="00533C6C">
        <w:t xml:space="preserve">are contained within material </w:t>
      </w:r>
      <w:r w:rsidR="00811736">
        <w:t>to be registered</w:t>
      </w:r>
      <w:r w:rsidR="004F4260">
        <w:t>, including in the document properties</w:t>
      </w:r>
      <w:r w:rsidR="00811736">
        <w:t>.</w:t>
      </w:r>
      <w:r w:rsidR="00052CF3">
        <w:t xml:space="preserve"> If any material lodged for registration contains any </w:t>
      </w:r>
      <w:r w:rsidR="00894CB8">
        <w:t xml:space="preserve">personal </w:t>
      </w:r>
      <w:r w:rsidR="00052CF3">
        <w:t>information</w:t>
      </w:r>
      <w:r w:rsidR="00F16EE7">
        <w:t>, please contact OPC to discuss options before lodging.</w:t>
      </w:r>
    </w:p>
    <w:p w14:paraId="4337407F" w14:textId="77777777" w:rsidR="00B12E43" w:rsidRPr="00FD274F" w:rsidRDefault="00B12E43" w:rsidP="00B12E43">
      <w:pPr>
        <w:pStyle w:val="BodyNum"/>
      </w:pPr>
      <w:r w:rsidRPr="00FD274F">
        <w:t>The steps involved in lodging an instrument f</w:t>
      </w:r>
      <w:r>
        <w:t>or registration are as follows:</w:t>
      </w:r>
    </w:p>
    <w:p w14:paraId="39B20EB8" w14:textId="77777777" w:rsidR="00B12E43" w:rsidRPr="00FD274F" w:rsidRDefault="00B12E43" w:rsidP="00B12E43">
      <w:pPr>
        <w:pStyle w:val="BodyPara"/>
      </w:pPr>
      <w:r w:rsidRPr="00FD274F">
        <w:t>create an online lodgement;</w:t>
      </w:r>
    </w:p>
    <w:p w14:paraId="7EEB86BA" w14:textId="77777777" w:rsidR="00B12E43" w:rsidRPr="00FD274F" w:rsidRDefault="00B12E43" w:rsidP="00B12E43">
      <w:pPr>
        <w:pStyle w:val="BodyPara"/>
      </w:pPr>
      <w:r w:rsidRPr="00FD274F">
        <w:t>attach the electronic version of the instrument</w:t>
      </w:r>
      <w:r>
        <w:t>;</w:t>
      </w:r>
    </w:p>
    <w:p w14:paraId="2C9C7E44" w14:textId="77777777" w:rsidR="00B12E43" w:rsidRDefault="00B12E43" w:rsidP="00B12E43">
      <w:pPr>
        <w:pStyle w:val="BodyPara"/>
      </w:pPr>
      <w:r>
        <w:t>for legislative instruments—attach the explanatory statement;</w:t>
      </w:r>
    </w:p>
    <w:p w14:paraId="0AA4B160" w14:textId="77777777" w:rsidR="00B12E43" w:rsidRPr="00FD274F" w:rsidRDefault="00B12E43" w:rsidP="00B12E43">
      <w:pPr>
        <w:pStyle w:val="BodyPara"/>
      </w:pPr>
      <w:r w:rsidRPr="00FD274F">
        <w:t xml:space="preserve">if required—attach </w:t>
      </w:r>
      <w:r>
        <w:t>other documents;</w:t>
      </w:r>
    </w:p>
    <w:p w14:paraId="6B356BF7" w14:textId="77777777" w:rsidR="00B12E43" w:rsidRPr="00FD274F" w:rsidRDefault="00B12E43" w:rsidP="00B12E43">
      <w:pPr>
        <w:pStyle w:val="BodyPara"/>
      </w:pPr>
      <w:r w:rsidRPr="00FD274F">
        <w:t>certify the online lodgement—this is the final step before OPC can register an instrument, and should only be taken once an instrument has been made.</w:t>
      </w:r>
    </w:p>
    <w:p w14:paraId="7B7BD67E" w14:textId="6277B206" w:rsidR="00B12E43" w:rsidRPr="00FD274F" w:rsidRDefault="00B12E43" w:rsidP="00B12E43">
      <w:pPr>
        <w:pStyle w:val="BodyNum"/>
      </w:pPr>
      <w:r>
        <w:t xml:space="preserve">Agencies do not </w:t>
      </w:r>
      <w:r w:rsidRPr="00FD274F">
        <w:t xml:space="preserve">need to lodge original instruments in hard copy, as electronic copies of registered laws and explanatory statements are authorised and taken to be a reliable source of information for the purpose of legal proceedings </w:t>
      </w:r>
      <w:r w:rsidRPr="004B337C">
        <w:t>(</w:t>
      </w:r>
      <w:hyperlink r:id="rId231" w:history="1">
        <w:r w:rsidRPr="004B337C">
          <w:rPr>
            <w:rStyle w:val="Hyperlink"/>
          </w:rPr>
          <w:t>LA</w:t>
        </w:r>
      </w:hyperlink>
      <w:r w:rsidRPr="004B337C">
        <w:t xml:space="preserve"> s 15ZB)</w:t>
      </w:r>
      <w:r w:rsidRPr="00FD274F">
        <w:t xml:space="preserve">. Agencies are, however, expected to manage hard copies in accordance with the </w:t>
      </w:r>
      <w:hyperlink r:id="rId232" w:history="1">
        <w:r w:rsidRPr="00A82ED8">
          <w:rPr>
            <w:rStyle w:val="Hyperlink"/>
            <w:i/>
          </w:rPr>
          <w:t>Archives Act 1983</w:t>
        </w:r>
      </w:hyperlink>
      <w:r w:rsidRPr="00A82ED8">
        <w:t xml:space="preserve"> an</w:t>
      </w:r>
      <w:r w:rsidRPr="00FD274F">
        <w:t xml:space="preserve">d related </w:t>
      </w:r>
      <w:r w:rsidRPr="00FD274F">
        <w:lastRenderedPageBreak/>
        <w:t xml:space="preserve">guidance on the destruction of original records after digitisation </w:t>
      </w:r>
      <w:r w:rsidRPr="00A82ED8">
        <w:t>(see the National Archives of Australia General Records Authority 31(</w:t>
      </w:r>
      <w:hyperlink r:id="rId233" w:history="1">
        <w:r w:rsidRPr="00A82ED8">
          <w:rPr>
            <w:rStyle w:val="Hyperlink"/>
          </w:rPr>
          <w:t>GRA31</w:t>
        </w:r>
      </w:hyperlink>
      <w:r w:rsidRPr="00A82ED8">
        <w:t>)).</w:t>
      </w:r>
    </w:p>
    <w:p w14:paraId="58E0920A" w14:textId="3E7FDE45" w:rsidR="00B12E43" w:rsidRPr="00FD274F" w:rsidRDefault="00B12E43" w:rsidP="00B12E43">
      <w:pPr>
        <w:pStyle w:val="BodyNum"/>
      </w:pPr>
      <w:r w:rsidRPr="00FD274F">
        <w:t xml:space="preserve">Failure to lodge instruments promptly can have significant legal and other consequences, particularly if this results in the instrument commencing retrospectively </w:t>
      </w:r>
      <w:r w:rsidRPr="001E349A">
        <w:t xml:space="preserve">(see paragraphs </w:t>
      </w:r>
      <w:r w:rsidRPr="00A82ED8">
        <w:fldChar w:fldCharType="begin"/>
      </w:r>
      <w:r w:rsidRPr="001E349A">
        <w:instrText xml:space="preserve"> REF _Ref444869799 \r \h  \* MERGEFORMAT </w:instrText>
      </w:r>
      <w:r w:rsidRPr="00A82ED8">
        <w:fldChar w:fldCharType="separate"/>
      </w:r>
      <w:r w:rsidR="00AB105F">
        <w:t>73</w:t>
      </w:r>
      <w:r w:rsidRPr="00A82ED8">
        <w:fldChar w:fldCharType="end"/>
      </w:r>
      <w:r w:rsidRPr="001E349A">
        <w:t xml:space="preserve"> </w:t>
      </w:r>
      <w:r>
        <w:t>to</w:t>
      </w:r>
      <w:r w:rsidRPr="001E349A">
        <w:t xml:space="preserve"> </w:t>
      </w:r>
      <w:r>
        <w:fldChar w:fldCharType="begin"/>
      </w:r>
      <w:r>
        <w:instrText xml:space="preserve"> REF _Ref112918881 \r \h </w:instrText>
      </w:r>
      <w:r>
        <w:fldChar w:fldCharType="separate"/>
      </w:r>
      <w:r w:rsidR="00AB105F">
        <w:t>78</w:t>
      </w:r>
      <w:r>
        <w:fldChar w:fldCharType="end"/>
      </w:r>
      <w:r w:rsidRPr="001E349A">
        <w:t>).</w:t>
      </w:r>
    </w:p>
    <w:p w14:paraId="3A4F639F" w14:textId="77777777" w:rsidR="00B12E43" w:rsidRPr="00FD274F" w:rsidRDefault="00B12E43" w:rsidP="00B12E43">
      <w:pPr>
        <w:pStyle w:val="Head4"/>
      </w:pPr>
      <w:bookmarkStart w:id="110" w:name="_Toc223687758"/>
      <w:r w:rsidRPr="00FD274F">
        <w:t>Step 1: Create online lodgement</w:t>
      </w:r>
      <w:bookmarkEnd w:id="110"/>
    </w:p>
    <w:p w14:paraId="12ADAA60" w14:textId="1E18395E" w:rsidR="00B12E43" w:rsidRPr="00FD274F" w:rsidRDefault="00B12E43" w:rsidP="00B12E43">
      <w:pPr>
        <w:pStyle w:val="BodyNum"/>
      </w:pPr>
      <w:r w:rsidRPr="00FD274F">
        <w:t>A separate online lo</w:t>
      </w:r>
      <w:r w:rsidRPr="00FD274F">
        <w:rPr>
          <w:szCs w:val="24"/>
        </w:rPr>
        <w:t>dgement must be created for e</w:t>
      </w:r>
      <w:r>
        <w:rPr>
          <w:szCs w:val="24"/>
        </w:rPr>
        <w:t>ach</w:t>
      </w:r>
      <w:r w:rsidRPr="00FD274F">
        <w:rPr>
          <w:szCs w:val="24"/>
        </w:rPr>
        <w:t xml:space="preserve"> instrument. This can only be done through the secure lodgement facility at </w:t>
      </w:r>
      <w:hyperlink r:id="rId234" w:history="1">
        <w:r w:rsidRPr="00FD274F">
          <w:rPr>
            <w:rStyle w:val="Hyperlink"/>
            <w:szCs w:val="24"/>
          </w:rPr>
          <w:t>https://lodge.legislation.gov.au</w:t>
        </w:r>
      </w:hyperlink>
      <w:r w:rsidRPr="00FD274F">
        <w:rPr>
          <w:color w:val="1F497D"/>
          <w:szCs w:val="24"/>
        </w:rPr>
        <w:t xml:space="preserve"> </w:t>
      </w:r>
      <w:r w:rsidRPr="00FD274F">
        <w:rPr>
          <w:szCs w:val="24"/>
        </w:rPr>
        <w:t>unless the First Parliamentary Counsel has agreed otherwise</w:t>
      </w:r>
      <w:r w:rsidRPr="00FD274F">
        <w:t xml:space="preserve"> </w:t>
      </w:r>
      <w:r w:rsidRPr="00A82ED8">
        <w:t>(</w:t>
      </w:r>
      <w:hyperlink r:id="rId235" w:history="1">
        <w:r w:rsidR="00EC5E3B" w:rsidRPr="00001937">
          <w:rPr>
            <w:rStyle w:val="Hyperlink"/>
          </w:rPr>
          <w:t>LR</w:t>
        </w:r>
      </w:hyperlink>
      <w:r w:rsidRPr="00A82ED8">
        <w:t xml:space="preserve"> s </w:t>
      </w:r>
      <w:r w:rsidR="00EC5E3B">
        <w:t>6</w:t>
      </w:r>
      <w:r w:rsidRPr="00A82ED8">
        <w:t>(2)).</w:t>
      </w:r>
    </w:p>
    <w:p w14:paraId="3FD04CF0" w14:textId="5AA03FB4" w:rsidR="0084047D" w:rsidRPr="00FD274F" w:rsidRDefault="00643B0E" w:rsidP="00CD6FA3">
      <w:pPr>
        <w:pStyle w:val="BodyNum"/>
        <w:keepLines/>
      </w:pPr>
      <w:r w:rsidRPr="00FD274F">
        <w:t xml:space="preserve">Many agencies have a central lodging area for lodgement purposes. </w:t>
      </w:r>
      <w:r>
        <w:t xml:space="preserve">Individuals within each agency require their own log in details for access to the lodgement facility. These are not to be shared between a group or between individuals. </w:t>
      </w:r>
      <w:r w:rsidRPr="00FD274F">
        <w:t xml:space="preserve">If </w:t>
      </w:r>
      <w:r>
        <w:t>you need to request access to the lodgement facility</w:t>
      </w:r>
      <w:r w:rsidRPr="00FD274F">
        <w:t xml:space="preserve">, please </w:t>
      </w:r>
      <w:r w:rsidR="009F68C1">
        <w:t xml:space="preserve">email </w:t>
      </w:r>
      <w:r w:rsidRPr="00FD274F">
        <w:t xml:space="preserve">OPC </w:t>
      </w:r>
      <w:r w:rsidR="009F68C1">
        <w:t xml:space="preserve">at </w:t>
      </w:r>
      <w:hyperlink r:id="rId236" w:history="1">
        <w:hyperlink r:id="rId237" w:history="1">
          <w:r w:rsidRPr="00FD274F">
            <w:rPr>
              <w:rStyle w:val="Hyperlink"/>
              <w:rFonts w:eastAsiaTheme="minorHAnsi"/>
              <w:szCs w:val="24"/>
              <w:lang w:eastAsia="en-US"/>
            </w:rPr>
            <w:t>lodge@legislation.gov.au</w:t>
          </w:r>
        </w:hyperlink>
      </w:hyperlink>
      <w:r w:rsidRPr="00FD274F">
        <w:t>.</w:t>
      </w:r>
      <w:r>
        <w:t xml:space="preserve"> You will need to provide the user’s full name, contact phone number, government email address and the relevant agency/branch.</w:t>
      </w:r>
      <w:r w:rsidRPr="00FD274F">
        <w:t xml:space="preserve"> The lodgement facility also </w:t>
      </w:r>
      <w:r>
        <w:t>provides additional guidance</w:t>
      </w:r>
      <w:r w:rsidRPr="00FD274F">
        <w:t xml:space="preserve"> </w:t>
      </w:r>
      <w:r>
        <w:t>material</w:t>
      </w:r>
      <w:r w:rsidRPr="00FD274F">
        <w:t xml:space="preserve"> to </w:t>
      </w:r>
      <w:r>
        <w:t xml:space="preserve">support </w:t>
      </w:r>
      <w:r w:rsidR="003C659E">
        <w:t xml:space="preserve">users </w:t>
      </w:r>
      <w:r>
        <w:t xml:space="preserve">and </w:t>
      </w:r>
      <w:r w:rsidRPr="00FD274F">
        <w:t>make t</w:t>
      </w:r>
      <w:r>
        <w:t>he lodgement process as easy as possible.</w:t>
      </w:r>
    </w:p>
    <w:p w14:paraId="352477E4" w14:textId="5895AE38" w:rsidR="003B4BB6" w:rsidRPr="00FD274F" w:rsidRDefault="00BF5238" w:rsidP="0084047D">
      <w:pPr>
        <w:pStyle w:val="BodyNum"/>
      </w:pPr>
      <w:r w:rsidRPr="00FD274F">
        <w:t>A</w:t>
      </w:r>
      <w:r w:rsidR="0084047D" w:rsidRPr="00FD274F">
        <w:t>s</w:t>
      </w:r>
      <w:r w:rsidRPr="00FD274F">
        <w:t xml:space="preserve"> part of the lodgement process, the lodging agency will need to choose the appropriate lodgement type (that is, </w:t>
      </w:r>
      <w:r w:rsidR="003B4BB6" w:rsidRPr="00FD274F">
        <w:t>legislative instrument or notifiable instrument as discusse</w:t>
      </w:r>
      <w:r w:rsidR="003B4BB6" w:rsidRPr="001E349A">
        <w:t xml:space="preserve">d in </w:t>
      </w:r>
      <w:hyperlink w:anchor="Chapter2" w:history="1">
        <w:r w:rsidR="003B4BB6" w:rsidRPr="001E349A">
          <w:rPr>
            <w:rStyle w:val="Hyperlink"/>
          </w:rPr>
          <w:t>Chapter 2</w:t>
        </w:r>
      </w:hyperlink>
      <w:r w:rsidRPr="001E349A">
        <w:t>) a</w:t>
      </w:r>
      <w:r w:rsidRPr="00FD274F">
        <w:t>nd supply information including:</w:t>
      </w:r>
    </w:p>
    <w:p w14:paraId="70547FEB" w14:textId="21D50A20" w:rsidR="00533178" w:rsidRDefault="00533178" w:rsidP="00CB0C4D">
      <w:pPr>
        <w:pStyle w:val="BodyPara"/>
      </w:pPr>
      <w:r w:rsidRPr="00FD274F">
        <w:t>the name of the instrument</w:t>
      </w:r>
      <w:r w:rsidR="00D64D03">
        <w:t xml:space="preserve"> according to its citation provision</w:t>
      </w:r>
      <w:r>
        <w:t>;</w:t>
      </w:r>
      <w:r w:rsidRPr="00FD274F">
        <w:t xml:space="preserve"> and</w:t>
      </w:r>
    </w:p>
    <w:p w14:paraId="500DC8BF" w14:textId="4BFBAE16" w:rsidR="00CB0C4D" w:rsidRDefault="00CB0C4D" w:rsidP="00CB0C4D">
      <w:pPr>
        <w:pStyle w:val="BodyPara"/>
      </w:pPr>
      <w:r w:rsidRPr="00FD274F">
        <w:t xml:space="preserve">the name and relevant provision of the instrument’s </w:t>
      </w:r>
      <w:r w:rsidR="00210BC1">
        <w:t>authorising</w:t>
      </w:r>
      <w:r w:rsidRPr="00FD274F">
        <w:t xml:space="preserve"> legislation; and</w:t>
      </w:r>
    </w:p>
    <w:p w14:paraId="11527130" w14:textId="2EC6D969" w:rsidR="00160636" w:rsidRPr="00FD274F" w:rsidRDefault="00FF7686" w:rsidP="00CB0C4D">
      <w:pPr>
        <w:pStyle w:val="BodyPara"/>
      </w:pPr>
      <w:r>
        <w:t xml:space="preserve">the </w:t>
      </w:r>
      <w:r w:rsidR="007A0161">
        <w:t>details</w:t>
      </w:r>
      <w:r w:rsidR="00160636" w:rsidRPr="00FD274F">
        <w:t xml:space="preserve"> of any instrument that it affects; and</w:t>
      </w:r>
    </w:p>
    <w:p w14:paraId="3A1FF37C" w14:textId="7D1EA9EF" w:rsidR="00160636" w:rsidRDefault="00160636" w:rsidP="00CB0C4D">
      <w:pPr>
        <w:pStyle w:val="BodyPara"/>
      </w:pPr>
      <w:r w:rsidRPr="00FD274F">
        <w:t>details of any special requirement e.g. for registration on or before a specified date, or for express or peak period service as discussed i</w:t>
      </w:r>
      <w:r w:rsidRPr="001E349A">
        <w:t xml:space="preserve">n paragraph </w:t>
      </w:r>
      <w:r w:rsidRPr="004849C6">
        <w:fldChar w:fldCharType="begin"/>
      </w:r>
      <w:r w:rsidRPr="001E349A">
        <w:instrText xml:space="preserve"> REF _Ref434314290 \r \h  \* MERGEFORMAT </w:instrText>
      </w:r>
      <w:r w:rsidRPr="004849C6">
        <w:fldChar w:fldCharType="separate"/>
      </w:r>
      <w:r w:rsidR="00AB105F">
        <w:t>162</w:t>
      </w:r>
      <w:r w:rsidRPr="004849C6">
        <w:fldChar w:fldCharType="end"/>
      </w:r>
      <w:r>
        <w:t>; and</w:t>
      </w:r>
    </w:p>
    <w:p w14:paraId="3584843D" w14:textId="232EA05A" w:rsidR="00CB0C4D" w:rsidRDefault="00CB0C4D" w:rsidP="00CB0C4D">
      <w:pPr>
        <w:pStyle w:val="BodyPara"/>
      </w:pPr>
      <w:r w:rsidRPr="00FD274F">
        <w:t>the name and contact details of a person who can answer questions about th</w:t>
      </w:r>
      <w:r>
        <w:t>e instrument, as well as an alternate contact should OPC be unable to get in touch with the primary contact</w:t>
      </w:r>
      <w:r w:rsidR="00D64D03">
        <w:t>.</w:t>
      </w:r>
    </w:p>
    <w:p w14:paraId="65D26851" w14:textId="0751A950" w:rsidR="00523652" w:rsidRPr="00FD274F" w:rsidRDefault="00523652" w:rsidP="00CB0C4D">
      <w:pPr>
        <w:pStyle w:val="BodyNum"/>
      </w:pPr>
      <w:r w:rsidRPr="00FD274F">
        <w:t xml:space="preserve">Please ensure that the </w:t>
      </w:r>
      <w:r>
        <w:t xml:space="preserve">contact </w:t>
      </w:r>
      <w:r w:rsidRPr="00FD274F">
        <w:t>person nominated to answer questions about the instrument is familiar with the instrument in question</w:t>
      </w:r>
      <w:r w:rsidR="007B1A77">
        <w:t>, has access to the</w:t>
      </w:r>
      <w:r w:rsidR="00627036">
        <w:t xml:space="preserve"> </w:t>
      </w:r>
      <w:r w:rsidR="00627036" w:rsidRPr="00FD274F">
        <w:rPr>
          <w:szCs w:val="24"/>
        </w:rPr>
        <w:t xml:space="preserve">lodgement facility at </w:t>
      </w:r>
      <w:hyperlink r:id="rId238" w:history="1">
        <w:r w:rsidR="00627036" w:rsidRPr="00FD274F">
          <w:rPr>
            <w:rStyle w:val="Hyperlink"/>
            <w:szCs w:val="24"/>
          </w:rPr>
          <w:t>https://lodge.legislation.gov.au</w:t>
        </w:r>
      </w:hyperlink>
      <w:r w:rsidRPr="00FD274F">
        <w:t>, and provide</w:t>
      </w:r>
      <w:r>
        <w:t>s</w:t>
      </w:r>
      <w:r w:rsidRPr="00FD274F">
        <w:t xml:space="preserve"> their mobile or after</w:t>
      </w:r>
      <w:r>
        <w:noBreakHyphen/>
      </w:r>
      <w:r w:rsidRPr="00FD274F">
        <w:t>hours phone number if express registration is required. Otherwise, if statutory requirements have not been met, it may not be possible for OPC to meet the requir</w:t>
      </w:r>
      <w:r>
        <w:t>ement for express registration.</w:t>
      </w:r>
    </w:p>
    <w:p w14:paraId="14AF8A08" w14:textId="77777777" w:rsidR="0084047D" w:rsidRPr="00FD274F" w:rsidRDefault="003B4BB6" w:rsidP="0084047D">
      <w:pPr>
        <w:pStyle w:val="BodyNum"/>
      </w:pPr>
      <w:r w:rsidRPr="00FD274F">
        <w:t xml:space="preserve">In addition, to </w:t>
      </w:r>
      <w:r w:rsidR="0084047D" w:rsidRPr="00FD274F">
        <w:t>ensure that the instrument is processed appropriately after registration, informati</w:t>
      </w:r>
      <w:r w:rsidRPr="00FD274F">
        <w:t>on must also be provided about:</w:t>
      </w:r>
    </w:p>
    <w:p w14:paraId="0D47EA7A" w14:textId="4EA94595" w:rsidR="00224AF5" w:rsidRDefault="00224AF5" w:rsidP="00224AF5">
      <w:pPr>
        <w:pStyle w:val="BodyPara"/>
      </w:pPr>
      <w:r w:rsidRPr="00FD274F">
        <w:lastRenderedPageBreak/>
        <w:t xml:space="preserve">whether the instrument is subject to automatic repeal as discussed in </w:t>
      </w:r>
      <w:r w:rsidRPr="004849C6">
        <w:t xml:space="preserve">paragraphs </w:t>
      </w:r>
      <w:r w:rsidRPr="004849C6">
        <w:fldChar w:fldCharType="begin"/>
      </w:r>
      <w:r w:rsidRPr="004849C6">
        <w:instrText xml:space="preserve"> REF _Ref384703176 \r \h  \* MERGEFORMAT </w:instrText>
      </w:r>
      <w:r w:rsidRPr="004849C6">
        <w:fldChar w:fldCharType="separate"/>
      </w:r>
      <w:r w:rsidR="00AB105F">
        <w:t>91</w:t>
      </w:r>
      <w:r w:rsidRPr="004849C6">
        <w:fldChar w:fldCharType="end"/>
      </w:r>
      <w:r w:rsidRPr="004849C6">
        <w:t xml:space="preserve"> to </w:t>
      </w:r>
      <w:r w:rsidRPr="004849C6">
        <w:fldChar w:fldCharType="begin"/>
      </w:r>
      <w:r w:rsidRPr="004849C6">
        <w:instrText xml:space="preserve"> REF _Ref384706703 \r \h </w:instrText>
      </w:r>
      <w:r>
        <w:rPr>
          <w:highlight w:val="yellow"/>
        </w:rPr>
        <w:instrText xml:space="preserve"> \* MERGEFORMAT </w:instrText>
      </w:r>
      <w:r w:rsidRPr="004849C6">
        <w:fldChar w:fldCharType="separate"/>
      </w:r>
      <w:r w:rsidR="00AB105F">
        <w:t>95</w:t>
      </w:r>
      <w:r w:rsidRPr="004849C6">
        <w:fldChar w:fldCharType="end"/>
      </w:r>
      <w:r w:rsidRPr="004849C6">
        <w:t>;</w:t>
      </w:r>
      <w:r>
        <w:t xml:space="preserve"> and</w:t>
      </w:r>
    </w:p>
    <w:p w14:paraId="1AFAF927" w14:textId="77777777" w:rsidR="00224AF5" w:rsidRPr="00FD274F" w:rsidRDefault="00224AF5" w:rsidP="00224AF5">
      <w:pPr>
        <w:pStyle w:val="BodyPara"/>
      </w:pPr>
      <w:r>
        <w:t>whether the instrument or explanatory statement contains meaningful colour; and</w:t>
      </w:r>
    </w:p>
    <w:p w14:paraId="293514CD" w14:textId="77777777" w:rsidR="00224AF5" w:rsidRPr="00FD274F" w:rsidRDefault="00224AF5" w:rsidP="00224AF5">
      <w:pPr>
        <w:pStyle w:val="BodyPara"/>
      </w:pPr>
      <w:r w:rsidRPr="00FD274F">
        <w:t>if it is a legislative instrument—whether it is subject to:</w:t>
      </w:r>
    </w:p>
    <w:p w14:paraId="746BC8D2" w14:textId="22373A38" w:rsidR="00224AF5" w:rsidRPr="00FD274F" w:rsidRDefault="00224AF5" w:rsidP="00224AF5">
      <w:pPr>
        <w:pStyle w:val="BodySubPara"/>
      </w:pPr>
      <w:r w:rsidRPr="00FD274F">
        <w:t>disallowance as discussed i</w:t>
      </w:r>
      <w:r w:rsidRPr="004849C6">
        <w:t xml:space="preserve">n </w:t>
      </w:r>
      <w:hyperlink w:anchor="Chapter9" w:history="1">
        <w:r w:rsidRPr="004849C6">
          <w:rPr>
            <w:rStyle w:val="Hyperlink"/>
          </w:rPr>
          <w:t>Chapter 9</w:t>
        </w:r>
      </w:hyperlink>
      <w:r w:rsidRPr="004849C6">
        <w:t>;</w:t>
      </w:r>
      <w:r w:rsidRPr="00FD274F">
        <w:t xml:space="preserve"> and</w:t>
      </w:r>
    </w:p>
    <w:p w14:paraId="0DB57E75" w14:textId="7C265231" w:rsidR="003B4BB6" w:rsidRPr="00FD274F" w:rsidRDefault="00224AF5" w:rsidP="00224AF5">
      <w:pPr>
        <w:pStyle w:val="BodySubPara"/>
      </w:pPr>
      <w:r w:rsidRPr="00FD274F">
        <w:t xml:space="preserve">sunsetting as discussed in </w:t>
      </w:r>
      <w:hyperlink w:anchor="Chapter10" w:history="1">
        <w:r w:rsidRPr="004849C6">
          <w:rPr>
            <w:rStyle w:val="Hyperlink"/>
          </w:rPr>
          <w:t>Chapter 10</w:t>
        </w:r>
      </w:hyperlink>
      <w:r w:rsidRPr="004849C6">
        <w:t>.</w:t>
      </w:r>
    </w:p>
    <w:p w14:paraId="06C10F19" w14:textId="176F1C6C" w:rsidR="0084047D" w:rsidRPr="00FD274F" w:rsidRDefault="0084047D" w:rsidP="0084047D">
      <w:pPr>
        <w:pStyle w:val="Head4"/>
      </w:pPr>
      <w:bookmarkStart w:id="111" w:name="_Toc223687759"/>
      <w:r w:rsidRPr="00FD274F">
        <w:t>Step 2: Attach electronic version of instrument</w:t>
      </w:r>
      <w:bookmarkEnd w:id="111"/>
    </w:p>
    <w:p w14:paraId="17408811" w14:textId="3C82B8CC" w:rsidR="00057E55" w:rsidRDefault="007E3EEF" w:rsidP="00447F78">
      <w:pPr>
        <w:pStyle w:val="BodyNum"/>
      </w:pPr>
      <w:r>
        <w:t>Prior to attaching, p</w:t>
      </w:r>
      <w:r w:rsidR="008B6A06">
        <w:t>lease e</w:t>
      </w:r>
      <w:r w:rsidR="00057E55">
        <w:t xml:space="preserve">nsure </w:t>
      </w:r>
      <w:r w:rsidR="008B6A06">
        <w:t xml:space="preserve">that the </w:t>
      </w:r>
      <w:r w:rsidR="00057E55">
        <w:t xml:space="preserve">electronic version of the instrument is </w:t>
      </w:r>
      <w:r w:rsidR="008B6A06">
        <w:t xml:space="preserve">an </w:t>
      </w:r>
      <w:r w:rsidR="008B6A06" w:rsidRPr="009E45AF">
        <w:t>exact copy</w:t>
      </w:r>
      <w:r w:rsidR="008B6A06">
        <w:t xml:space="preserve"> of the instrument as made by the rule-maker and includes any annotations made on the instrument by the rule-maker</w:t>
      </w:r>
      <w:r>
        <w:t>, including the making date.</w:t>
      </w:r>
      <w:r w:rsidR="000A7EEE">
        <w:t xml:space="preserve"> Where the rule-maker has used strikethrough to indicate the deletion of text, </w:t>
      </w:r>
      <w:r w:rsidR="00447F78">
        <w:t xml:space="preserve">that </w:t>
      </w:r>
      <w:r w:rsidR="000A7EEE">
        <w:t>text should not be included in the electronic version of the instrument</w:t>
      </w:r>
      <w:r w:rsidR="00333E36">
        <w:t>.</w:t>
      </w:r>
    </w:p>
    <w:p w14:paraId="653CCCD0" w14:textId="3A500974" w:rsidR="00180A24" w:rsidRPr="00FD274F" w:rsidRDefault="007E3EEF" w:rsidP="00BE52DD">
      <w:pPr>
        <w:pStyle w:val="BodyNum"/>
      </w:pPr>
      <w:r>
        <w:t>Please a</w:t>
      </w:r>
      <w:r w:rsidR="0084047D" w:rsidRPr="00FD274F">
        <w:t>ttach (upload) an electronic copy of the instrument as made to the online lodgement form.</w:t>
      </w:r>
      <w:r w:rsidR="00180A24" w:rsidRPr="00FD274F">
        <w:t xml:space="preserve"> The </w:t>
      </w:r>
      <w:r w:rsidR="00AD5556" w:rsidRPr="00FD274F">
        <w:t xml:space="preserve">electronic </w:t>
      </w:r>
      <w:r w:rsidR="00180A24" w:rsidRPr="00FD274F">
        <w:t>file:</w:t>
      </w:r>
    </w:p>
    <w:p w14:paraId="688A30FC" w14:textId="674147A1" w:rsidR="0084047D" w:rsidRDefault="00180A24" w:rsidP="00DC5A4F">
      <w:pPr>
        <w:pStyle w:val="BodyPara"/>
        <w:tabs>
          <w:tab w:val="left" w:pos="7655"/>
        </w:tabs>
      </w:pPr>
      <w:r w:rsidRPr="00FD274F">
        <w:t xml:space="preserve">must be in </w:t>
      </w:r>
      <w:r w:rsidR="00B8618A" w:rsidRPr="00E8679D">
        <w:t>RTF, DOC or DOCX format</w:t>
      </w:r>
      <w:r w:rsidR="008F008B">
        <w:t xml:space="preserve">, </w:t>
      </w:r>
      <w:r w:rsidRPr="00FD274F">
        <w:t xml:space="preserve">unless the First Parliamentary Counsel has agreed to some other format </w:t>
      </w:r>
      <w:r w:rsidR="00CE6E8A" w:rsidRPr="00FD274F">
        <w:t>(</w:t>
      </w:r>
      <w:r w:rsidR="00CE6E8A" w:rsidRPr="004532FE">
        <w:t xml:space="preserve">see </w:t>
      </w:r>
      <w:hyperlink r:id="rId239" w:history="1">
        <w:r w:rsidR="00333355" w:rsidRPr="00001937">
          <w:rPr>
            <w:rStyle w:val="Hyperlink"/>
          </w:rPr>
          <w:t>LR</w:t>
        </w:r>
      </w:hyperlink>
      <w:r w:rsidR="00CE6E8A" w:rsidRPr="004532FE">
        <w:t xml:space="preserve"> s </w:t>
      </w:r>
      <w:r w:rsidR="00333355">
        <w:t>6</w:t>
      </w:r>
      <w:r w:rsidR="00CE6E8A" w:rsidRPr="004532FE">
        <w:t>(3))</w:t>
      </w:r>
      <w:r w:rsidR="00942F8D" w:rsidRPr="004532FE">
        <w:t>; a</w:t>
      </w:r>
      <w:r w:rsidR="00942F8D">
        <w:t>nd</w:t>
      </w:r>
    </w:p>
    <w:p w14:paraId="461DDCF5" w14:textId="2926C14E" w:rsidR="008F008B" w:rsidRPr="00FD274F" w:rsidRDefault="008F008B" w:rsidP="008F008B">
      <w:pPr>
        <w:pStyle w:val="noteToPara"/>
        <w:ind w:left="1429"/>
      </w:pPr>
      <w:r w:rsidRPr="00FD274F">
        <w:t>Note:</w:t>
      </w:r>
      <w:r w:rsidRPr="00FD274F">
        <w:tab/>
      </w:r>
      <w:r>
        <w:t xml:space="preserve">Our preferred format is </w:t>
      </w:r>
      <w:r w:rsidR="00333355">
        <w:t>DOCX</w:t>
      </w:r>
      <w:r>
        <w:t>.</w:t>
      </w:r>
    </w:p>
    <w:p w14:paraId="49942D41" w14:textId="36A55BC2" w:rsidR="00333355" w:rsidRDefault="00333355" w:rsidP="00224AF5">
      <w:pPr>
        <w:pStyle w:val="BodyPara"/>
      </w:pPr>
      <w:r>
        <w:t xml:space="preserve">must be able to be readily converted into EPUB, HTML, and PDF formats in a way that maintains consistency </w:t>
      </w:r>
      <w:r w:rsidR="00A4080C">
        <w:t xml:space="preserve">between the original and converted formats (see </w:t>
      </w:r>
      <w:hyperlink r:id="rId240" w:history="1">
        <w:r w:rsidR="00A4080C" w:rsidRPr="00001937">
          <w:rPr>
            <w:rStyle w:val="Hyperlink"/>
          </w:rPr>
          <w:t>LR</w:t>
        </w:r>
      </w:hyperlink>
      <w:r w:rsidR="00A4080C">
        <w:t xml:space="preserve"> s 6(4)); and</w:t>
      </w:r>
    </w:p>
    <w:p w14:paraId="6FA5B263" w14:textId="1328868F" w:rsidR="00224AF5" w:rsidRDefault="00224AF5" w:rsidP="00224AF5">
      <w:pPr>
        <w:pStyle w:val="BodyPara"/>
      </w:pPr>
      <w:r w:rsidRPr="00FD274F">
        <w:t>must not contain dynamic content that interfere</w:t>
      </w:r>
      <w:r w:rsidR="00CF347B">
        <w:t>s</w:t>
      </w:r>
      <w:r w:rsidRPr="00FD274F">
        <w:t xml:space="preserve"> with the </w:t>
      </w:r>
      <w:r w:rsidR="00333355">
        <w:t>accuracy</w:t>
      </w:r>
      <w:r w:rsidR="00333355" w:rsidRPr="00FD274F">
        <w:t xml:space="preserve"> </w:t>
      </w:r>
      <w:r w:rsidRPr="00FD274F">
        <w:t xml:space="preserve">of the document </w:t>
      </w:r>
      <w:r w:rsidR="00CE6E8A" w:rsidRPr="00FD274F">
        <w:t>(se</w:t>
      </w:r>
      <w:r w:rsidR="00CE6E8A" w:rsidRPr="004532FE">
        <w:t xml:space="preserve">e </w:t>
      </w:r>
      <w:hyperlink r:id="rId241" w:history="1">
        <w:r w:rsidR="00333355" w:rsidRPr="00001937">
          <w:rPr>
            <w:rStyle w:val="Hyperlink"/>
          </w:rPr>
          <w:t>LR</w:t>
        </w:r>
      </w:hyperlink>
      <w:r w:rsidR="00CE6E8A" w:rsidRPr="004532FE">
        <w:t xml:space="preserve"> s </w:t>
      </w:r>
      <w:r w:rsidR="00333355">
        <w:t>6</w:t>
      </w:r>
      <w:r w:rsidR="00CE6E8A" w:rsidRPr="004532FE">
        <w:t>(</w:t>
      </w:r>
      <w:r w:rsidR="00333355">
        <w:t>5</w:t>
      </w:r>
      <w:r w:rsidR="00CE6E8A" w:rsidRPr="004532FE">
        <w:t>))</w:t>
      </w:r>
      <w:r>
        <w:t>; and</w:t>
      </w:r>
    </w:p>
    <w:p w14:paraId="5C43BB6B" w14:textId="77777777" w:rsidR="00EA4D09" w:rsidRDefault="00224AF5" w:rsidP="00224AF5">
      <w:pPr>
        <w:pStyle w:val="BodyPara"/>
      </w:pPr>
      <w:r>
        <w:t>must include alternative text on all images</w:t>
      </w:r>
      <w:r w:rsidR="00EA4D09">
        <w:t>; and</w:t>
      </w:r>
    </w:p>
    <w:p w14:paraId="42B968DD" w14:textId="28287C62" w:rsidR="00224AF5" w:rsidRPr="00FD274F" w:rsidRDefault="00EA4D09" w:rsidP="00224AF5">
      <w:pPr>
        <w:pStyle w:val="BodyPara"/>
      </w:pPr>
      <w:r>
        <w:t xml:space="preserve">must not contain </w:t>
      </w:r>
      <w:r w:rsidR="00375659">
        <w:t xml:space="preserve">any </w:t>
      </w:r>
      <w:r w:rsidR="00301AFB">
        <w:t>personal information</w:t>
      </w:r>
      <w:r w:rsidR="00224AF5">
        <w:t>.</w:t>
      </w:r>
    </w:p>
    <w:p w14:paraId="2AA59FA2" w14:textId="5D244CF4" w:rsidR="002955C5" w:rsidRPr="00FD274F" w:rsidRDefault="002955C5" w:rsidP="002955C5">
      <w:pPr>
        <w:pStyle w:val="BodyNum"/>
      </w:pPr>
      <w:r>
        <w:t>Once registered, an instrument cannot be removed from the Register</w:t>
      </w:r>
      <w:r w:rsidR="00655E01">
        <w:t>, so it is important that any material lodged for registration is appropriate for public access</w:t>
      </w:r>
      <w:r>
        <w:t>.</w:t>
      </w:r>
    </w:p>
    <w:p w14:paraId="6D00DB00" w14:textId="77777777" w:rsidR="00B30E8A" w:rsidRPr="00FD274F" w:rsidRDefault="00B30E8A" w:rsidP="00B30E8A">
      <w:pPr>
        <w:pStyle w:val="Head4"/>
      </w:pPr>
      <w:bookmarkStart w:id="112" w:name="_Toc223687760"/>
      <w:r w:rsidRPr="00FD274F">
        <w:t>Step 3: If required—attach explanatory statement or other documents</w:t>
      </w:r>
      <w:bookmarkEnd w:id="112"/>
    </w:p>
    <w:p w14:paraId="54DE84C9" w14:textId="77777777" w:rsidR="00180A24" w:rsidRPr="00FD274F" w:rsidRDefault="00E527DB" w:rsidP="00B30E8A">
      <w:pPr>
        <w:pStyle w:val="BodyNum"/>
      </w:pPr>
      <w:r>
        <w:t xml:space="preserve">The explanatory statement </w:t>
      </w:r>
      <w:r w:rsidR="001524E7">
        <w:t xml:space="preserve">and any supporting material </w:t>
      </w:r>
      <w:r w:rsidR="00B30E8A" w:rsidRPr="00FD274F">
        <w:t xml:space="preserve">for the instrument </w:t>
      </w:r>
      <w:r w:rsidR="00A34456" w:rsidRPr="00FD274F">
        <w:t>should</w:t>
      </w:r>
      <w:r w:rsidR="00B30E8A" w:rsidRPr="00FD274F">
        <w:t xml:space="preserve"> also be attached (uploaded) to the online lodgement form. As with instruments, t</w:t>
      </w:r>
      <w:r w:rsidR="00180A24" w:rsidRPr="00FD274F">
        <w:t>hese documents:</w:t>
      </w:r>
    </w:p>
    <w:p w14:paraId="77990189" w14:textId="775383D4" w:rsidR="00180A24" w:rsidRPr="00FD274F" w:rsidRDefault="00180A24" w:rsidP="00180A24">
      <w:pPr>
        <w:pStyle w:val="BodyPara"/>
      </w:pPr>
      <w:r w:rsidRPr="00FD274F">
        <w:t xml:space="preserve">must be in </w:t>
      </w:r>
      <w:r w:rsidR="00B8618A" w:rsidRPr="00E8679D">
        <w:t>RTF, DOC or DOCX format</w:t>
      </w:r>
      <w:r w:rsidR="008F008B">
        <w:t>,</w:t>
      </w:r>
      <w:r w:rsidRPr="00FD274F">
        <w:t xml:space="preserve"> unless the First Parliamentary Counsel has agreed to some other forma</w:t>
      </w:r>
      <w:r w:rsidRPr="004532FE">
        <w:t xml:space="preserve">t </w:t>
      </w:r>
      <w:r w:rsidR="00CE6E8A" w:rsidRPr="004532FE">
        <w:t xml:space="preserve">(see </w:t>
      </w:r>
      <w:hyperlink r:id="rId242" w:history="1">
        <w:r w:rsidR="00A4080C" w:rsidRPr="00001937">
          <w:rPr>
            <w:rStyle w:val="Hyperlink"/>
          </w:rPr>
          <w:t>LR</w:t>
        </w:r>
      </w:hyperlink>
      <w:r w:rsidR="00CE6E8A" w:rsidRPr="004532FE">
        <w:t xml:space="preserve"> s </w:t>
      </w:r>
      <w:r w:rsidR="00E2473D">
        <w:t>6</w:t>
      </w:r>
      <w:r w:rsidR="00CE6E8A" w:rsidRPr="004532FE">
        <w:t>(3))</w:t>
      </w:r>
      <w:r w:rsidR="00942F8D" w:rsidRPr="004532FE">
        <w:t>; and</w:t>
      </w:r>
    </w:p>
    <w:p w14:paraId="0074D63D" w14:textId="7382423B" w:rsidR="008F008B" w:rsidRPr="00FD274F" w:rsidRDefault="008F008B" w:rsidP="008F008B">
      <w:pPr>
        <w:pStyle w:val="noteToPara"/>
        <w:ind w:left="1429"/>
      </w:pPr>
      <w:r w:rsidRPr="00FD274F">
        <w:t>Note:</w:t>
      </w:r>
      <w:r w:rsidRPr="00FD274F">
        <w:tab/>
      </w:r>
      <w:r>
        <w:t xml:space="preserve">Our preferred format is </w:t>
      </w:r>
      <w:r w:rsidR="00A4080C">
        <w:t>DOCX</w:t>
      </w:r>
      <w:r>
        <w:t>.</w:t>
      </w:r>
    </w:p>
    <w:p w14:paraId="0EB0FE48" w14:textId="337CA207" w:rsidR="00A4080C" w:rsidRDefault="00A4080C" w:rsidP="00A4080C">
      <w:pPr>
        <w:pStyle w:val="BodyPara"/>
      </w:pPr>
      <w:r>
        <w:lastRenderedPageBreak/>
        <w:t xml:space="preserve">must be able to be readily converted into EPUB, HTML, and PDF formats in a way that maintains consistency between the original and converted formats (see </w:t>
      </w:r>
      <w:hyperlink r:id="rId243" w:history="1">
        <w:r w:rsidRPr="00001937">
          <w:rPr>
            <w:rStyle w:val="Hyperlink"/>
          </w:rPr>
          <w:t>LR</w:t>
        </w:r>
      </w:hyperlink>
      <w:r>
        <w:t xml:space="preserve"> s 6(4)); and</w:t>
      </w:r>
    </w:p>
    <w:p w14:paraId="3717D970" w14:textId="49FE4C99" w:rsidR="00A4080C" w:rsidRDefault="00A4080C" w:rsidP="00A4080C">
      <w:pPr>
        <w:pStyle w:val="BodyPara"/>
      </w:pPr>
      <w:r w:rsidRPr="00FD274F">
        <w:t>must not contain dynamic content that interfere</w:t>
      </w:r>
      <w:r w:rsidR="00CF347B">
        <w:t>s</w:t>
      </w:r>
      <w:r w:rsidRPr="00FD274F">
        <w:t xml:space="preserve"> with the </w:t>
      </w:r>
      <w:r>
        <w:t>accuracy</w:t>
      </w:r>
      <w:r w:rsidRPr="00FD274F">
        <w:t xml:space="preserve"> of the document (se</w:t>
      </w:r>
      <w:r w:rsidRPr="004532FE">
        <w:t xml:space="preserve">e </w:t>
      </w:r>
      <w:hyperlink r:id="rId244" w:history="1">
        <w:r w:rsidRPr="00001937">
          <w:rPr>
            <w:rStyle w:val="Hyperlink"/>
          </w:rPr>
          <w:t>LR</w:t>
        </w:r>
      </w:hyperlink>
      <w:r w:rsidRPr="004532FE">
        <w:t xml:space="preserve"> s </w:t>
      </w:r>
      <w:r>
        <w:t>6</w:t>
      </w:r>
      <w:r w:rsidRPr="004532FE">
        <w:t>(</w:t>
      </w:r>
      <w:r>
        <w:t>5</w:t>
      </w:r>
      <w:r w:rsidRPr="004532FE">
        <w:t>))</w:t>
      </w:r>
      <w:r>
        <w:t>; and</w:t>
      </w:r>
    </w:p>
    <w:p w14:paraId="007185BF" w14:textId="77777777" w:rsidR="00375659" w:rsidRDefault="00224AF5" w:rsidP="00224AF5">
      <w:pPr>
        <w:pStyle w:val="BodyPara"/>
      </w:pPr>
      <w:r>
        <w:t>must include alternative text on all images</w:t>
      </w:r>
      <w:r w:rsidR="00375659">
        <w:t>; and</w:t>
      </w:r>
    </w:p>
    <w:p w14:paraId="51D19B0B" w14:textId="786B7590" w:rsidR="00224AF5" w:rsidRPr="00FD274F" w:rsidRDefault="00375659" w:rsidP="00224AF5">
      <w:pPr>
        <w:pStyle w:val="BodyPara"/>
      </w:pPr>
      <w:r>
        <w:t>must not contain any personal information</w:t>
      </w:r>
      <w:r w:rsidR="00224AF5">
        <w:t>.</w:t>
      </w:r>
    </w:p>
    <w:p w14:paraId="5C590649" w14:textId="51469996" w:rsidR="00CE6E8A" w:rsidRDefault="00CE6E8A" w:rsidP="00CE6E8A">
      <w:pPr>
        <w:pStyle w:val="BodyNum"/>
      </w:pPr>
      <w:r>
        <w:t>The Register may contain additional documents if</w:t>
      </w:r>
      <w:r w:rsidR="00107D46">
        <w:t xml:space="preserve"> the</w:t>
      </w:r>
      <w:r>
        <w:t xml:space="preserve"> First Parliamentary Counsel considers that the documents are likely to be useful to users of the Register </w:t>
      </w:r>
      <w:r w:rsidRPr="00F74531">
        <w:t xml:space="preserve">(see </w:t>
      </w:r>
      <w:hyperlink r:id="rId245" w:history="1">
        <w:r w:rsidRPr="00F74531">
          <w:rPr>
            <w:rStyle w:val="Hyperlink"/>
          </w:rPr>
          <w:t>LA</w:t>
        </w:r>
      </w:hyperlink>
      <w:r w:rsidRPr="00F74531">
        <w:t xml:space="preserve"> s 15A(3)). An</w:t>
      </w:r>
      <w:r>
        <w:t>y supporting material should be appropriate to publish and likely to be useful to users of the Register. Administrative documents such as briefs to Ministers are not appropriate to be included as supporting material.</w:t>
      </w:r>
    </w:p>
    <w:p w14:paraId="3CD5F39A" w14:textId="77777777" w:rsidR="00A34456" w:rsidRPr="00FD274F" w:rsidRDefault="00A34456" w:rsidP="00A34456">
      <w:pPr>
        <w:pStyle w:val="BodyNum"/>
      </w:pPr>
      <w:r w:rsidRPr="00FD274F">
        <w:t>If the explanatory statement is not yet available, details of when the explanatory statement is likely to be available should be noted in the special requirements field.</w:t>
      </w:r>
    </w:p>
    <w:p w14:paraId="76EF37EE" w14:textId="77777777" w:rsidR="0084047D" w:rsidRPr="00FD274F" w:rsidRDefault="0084047D" w:rsidP="0084047D">
      <w:pPr>
        <w:pStyle w:val="Head4"/>
      </w:pPr>
      <w:bookmarkStart w:id="113" w:name="_Toc223687761"/>
      <w:r w:rsidRPr="00FD274F">
        <w:t xml:space="preserve">Step </w:t>
      </w:r>
      <w:r w:rsidR="00B30E8A" w:rsidRPr="00FD274F">
        <w:t>4</w:t>
      </w:r>
      <w:r w:rsidRPr="00FD274F">
        <w:t>: Certify the online lodgement</w:t>
      </w:r>
      <w:bookmarkEnd w:id="113"/>
    </w:p>
    <w:p w14:paraId="52418F42" w14:textId="592F521F" w:rsidR="0081626B" w:rsidRDefault="0084047D" w:rsidP="0084047D">
      <w:pPr>
        <w:pStyle w:val="BodyNum"/>
      </w:pPr>
      <w:r w:rsidRPr="00FD274F">
        <w:t xml:space="preserve">All lodgements must be certified as complete and accurate </w:t>
      </w:r>
      <w:r w:rsidR="0081626B" w:rsidRPr="00FD274F">
        <w:t xml:space="preserve">by the lodging agency </w:t>
      </w:r>
      <w:r w:rsidR="00853F83">
        <w:t>as part of the lodgement process</w:t>
      </w:r>
      <w:r w:rsidR="00942F8D">
        <w:t>.</w:t>
      </w:r>
    </w:p>
    <w:p w14:paraId="3821C319" w14:textId="282FD336" w:rsidR="0084047D" w:rsidRPr="00FD274F" w:rsidRDefault="0081626B" w:rsidP="0084047D">
      <w:pPr>
        <w:pStyle w:val="BodyNum"/>
      </w:pPr>
      <w:r w:rsidRPr="00FD274F">
        <w:t xml:space="preserve">As part of </w:t>
      </w:r>
      <w:r w:rsidR="0084047D" w:rsidRPr="00FD274F">
        <w:t>certifying a lodgement, the agency should check the lodgement</w:t>
      </w:r>
      <w:r w:rsidR="00B30E8A" w:rsidRPr="00FD274F">
        <w:t xml:space="preserve"> and all attachments carefully against the original documents.</w:t>
      </w:r>
      <w:r w:rsidRPr="00FD274F">
        <w:t xml:space="preserve"> It is </w:t>
      </w:r>
      <w:r w:rsidR="0084047D" w:rsidRPr="00FD274F">
        <w:t xml:space="preserve">particularly important to check the electronic </w:t>
      </w:r>
      <w:r w:rsidR="003137D3">
        <w:t>copy</w:t>
      </w:r>
      <w:r w:rsidR="0084047D" w:rsidRPr="00FD274F">
        <w:t xml:space="preserve"> of the instrument against the instrument as made</w:t>
      </w:r>
      <w:r w:rsidR="006772E1">
        <w:t xml:space="preserve"> to ensure that the text </w:t>
      </w:r>
      <w:r w:rsidR="00375779">
        <w:t>is the same in both versions</w:t>
      </w:r>
      <w:r w:rsidRPr="00FD274F">
        <w:t xml:space="preserve">. As part of </w:t>
      </w:r>
      <w:r w:rsidR="00180A24" w:rsidRPr="00FD274F">
        <w:t>this</w:t>
      </w:r>
      <w:r w:rsidR="00E86ABB">
        <w:t xml:space="preserve">, </w:t>
      </w:r>
      <w:r w:rsidR="00E86ABB" w:rsidRPr="00FD274F">
        <w:t>the following must be included in the electronic copy</w:t>
      </w:r>
      <w:r w:rsidR="000F7A1A">
        <w:t>:</w:t>
      </w:r>
    </w:p>
    <w:p w14:paraId="72AB2DC9" w14:textId="6BFA0C0B" w:rsidR="000F7A1A" w:rsidRDefault="00E86ABB" w:rsidP="000F7A1A">
      <w:pPr>
        <w:pStyle w:val="BodyPara"/>
      </w:pPr>
      <w:r w:rsidRPr="00FD274F">
        <w:t>anything written by the rule</w:t>
      </w:r>
      <w:r>
        <w:noBreakHyphen/>
      </w:r>
      <w:r w:rsidRPr="00FD274F">
        <w:t>maker on the original instrument;</w:t>
      </w:r>
    </w:p>
    <w:p w14:paraId="72ACF755" w14:textId="4725265B" w:rsidR="000D0103" w:rsidRDefault="000D0103" w:rsidP="000F7A1A">
      <w:pPr>
        <w:pStyle w:val="BodyPara"/>
      </w:pPr>
      <w:r>
        <w:t>tracked changes</w:t>
      </w:r>
      <w:r w:rsidR="002B78E4">
        <w:t>, revisions or strikethrough</w:t>
      </w:r>
      <w:r>
        <w:t>, approved by the rule-maker</w:t>
      </w:r>
      <w:r w:rsidR="00B00BB6">
        <w:t xml:space="preserve">, </w:t>
      </w:r>
      <w:r>
        <w:t xml:space="preserve">accepted </w:t>
      </w:r>
      <w:r w:rsidR="00230ECB">
        <w:t>to appear as normal text</w:t>
      </w:r>
      <w:r>
        <w:t>;</w:t>
      </w:r>
    </w:p>
    <w:p w14:paraId="05516BA0" w14:textId="77777777" w:rsidR="00E86ABB" w:rsidRDefault="00E86ABB" w:rsidP="00354A1C">
      <w:pPr>
        <w:pStyle w:val="BodyPara"/>
      </w:pPr>
      <w:r w:rsidRPr="00FD274F">
        <w:t>anything written on the original instrument by someone else before the rule</w:t>
      </w:r>
      <w:r>
        <w:noBreakHyphen/>
      </w:r>
      <w:r w:rsidRPr="00FD274F">
        <w:t>maker signed the instrument;</w:t>
      </w:r>
    </w:p>
    <w:p w14:paraId="522D42DC" w14:textId="77777777" w:rsidR="00E86ABB" w:rsidRDefault="00E86ABB" w:rsidP="00354A1C">
      <w:pPr>
        <w:pStyle w:val="BodyPara"/>
      </w:pPr>
      <w:r w:rsidRPr="00FD274F">
        <w:t>any date given in the signed instrument as the date of making;</w:t>
      </w:r>
    </w:p>
    <w:p w14:paraId="7E6349A0" w14:textId="371D8CFF" w:rsidR="000D0103" w:rsidRDefault="00E86ABB" w:rsidP="000D0103">
      <w:pPr>
        <w:pStyle w:val="BodyPara"/>
      </w:pPr>
      <w:r w:rsidRPr="00FD274F">
        <w:t>the name as signed of each maker of the instrument and each other person who signed the instrument as made (e.g. a person who witnessed the rule</w:t>
      </w:r>
      <w:r>
        <w:noBreakHyphen/>
      </w:r>
      <w:r w:rsidRPr="00FD274F">
        <w:t>maker’s signature)</w:t>
      </w:r>
      <w:r w:rsidR="000D0103">
        <w:t>.</w:t>
      </w:r>
    </w:p>
    <w:p w14:paraId="424A04DC" w14:textId="0EE98E6C" w:rsidR="003F5180" w:rsidRDefault="0084047D" w:rsidP="00B30E8A">
      <w:pPr>
        <w:pStyle w:val="BodyNum"/>
      </w:pPr>
      <w:r w:rsidRPr="00FD274F">
        <w:t>It is generally not necessary for the electronic form of the instrument to include a scan of the rule</w:t>
      </w:r>
      <w:r w:rsidR="009C4251">
        <w:noBreakHyphen/>
      </w:r>
      <w:r w:rsidRPr="00FD274F">
        <w:t>maker’s signature or the notation “signed”.</w:t>
      </w:r>
      <w:r w:rsidR="00D863D2">
        <w:t xml:space="preserve"> It should be clear from the text that the instrument has in fact been signed.</w:t>
      </w:r>
      <w:r w:rsidRPr="00FD274F">
        <w:t xml:space="preserve"> </w:t>
      </w:r>
      <w:r w:rsidR="0069472E">
        <w:t xml:space="preserve">OPC does not </w:t>
      </w:r>
      <w:r w:rsidR="00C629A8">
        <w:t xml:space="preserve">require you </w:t>
      </w:r>
      <w:r w:rsidR="00D863D2">
        <w:t xml:space="preserve">to </w:t>
      </w:r>
      <w:r w:rsidR="00C629A8">
        <w:t xml:space="preserve">produce </w:t>
      </w:r>
      <w:r w:rsidR="00FA17EE">
        <w:t xml:space="preserve">the </w:t>
      </w:r>
      <w:r w:rsidR="0069472E">
        <w:t>signed instrument</w:t>
      </w:r>
      <w:r w:rsidR="00C629A8">
        <w:t xml:space="preserve"> as a matter of course. However, if there are questions or concerns, </w:t>
      </w:r>
      <w:r w:rsidR="003C673C">
        <w:t xml:space="preserve">you </w:t>
      </w:r>
      <w:r w:rsidR="00C629A8">
        <w:t>may be asked to provide it</w:t>
      </w:r>
      <w:r w:rsidR="003C673C">
        <w:t xml:space="preserve"> to assist in clarifying the issue to be resolved</w:t>
      </w:r>
      <w:r w:rsidR="00C629A8">
        <w:t>.</w:t>
      </w:r>
    </w:p>
    <w:p w14:paraId="1060A744" w14:textId="77777777" w:rsidR="001C63D8" w:rsidRPr="001C63D8" w:rsidRDefault="001C63D8" w:rsidP="001C63D8">
      <w:pPr>
        <w:pStyle w:val="BodyNum"/>
      </w:pPr>
      <w:bookmarkStart w:id="114" w:name="_Ref81732483"/>
      <w:r w:rsidRPr="001C63D8">
        <w:lastRenderedPageBreak/>
        <w:t>To deal with instruments that have been made by applying an electronic signature, the person lodging the instrument for registration must certify that the rule-maker applied their signature personally. At a minimum, there should be evidence that the signature was applied personally by the rule-maker, such as:</w:t>
      </w:r>
      <w:bookmarkEnd w:id="114"/>
    </w:p>
    <w:p w14:paraId="66FDA1AF" w14:textId="77777777" w:rsidR="001C63D8" w:rsidRPr="001C63D8" w:rsidRDefault="001C63D8" w:rsidP="001C63D8">
      <w:pPr>
        <w:pStyle w:val="BodyPara"/>
      </w:pPr>
      <w:r>
        <w:t>d</w:t>
      </w:r>
      <w:r w:rsidRPr="001C63D8">
        <w:t>ocumentary evidence from a person who witnessed (or virtually witnessed) the signature being personally applied to the instrument by the rule-maker; or</w:t>
      </w:r>
    </w:p>
    <w:p w14:paraId="2B30A971" w14:textId="77777777" w:rsidR="001C63D8" w:rsidRPr="001C63D8" w:rsidRDefault="001C63D8" w:rsidP="001C63D8">
      <w:pPr>
        <w:pStyle w:val="BodyPara"/>
      </w:pPr>
      <w:r>
        <w:t>e</w:t>
      </w:r>
      <w:r w:rsidRPr="001C63D8">
        <w:t>vidence that the rule-maker’s electronic signature is locked in such a way that only the rule-maker can access and apply it.</w:t>
      </w:r>
    </w:p>
    <w:p w14:paraId="67A86620" w14:textId="1ABDFB4B" w:rsidR="00501DD5" w:rsidRPr="00FD274F" w:rsidRDefault="0084047D" w:rsidP="00501DD5">
      <w:pPr>
        <w:pStyle w:val="BodyNum"/>
      </w:pPr>
      <w:r w:rsidRPr="00FD274F">
        <w:t>It is important to take the certification requirement seriously, and to check each document attached to a submission. Submitting incorrect information may be a breach of the A</w:t>
      </w:r>
      <w:r w:rsidRPr="004532FE">
        <w:t>PS Code of Conduct</w:t>
      </w:r>
      <w:r w:rsidRPr="004532FE">
        <w:rPr>
          <w:rStyle w:val="FootnoteReference"/>
        </w:rPr>
        <w:footnoteReference w:id="17"/>
      </w:r>
      <w:r w:rsidRPr="004532FE">
        <w:t>, a</w:t>
      </w:r>
      <w:r w:rsidRPr="00FD274F">
        <w:t xml:space="preserve">nd can have serious consequences for an agency and for government policy (see </w:t>
      </w:r>
      <w:r w:rsidRPr="001414D9">
        <w:t xml:space="preserve">paragraphs </w:t>
      </w:r>
      <w:r w:rsidR="00D90E09" w:rsidRPr="00F74531">
        <w:fldChar w:fldCharType="begin"/>
      </w:r>
      <w:r w:rsidR="00D90E09" w:rsidRPr="001414D9">
        <w:instrText xml:space="preserve"> REF _Ref442361469 \r \h </w:instrText>
      </w:r>
      <w:r w:rsidR="00F308D0" w:rsidRPr="001414D9">
        <w:instrText xml:space="preserve"> \* MERGEFORMAT </w:instrText>
      </w:r>
      <w:r w:rsidR="00D90E09" w:rsidRPr="00F74531">
        <w:fldChar w:fldCharType="separate"/>
      </w:r>
      <w:r w:rsidR="00AB105F">
        <w:t>226</w:t>
      </w:r>
      <w:r w:rsidR="00D90E09" w:rsidRPr="00F74531">
        <w:fldChar w:fldCharType="end"/>
      </w:r>
      <w:r w:rsidR="0049700A" w:rsidRPr="001414D9">
        <w:t xml:space="preserve"> to</w:t>
      </w:r>
      <w:r w:rsidR="00176C93">
        <w:t xml:space="preserve"> </w:t>
      </w:r>
      <w:r w:rsidR="00176C93">
        <w:fldChar w:fldCharType="begin"/>
      </w:r>
      <w:r w:rsidR="00176C93">
        <w:instrText xml:space="preserve"> REF _Ref184283856 \r \h </w:instrText>
      </w:r>
      <w:r w:rsidR="00176C93">
        <w:fldChar w:fldCharType="separate"/>
      </w:r>
      <w:r w:rsidR="00AB105F">
        <w:t>236</w:t>
      </w:r>
      <w:r w:rsidR="00176C93">
        <w:fldChar w:fldCharType="end"/>
      </w:r>
      <w:r w:rsidR="00942F8D" w:rsidRPr="001414D9">
        <w:t>).</w:t>
      </w:r>
      <w:r w:rsidR="0054483C">
        <w:t xml:space="preserve"> </w:t>
      </w:r>
      <w:r w:rsidR="0054483C">
        <w:rPr>
          <w:spacing w:val="-2"/>
        </w:rPr>
        <w:t>A lodgement is complete once an accurate lodgement form is certified and submitted to OPC.</w:t>
      </w:r>
    </w:p>
    <w:p w14:paraId="6B8BC6A5" w14:textId="577318C3" w:rsidR="00501DD5" w:rsidRPr="00FD274F" w:rsidRDefault="00501DD5" w:rsidP="00501DD5">
      <w:pPr>
        <w:pStyle w:val="Head4"/>
      </w:pPr>
      <w:bookmarkStart w:id="115" w:name="_Toc223687762"/>
      <w:r>
        <w:t>Withdrawing incomplete or inaccurate lodgements</w:t>
      </w:r>
      <w:bookmarkEnd w:id="115"/>
    </w:p>
    <w:p w14:paraId="1C5067AE" w14:textId="3BDFEFDD" w:rsidR="001A66B5" w:rsidRDefault="001A66B5" w:rsidP="0084366A">
      <w:pPr>
        <w:pStyle w:val="BodyNum"/>
      </w:pPr>
      <w:r>
        <w:t>If you become aware that a lodgement is incomplete or inaccurate</w:t>
      </w:r>
      <w:r w:rsidR="001D6B64">
        <w:t xml:space="preserve"> before registration</w:t>
      </w:r>
      <w:r>
        <w:t xml:space="preserve">, you must </w:t>
      </w:r>
      <w:r w:rsidR="001418E9">
        <w:t>withdraw it</w:t>
      </w:r>
      <w:r>
        <w:t xml:space="preserve"> as soon as practicable</w:t>
      </w:r>
      <w:r w:rsidR="00312030">
        <w:t xml:space="preserve"> </w:t>
      </w:r>
      <w:r w:rsidR="00312030" w:rsidRPr="004532FE">
        <w:t>(</w:t>
      </w:r>
      <w:hyperlink r:id="rId246" w:history="1">
        <w:r w:rsidR="00312030" w:rsidRPr="00001937">
          <w:rPr>
            <w:rStyle w:val="Hyperlink"/>
          </w:rPr>
          <w:t>LR</w:t>
        </w:r>
      </w:hyperlink>
      <w:r w:rsidR="00312030" w:rsidRPr="004532FE">
        <w:t xml:space="preserve"> s </w:t>
      </w:r>
      <w:r w:rsidR="00312030">
        <w:t>7</w:t>
      </w:r>
      <w:r w:rsidR="00312030" w:rsidRPr="004532FE">
        <w:t>(3))</w:t>
      </w:r>
      <w:r w:rsidR="001418E9">
        <w:t xml:space="preserve">. </w:t>
      </w:r>
      <w:r w:rsidR="00184548">
        <w:t xml:space="preserve">There are two </w:t>
      </w:r>
      <w:r w:rsidR="00EF1DA5">
        <w:t>methods for</w:t>
      </w:r>
      <w:r w:rsidR="00184548">
        <w:t xml:space="preserve"> withdrawal, as outlined below.</w:t>
      </w:r>
    </w:p>
    <w:p w14:paraId="3D96D24F" w14:textId="31B007FF" w:rsidR="00184548" w:rsidRPr="00580155" w:rsidRDefault="00576525" w:rsidP="009E48BF">
      <w:pPr>
        <w:pStyle w:val="BodyPara"/>
        <w:rPr>
          <w:b/>
          <w:bCs/>
        </w:rPr>
      </w:pPr>
      <w:r>
        <w:rPr>
          <w:b/>
          <w:bCs/>
        </w:rPr>
        <w:t>Us</w:t>
      </w:r>
      <w:r w:rsidR="00F819C3">
        <w:rPr>
          <w:b/>
          <w:bCs/>
        </w:rPr>
        <w:t>ing the withdraw button</w:t>
      </w:r>
      <w:r w:rsidR="00EF1DA5">
        <w:rPr>
          <w:b/>
          <w:bCs/>
        </w:rPr>
        <w:t>:</w:t>
      </w:r>
      <w:r w:rsidR="00F819C3">
        <w:t xml:space="preserve"> </w:t>
      </w:r>
      <w:r w:rsidR="00DB2925">
        <w:t>t</w:t>
      </w:r>
      <w:r w:rsidR="00F819C3">
        <w:t xml:space="preserve">his </w:t>
      </w:r>
      <w:r w:rsidR="00EF7815">
        <w:t>deletes the lodgement form permanently</w:t>
      </w:r>
      <w:r w:rsidR="00165A72">
        <w:t xml:space="preserve">, and is best used if you </w:t>
      </w:r>
      <w:r w:rsidR="00271A72">
        <w:t>will not proceed with that lodgement</w:t>
      </w:r>
      <w:r w:rsidR="00E16365">
        <w:t>. For example, if</w:t>
      </w:r>
      <w:r w:rsidR="00C86428">
        <w:t xml:space="preserve"> an instrument is accidentally lodged</w:t>
      </w:r>
      <w:r w:rsidR="00E16365">
        <w:t xml:space="preserve"> twice</w:t>
      </w:r>
      <w:r w:rsidR="0061475C">
        <w:t>, the withdraw button should be used to permanently delete the duplicate lodgement</w:t>
      </w:r>
      <w:r w:rsidR="002329B4">
        <w:t>.</w:t>
      </w:r>
    </w:p>
    <w:p w14:paraId="650405E6" w14:textId="79351D7D" w:rsidR="002329B4" w:rsidRPr="00580155" w:rsidRDefault="00576525" w:rsidP="00580155">
      <w:pPr>
        <w:pStyle w:val="BodyPara"/>
        <w:rPr>
          <w:b/>
          <w:bCs/>
        </w:rPr>
      </w:pPr>
      <w:r>
        <w:rPr>
          <w:b/>
          <w:bCs/>
        </w:rPr>
        <w:t>R</w:t>
      </w:r>
      <w:r w:rsidR="002329B4">
        <w:rPr>
          <w:b/>
          <w:bCs/>
        </w:rPr>
        <w:t>e</w:t>
      </w:r>
      <w:r w:rsidR="00776809">
        <w:rPr>
          <w:b/>
          <w:bCs/>
        </w:rPr>
        <w:t>questing control of the form</w:t>
      </w:r>
      <w:r w:rsidR="00EF1DA5">
        <w:rPr>
          <w:b/>
          <w:bCs/>
        </w:rPr>
        <w:t>:</w:t>
      </w:r>
      <w:r w:rsidR="00776809">
        <w:t xml:space="preserve"> </w:t>
      </w:r>
      <w:r w:rsidR="00DB2925">
        <w:t>t</w:t>
      </w:r>
      <w:r w:rsidR="00776809">
        <w:t xml:space="preserve">his allows </w:t>
      </w:r>
      <w:r w:rsidR="00271A72">
        <w:t xml:space="preserve">changes </w:t>
      </w:r>
      <w:r w:rsidR="00776809">
        <w:t xml:space="preserve">to be made </w:t>
      </w:r>
      <w:r w:rsidR="008A58DF">
        <w:t>without n</w:t>
      </w:r>
      <w:r w:rsidR="00097B43">
        <w:t xml:space="preserve">eeding to </w:t>
      </w:r>
      <w:r w:rsidR="00FD22BC">
        <w:t>start again with a new lodgement form</w:t>
      </w:r>
      <w:r w:rsidR="005F6F9D">
        <w:t>.</w:t>
      </w:r>
      <w:r w:rsidR="00DD453B">
        <w:t xml:space="preserve"> When you request control you can reupload the document and make changes to the information provided in the lodgement form. </w:t>
      </w:r>
      <w:r w:rsidR="00DB2925">
        <w:t>Requesting control</w:t>
      </w:r>
      <w:r w:rsidR="008A58DF">
        <w:t xml:space="preserve"> would be more </w:t>
      </w:r>
      <w:r w:rsidR="00756F20">
        <w:t xml:space="preserve">appropriate than </w:t>
      </w:r>
      <w:r w:rsidR="00DB2925">
        <w:t>using the withdraw button</w:t>
      </w:r>
      <w:r w:rsidR="00756F20">
        <w:t xml:space="preserve"> if, for example, the making date had not been included on the cover page.</w:t>
      </w:r>
      <w:r w:rsidR="00DD453B">
        <w:t xml:space="preserve"> If you request control of your lodgement form, you will need to recertify and resubmit your lodgement.</w:t>
      </w:r>
    </w:p>
    <w:p w14:paraId="27F558B4" w14:textId="30E21D79" w:rsidR="00C66D54" w:rsidRDefault="00062753" w:rsidP="0084366A">
      <w:pPr>
        <w:pStyle w:val="BodyNum"/>
      </w:pPr>
      <w:r>
        <w:t xml:space="preserve">When </w:t>
      </w:r>
      <w:r w:rsidR="001A593D">
        <w:t>withdrawing a lodgement</w:t>
      </w:r>
      <w:r w:rsidR="00586519">
        <w:t xml:space="preserve"> by either method</w:t>
      </w:r>
      <w:r>
        <w:t xml:space="preserve">, please contact OPC to let us know. </w:t>
      </w:r>
      <w:r w:rsidR="00E15E93">
        <w:t>If an error is found in an</w:t>
      </w:r>
      <w:r w:rsidR="00C66D54">
        <w:t xml:space="preserve"> instrument published on the Register</w:t>
      </w:r>
      <w:r w:rsidR="00C66D54" w:rsidRPr="00FD274F">
        <w:t xml:space="preserve">, </w:t>
      </w:r>
      <w:r w:rsidR="00107D46">
        <w:t xml:space="preserve">the </w:t>
      </w:r>
      <w:r w:rsidR="0006100B">
        <w:t>First Parliamentary Counsel</w:t>
      </w:r>
      <w:r w:rsidR="0033067E">
        <w:t xml:space="preserve"> </w:t>
      </w:r>
      <w:r w:rsidR="00C66D54">
        <w:t>must be notified</w:t>
      </w:r>
      <w:r w:rsidR="00C66D54" w:rsidRPr="00FD274F">
        <w:t xml:space="preserve"> without delay </w:t>
      </w:r>
      <w:r w:rsidR="00843692" w:rsidRPr="00FD274F">
        <w:t>(</w:t>
      </w:r>
      <w:hyperlink r:id="rId247" w:history="1">
        <w:r w:rsidR="00843692" w:rsidRPr="005547CD">
          <w:rPr>
            <w:rStyle w:val="Hyperlink"/>
          </w:rPr>
          <w:t>LA</w:t>
        </w:r>
      </w:hyperlink>
      <w:r w:rsidR="00843692" w:rsidRPr="005547CD">
        <w:t xml:space="preserve"> s 15L(1)(e))</w:t>
      </w:r>
      <w:r w:rsidR="00C66D54" w:rsidRPr="005547CD">
        <w:t>. Fo</w:t>
      </w:r>
      <w:r w:rsidR="00C66D54" w:rsidRPr="00FD274F">
        <w:t>r further guidance on how to report events affecting the accuracy and completeness of the Register, s</w:t>
      </w:r>
      <w:r w:rsidR="00C66D54" w:rsidRPr="005B0CC1">
        <w:t xml:space="preserve">ee </w:t>
      </w:r>
      <w:hyperlink w:anchor="Chapter6" w:history="1">
        <w:r w:rsidR="00C66D54" w:rsidRPr="005B0CC1">
          <w:rPr>
            <w:rStyle w:val="Hyperlink"/>
          </w:rPr>
          <w:t>Chapter 6</w:t>
        </w:r>
      </w:hyperlink>
      <w:r w:rsidR="00C66D54" w:rsidRPr="00FD274F">
        <w:t>.</w:t>
      </w:r>
    </w:p>
    <w:p w14:paraId="452DD87B" w14:textId="1F8DB6D1" w:rsidR="00BE52DD" w:rsidRPr="00942031" w:rsidRDefault="00C66D54" w:rsidP="00BE52DD">
      <w:pPr>
        <w:pStyle w:val="BodyNum"/>
      </w:pPr>
      <w:r>
        <w:rPr>
          <w:spacing w:val="-2"/>
        </w:rPr>
        <w:t>If the lodgement form including any attached documents is required to be resubmitted and recertified, the lodgement date and time for the purpose of any relevant additional fees is the date and time when last certified before registration.</w:t>
      </w:r>
      <w:r w:rsidR="005120EA">
        <w:rPr>
          <w:spacing w:val="-2"/>
        </w:rPr>
        <w:t xml:space="preserve"> Please</w:t>
      </w:r>
      <w:r w:rsidR="00E734CD">
        <w:rPr>
          <w:spacing w:val="-2"/>
        </w:rPr>
        <w:t xml:space="preserve"> make sure the </w:t>
      </w:r>
      <w:r w:rsidR="00B13184">
        <w:rPr>
          <w:spacing w:val="-2"/>
        </w:rPr>
        <w:t>registration requirements accurately reflect the priority of the document when relodged.</w:t>
      </w:r>
    </w:p>
    <w:p w14:paraId="6D0ED60E" w14:textId="77777777" w:rsidR="0084047D" w:rsidRPr="00FD274F" w:rsidRDefault="0084047D" w:rsidP="0084047D">
      <w:pPr>
        <w:pStyle w:val="Head4"/>
      </w:pPr>
      <w:bookmarkStart w:id="116" w:name="_Toc223687763"/>
      <w:r w:rsidRPr="00FD274F">
        <w:lastRenderedPageBreak/>
        <w:t>Standard timeframes for registration</w:t>
      </w:r>
      <w:bookmarkEnd w:id="116"/>
    </w:p>
    <w:p w14:paraId="6D36C24E" w14:textId="6778D37E" w:rsidR="0084047D" w:rsidRPr="00FD274F" w:rsidRDefault="0084047D" w:rsidP="0084047D">
      <w:pPr>
        <w:pStyle w:val="BodyNum"/>
      </w:pPr>
      <w:r w:rsidRPr="00FD274F">
        <w:t xml:space="preserve">Two full working days </w:t>
      </w:r>
      <w:r w:rsidR="00BC14EC" w:rsidRPr="00FD274F">
        <w:t>after certification</w:t>
      </w:r>
      <w:r w:rsidR="00C66D54" w:rsidRPr="00FD274F">
        <w:t xml:space="preserve"> </w:t>
      </w:r>
      <w:r w:rsidR="00C66D54">
        <w:t>or recertification</w:t>
      </w:r>
      <w:r w:rsidR="00BC14EC" w:rsidRPr="00FD274F">
        <w:t xml:space="preserve"> </w:t>
      </w:r>
      <w:r w:rsidRPr="00FD274F">
        <w:t>should generally be allowed for standard pre</w:t>
      </w:r>
      <w:r w:rsidR="009C4251">
        <w:noBreakHyphen/>
      </w:r>
      <w:r w:rsidRPr="00FD274F">
        <w:t>registration processes and</w:t>
      </w:r>
      <w:r w:rsidR="00B30E8A" w:rsidRPr="00FD274F">
        <w:t xml:space="preserve"> another t</w:t>
      </w:r>
      <w:r w:rsidR="0081626B" w:rsidRPr="00FD274F">
        <w:t xml:space="preserve">hree </w:t>
      </w:r>
      <w:r w:rsidR="00B30E8A" w:rsidRPr="00FD274F">
        <w:t xml:space="preserve">working days </w:t>
      </w:r>
      <w:r w:rsidRPr="00FD274F">
        <w:t xml:space="preserve">for </w:t>
      </w:r>
      <w:r w:rsidR="0081626B" w:rsidRPr="00FD274F">
        <w:t xml:space="preserve">OPC to lodge documents for tabling </w:t>
      </w:r>
      <w:r w:rsidRPr="00FD274F">
        <w:t>during sitting periods</w:t>
      </w:r>
      <w:r w:rsidR="0081626B" w:rsidRPr="00FD274F">
        <w:t>.</w:t>
      </w:r>
      <w:r w:rsidRPr="00FD274F">
        <w:t xml:space="preserve"> A longer lead time is recommended if documents:</w:t>
      </w:r>
    </w:p>
    <w:p w14:paraId="1C70E719" w14:textId="7E2B2B1F" w:rsidR="00843692" w:rsidRDefault="00843692" w:rsidP="00843692">
      <w:pPr>
        <w:pStyle w:val="BodyPara"/>
      </w:pPr>
      <w:r w:rsidRPr="00FD274F">
        <w:t>are lodged in a non</w:t>
      </w:r>
      <w:r>
        <w:noBreakHyphen/>
      </w:r>
      <w:r w:rsidRPr="00FD274F">
        <w:t>standard format—please note this requires the prior approval of the Fir</w:t>
      </w:r>
      <w:r w:rsidRPr="004532FE">
        <w:t>st Parliamentary Counsel (</w:t>
      </w:r>
      <w:hyperlink r:id="rId248" w:history="1">
        <w:r w:rsidR="004D2C49" w:rsidRPr="00001937">
          <w:rPr>
            <w:rStyle w:val="Hyperlink"/>
          </w:rPr>
          <w:t>LR</w:t>
        </w:r>
      </w:hyperlink>
      <w:r w:rsidRPr="004532FE">
        <w:t xml:space="preserve"> s </w:t>
      </w:r>
      <w:r w:rsidR="004D2C49">
        <w:t>6</w:t>
      </w:r>
      <w:r w:rsidRPr="004532FE">
        <w:t>(3)); or</w:t>
      </w:r>
    </w:p>
    <w:p w14:paraId="325E7AB5" w14:textId="643EAE19" w:rsidR="00843692" w:rsidRPr="00FD274F" w:rsidRDefault="00843692" w:rsidP="00843692">
      <w:pPr>
        <w:pStyle w:val="BodyPara"/>
      </w:pPr>
      <w:r>
        <w:t>do not have a name or a unique name—</w:t>
      </w:r>
      <w:r w:rsidR="00107D46">
        <w:t xml:space="preserve">the </w:t>
      </w:r>
      <w:r>
        <w:t>First Parliamentary Counsel</w:t>
      </w:r>
      <w:r w:rsidRPr="00FD274F">
        <w:t xml:space="preserve"> may name or rename </w:t>
      </w:r>
      <w:r>
        <w:t>instruments</w:t>
      </w:r>
      <w:r w:rsidRPr="00FD274F">
        <w:t xml:space="preserve"> if they do not have a name that is unique (</w:t>
      </w:r>
      <w:r w:rsidRPr="005547CD">
        <w:t xml:space="preserve">see </w:t>
      </w:r>
      <w:hyperlink r:id="rId249" w:history="1">
        <w:r w:rsidRPr="005547CD">
          <w:rPr>
            <w:rStyle w:val="Hyperlink"/>
          </w:rPr>
          <w:t>LA</w:t>
        </w:r>
      </w:hyperlink>
      <w:r w:rsidRPr="005547CD">
        <w:t xml:space="preserve"> s 15M(b)</w:t>
      </w:r>
      <w:r w:rsidRPr="00FD274F">
        <w:t xml:space="preserve"> and </w:t>
      </w:r>
      <w:hyperlink r:id="rId250" w:history="1">
        <w:r w:rsidR="004D2C49" w:rsidRPr="00001937">
          <w:rPr>
            <w:rStyle w:val="Hyperlink"/>
          </w:rPr>
          <w:t>LR</w:t>
        </w:r>
      </w:hyperlink>
      <w:r w:rsidRPr="004532FE">
        <w:t xml:space="preserve"> s 1</w:t>
      </w:r>
      <w:r w:rsidR="004D2C49">
        <w:t>1</w:t>
      </w:r>
      <w:r w:rsidRPr="004532FE">
        <w:t>); or</w:t>
      </w:r>
    </w:p>
    <w:p w14:paraId="6D963650" w14:textId="77777777" w:rsidR="00843692" w:rsidRPr="00FD274F" w:rsidRDefault="00843692" w:rsidP="00843692">
      <w:pPr>
        <w:pStyle w:val="BodyPara"/>
      </w:pPr>
      <w:r w:rsidRPr="00FD274F">
        <w:t xml:space="preserve">are large, or contain a mathematical formula, a long table </w:t>
      </w:r>
      <w:r>
        <w:t>or other complex formatting; or</w:t>
      </w:r>
    </w:p>
    <w:p w14:paraId="36AE7C9F" w14:textId="77777777" w:rsidR="00843692" w:rsidRPr="00FD274F" w:rsidRDefault="00843692" w:rsidP="00843692">
      <w:pPr>
        <w:pStyle w:val="BodyPara"/>
      </w:pPr>
      <w:r w:rsidRPr="00FD274F">
        <w:t>need special handling—requirements such as colour printing should be clearly flagged no later than the time of lodgement; or</w:t>
      </w:r>
    </w:p>
    <w:p w14:paraId="5EEFA66B" w14:textId="0ADF00BF" w:rsidR="00843692" w:rsidRPr="00FD274F" w:rsidRDefault="00843692" w:rsidP="00843692">
      <w:pPr>
        <w:pStyle w:val="BodyPara"/>
      </w:pPr>
      <w:r w:rsidRPr="00FD274F">
        <w:t xml:space="preserve">need to be registered during peak periods notified in advance—additional fees may also apply </w:t>
      </w:r>
      <w:r w:rsidRPr="00590BCB">
        <w:t xml:space="preserve">(see paragraph </w:t>
      </w:r>
      <w:r w:rsidRPr="005547CD">
        <w:fldChar w:fldCharType="begin"/>
      </w:r>
      <w:r w:rsidRPr="00590BCB">
        <w:instrText xml:space="preserve"> REF _Ref434314290 \r \h  \* MERGEFORMAT </w:instrText>
      </w:r>
      <w:r w:rsidRPr="005547CD">
        <w:fldChar w:fldCharType="separate"/>
      </w:r>
      <w:r w:rsidR="00AB105F">
        <w:t>162</w:t>
      </w:r>
      <w:r w:rsidRPr="005547CD">
        <w:fldChar w:fldCharType="end"/>
      </w:r>
      <w:r w:rsidRPr="00590BCB">
        <w:t>).</w:t>
      </w:r>
    </w:p>
    <w:p w14:paraId="66E11D7F" w14:textId="13A88E39" w:rsidR="0084047D" w:rsidRPr="00FD274F" w:rsidRDefault="00BC14EC" w:rsidP="0084047D">
      <w:pPr>
        <w:pStyle w:val="BodyNum"/>
      </w:pPr>
      <w:r w:rsidRPr="00FD274F">
        <w:t>A</w:t>
      </w:r>
      <w:r w:rsidR="0084047D" w:rsidRPr="00FD274F">
        <w:t>s soon as an instrument is registered and available on the</w:t>
      </w:r>
      <w:r w:rsidR="006C416A" w:rsidRPr="00FD274F">
        <w:t xml:space="preserve"> </w:t>
      </w:r>
      <w:r w:rsidR="0081626B" w:rsidRPr="00FD274F">
        <w:t>Register website</w:t>
      </w:r>
      <w:r w:rsidRPr="00FD274F">
        <w:t>, an email notification will be sent to the address nominated in the lodgement</w:t>
      </w:r>
      <w:r w:rsidR="006C416A" w:rsidRPr="00FD274F">
        <w:t xml:space="preserve">. </w:t>
      </w:r>
      <w:r w:rsidR="0084047D" w:rsidRPr="00FD274F">
        <w:t xml:space="preserve">If registration is likely to be delayed significantly, OPC </w:t>
      </w:r>
      <w:r w:rsidR="00F961E9" w:rsidRPr="00FD274F">
        <w:t>will</w:t>
      </w:r>
      <w:r w:rsidR="00C81CC7">
        <w:t xml:space="preserve"> contact </w:t>
      </w:r>
      <w:r w:rsidR="00F961E9" w:rsidRPr="00FD274F">
        <w:t xml:space="preserve">the </w:t>
      </w:r>
      <w:r w:rsidR="0084047D" w:rsidRPr="00FD274F">
        <w:t xml:space="preserve">lodging agency to discuss the matter. </w:t>
      </w:r>
      <w:r w:rsidR="00371CFF">
        <w:t>Please note,</w:t>
      </w:r>
      <w:r w:rsidR="0084047D" w:rsidRPr="00FD274F">
        <w:t xml:space="preserve"> it </w:t>
      </w:r>
      <w:r w:rsidR="00371CFF">
        <w:t>may</w:t>
      </w:r>
      <w:r w:rsidR="0084047D" w:rsidRPr="00FD274F">
        <w:t xml:space="preserve"> not </w:t>
      </w:r>
      <w:r w:rsidR="00371CFF">
        <w:t xml:space="preserve">be </w:t>
      </w:r>
      <w:r w:rsidR="0084047D" w:rsidRPr="00FD274F">
        <w:t>possible to register an instrument:</w:t>
      </w:r>
    </w:p>
    <w:p w14:paraId="484B20BE" w14:textId="77777777" w:rsidR="00843692" w:rsidRPr="00FD274F" w:rsidRDefault="00843692" w:rsidP="00843692">
      <w:pPr>
        <w:pStyle w:val="BodyPara"/>
      </w:pPr>
      <w:r w:rsidRPr="00FD274F">
        <w:t>because statutory req</w:t>
      </w:r>
      <w:r>
        <w:t>uirements have not been met; or</w:t>
      </w:r>
    </w:p>
    <w:p w14:paraId="053400BA" w14:textId="77777777" w:rsidR="00843692" w:rsidRPr="00FD274F" w:rsidRDefault="00843692" w:rsidP="00843692">
      <w:pPr>
        <w:pStyle w:val="BodyPara"/>
      </w:pPr>
      <w:r w:rsidRPr="00FD274F">
        <w:t>bec</w:t>
      </w:r>
      <w:r>
        <w:t>ause of technical difficulties.</w:t>
      </w:r>
    </w:p>
    <w:p w14:paraId="370CA208" w14:textId="608AA019" w:rsidR="00843692" w:rsidRPr="00FD274F" w:rsidRDefault="00843692" w:rsidP="00843692">
      <w:pPr>
        <w:pStyle w:val="BodyNum"/>
      </w:pPr>
      <w:r w:rsidRPr="00FD274F">
        <w:t xml:space="preserve">If technical difficulties prevent OPC from registering a document on the approved website </w:t>
      </w:r>
      <w:hyperlink r:id="rId251" w:history="1">
        <w:r w:rsidRPr="00FD274F">
          <w:rPr>
            <w:rStyle w:val="Hyperlink"/>
          </w:rPr>
          <w:t>https://www.legislation.gov.au</w:t>
        </w:r>
      </w:hyperlink>
      <w:r w:rsidRPr="00FD274F">
        <w:t xml:space="preserve">, and as permitted by section </w:t>
      </w:r>
      <w:r w:rsidRPr="004532FE">
        <w:t>1</w:t>
      </w:r>
      <w:r w:rsidR="004D2C49">
        <w:t>4</w:t>
      </w:r>
      <w:r w:rsidRPr="004532FE">
        <w:t xml:space="preserve"> of the </w:t>
      </w:r>
      <w:hyperlink r:id="rId252" w:history="1">
        <w:r w:rsidR="00C419A5" w:rsidRPr="009D7738">
          <w:rPr>
            <w:rStyle w:val="Hyperlink"/>
          </w:rPr>
          <w:t>LR</w:t>
        </w:r>
      </w:hyperlink>
      <w:r w:rsidRPr="00FD274F">
        <w:t>, OPC:</w:t>
      </w:r>
    </w:p>
    <w:p w14:paraId="7AB0EB2A" w14:textId="6CC49BA3" w:rsidR="00843692" w:rsidRPr="00FD274F" w:rsidRDefault="00843692" w:rsidP="00843692">
      <w:pPr>
        <w:pStyle w:val="BodyPara"/>
      </w:pPr>
      <w:r w:rsidRPr="00FD274F">
        <w:t xml:space="preserve">may register the document by publishing it on the OPC website </w:t>
      </w:r>
      <w:hyperlink r:id="rId253" w:history="1">
        <w:r>
          <w:rPr>
            <w:rStyle w:val="Hyperlink"/>
          </w:rPr>
          <w:t>https://www.opc.gov.au/</w:t>
        </w:r>
      </w:hyperlink>
      <w:r w:rsidRPr="00FD274F">
        <w:t xml:space="preserve"> or (if that website is not publicly available) by publicly displaying the document at 28 Sydney Avenue, Forrest ACT; and</w:t>
      </w:r>
    </w:p>
    <w:p w14:paraId="703A976D" w14:textId="77777777" w:rsidR="00843692" w:rsidRPr="00FD274F" w:rsidRDefault="00843692" w:rsidP="00843692">
      <w:pPr>
        <w:pStyle w:val="BodyPara"/>
      </w:pPr>
      <w:r w:rsidRPr="00FD274F">
        <w:t xml:space="preserve">will make the document available on the approved website once the technical difficulties have </w:t>
      </w:r>
      <w:r>
        <w:t>been resolved</w:t>
      </w:r>
      <w:r w:rsidRPr="00FD274F">
        <w:t>.</w:t>
      </w:r>
    </w:p>
    <w:p w14:paraId="280F60C1" w14:textId="77777777" w:rsidR="0084047D" w:rsidRPr="00FD274F" w:rsidRDefault="0084047D" w:rsidP="0084047D">
      <w:pPr>
        <w:pStyle w:val="Head4"/>
      </w:pPr>
      <w:bookmarkStart w:id="117" w:name="_Toc223687764"/>
      <w:r w:rsidRPr="00FD274F">
        <w:t>Fees for standard and additional services</w:t>
      </w:r>
      <w:bookmarkEnd w:id="117"/>
    </w:p>
    <w:p w14:paraId="70FF8AD3" w14:textId="015A29CE" w:rsidR="0084047D" w:rsidRPr="00FD274F" w:rsidRDefault="00BE6ED1" w:rsidP="0084047D">
      <w:pPr>
        <w:pStyle w:val="BodyNum"/>
      </w:pPr>
      <w:r>
        <w:t>C</w:t>
      </w:r>
      <w:r w:rsidR="0084047D" w:rsidRPr="00FD274F">
        <w:t xml:space="preserve">lients receive a single annual </w:t>
      </w:r>
      <w:r w:rsidR="00C901B0">
        <w:t>F</w:t>
      </w:r>
      <w:r w:rsidR="00496C20">
        <w:t>e</w:t>
      </w:r>
      <w:r w:rsidR="00C901B0">
        <w:t xml:space="preserve">deral Register of Legislation Fee </w:t>
      </w:r>
      <w:r w:rsidR="0084047D" w:rsidRPr="00FD274F">
        <w:t>invoice for each financial year</w:t>
      </w:r>
      <w:r w:rsidR="00C901B0">
        <w:t>, which covers all routine registration services</w:t>
      </w:r>
      <w:r w:rsidR="0084047D" w:rsidRPr="00FD274F">
        <w:t xml:space="preserve">. This fee model enables OPC to provide certainty to clients and, because it is simple to administer, to keep </w:t>
      </w:r>
      <w:r w:rsidR="006C416A" w:rsidRPr="00FD274F">
        <w:t>Register</w:t>
      </w:r>
      <w:r w:rsidR="00942F8D">
        <w:t xml:space="preserve"> costs down.</w:t>
      </w:r>
    </w:p>
    <w:p w14:paraId="167DC222" w14:textId="0FE45462" w:rsidR="0084047D" w:rsidRPr="005F4137" w:rsidRDefault="0084047D" w:rsidP="0084047D">
      <w:pPr>
        <w:pStyle w:val="BodyNum"/>
      </w:pPr>
      <w:bookmarkStart w:id="118" w:name="_Ref434314290"/>
      <w:r w:rsidRPr="005F4137">
        <w:lastRenderedPageBreak/>
        <w:t xml:space="preserve">OPC only charges additional fees if the client </w:t>
      </w:r>
      <w:r w:rsidR="00C901B0" w:rsidRPr="005F4137">
        <w:t>requires a special requirement and additional service, such as registration at a specific time, express, after-hours or peak period service, when lodging instruments or gazettes.</w:t>
      </w:r>
      <w:r w:rsidRPr="005F4137">
        <w:t xml:space="preserve"> If your agency is likely to require such service, please let OPC know by calling (02) 6120 1350 during business hours. This is particularly important if you think your agency may require</w:t>
      </w:r>
      <w:r w:rsidR="0081626B" w:rsidRPr="005F4137">
        <w:t xml:space="preserve"> something to be registered</w:t>
      </w:r>
      <w:r w:rsidRPr="005F4137">
        <w:t>:</w:t>
      </w:r>
      <w:bookmarkEnd w:id="118"/>
    </w:p>
    <w:p w14:paraId="718D4107" w14:textId="77777777" w:rsidR="0081626B" w:rsidRPr="005F4137" w:rsidRDefault="0081626B" w:rsidP="0084047D">
      <w:pPr>
        <w:pStyle w:val="BodyPara"/>
      </w:pPr>
      <w:r w:rsidRPr="005F4137">
        <w:t>on the day of or day after lodgement; or</w:t>
      </w:r>
    </w:p>
    <w:p w14:paraId="5304AFF7" w14:textId="39C24715" w:rsidR="00C901B0" w:rsidRPr="005F4137" w:rsidRDefault="005F4137" w:rsidP="00C901B0">
      <w:pPr>
        <w:pStyle w:val="BodyPara"/>
      </w:pPr>
      <w:r w:rsidRPr="005F4137">
        <w:t xml:space="preserve">on the </w:t>
      </w:r>
      <w:r w:rsidR="00C901B0" w:rsidRPr="005F4137">
        <w:t>same-day between 5.00 pm and 11.59 pm without prior notice; or</w:t>
      </w:r>
    </w:p>
    <w:p w14:paraId="75DF6B79" w14:textId="60FE603E" w:rsidR="00C901B0" w:rsidRPr="005F4137" w:rsidRDefault="00C901B0" w:rsidP="00C901B0">
      <w:pPr>
        <w:pStyle w:val="BodyPara"/>
      </w:pPr>
      <w:r w:rsidRPr="005F4137">
        <w:t>at a specified time during business hours; or</w:t>
      </w:r>
    </w:p>
    <w:p w14:paraId="172AEB82" w14:textId="77777777" w:rsidR="00C901B0" w:rsidRPr="005F4137" w:rsidRDefault="0081626B" w:rsidP="0084047D">
      <w:pPr>
        <w:pStyle w:val="BodyPara"/>
      </w:pPr>
      <w:r w:rsidRPr="005F4137">
        <w:t xml:space="preserve">outside of normal business hours, including </w:t>
      </w:r>
      <w:r w:rsidR="00942F8D" w:rsidRPr="005F4137">
        <w:t>on a weekend or public holiday</w:t>
      </w:r>
      <w:r w:rsidR="00C901B0" w:rsidRPr="005F4137">
        <w:t>; or</w:t>
      </w:r>
    </w:p>
    <w:p w14:paraId="64999917" w14:textId="77777777" w:rsidR="00C901B0" w:rsidRPr="005F4137" w:rsidRDefault="00C901B0" w:rsidP="00C901B0">
      <w:pPr>
        <w:pStyle w:val="BodyPara"/>
      </w:pPr>
      <w:r w:rsidRPr="005F4137">
        <w:t>during the notified peak periods at the end of the calendar and financial year; or</w:t>
      </w:r>
    </w:p>
    <w:p w14:paraId="671D9295" w14:textId="048C0D2B" w:rsidR="00C901B0" w:rsidRPr="005F4137" w:rsidRDefault="005F4137" w:rsidP="00C901B0">
      <w:pPr>
        <w:pStyle w:val="BodyPara"/>
      </w:pPr>
      <w:r>
        <w:t>with the</w:t>
      </w:r>
      <w:r w:rsidR="00C901B0" w:rsidRPr="005F4137">
        <w:t xml:space="preserve"> addition of a unique name; or</w:t>
      </w:r>
    </w:p>
    <w:p w14:paraId="748D3F02" w14:textId="49247C38" w:rsidR="00C901B0" w:rsidRPr="005F4137" w:rsidRDefault="005F4137" w:rsidP="00C901B0">
      <w:pPr>
        <w:pStyle w:val="BodyPara"/>
      </w:pPr>
      <w:r>
        <w:t>with the</w:t>
      </w:r>
      <w:r w:rsidR="00C901B0" w:rsidRPr="005F4137">
        <w:t xml:space="preserve"> addition of alt</w:t>
      </w:r>
      <w:r w:rsidR="003E52B0">
        <w:t xml:space="preserve"> </w:t>
      </w:r>
      <w:r w:rsidR="00C901B0" w:rsidRPr="005F4137">
        <w:t>text to an image or object before registration</w:t>
      </w:r>
      <w:r w:rsidR="00797F00">
        <w:t>.</w:t>
      </w:r>
    </w:p>
    <w:p w14:paraId="73BABD93" w14:textId="77777777" w:rsidR="00A23285" w:rsidRDefault="00A23285" w:rsidP="0084047D">
      <w:pPr>
        <w:pStyle w:val="BodyNum"/>
      </w:pPr>
      <w:r>
        <w:t>It also important for an agency to contact OPC if:</w:t>
      </w:r>
    </w:p>
    <w:p w14:paraId="452E6794" w14:textId="438C6F68" w:rsidR="00A23285" w:rsidRDefault="00A23285" w:rsidP="00A23285">
      <w:pPr>
        <w:pStyle w:val="BodyPara"/>
      </w:pPr>
      <w:r>
        <w:t>a registration requires express delivery for tabling; or</w:t>
      </w:r>
    </w:p>
    <w:p w14:paraId="3B69C98B" w14:textId="19EEB5D2" w:rsidR="00A23285" w:rsidRDefault="00A23285" w:rsidP="0013097A">
      <w:pPr>
        <w:pStyle w:val="BodyPara"/>
      </w:pPr>
      <w:r>
        <w:t>a rectification of an instrument or compilation needs to be issued due to an agency error.</w:t>
      </w:r>
    </w:p>
    <w:p w14:paraId="4332DCDA" w14:textId="38A5603D" w:rsidR="0084047D" w:rsidRPr="00FD274F" w:rsidRDefault="0084047D" w:rsidP="0084047D">
      <w:pPr>
        <w:pStyle w:val="BodyNum"/>
      </w:pPr>
      <w:r w:rsidRPr="00FD274F">
        <w:t xml:space="preserve">The services OPC provides in connection with </w:t>
      </w:r>
      <w:r w:rsidR="00743D59" w:rsidRPr="00FD274F">
        <w:t xml:space="preserve">documents do not end with their </w:t>
      </w:r>
      <w:r w:rsidRPr="00FD274F">
        <w:t xml:space="preserve">registration. For example, OPC routinely tracks and alerts agencies to disallowance, sunsetting and other legislative processes that may affect the lifecycle of an instrument and, even if an instrument is repealed, it remains available on </w:t>
      </w:r>
      <w:r w:rsidR="00743D59" w:rsidRPr="00FD274F">
        <w:t>the Register</w:t>
      </w:r>
      <w:r w:rsidRPr="00FD274F">
        <w:t>.</w:t>
      </w:r>
    </w:p>
    <w:p w14:paraId="114F76CF" w14:textId="64523FF9" w:rsidR="00234CB2" w:rsidRPr="00FD274F" w:rsidRDefault="00BD413A" w:rsidP="002C2A36">
      <w:pPr>
        <w:pStyle w:val="BodyNum"/>
      </w:pPr>
      <w:r>
        <w:t>Detailed</w:t>
      </w:r>
      <w:r w:rsidRPr="00FD274F">
        <w:t xml:space="preserve"> information on</w:t>
      </w:r>
      <w:r>
        <w:t xml:space="preserve"> special requirement and additional service</w:t>
      </w:r>
      <w:r w:rsidRPr="00FD274F">
        <w:t xml:space="preserve"> fees can be obtained from the</w:t>
      </w:r>
      <w:r>
        <w:t xml:space="preserve"> home page of the</w:t>
      </w:r>
      <w:r w:rsidRPr="00FD274F">
        <w:t xml:space="preserve"> </w:t>
      </w:r>
      <w:hyperlink r:id="rId254" w:history="1">
        <w:r w:rsidRPr="00FD274F">
          <w:rPr>
            <w:rStyle w:val="Hyperlink"/>
          </w:rPr>
          <w:t>lodgement facility</w:t>
        </w:r>
      </w:hyperlink>
      <w:r w:rsidRPr="00FD274F">
        <w:t xml:space="preserve"> or </w:t>
      </w:r>
      <w:r>
        <w:t xml:space="preserve">by </w:t>
      </w:r>
      <w:r w:rsidR="006B148A">
        <w:t>emailing</w:t>
      </w:r>
      <w:r>
        <w:t xml:space="preserve"> OPC at </w:t>
      </w:r>
      <w:hyperlink r:id="rId255" w:history="1">
        <w:r w:rsidRPr="00C575CE">
          <w:rPr>
            <w:rStyle w:val="Hyperlink"/>
          </w:rPr>
          <w:t>lodge@legislation.gov.au</w:t>
        </w:r>
      </w:hyperlink>
      <w:r>
        <w:t xml:space="preserve"> or </w:t>
      </w:r>
      <w:r w:rsidR="006B148A">
        <w:t xml:space="preserve">calling </w:t>
      </w:r>
      <w:r w:rsidRPr="00FD274F">
        <w:t xml:space="preserve">the </w:t>
      </w:r>
      <w:r w:rsidR="006B148A">
        <w:t>Lodgement</w:t>
      </w:r>
      <w:r w:rsidRPr="00FD274F">
        <w:t xml:space="preserve"> Help Desk on (02) 6120 1350.</w:t>
      </w:r>
    </w:p>
    <w:p w14:paraId="171FA845" w14:textId="77777777" w:rsidR="00590F3B" w:rsidRPr="00FD274F" w:rsidRDefault="00590F3B" w:rsidP="00590F3B">
      <w:pPr>
        <w:pStyle w:val="Head3"/>
      </w:pPr>
      <w:bookmarkStart w:id="119" w:name="_Toc223687765"/>
      <w:r w:rsidRPr="00FD274F">
        <w:t>Requirement for gazettal or notification in addition to registration</w:t>
      </w:r>
      <w:bookmarkEnd w:id="119"/>
    </w:p>
    <w:p w14:paraId="34872919" w14:textId="7D066F52" w:rsidR="00590F3B" w:rsidRPr="00FD274F" w:rsidRDefault="00590F3B" w:rsidP="00590F3B">
      <w:pPr>
        <w:pStyle w:val="BodyNum"/>
      </w:pPr>
      <w:r w:rsidRPr="00FD274F">
        <w:t>A legislative instrument’s enabling legislation may require the instrument to be published or notified in the Gazette. Under subsection 5</w:t>
      </w:r>
      <w:r w:rsidRPr="00D965EA">
        <w:t xml:space="preserve">6(1) of the </w:t>
      </w:r>
      <w:hyperlink r:id="rId256" w:history="1">
        <w:r w:rsidRPr="00D965EA">
          <w:rPr>
            <w:rStyle w:val="Hyperlink"/>
          </w:rPr>
          <w:t>LA</w:t>
        </w:r>
      </w:hyperlink>
      <w:r w:rsidRPr="00D965EA">
        <w:t>,</w:t>
      </w:r>
      <w:r w:rsidRPr="00FD274F">
        <w:t xml:space="preserve"> registering an instrument on the Federal Register of Legislation as a legislative instrument on or after 5 March 2016 meets the legislation’s requirement for gazettal. Generally, any requirements for publication of the instrument other than in the Gazette or generally on a website (such as in a newspaper or elsewhere) are additional to the requirement for registration on the Register (</w:t>
      </w:r>
      <w:hyperlink r:id="rId257" w:history="1">
        <w:r w:rsidRPr="00D965EA">
          <w:rPr>
            <w:rStyle w:val="Hyperlink"/>
          </w:rPr>
          <w:t>LA</w:t>
        </w:r>
      </w:hyperlink>
      <w:r w:rsidRPr="00D965EA">
        <w:t xml:space="preserve"> s 56(2) and (3)).</w:t>
      </w:r>
      <w:r w:rsidRPr="00FD274F">
        <w:t xml:space="preserve"> </w:t>
      </w:r>
      <w:r w:rsidR="00A31410">
        <w:t>For example, a</w:t>
      </w:r>
      <w:r w:rsidRPr="00FD274F">
        <w:t xml:space="preserve"> requirement for an instrument to be published on a website would be met by registering an instrument as a legislative instrument on the Federal Register of Legislation</w:t>
      </w:r>
      <w:r w:rsidR="00A31410">
        <w:t>,</w:t>
      </w:r>
      <w:r w:rsidRPr="00FD274F">
        <w:t xml:space="preserve"> as the Register is a website.</w:t>
      </w:r>
    </w:p>
    <w:p w14:paraId="4040693E" w14:textId="4E75EF6C" w:rsidR="00590F3B" w:rsidRPr="00FD274F" w:rsidRDefault="00590F3B" w:rsidP="00590F3B">
      <w:pPr>
        <w:pStyle w:val="BodyNum"/>
      </w:pPr>
      <w:r w:rsidRPr="00FD274F">
        <w:lastRenderedPageBreak/>
        <w:t xml:space="preserve">Similarly, a requirement may exist in the enabling legislation for an instrument other than a legislative instrument to be notified or published in the Gazette. Generally, under </w:t>
      </w:r>
      <w:r w:rsidRPr="00D965EA">
        <w:t xml:space="preserve">subsection 11(4) of the </w:t>
      </w:r>
      <w:hyperlink r:id="rId258" w:history="1">
        <w:r w:rsidRPr="00D965EA">
          <w:rPr>
            <w:rStyle w:val="Hyperlink"/>
          </w:rPr>
          <w:t>LA</w:t>
        </w:r>
      </w:hyperlink>
      <w:r w:rsidRPr="00D965EA">
        <w:t>,</w:t>
      </w:r>
      <w:r w:rsidRPr="00FD274F">
        <w:t xml:space="preserve"> registering an instrument on the Federal Register of Legislation as a notifiable instrument on or after 5 March 2016 meets the legislation’s requirement for gazettal (whether or not the enabling legislation refers to the instrument as a notifiable instrument). In addition, any other requirements for publication of the instrument are also met by the requirement for registration on the Register (</w:t>
      </w:r>
      <w:hyperlink r:id="rId259" w:history="1">
        <w:r w:rsidRPr="00D965EA">
          <w:rPr>
            <w:rStyle w:val="Hyperlink"/>
          </w:rPr>
          <w:t>LA</w:t>
        </w:r>
      </w:hyperlink>
      <w:r w:rsidRPr="00D965EA">
        <w:t xml:space="preserve"> s 11(4)) unl</w:t>
      </w:r>
      <w:r w:rsidRPr="00FD274F">
        <w:t>ess the legislation provides a contrary intention.</w:t>
      </w:r>
    </w:p>
    <w:p w14:paraId="02123C1B" w14:textId="4EFB405C" w:rsidR="00590F3B" w:rsidRDefault="00590F3B" w:rsidP="00590F3B">
      <w:pPr>
        <w:pStyle w:val="BodyNum"/>
      </w:pPr>
      <w:r w:rsidRPr="00FD274F">
        <w:t xml:space="preserve">Agencies should update their legislation to align with </w:t>
      </w:r>
      <w:r w:rsidRPr="00D965EA">
        <w:t xml:space="preserve">the </w:t>
      </w:r>
      <w:hyperlink r:id="rId260" w:history="1">
        <w:r w:rsidRPr="00D965EA">
          <w:rPr>
            <w:rStyle w:val="Hyperlink"/>
          </w:rPr>
          <w:t>LA</w:t>
        </w:r>
      </w:hyperlink>
      <w:r w:rsidRPr="00D965EA">
        <w:rPr>
          <w:rStyle w:val="FootnoteReference"/>
        </w:rPr>
        <w:footnoteReference w:id="18"/>
      </w:r>
      <w:r w:rsidRPr="00D965EA">
        <w:t>, and s</w:t>
      </w:r>
      <w:r w:rsidRPr="00FD274F">
        <w:t>hould avoid putting in place additional requirements for publication as well as registration, unless there are compelling reasons for these. Adopting t</w:t>
      </w:r>
      <w:r w:rsidRPr="00D965EA">
        <w:t xml:space="preserve">he </w:t>
      </w:r>
      <w:hyperlink r:id="rId261" w:history="1">
        <w:r w:rsidRPr="00D965EA">
          <w:rPr>
            <w:rStyle w:val="Hyperlink"/>
          </w:rPr>
          <w:t>LA</w:t>
        </w:r>
      </w:hyperlink>
      <w:r w:rsidRPr="00D965EA">
        <w:t xml:space="preserve"> sta</w:t>
      </w:r>
      <w:r w:rsidRPr="00FD274F">
        <w:t>ndard does not prevent an instrument being notified or published elsewhere if desired.</w:t>
      </w:r>
    </w:p>
    <w:p w14:paraId="3C22544D" w14:textId="2635851D" w:rsidR="00373E90" w:rsidRPr="00FD274F" w:rsidRDefault="00373E90" w:rsidP="00373E90">
      <w:pPr>
        <w:pStyle w:val="Head4"/>
      </w:pPr>
      <w:bookmarkStart w:id="120" w:name="_Toc223687766"/>
      <w:r>
        <w:t>Benefits of registering notifiable instruments instead of gazettes</w:t>
      </w:r>
      <w:bookmarkEnd w:id="120"/>
    </w:p>
    <w:p w14:paraId="22EB3DAD" w14:textId="77777777" w:rsidR="000F4ECA" w:rsidRDefault="00656E9F" w:rsidP="000F4ECA">
      <w:pPr>
        <w:pStyle w:val="BodyNum"/>
      </w:pPr>
      <w:r>
        <w:t>When preparing a gazette, i</w:t>
      </w:r>
      <w:r w:rsidR="00D553BF">
        <w:t>t is worth considering</w:t>
      </w:r>
      <w:r>
        <w:t xml:space="preserve"> choosing to register that content as a notifiable instrument instead</w:t>
      </w:r>
      <w:r w:rsidR="000F4ECA">
        <w:t>.</w:t>
      </w:r>
    </w:p>
    <w:p w14:paraId="1AB90A52" w14:textId="27C386CD" w:rsidR="000B639A" w:rsidRDefault="000B639A" w:rsidP="000F4ECA">
      <w:pPr>
        <w:pStyle w:val="BodyNum"/>
      </w:pPr>
      <w:r>
        <w:t xml:space="preserve">Generally, a legislative requirement for gazettal is met by registering </w:t>
      </w:r>
      <w:r w:rsidR="003C6FA4">
        <w:t>that content as a notifiable instrument on the Federal Register of Legislation (</w:t>
      </w:r>
      <w:hyperlink r:id="rId262" w:history="1">
        <w:r w:rsidR="003C6FA4" w:rsidRPr="00D965EA">
          <w:rPr>
            <w:rStyle w:val="Hyperlink"/>
          </w:rPr>
          <w:t>LA</w:t>
        </w:r>
      </w:hyperlink>
      <w:r w:rsidR="00A252CA">
        <w:rPr>
          <w:rStyle w:val="Hyperlink"/>
        </w:rPr>
        <w:t xml:space="preserve"> s 11(4)</w:t>
      </w:r>
      <w:r w:rsidR="003C6FA4" w:rsidRPr="000F4ECA">
        <w:rPr>
          <w:rStyle w:val="Hyperlink"/>
          <w:color w:val="auto"/>
        </w:rPr>
        <w:t>)</w:t>
      </w:r>
      <w:r w:rsidR="000F4ECA" w:rsidRPr="000F4ECA">
        <w:rPr>
          <w:rStyle w:val="Hyperlink"/>
          <w:color w:val="auto"/>
        </w:rPr>
        <w:t>.</w:t>
      </w:r>
    </w:p>
    <w:p w14:paraId="63367290" w14:textId="77777777" w:rsidR="00FF4EAE" w:rsidRDefault="000F4ECA" w:rsidP="00B74849">
      <w:pPr>
        <w:pStyle w:val="BodyNum"/>
      </w:pPr>
      <w:r>
        <w:t xml:space="preserve">A notifiable instrument offers the </w:t>
      </w:r>
      <w:r w:rsidR="00FF4EAE">
        <w:t xml:space="preserve">following </w:t>
      </w:r>
      <w:r>
        <w:t>benefits</w:t>
      </w:r>
      <w:r w:rsidR="00FF4EAE">
        <w:t>:</w:t>
      </w:r>
    </w:p>
    <w:p w14:paraId="12F60219" w14:textId="33EF27C4" w:rsidR="00FF4EAE" w:rsidRDefault="00FF4EAE" w:rsidP="00FF4EAE">
      <w:pPr>
        <w:pStyle w:val="BodyPara"/>
      </w:pPr>
      <w:r>
        <w:t>it can be amended by another notifiable instrument</w:t>
      </w:r>
      <w:r w:rsidR="00CB3321">
        <w:t>;</w:t>
      </w:r>
    </w:p>
    <w:p w14:paraId="78D54F22" w14:textId="15D74A7B" w:rsidR="00CB3321" w:rsidRDefault="00CB3321" w:rsidP="00FF4EAE">
      <w:pPr>
        <w:pStyle w:val="BodyPara"/>
      </w:pPr>
      <w:r>
        <w:t>it has a status (in force, no longer in force);</w:t>
      </w:r>
    </w:p>
    <w:p w14:paraId="7F511B29" w14:textId="525FE74B" w:rsidR="00CB3321" w:rsidRDefault="00CB3321" w:rsidP="00FF4EAE">
      <w:pPr>
        <w:pStyle w:val="BodyPara"/>
      </w:pPr>
      <w:r>
        <w:t>it can be repealed, either by self-repeal or by another notifiable instrument;</w:t>
      </w:r>
    </w:p>
    <w:p w14:paraId="44390BAD" w14:textId="575D43CC" w:rsidR="00CB3321" w:rsidRDefault="00CB3321" w:rsidP="00FF4EAE">
      <w:pPr>
        <w:pStyle w:val="BodyPara"/>
      </w:pPr>
      <w:r>
        <w:t xml:space="preserve">it does not need to be on the </w:t>
      </w:r>
      <w:r w:rsidR="00C745AC">
        <w:t xml:space="preserve">Commonwealth </w:t>
      </w:r>
      <w:r>
        <w:t>gazette template.</w:t>
      </w:r>
    </w:p>
    <w:p w14:paraId="1D6BB70F" w14:textId="77777777" w:rsidR="007512AF" w:rsidRDefault="00CB3321" w:rsidP="00B74849">
      <w:pPr>
        <w:pStyle w:val="BodyNum"/>
      </w:pPr>
      <w:r>
        <w:t xml:space="preserve">All of these benefits provide greater control over the content </w:t>
      </w:r>
      <w:r w:rsidR="00B606B0">
        <w:t>to be published and its currency.</w:t>
      </w:r>
    </w:p>
    <w:p w14:paraId="20114385" w14:textId="7ABB14E2" w:rsidR="005D12FF" w:rsidRDefault="000324C7" w:rsidP="00B74849">
      <w:pPr>
        <w:pStyle w:val="BodyNum"/>
      </w:pPr>
      <w:r>
        <w:t xml:space="preserve">More and more notices previously required to be gazetted </w:t>
      </w:r>
      <w:r w:rsidR="007512AF">
        <w:t xml:space="preserve">are shifting towards legislative requirements to be </w:t>
      </w:r>
      <w:r w:rsidR="00D14256">
        <w:t xml:space="preserve">published as notifiable instruments </w:t>
      </w:r>
      <w:r w:rsidR="00E17302">
        <w:t>(</w:t>
      </w:r>
      <w:r w:rsidR="00D14256">
        <w:t>for example</w:t>
      </w:r>
      <w:r w:rsidR="00E17302">
        <w:t>,</w:t>
      </w:r>
      <w:r w:rsidR="00D14256">
        <w:t xml:space="preserve"> </w:t>
      </w:r>
      <w:r w:rsidR="00360E1B">
        <w:t xml:space="preserve">notices of disqualification under section 126A of the </w:t>
      </w:r>
      <w:hyperlink r:id="rId263" w:history="1">
        <w:r w:rsidR="00360E1B" w:rsidRPr="007512AF">
          <w:rPr>
            <w:rStyle w:val="Hyperlink"/>
            <w:i/>
          </w:rPr>
          <w:t>Superannuation Industry (Supervision) Act 1993</w:t>
        </w:r>
      </w:hyperlink>
      <w:r w:rsidR="00E17302">
        <w:rPr>
          <w:rStyle w:val="Hyperlink"/>
        </w:rPr>
        <w:t>)</w:t>
      </w:r>
      <w:r w:rsidR="00360E1B">
        <w:t>.</w:t>
      </w:r>
    </w:p>
    <w:p w14:paraId="10987D5A" w14:textId="15395632" w:rsidR="00590F3B" w:rsidRPr="00FD274F" w:rsidRDefault="00590F3B" w:rsidP="00590F3B">
      <w:pPr>
        <w:pStyle w:val="Head4"/>
      </w:pPr>
      <w:bookmarkStart w:id="121" w:name="_Toc223687767"/>
      <w:r w:rsidRPr="00FD274F">
        <w:t>If an instrument is to be notified/published in addition to registration</w:t>
      </w:r>
      <w:bookmarkEnd w:id="121"/>
    </w:p>
    <w:p w14:paraId="450D9940" w14:textId="77777777" w:rsidR="00590F3B" w:rsidRPr="00FD274F" w:rsidRDefault="00590F3B" w:rsidP="00590F3B">
      <w:pPr>
        <w:pStyle w:val="BodyNum"/>
      </w:pPr>
      <w:r w:rsidRPr="00FD274F">
        <w:t>If an instrument that has been or will be registered is to be notified or published elsewhere, care needs to be taken to ensure that:</w:t>
      </w:r>
    </w:p>
    <w:p w14:paraId="35BCF588" w14:textId="28519CBF" w:rsidR="00590F3B" w:rsidRPr="00FD274F" w:rsidRDefault="00590F3B" w:rsidP="00590F3B">
      <w:pPr>
        <w:pStyle w:val="BodyPara"/>
      </w:pPr>
      <w:r w:rsidRPr="00FD274F">
        <w:t>what is published elsewhere is identical to what is lodged for registration (see a</w:t>
      </w:r>
      <w:r w:rsidRPr="00EA4AE6">
        <w:t xml:space="preserve">lso paragraphs </w:t>
      </w:r>
      <w:r w:rsidRPr="005547CD">
        <w:fldChar w:fldCharType="begin"/>
      </w:r>
      <w:r w:rsidRPr="00EA4AE6">
        <w:instrText xml:space="preserve"> REF _Ref444779699 \r \h  \* MERGEFORMAT </w:instrText>
      </w:r>
      <w:r w:rsidRPr="005547CD">
        <w:fldChar w:fldCharType="separate"/>
      </w:r>
      <w:r w:rsidR="00AB105F">
        <w:t>240</w:t>
      </w:r>
      <w:r w:rsidRPr="005547CD">
        <w:fldChar w:fldCharType="end"/>
      </w:r>
      <w:r w:rsidRPr="00EA4AE6">
        <w:t xml:space="preserve"> </w:t>
      </w:r>
      <w:r w:rsidR="00A35ACF">
        <w:t xml:space="preserve">to </w:t>
      </w:r>
      <w:r w:rsidR="00A35ACF">
        <w:fldChar w:fldCharType="begin"/>
      </w:r>
      <w:r w:rsidR="00A35ACF">
        <w:instrText xml:space="preserve"> REF _Ref184283908 \r \h </w:instrText>
      </w:r>
      <w:r w:rsidR="00A35ACF">
        <w:fldChar w:fldCharType="separate"/>
      </w:r>
      <w:r w:rsidR="00AB105F">
        <w:t>242</w:t>
      </w:r>
      <w:r w:rsidR="00A35ACF">
        <w:fldChar w:fldCharType="end"/>
      </w:r>
      <w:r w:rsidRPr="00EA4AE6">
        <w:t>); a</w:t>
      </w:r>
      <w:r>
        <w:t>nd</w:t>
      </w:r>
    </w:p>
    <w:p w14:paraId="2D242E9C" w14:textId="77777777" w:rsidR="00590F3B" w:rsidRPr="00FD274F" w:rsidRDefault="00590F3B" w:rsidP="00590F3B">
      <w:pPr>
        <w:pStyle w:val="BodyPara"/>
      </w:pPr>
      <w:r w:rsidRPr="00FD274F">
        <w:lastRenderedPageBreak/>
        <w:t>unless an instrument is made by the act of gazettal—the instrument is registered before it is published elsewhere, consistent with Parliamentary expectations about the prompt lodgement and registration of instruments.</w:t>
      </w:r>
    </w:p>
    <w:p w14:paraId="601CE618" w14:textId="77777777" w:rsidR="00590F3B" w:rsidRPr="00FD274F" w:rsidRDefault="00590F3B" w:rsidP="00590F3B">
      <w:pPr>
        <w:pStyle w:val="BodyNum"/>
      </w:pPr>
      <w:r w:rsidRPr="00FD274F">
        <w:t>If an instrument is to be notified or published in the Gazette, it may be appropriate to do so in one of the specialist gazettes published by individual Australian Government agencies. Otherwise, details should be lodged with OPC for gazettal in the general Government Notices Gazette. As part of lodging a notice with OPC, agencies will need to:</w:t>
      </w:r>
    </w:p>
    <w:p w14:paraId="4FB4153D" w14:textId="77777777" w:rsidR="00590F3B" w:rsidRPr="00FD274F" w:rsidRDefault="00590F3B" w:rsidP="00590F3B">
      <w:pPr>
        <w:pStyle w:val="BodyPara"/>
      </w:pPr>
      <w:r w:rsidRPr="00FD274F">
        <w:t>submit two different lodgements (an instrument and a gazette notice)</w:t>
      </w:r>
      <w:r>
        <w:t>; and</w:t>
      </w:r>
    </w:p>
    <w:p w14:paraId="4A9F9BED" w14:textId="77777777" w:rsidR="00590F3B" w:rsidRPr="00FD274F" w:rsidRDefault="00590F3B" w:rsidP="00044E04">
      <w:pPr>
        <w:pStyle w:val="BodyPara"/>
      </w:pPr>
      <w:r w:rsidRPr="00FD274F">
        <w:t>ensure that the requirement for gazettal in addition to registration is explicitly flagg</w:t>
      </w:r>
      <w:r>
        <w:t>ed on both lodgement forms; and</w:t>
      </w:r>
    </w:p>
    <w:p w14:paraId="7A30CE77" w14:textId="694DE29F" w:rsidR="0057232B" w:rsidRDefault="00590F3B" w:rsidP="00044E04">
      <w:pPr>
        <w:pStyle w:val="BodyPara"/>
        <w:rPr>
          <w:lang w:eastAsia="en-US"/>
        </w:rPr>
        <w:sectPr w:rsidR="0057232B" w:rsidSect="008123DC">
          <w:headerReference w:type="default" r:id="rId264"/>
          <w:footerReference w:type="default" r:id="rId265"/>
          <w:pgSz w:w="11907" w:h="16839" w:code="9"/>
          <w:pgMar w:top="1440" w:right="1440" w:bottom="1418" w:left="1440" w:header="720" w:footer="720" w:gutter="0"/>
          <w:cols w:sep="1" w:space="567"/>
          <w:docGrid w:linePitch="360"/>
        </w:sectPr>
      </w:pPr>
      <w:r w:rsidRPr="00FD274F">
        <w:t>if applicable, flag any special requirement for gazettal and registration to take place on the same day (and again, this should be noted on both forms).</w:t>
      </w:r>
      <w:bookmarkStart w:id="122" w:name="Chapter5"/>
      <w:bookmarkStart w:id="123" w:name="_Hlk175123706"/>
    </w:p>
    <w:p w14:paraId="7806FB9C" w14:textId="7CBAB6C3" w:rsidR="00942860" w:rsidRPr="00FD274F" w:rsidRDefault="00942860" w:rsidP="00E01E63">
      <w:pPr>
        <w:pStyle w:val="Head2"/>
        <w:pageBreakBefore/>
        <w:rPr>
          <w:lang w:eastAsia="en-US"/>
        </w:rPr>
      </w:pPr>
      <w:bookmarkStart w:id="124" w:name="_Toc223687768"/>
      <w:r w:rsidRPr="00FD274F">
        <w:rPr>
          <w:lang w:eastAsia="en-US"/>
        </w:rPr>
        <w:lastRenderedPageBreak/>
        <w:t>Chapter 5—Compilations</w:t>
      </w:r>
      <w:bookmarkEnd w:id="124"/>
    </w:p>
    <w:bookmarkEnd w:id="122"/>
    <w:p w14:paraId="3EEF7C3E" w14:textId="77777777" w:rsidR="00942860" w:rsidRPr="00FD274F" w:rsidRDefault="00942860" w:rsidP="00942860">
      <w:pPr>
        <w:pStyle w:val="SundryBoxHeadBold"/>
      </w:pPr>
      <w:r w:rsidRPr="00FD274F">
        <w:t>Main points</w:t>
      </w:r>
    </w:p>
    <w:p w14:paraId="047E3802" w14:textId="77777777" w:rsidR="00942860" w:rsidRDefault="00942860" w:rsidP="00942860">
      <w:pPr>
        <w:pStyle w:val="SundryBoxBullet"/>
      </w:pPr>
      <w:r w:rsidRPr="00FD274F">
        <w:t>•</w:t>
      </w:r>
      <w:r w:rsidRPr="00FD274F">
        <w:tab/>
      </w:r>
      <w:r w:rsidRPr="007A03DA">
        <w:t>A compilation shows the text of an Act, legislative instrument or notifiable instrument as amended (if at all) and in force on the compilation date stated in the Act or instrument.</w:t>
      </w:r>
    </w:p>
    <w:p w14:paraId="79376443" w14:textId="77777777" w:rsidR="00942860" w:rsidRPr="00FD274F" w:rsidRDefault="00942860" w:rsidP="00942860">
      <w:pPr>
        <w:pStyle w:val="SundryBoxBullet"/>
      </w:pPr>
      <w:r w:rsidRPr="00FD274F">
        <w:t>•</w:t>
      </w:r>
      <w:r w:rsidRPr="00FD274F">
        <w:tab/>
        <w:t>Compilations are an important resource for agency staff and other users of legislation.</w:t>
      </w:r>
    </w:p>
    <w:p w14:paraId="5D0E5FBD" w14:textId="77777777" w:rsidR="00942860" w:rsidRPr="00FD274F" w:rsidRDefault="00942860" w:rsidP="00942860">
      <w:pPr>
        <w:pStyle w:val="SundryBoxBullet"/>
      </w:pPr>
      <w:r w:rsidRPr="00FD274F">
        <w:t>•</w:t>
      </w:r>
      <w:r w:rsidRPr="00FD274F">
        <w:tab/>
        <w:t>As a general rule, a new compilation must be registered within 28 days of amendments to the text commencing or of other required compilation events.</w:t>
      </w:r>
    </w:p>
    <w:p w14:paraId="0B7BCA2D" w14:textId="77777777" w:rsidR="00942860" w:rsidRPr="00FD274F" w:rsidRDefault="00942860" w:rsidP="00942860">
      <w:pPr>
        <w:pStyle w:val="SundryBoxBullet"/>
      </w:pPr>
      <w:r w:rsidRPr="00FD274F">
        <w:t>•</w:t>
      </w:r>
      <w:r w:rsidRPr="00FD274F">
        <w:tab/>
        <w:t>A compilation may also need to be prepared and lodged for other discretionary compilation events</w:t>
      </w:r>
      <w:r>
        <w:t xml:space="preserve"> as notified by OPC.</w:t>
      </w:r>
    </w:p>
    <w:p w14:paraId="2707E522" w14:textId="3243CAF9" w:rsidR="00942860" w:rsidRDefault="00942860" w:rsidP="00942860">
      <w:pPr>
        <w:pStyle w:val="SundryBoxBullet"/>
      </w:pPr>
      <w:r w:rsidRPr="00FD274F">
        <w:t>•</w:t>
      </w:r>
      <w:r w:rsidRPr="00FD274F">
        <w:tab/>
        <w:t xml:space="preserve">Agencies are responsible for preparing compilations of some instruments but can make arrangements for OPC to prepare them on a </w:t>
      </w:r>
      <w:r>
        <w:t>fee</w:t>
      </w:r>
      <w:r>
        <w:noBreakHyphen/>
        <w:t>for</w:t>
      </w:r>
      <w:r>
        <w:noBreakHyphen/>
        <w:t>service</w:t>
      </w:r>
      <w:r w:rsidRPr="00FD274F">
        <w:t xml:space="preserve"> basis.</w:t>
      </w:r>
    </w:p>
    <w:p w14:paraId="549BCF5B" w14:textId="3D96754A" w:rsidR="00734688" w:rsidRDefault="00734688" w:rsidP="00734688">
      <w:pPr>
        <w:pStyle w:val="SundryBoxBullet"/>
      </w:pPr>
      <w:r w:rsidRPr="00FD274F">
        <w:t>•</w:t>
      </w:r>
      <w:r w:rsidRPr="00FD274F">
        <w:tab/>
      </w:r>
      <w:r>
        <w:t xml:space="preserve">Where an editorial change is </w:t>
      </w:r>
      <w:r w:rsidR="009E35A6">
        <w:t>required, OPC must prepare the compilation</w:t>
      </w:r>
      <w:r w:rsidRPr="00FD274F">
        <w:t>.</w:t>
      </w:r>
    </w:p>
    <w:p w14:paraId="74EE1972" w14:textId="3BA02040" w:rsidR="00942860" w:rsidRPr="00FD274F" w:rsidRDefault="00942860" w:rsidP="00942860">
      <w:pPr>
        <w:pStyle w:val="SundryBoxBullet"/>
      </w:pPr>
      <w:r w:rsidRPr="00FD274F">
        <w:t>•</w:t>
      </w:r>
      <w:r w:rsidRPr="00FD274F">
        <w:tab/>
        <w:t>Care and skill is required to ensure that compilations are complete, accurate, and meet the requiremen</w:t>
      </w:r>
      <w:r w:rsidRPr="00D965EA">
        <w:t xml:space="preserve">ts of the </w:t>
      </w:r>
      <w:hyperlink r:id="rId266" w:history="1">
        <w:r w:rsidRPr="00D965EA">
          <w:rPr>
            <w:rStyle w:val="Hyperlink"/>
          </w:rPr>
          <w:t>LA</w:t>
        </w:r>
      </w:hyperlink>
      <w:r w:rsidRPr="00D965EA">
        <w:t>.</w:t>
      </w:r>
    </w:p>
    <w:p w14:paraId="6D533148" w14:textId="77777777" w:rsidR="00942860" w:rsidRPr="00FD274F" w:rsidRDefault="00942860" w:rsidP="00942860">
      <w:pPr>
        <w:pStyle w:val="SundryBoxBullet"/>
      </w:pPr>
      <w:r w:rsidRPr="00FD274F">
        <w:t>•</w:t>
      </w:r>
      <w:r w:rsidRPr="00FD274F">
        <w:tab/>
        <w:t>Future law compilations can be published on the Register if required</w:t>
      </w:r>
      <w:r w:rsidRPr="00FD274F">
        <w:rPr>
          <w:i/>
        </w:rPr>
        <w:t>.</w:t>
      </w:r>
    </w:p>
    <w:p w14:paraId="2B969590" w14:textId="77777777" w:rsidR="00942860" w:rsidRPr="00FD274F" w:rsidRDefault="00942860" w:rsidP="00942860">
      <w:pPr>
        <w:pStyle w:val="Head3"/>
      </w:pPr>
      <w:bookmarkStart w:id="125" w:name="_Toc223687769"/>
      <w:r>
        <w:t>General</w:t>
      </w:r>
      <w:bookmarkEnd w:id="125"/>
    </w:p>
    <w:p w14:paraId="4AF47946" w14:textId="77777777" w:rsidR="00942860" w:rsidRPr="00FD274F" w:rsidRDefault="00942860" w:rsidP="00942860">
      <w:pPr>
        <w:pStyle w:val="BodyNum"/>
      </w:pPr>
      <w:r w:rsidRPr="00FD274F">
        <w:t xml:space="preserve">Compilations showing the full text of a law as in force from time to time are an important resource for agency staff and everyone else wanting to understand and comply with the law. </w:t>
      </w:r>
      <w:r w:rsidRPr="00FD274F">
        <w:rPr>
          <w:color w:val="000000"/>
        </w:rPr>
        <w:t>If a compilation is not available, people needing to know what the law says and how it has changed have to work this out for themselves—a time</w:t>
      </w:r>
      <w:r>
        <w:rPr>
          <w:color w:val="000000"/>
        </w:rPr>
        <w:noBreakHyphen/>
      </w:r>
      <w:r w:rsidRPr="00FD274F">
        <w:rPr>
          <w:color w:val="000000"/>
        </w:rPr>
        <w:t>consuming and complex process, particularly if the law has been amended many times.</w:t>
      </w:r>
    </w:p>
    <w:p w14:paraId="1FDD429B" w14:textId="77777777" w:rsidR="00942860" w:rsidRPr="00FD274F" w:rsidRDefault="00942860" w:rsidP="00942860">
      <w:pPr>
        <w:pStyle w:val="Head3"/>
      </w:pPr>
      <w:bookmarkStart w:id="126" w:name="_Toc223687770"/>
      <w:r w:rsidRPr="00FD274F">
        <w:t>When to prepare compilations</w:t>
      </w:r>
      <w:bookmarkEnd w:id="126"/>
    </w:p>
    <w:p w14:paraId="0650F56D" w14:textId="77777777" w:rsidR="00942860" w:rsidRPr="00FD274F" w:rsidRDefault="00942860" w:rsidP="00942860">
      <w:pPr>
        <w:pStyle w:val="BodyNum"/>
      </w:pPr>
      <w:bookmarkStart w:id="127" w:name="_Ref441240710"/>
      <w:r w:rsidRPr="00FD274F">
        <w:t xml:space="preserve">A compilation is required to be prepared and lodged whenever a required compilation event occurs. A </w:t>
      </w:r>
      <w:r w:rsidRPr="00FD274F">
        <w:rPr>
          <w:b/>
          <w:i/>
        </w:rPr>
        <w:t>required compilation event</w:t>
      </w:r>
      <w:r w:rsidRPr="00FD274F">
        <w:t xml:space="preserve"> (that is, an event that requires a new compilation) occurs whenever:</w:t>
      </w:r>
      <w:bookmarkEnd w:id="127"/>
    </w:p>
    <w:p w14:paraId="6AE40427" w14:textId="5FBC12BE" w:rsidR="00942860" w:rsidRPr="00FD274F" w:rsidRDefault="00942860" w:rsidP="00942860">
      <w:pPr>
        <w:pStyle w:val="BodyPara"/>
      </w:pPr>
      <w:r w:rsidRPr="00FD274F">
        <w:t xml:space="preserve">an instrument is expressly amended, unless this is by the automatic repeal provisions of </w:t>
      </w:r>
      <w:r w:rsidRPr="00D965EA">
        <w:t xml:space="preserve">section 48C or 48D of the </w:t>
      </w:r>
      <w:hyperlink r:id="rId267" w:history="1">
        <w:r w:rsidRPr="00D965EA">
          <w:rPr>
            <w:rStyle w:val="Hyperlink"/>
          </w:rPr>
          <w:t>LA</w:t>
        </w:r>
      </w:hyperlink>
      <w:r w:rsidRPr="00D965EA">
        <w:t xml:space="preserve"> (</w:t>
      </w:r>
      <w:hyperlink r:id="rId268" w:history="1">
        <w:r w:rsidRPr="00D965EA">
          <w:rPr>
            <w:rStyle w:val="Hyperlink"/>
          </w:rPr>
          <w:t>LA</w:t>
        </w:r>
      </w:hyperlink>
      <w:r w:rsidRPr="00D965EA">
        <w:t xml:space="preserve"> s 15Q(1)(a));</w:t>
      </w:r>
      <w:r w:rsidRPr="00FD274F">
        <w:t xml:space="preserve"> or</w:t>
      </w:r>
    </w:p>
    <w:p w14:paraId="488036CA" w14:textId="1183EB98" w:rsidR="00942860" w:rsidRPr="00D965EA" w:rsidRDefault="00942860" w:rsidP="00942860">
      <w:pPr>
        <w:pStyle w:val="BodyPara"/>
      </w:pPr>
      <w:r w:rsidRPr="00FD274F">
        <w:t>disallowance results in the repeal of a provision of the principal legislative instrument, of an amending instrument or amending provisio</w:t>
      </w:r>
      <w:r w:rsidRPr="00D965EA">
        <w:t>n (</w:t>
      </w:r>
      <w:hyperlink r:id="rId269" w:history="1">
        <w:r w:rsidRPr="00D965EA">
          <w:rPr>
            <w:rStyle w:val="Hyperlink"/>
          </w:rPr>
          <w:t>LA</w:t>
        </w:r>
      </w:hyperlink>
      <w:r w:rsidRPr="00D965EA">
        <w:t xml:space="preserve"> s 15Q(1)(b)); or</w:t>
      </w:r>
    </w:p>
    <w:p w14:paraId="79C2CF80" w14:textId="34255FC1" w:rsidR="00942860" w:rsidRPr="00D965EA" w:rsidRDefault="00942860" w:rsidP="00942860">
      <w:pPr>
        <w:pStyle w:val="BodyPara"/>
      </w:pPr>
      <w:r w:rsidRPr="00FD274F">
        <w:t>a provisio</w:t>
      </w:r>
      <w:r>
        <w:t>n of the instrument is repealed under another Act or instru</w:t>
      </w:r>
      <w:r w:rsidRPr="00D965EA">
        <w:t>ment (</w:t>
      </w:r>
      <w:hyperlink r:id="rId270" w:history="1">
        <w:r w:rsidRPr="00D965EA">
          <w:rPr>
            <w:rStyle w:val="Hyperlink"/>
          </w:rPr>
          <w:t>LA</w:t>
        </w:r>
      </w:hyperlink>
      <w:r w:rsidRPr="00D965EA">
        <w:t xml:space="preserve"> s 15Q(1)(c)); or</w:t>
      </w:r>
    </w:p>
    <w:p w14:paraId="419F65D3" w14:textId="1211789D" w:rsidR="00942860" w:rsidRPr="00FD274F" w:rsidRDefault="00942860" w:rsidP="00942860">
      <w:pPr>
        <w:pStyle w:val="BodyPara"/>
      </w:pPr>
      <w:r w:rsidRPr="00FD274F">
        <w:lastRenderedPageBreak/>
        <w:t>something else happens that is prescribed by the rul</w:t>
      </w:r>
      <w:r w:rsidRPr="00D965EA">
        <w:t>es (</w:t>
      </w:r>
      <w:hyperlink r:id="rId271" w:history="1">
        <w:r w:rsidRPr="00D965EA">
          <w:rPr>
            <w:rStyle w:val="Hyperlink"/>
          </w:rPr>
          <w:t>LA</w:t>
        </w:r>
      </w:hyperlink>
      <w:r w:rsidRPr="00D965EA">
        <w:t xml:space="preserve"> s 15Q(1)(d)).</w:t>
      </w:r>
    </w:p>
    <w:p w14:paraId="1B12211A" w14:textId="41141E77" w:rsidR="00942860" w:rsidRPr="00FD274F" w:rsidRDefault="00942860" w:rsidP="00942860">
      <w:pPr>
        <w:pStyle w:val="BodyNum"/>
        <w:keepLines/>
      </w:pPr>
      <w:r w:rsidRPr="00FD274F">
        <w:t>If a required compilation event occurs, the rule</w:t>
      </w:r>
      <w:r>
        <w:noBreakHyphen/>
      </w:r>
      <w:r w:rsidRPr="00FD274F">
        <w:t>maker must prepare and lodge a compilation within 28 days of the event, unless the First Parliamentary Counsel has agreed to a longer pe</w:t>
      </w:r>
      <w:r w:rsidRPr="00D965EA">
        <w:t>riod (</w:t>
      </w:r>
      <w:hyperlink r:id="rId272" w:history="1">
        <w:r w:rsidRPr="00D965EA">
          <w:rPr>
            <w:rStyle w:val="Hyperlink"/>
          </w:rPr>
          <w:t>LA</w:t>
        </w:r>
      </w:hyperlink>
      <w:r w:rsidRPr="00D965EA">
        <w:t xml:space="preserve"> s 15R(3)) or</w:t>
      </w:r>
      <w:r w:rsidRPr="00FD274F">
        <w:t xml:space="preserve"> has made a rule waiving this requirement (e.g. because the compilation will be prepared by OPC rather than the rule</w:t>
      </w:r>
      <w:r>
        <w:noBreakHyphen/>
      </w:r>
      <w:r w:rsidRPr="00FD274F">
        <w:t>maker</w:t>
      </w:r>
      <w:r w:rsidR="00696F43">
        <w:t>:</w:t>
      </w:r>
      <w:r w:rsidRPr="00FD274F">
        <w:t xml:space="preserve"> </w:t>
      </w:r>
      <w:r w:rsidRPr="004532FE">
        <w:t xml:space="preserve">see </w:t>
      </w:r>
      <w:hyperlink r:id="rId273" w:history="1">
        <w:r w:rsidR="004D2C49" w:rsidRPr="00001937">
          <w:rPr>
            <w:rStyle w:val="Hyperlink"/>
          </w:rPr>
          <w:t>LR</w:t>
        </w:r>
      </w:hyperlink>
      <w:r w:rsidRPr="004532FE">
        <w:t xml:space="preserve"> s </w:t>
      </w:r>
      <w:r w:rsidR="004D2C49">
        <w:t>9</w:t>
      </w:r>
      <w:r w:rsidRPr="004532FE">
        <w:t>).</w:t>
      </w:r>
    </w:p>
    <w:p w14:paraId="218CA6EF" w14:textId="77777777" w:rsidR="00942860" w:rsidRPr="00FD274F" w:rsidRDefault="00942860" w:rsidP="00942860">
      <w:pPr>
        <w:pStyle w:val="BodyNum"/>
      </w:pPr>
      <w:bookmarkStart w:id="128" w:name="_Ref444859371"/>
      <w:r w:rsidRPr="00FD274F">
        <w:t>The First Parliamentary Counsel may also prepare, or issue a notice requiring a rule</w:t>
      </w:r>
      <w:r>
        <w:noBreakHyphen/>
      </w:r>
      <w:r w:rsidRPr="00FD274F">
        <w:t xml:space="preserve">maker to prepare, compilations to reflect the impact of other events known as discretionary compilation events. A </w:t>
      </w:r>
      <w:r w:rsidRPr="00FD274F">
        <w:rPr>
          <w:b/>
          <w:i/>
        </w:rPr>
        <w:t>discretionary compilation event</w:t>
      </w:r>
      <w:r w:rsidRPr="00FD274F">
        <w:t xml:space="preserve"> occurs when:</w:t>
      </w:r>
      <w:bookmarkEnd w:id="128"/>
    </w:p>
    <w:p w14:paraId="2BECD30D" w14:textId="57770CD7" w:rsidR="00942860" w:rsidRPr="00FD274F" w:rsidRDefault="00942860" w:rsidP="00942860">
      <w:pPr>
        <w:pStyle w:val="BodyPara"/>
      </w:pPr>
      <w:r w:rsidRPr="00FD274F">
        <w:t>a provision of an instrument commence</w:t>
      </w:r>
      <w:r w:rsidRPr="00D965EA">
        <w:t>s (</w:t>
      </w:r>
      <w:hyperlink r:id="rId274" w:history="1">
        <w:r w:rsidRPr="00D965EA">
          <w:rPr>
            <w:rStyle w:val="Hyperlink"/>
          </w:rPr>
          <w:t>LA</w:t>
        </w:r>
      </w:hyperlink>
      <w:r w:rsidRPr="00D965EA">
        <w:t xml:space="preserve"> s 15Q(2)(a)); o</w:t>
      </w:r>
      <w:r>
        <w:t>r</w:t>
      </w:r>
    </w:p>
    <w:p w14:paraId="3769645A" w14:textId="314AB8FD" w:rsidR="00942860" w:rsidRPr="00FD274F" w:rsidRDefault="00942860" w:rsidP="00942860">
      <w:pPr>
        <w:pStyle w:val="BodyPara"/>
      </w:pPr>
      <w:r w:rsidRPr="00FD274F">
        <w:t>solely commencing, amending or repealing provisions are repealed under secti</w:t>
      </w:r>
      <w:r w:rsidRPr="00D965EA">
        <w:t>on 48C or 48D of the LA (</w:t>
      </w:r>
      <w:hyperlink r:id="rId275" w:history="1">
        <w:r w:rsidRPr="00D965EA">
          <w:rPr>
            <w:rStyle w:val="Hyperlink"/>
          </w:rPr>
          <w:t>LA</w:t>
        </w:r>
      </w:hyperlink>
      <w:r w:rsidRPr="00D965EA">
        <w:t xml:space="preserve"> s 15Q(2)(b)); o</w:t>
      </w:r>
      <w:r>
        <w:t>r</w:t>
      </w:r>
    </w:p>
    <w:p w14:paraId="613BA73C" w14:textId="2B56C331" w:rsidR="00942860" w:rsidRPr="00FD274F" w:rsidRDefault="00942860" w:rsidP="00942860">
      <w:pPr>
        <w:pStyle w:val="BodyPara"/>
      </w:pPr>
      <w:r w:rsidRPr="00FD274F">
        <w:t xml:space="preserve">an instrument is modified </w:t>
      </w:r>
      <w:r w:rsidRPr="00D965EA">
        <w:t>(</w:t>
      </w:r>
      <w:hyperlink r:id="rId276" w:history="1">
        <w:r w:rsidRPr="00D965EA">
          <w:rPr>
            <w:rStyle w:val="Hyperlink"/>
          </w:rPr>
          <w:t>LA</w:t>
        </w:r>
      </w:hyperlink>
      <w:r w:rsidRPr="00D965EA">
        <w:t xml:space="preserve"> s 15Q(2)(c));</w:t>
      </w:r>
      <w:r w:rsidRPr="00FD274F">
        <w:t xml:space="preserve"> or</w:t>
      </w:r>
    </w:p>
    <w:p w14:paraId="488BA122" w14:textId="7ED51B6A" w:rsidR="00942860" w:rsidRPr="00D965EA" w:rsidRDefault="00942860" w:rsidP="00942860">
      <w:pPr>
        <w:pStyle w:val="BodyPara"/>
      </w:pPr>
      <w:r w:rsidRPr="00FD274F">
        <w:t>an instrument is impliedly amended (for example, by a provision stating that a reference to a law by its old name should be construed as a reference to its new name without details of where the reference is to be found) (</w:t>
      </w:r>
      <w:hyperlink r:id="rId277" w:history="1">
        <w:r w:rsidRPr="00D965EA">
          <w:rPr>
            <w:rStyle w:val="Hyperlink"/>
          </w:rPr>
          <w:t>LA</w:t>
        </w:r>
      </w:hyperlink>
      <w:r w:rsidRPr="00D965EA">
        <w:t xml:space="preserve"> s 15Q(2)(d)); or</w:t>
      </w:r>
    </w:p>
    <w:p w14:paraId="2FB16441" w14:textId="4F64AE6A" w:rsidR="00942860" w:rsidRPr="00FD274F" w:rsidRDefault="00942860" w:rsidP="00942860">
      <w:pPr>
        <w:pStyle w:val="BodyPara"/>
      </w:pPr>
      <w:r w:rsidRPr="00FD274F">
        <w:t>a provision of an instrument</w:t>
      </w:r>
      <w:r w:rsidRPr="000E24E5">
        <w:t xml:space="preserve"> is repealed</w:t>
      </w:r>
      <w:r>
        <w:t xml:space="preserve"> </w:t>
      </w:r>
      <w:r w:rsidRPr="00FD274F">
        <w:t>under another provision of that instrument (</w:t>
      </w:r>
      <w:hyperlink r:id="rId278" w:history="1">
        <w:r w:rsidRPr="00D965EA">
          <w:rPr>
            <w:rStyle w:val="Hyperlink"/>
          </w:rPr>
          <w:t>LA</w:t>
        </w:r>
      </w:hyperlink>
      <w:r w:rsidRPr="00D965EA">
        <w:t xml:space="preserve"> s 15Q(2)(e)); or</w:t>
      </w:r>
    </w:p>
    <w:p w14:paraId="435FCF5B" w14:textId="3748173C" w:rsidR="00942860" w:rsidRPr="00FD274F" w:rsidRDefault="00942860" w:rsidP="00942860">
      <w:pPr>
        <w:pStyle w:val="BodyPara"/>
        <w:rPr>
          <w:spacing w:val="-2"/>
        </w:rPr>
      </w:pPr>
      <w:r w:rsidRPr="00FD274F">
        <w:rPr>
          <w:spacing w:val="-2"/>
        </w:rPr>
        <w:t>the text of the instrument as made or of the latest registered compilation ceases to show the text of the instrument as in for</w:t>
      </w:r>
      <w:r w:rsidRPr="00D965EA">
        <w:rPr>
          <w:spacing w:val="-2"/>
        </w:rPr>
        <w:t>ce (</w:t>
      </w:r>
      <w:hyperlink r:id="rId279" w:history="1">
        <w:r w:rsidRPr="00D965EA">
          <w:rPr>
            <w:rStyle w:val="Hyperlink"/>
            <w:spacing w:val="-2"/>
          </w:rPr>
          <w:t>LA</w:t>
        </w:r>
      </w:hyperlink>
      <w:r w:rsidRPr="00D965EA">
        <w:rPr>
          <w:spacing w:val="-2"/>
        </w:rPr>
        <w:t xml:space="preserve"> s 15Q(2)(f) and (g)); o</w:t>
      </w:r>
      <w:r>
        <w:rPr>
          <w:spacing w:val="-2"/>
        </w:rPr>
        <w:t>r</w:t>
      </w:r>
    </w:p>
    <w:p w14:paraId="4DA2A34F" w14:textId="7826594F" w:rsidR="00942860" w:rsidRPr="00FD274F" w:rsidRDefault="00942860" w:rsidP="00942860">
      <w:pPr>
        <w:pStyle w:val="BodyPara"/>
      </w:pPr>
      <w:r w:rsidRPr="00FD274F">
        <w:t xml:space="preserve">something else happens that is prescribed by the rules </w:t>
      </w:r>
      <w:r w:rsidRPr="00D965EA">
        <w:t>(</w:t>
      </w:r>
      <w:hyperlink r:id="rId280" w:history="1">
        <w:r w:rsidRPr="00D965EA">
          <w:rPr>
            <w:rStyle w:val="Hyperlink"/>
          </w:rPr>
          <w:t>LA</w:t>
        </w:r>
      </w:hyperlink>
      <w:r w:rsidRPr="00D965EA">
        <w:t xml:space="preserve"> s 15Q(2)(h)).</w:t>
      </w:r>
    </w:p>
    <w:p w14:paraId="735FF1F3" w14:textId="77777777" w:rsidR="00942860" w:rsidRPr="00FD274F" w:rsidRDefault="00942860" w:rsidP="00942860">
      <w:pPr>
        <w:pStyle w:val="BodyNum"/>
      </w:pPr>
      <w:r w:rsidRPr="00FD274F">
        <w:t>Compilations are required to be prepared on a “point</w:t>
      </w:r>
      <w:r>
        <w:noBreakHyphen/>
      </w:r>
      <w:r w:rsidRPr="00FD274F">
        <w:t>in</w:t>
      </w:r>
      <w:r>
        <w:noBreakHyphen/>
      </w:r>
      <w:r w:rsidRPr="00FD274F">
        <w:t>time” basis. A compilation of an instrument should be available for each date at which the text of the instrument is different. This enables a reader to readily work out the state of the law represented by the instrument at every point</w:t>
      </w:r>
      <w:r>
        <w:noBreakHyphen/>
      </w:r>
      <w:r w:rsidRPr="00FD274F">
        <w:t>in</w:t>
      </w:r>
      <w:r>
        <w:noBreakHyphen/>
      </w:r>
      <w:r w:rsidRPr="00FD274F">
        <w:t>time that the instrument is in force.</w:t>
      </w:r>
    </w:p>
    <w:p w14:paraId="42D1F8D4" w14:textId="0863EA16" w:rsidR="00942860" w:rsidRPr="00FD274F" w:rsidRDefault="00707F19" w:rsidP="00942860">
      <w:pPr>
        <w:pStyle w:val="BodyNum"/>
      </w:pPr>
      <w:r>
        <w:t>This means that</w:t>
      </w:r>
      <w:r w:rsidR="00942860" w:rsidRPr="00FD274F">
        <w:t xml:space="preserve"> multiple compilations will normally be required if amendments commence on different dates. To illustrate, if amendments of an instrument commence on two different dates, two compilations will be required and it does not matter whether the amendments were made by one amending instrument or 20 amending instruments. Similarly, if an amendment of an instrument has co</w:t>
      </w:r>
      <w:r w:rsidR="00942860">
        <w:t>mmenced but is then disallowed:</w:t>
      </w:r>
    </w:p>
    <w:p w14:paraId="0C43B91B" w14:textId="77777777" w:rsidR="00942860" w:rsidRPr="00FD274F" w:rsidRDefault="00942860" w:rsidP="00942860">
      <w:pPr>
        <w:pStyle w:val="BodyPara"/>
      </w:pPr>
      <w:r w:rsidRPr="00FD274F">
        <w:t>a compilation showing the effect of the amendment before disallowance will be required; and</w:t>
      </w:r>
    </w:p>
    <w:p w14:paraId="1D20FD5A" w14:textId="77777777" w:rsidR="00942860" w:rsidRPr="00FD274F" w:rsidRDefault="00942860" w:rsidP="00942860">
      <w:pPr>
        <w:pStyle w:val="BodyPara"/>
      </w:pPr>
      <w:r w:rsidRPr="00FD274F">
        <w:t>another compilation will be required to show the effect of disallowance on the text of the instrument.</w:t>
      </w:r>
    </w:p>
    <w:p w14:paraId="76029EE0" w14:textId="77777777" w:rsidR="00FC1D28" w:rsidRPr="00FD274F" w:rsidRDefault="00FC1D28" w:rsidP="00FC1D28">
      <w:pPr>
        <w:pStyle w:val="Head3"/>
      </w:pPr>
      <w:bookmarkStart w:id="129" w:name="_Toc223687771"/>
      <w:r w:rsidRPr="00FD274F">
        <w:lastRenderedPageBreak/>
        <w:t>If amendments to an instrument have not taken effect</w:t>
      </w:r>
      <w:bookmarkEnd w:id="129"/>
    </w:p>
    <w:p w14:paraId="5D96000B" w14:textId="77777777" w:rsidR="00FC1D28" w:rsidRPr="00FD274F" w:rsidRDefault="00FC1D28" w:rsidP="00FC1D28">
      <w:pPr>
        <w:pStyle w:val="BodyNum"/>
        <w:keepLines/>
      </w:pPr>
      <w:r w:rsidRPr="00FD274F">
        <w:t xml:space="preserve">A </w:t>
      </w:r>
      <w:r w:rsidRPr="00FD274F">
        <w:rPr>
          <w:b/>
          <w:i/>
        </w:rPr>
        <w:t>future law compilation</w:t>
      </w:r>
      <w:r w:rsidRPr="00FD274F">
        <w:t xml:space="preserve"> is a compilation that incorporates expected amendments to the text of the law in force. Future law compilations can be a useful tool for agency staff and external stakeholders, particularly if major amendments have been made but have not yet commenced.</w:t>
      </w:r>
    </w:p>
    <w:p w14:paraId="5E8C8BD2" w14:textId="77777777" w:rsidR="00FC1D28" w:rsidRPr="00FD274F" w:rsidRDefault="00FC1D28" w:rsidP="00FC1D28">
      <w:pPr>
        <w:pStyle w:val="BodyNum"/>
      </w:pPr>
      <w:r w:rsidRPr="00FD274F">
        <w:t>As the law may change before the expected amendments commence, and to avoid any confusion in the future, these compilations should always be clearly identified as future law compilat</w:t>
      </w:r>
      <w:r>
        <w:t>ions.</w:t>
      </w:r>
    </w:p>
    <w:p w14:paraId="50DCF1B9" w14:textId="2DAAC72F" w:rsidR="00FC1D28" w:rsidRPr="00FD274F" w:rsidRDefault="00FC1D28" w:rsidP="00FC1D28">
      <w:pPr>
        <w:pStyle w:val="BodyNum"/>
        <w:rPr>
          <w:spacing w:val="-2"/>
          <w:szCs w:val="24"/>
        </w:rPr>
      </w:pPr>
      <w:r w:rsidRPr="00FD274F">
        <w:rPr>
          <w:spacing w:val="-2"/>
        </w:rPr>
        <w:t>Although a future law compilation will not be authorised, OPC can prepare a future law compilation for the relevant agency and can make it available on the Register website until relevant amendments commence. For more information on the options and associated fees, please co</w:t>
      </w:r>
      <w:r w:rsidRPr="00FD274F">
        <w:rPr>
          <w:spacing w:val="-2"/>
          <w:szCs w:val="24"/>
        </w:rPr>
        <w:t xml:space="preserve">ntact OPC </w:t>
      </w:r>
      <w:r w:rsidRPr="00FD274F">
        <w:rPr>
          <w:color w:val="000000"/>
          <w:spacing w:val="-2"/>
          <w:szCs w:val="24"/>
        </w:rPr>
        <w:t>(</w:t>
      </w:r>
      <w:hyperlink r:id="rId281" w:history="1">
        <w:r w:rsidRPr="00FD274F">
          <w:rPr>
            <w:rStyle w:val="Hyperlink"/>
            <w:rFonts w:eastAsiaTheme="minorHAnsi"/>
            <w:szCs w:val="24"/>
            <w:lang w:eastAsia="en-US"/>
          </w:rPr>
          <w:t>lodge@legislation.gov.au</w:t>
        </w:r>
      </w:hyperlink>
      <w:r w:rsidRPr="00FD274F">
        <w:rPr>
          <w:rFonts w:eastAsiaTheme="minorHAnsi"/>
          <w:color w:val="1F497D"/>
          <w:szCs w:val="24"/>
          <w:lang w:eastAsia="en-US"/>
        </w:rPr>
        <w:t xml:space="preserve"> </w:t>
      </w:r>
      <w:r w:rsidRPr="00FD274F">
        <w:rPr>
          <w:color w:val="000000"/>
          <w:spacing w:val="-2"/>
          <w:szCs w:val="24"/>
        </w:rPr>
        <w:t xml:space="preserve">or (02) </w:t>
      </w:r>
      <w:r w:rsidRPr="00FD274F">
        <w:rPr>
          <w:spacing w:val="-2"/>
          <w:szCs w:val="24"/>
        </w:rPr>
        <w:t>6120 1350</w:t>
      </w:r>
      <w:r w:rsidRPr="00FD274F">
        <w:rPr>
          <w:color w:val="000000"/>
          <w:spacing w:val="-2"/>
          <w:szCs w:val="24"/>
        </w:rPr>
        <w:t>)</w:t>
      </w:r>
      <w:r>
        <w:rPr>
          <w:spacing w:val="-2"/>
          <w:szCs w:val="24"/>
        </w:rPr>
        <w:t>.</w:t>
      </w:r>
    </w:p>
    <w:p w14:paraId="47321867" w14:textId="77777777" w:rsidR="00FC1D28" w:rsidRPr="00FD274F" w:rsidRDefault="00FC1D28" w:rsidP="00FC1D28">
      <w:pPr>
        <w:pStyle w:val="Head3"/>
      </w:pPr>
      <w:bookmarkStart w:id="130" w:name="_Toc223687772"/>
      <w:r w:rsidRPr="00FD274F">
        <w:t>Who can prepare compilations</w:t>
      </w:r>
      <w:bookmarkEnd w:id="130"/>
    </w:p>
    <w:p w14:paraId="67DF0B38" w14:textId="6B426BEC" w:rsidR="00FC1D28" w:rsidRPr="00FD274F" w:rsidRDefault="00FC1D28" w:rsidP="00FC1D28">
      <w:pPr>
        <w:pStyle w:val="BodyNum"/>
        <w:rPr>
          <w:szCs w:val="24"/>
        </w:rPr>
      </w:pPr>
      <w:r w:rsidRPr="00FD274F">
        <w:t xml:space="preserve">OPC prepares compilations for all </w:t>
      </w:r>
      <w:r w:rsidRPr="00FD274F">
        <w:rPr>
          <w:color w:val="000000"/>
        </w:rPr>
        <w:t>Acts and for instruments that must be drafted by OPC. For more information on OPC’s tied work, see pa</w:t>
      </w:r>
      <w:r w:rsidRPr="003A701E">
        <w:rPr>
          <w:color w:val="000000"/>
        </w:rPr>
        <w:t xml:space="preserve">ragraph </w:t>
      </w:r>
      <w:r w:rsidRPr="00D965EA">
        <w:rPr>
          <w:color w:val="000000"/>
        </w:rPr>
        <w:fldChar w:fldCharType="begin"/>
      </w:r>
      <w:r w:rsidRPr="003A701E">
        <w:rPr>
          <w:color w:val="000000"/>
        </w:rPr>
        <w:instrText xml:space="preserve"> REF _Ref386114686 \r \h  \* MERGEFORMAT </w:instrText>
      </w:r>
      <w:r w:rsidRPr="00D965EA">
        <w:rPr>
          <w:color w:val="000000"/>
        </w:rPr>
      </w:r>
      <w:r w:rsidRPr="00D965EA">
        <w:rPr>
          <w:color w:val="000000"/>
        </w:rPr>
        <w:fldChar w:fldCharType="separate"/>
      </w:r>
      <w:r w:rsidR="00AB105F">
        <w:rPr>
          <w:color w:val="000000"/>
        </w:rPr>
        <w:t>52</w:t>
      </w:r>
      <w:r w:rsidRPr="00D965EA">
        <w:rPr>
          <w:color w:val="000000"/>
        </w:rPr>
        <w:fldChar w:fldCharType="end"/>
      </w:r>
      <w:r w:rsidRPr="00FD274F">
        <w:rPr>
          <w:color w:val="000000"/>
        </w:rPr>
        <w:t>. OPC is also availabl</w:t>
      </w:r>
      <w:r w:rsidRPr="00FD274F">
        <w:rPr>
          <w:color w:val="000000"/>
          <w:szCs w:val="24"/>
        </w:rPr>
        <w:t>e to prepare compilations of other instruments for agencies on a fee</w:t>
      </w:r>
      <w:r>
        <w:rPr>
          <w:color w:val="000000"/>
          <w:szCs w:val="24"/>
        </w:rPr>
        <w:noBreakHyphen/>
      </w:r>
      <w:r w:rsidRPr="00FD274F">
        <w:rPr>
          <w:color w:val="000000"/>
          <w:szCs w:val="24"/>
        </w:rPr>
        <w:t>for</w:t>
      </w:r>
      <w:r>
        <w:rPr>
          <w:color w:val="000000"/>
          <w:szCs w:val="24"/>
        </w:rPr>
        <w:noBreakHyphen/>
      </w:r>
      <w:r w:rsidRPr="00FD274F">
        <w:rPr>
          <w:color w:val="000000"/>
          <w:szCs w:val="24"/>
        </w:rPr>
        <w:t>service basis. For more information about OPC’s compilation services and fees, please contact OPC (</w:t>
      </w:r>
      <w:hyperlink r:id="rId282" w:history="1">
        <w:hyperlink r:id="rId283" w:history="1">
          <w:r w:rsidRPr="00FD274F">
            <w:rPr>
              <w:rStyle w:val="Hyperlink"/>
              <w:rFonts w:eastAsiaTheme="minorHAnsi"/>
              <w:szCs w:val="24"/>
              <w:lang w:eastAsia="en-US"/>
            </w:rPr>
            <w:t>lodge@legislation.gov.au</w:t>
          </w:r>
        </w:hyperlink>
      </w:hyperlink>
      <w:r w:rsidRPr="00FD274F">
        <w:rPr>
          <w:color w:val="000000"/>
          <w:szCs w:val="24"/>
        </w:rPr>
        <w:t xml:space="preserve"> or (02) </w:t>
      </w:r>
      <w:r w:rsidRPr="00FD274F">
        <w:rPr>
          <w:szCs w:val="24"/>
        </w:rPr>
        <w:t>6120 1350</w:t>
      </w:r>
      <w:r w:rsidRPr="00FD274F">
        <w:rPr>
          <w:color w:val="000000"/>
          <w:szCs w:val="24"/>
        </w:rPr>
        <w:t>).</w:t>
      </w:r>
    </w:p>
    <w:p w14:paraId="72BE6172" w14:textId="77777777" w:rsidR="00FC1D28" w:rsidRPr="00FD274F" w:rsidRDefault="00FC1D28" w:rsidP="00FC1D28">
      <w:pPr>
        <w:pStyle w:val="BodyNum"/>
      </w:pPr>
      <w:r w:rsidRPr="00FD274F">
        <w:t>Agencies that choose to prepare their own compilations of instruments that are not required to be drafted by OPC should note that they, and not OPC, are responsible for ensuring that their compilations are complete and accurate. This requires attention to the following things:</w:t>
      </w:r>
    </w:p>
    <w:p w14:paraId="0CAD4728" w14:textId="2D221643" w:rsidR="00FC1D28" w:rsidRPr="00FD274F" w:rsidRDefault="00FC1D28" w:rsidP="00FC1D28">
      <w:pPr>
        <w:pStyle w:val="BodyPara"/>
      </w:pPr>
      <w:r w:rsidRPr="00FD274F">
        <w:t>the minimum content requirements of th</w:t>
      </w:r>
      <w:r w:rsidRPr="00D965EA">
        <w:t xml:space="preserve">e </w:t>
      </w:r>
      <w:hyperlink r:id="rId284" w:history="1">
        <w:r w:rsidRPr="00D965EA">
          <w:rPr>
            <w:rStyle w:val="Hyperlink"/>
          </w:rPr>
          <w:t>LA</w:t>
        </w:r>
      </w:hyperlink>
      <w:r w:rsidRPr="00FD274F">
        <w:t xml:space="preserve">—OPC does basic checks and will reject compilations that clearly do not meet the </w:t>
      </w:r>
      <w:hyperlink r:id="rId285" w:history="1">
        <w:r w:rsidRPr="00D965EA">
          <w:rPr>
            <w:rStyle w:val="Hyperlink"/>
          </w:rPr>
          <w:t>LA</w:t>
        </w:r>
      </w:hyperlink>
      <w:r w:rsidRPr="00D965EA">
        <w:t xml:space="preserve"> requir</w:t>
      </w:r>
      <w:r>
        <w:t>ements;</w:t>
      </w:r>
    </w:p>
    <w:p w14:paraId="6E8F7D01" w14:textId="77777777" w:rsidR="00FC1D28" w:rsidRPr="00FD274F" w:rsidRDefault="00FC1D28" w:rsidP="00FC1D28">
      <w:pPr>
        <w:pStyle w:val="BodyPara"/>
      </w:pPr>
      <w:r w:rsidRPr="00FD274F">
        <w:t>the text of the instrument as amended and in force from time to time—this is not routinely checked by OPC.</w:t>
      </w:r>
    </w:p>
    <w:p w14:paraId="11BB8767" w14:textId="31C52D2C" w:rsidR="00FC1D28" w:rsidRPr="00FD274F" w:rsidRDefault="00FC1D28" w:rsidP="00FC1D28">
      <w:pPr>
        <w:pStyle w:val="BodyNum"/>
      </w:pPr>
      <w:r w:rsidRPr="00FD274F">
        <w:t>An agency shou</w:t>
      </w:r>
      <w:r w:rsidRPr="00FD274F">
        <w:rPr>
          <w:szCs w:val="24"/>
        </w:rPr>
        <w:t xml:space="preserve">ld act promptly if it is notified that a compilation is required for a discretionary compilation event, or has become overdue for a required compilation event. Please contact OPC </w:t>
      </w:r>
      <w:r w:rsidRPr="00FD274F">
        <w:rPr>
          <w:color w:val="000000"/>
          <w:szCs w:val="24"/>
        </w:rPr>
        <w:t>(</w:t>
      </w:r>
      <w:hyperlink r:id="rId286" w:history="1">
        <w:hyperlink r:id="rId287" w:history="1">
          <w:r w:rsidRPr="00FD274F">
            <w:rPr>
              <w:rStyle w:val="Hyperlink"/>
              <w:rFonts w:eastAsiaTheme="minorHAnsi"/>
              <w:szCs w:val="24"/>
              <w:lang w:eastAsia="en-US"/>
            </w:rPr>
            <w:t>lodge@legislation.gov.au</w:t>
          </w:r>
        </w:hyperlink>
      </w:hyperlink>
      <w:r w:rsidRPr="00FD274F">
        <w:rPr>
          <w:color w:val="000000"/>
          <w:szCs w:val="24"/>
        </w:rPr>
        <w:t xml:space="preserve"> or (02) </w:t>
      </w:r>
      <w:r w:rsidRPr="00FD274F">
        <w:rPr>
          <w:szCs w:val="24"/>
        </w:rPr>
        <w:t>6120 1350</w:t>
      </w:r>
      <w:r w:rsidRPr="00FD274F">
        <w:rPr>
          <w:color w:val="000000"/>
          <w:szCs w:val="24"/>
        </w:rPr>
        <w:t xml:space="preserve">) if </w:t>
      </w:r>
      <w:r w:rsidRPr="00FD274F">
        <w:rPr>
          <w:szCs w:val="24"/>
        </w:rPr>
        <w:t>your agency is experiencing difficulties meeting associated deadlines. Otherwise, OPC may prepa</w:t>
      </w:r>
      <w:r w:rsidRPr="00FD274F">
        <w:t>re the compilation on the agency’s behalf and charge the agency for this service.</w:t>
      </w:r>
    </w:p>
    <w:p w14:paraId="62462D98" w14:textId="77777777" w:rsidR="00FC1D28" w:rsidRPr="00FD274F" w:rsidRDefault="00FC1D28" w:rsidP="00FC1D28">
      <w:pPr>
        <w:pStyle w:val="Head3"/>
      </w:pPr>
      <w:bookmarkStart w:id="131" w:name="_Toc223687773"/>
      <w:r w:rsidRPr="00FD274F">
        <w:t>What must be included in compilations</w:t>
      </w:r>
      <w:bookmarkEnd w:id="131"/>
    </w:p>
    <w:p w14:paraId="394FFC62" w14:textId="77777777" w:rsidR="00FC1D28" w:rsidRPr="00FD274F" w:rsidRDefault="00FC1D28" w:rsidP="00FC1D28">
      <w:pPr>
        <w:pStyle w:val="BodyNum"/>
      </w:pPr>
      <w:r w:rsidRPr="00FD274F">
        <w:t>Preparing a compilation requires attention to detail, technical skill with word processing tools and a good understanding of legislative practices. Compilations:</w:t>
      </w:r>
    </w:p>
    <w:p w14:paraId="4C91FF1D" w14:textId="0C3CDBA4" w:rsidR="00FC1D28" w:rsidRPr="00FD274F" w:rsidRDefault="00FC1D28" w:rsidP="00FC1D28">
      <w:pPr>
        <w:pStyle w:val="BodyPara"/>
      </w:pPr>
      <w:r w:rsidRPr="00FD274F">
        <w:t xml:space="preserve">must be in </w:t>
      </w:r>
      <w:r w:rsidR="004D2C49">
        <w:t>RTF, DOC, or DOCX</w:t>
      </w:r>
      <w:r w:rsidRPr="00FD274F">
        <w:t xml:space="preserve"> fo</w:t>
      </w:r>
      <w:r w:rsidRPr="004532FE">
        <w:t xml:space="preserve">rmat, unless the First Parliamentary Counsel has agreed to another format (see </w:t>
      </w:r>
      <w:hyperlink r:id="rId288" w:history="1">
        <w:r w:rsidR="004D2C49" w:rsidRPr="00001937">
          <w:rPr>
            <w:rStyle w:val="Hyperlink"/>
          </w:rPr>
          <w:t>LR</w:t>
        </w:r>
      </w:hyperlink>
      <w:r w:rsidRPr="004532FE">
        <w:t xml:space="preserve"> s </w:t>
      </w:r>
      <w:r w:rsidR="004D2C49">
        <w:t>6</w:t>
      </w:r>
      <w:r w:rsidRPr="004532FE">
        <w:t>(3));</w:t>
      </w:r>
      <w:r>
        <w:t xml:space="preserve"> and</w:t>
      </w:r>
    </w:p>
    <w:p w14:paraId="17F4C844" w14:textId="2D17ECC6" w:rsidR="00FC1D28" w:rsidRPr="00FD274F" w:rsidRDefault="00FC1D28" w:rsidP="00FC1D28">
      <w:pPr>
        <w:pStyle w:val="noteToPara"/>
        <w:ind w:left="1429"/>
      </w:pPr>
      <w:r w:rsidRPr="00FD274F">
        <w:t>Note:</w:t>
      </w:r>
      <w:r w:rsidRPr="00FD274F">
        <w:tab/>
      </w:r>
      <w:r>
        <w:t xml:space="preserve">Our preferred format is </w:t>
      </w:r>
      <w:r w:rsidR="00694257">
        <w:t>DOCX</w:t>
      </w:r>
      <w:r>
        <w:t>.</w:t>
      </w:r>
    </w:p>
    <w:p w14:paraId="24B38C2E" w14:textId="6D083ADC" w:rsidR="00FC1D28" w:rsidRPr="00FD274F" w:rsidRDefault="00FC1D28" w:rsidP="00FC1D28">
      <w:pPr>
        <w:pStyle w:val="BodyPara"/>
        <w:keepNext/>
      </w:pPr>
      <w:r w:rsidRPr="00FD274F">
        <w:lastRenderedPageBreak/>
        <w:t>must not contain dynamic content that interfere</w:t>
      </w:r>
      <w:r w:rsidR="00CF347B">
        <w:t>s</w:t>
      </w:r>
      <w:r w:rsidRPr="00FD274F">
        <w:t xml:space="preserve"> with the </w:t>
      </w:r>
      <w:r w:rsidR="00CF347B">
        <w:t>accuracy</w:t>
      </w:r>
      <w:r w:rsidR="00CF347B" w:rsidRPr="00FD274F">
        <w:t xml:space="preserve"> </w:t>
      </w:r>
      <w:r w:rsidRPr="00FD274F">
        <w:t>of the document (se</w:t>
      </w:r>
      <w:r w:rsidRPr="004532FE">
        <w:t xml:space="preserve">e </w:t>
      </w:r>
      <w:hyperlink r:id="rId289" w:history="1">
        <w:r w:rsidR="004D2C49" w:rsidRPr="00001937">
          <w:rPr>
            <w:rStyle w:val="Hyperlink"/>
          </w:rPr>
          <w:t>LR</w:t>
        </w:r>
      </w:hyperlink>
      <w:r w:rsidRPr="004532FE">
        <w:t xml:space="preserve"> s </w:t>
      </w:r>
      <w:r w:rsidR="004D2C49">
        <w:t>6</w:t>
      </w:r>
      <w:r w:rsidRPr="004532FE">
        <w:t>(</w:t>
      </w:r>
      <w:r w:rsidR="004D2C49">
        <w:t>5</w:t>
      </w:r>
      <w:r w:rsidRPr="004532FE">
        <w:t>))</w:t>
      </w:r>
      <w:r w:rsidRPr="00FD274F">
        <w:t>.</w:t>
      </w:r>
    </w:p>
    <w:p w14:paraId="17159263" w14:textId="77777777" w:rsidR="00FC1D28" w:rsidRPr="00FD274F" w:rsidRDefault="00FC1D28" w:rsidP="00FC1D28">
      <w:pPr>
        <w:pStyle w:val="noteToPara"/>
        <w:ind w:left="1429"/>
      </w:pPr>
      <w:r w:rsidRPr="00FD274F">
        <w:t>Note:</w:t>
      </w:r>
      <w:r w:rsidRPr="00FD274F">
        <w:tab/>
        <w:t>An automatically generated table of contents is acceptable and desirable u</w:t>
      </w:r>
      <w:r>
        <w:t>nless a document is very short.</w:t>
      </w:r>
    </w:p>
    <w:p w14:paraId="319D92FE" w14:textId="77777777" w:rsidR="00FC1D28" w:rsidRPr="00277385" w:rsidRDefault="00FC1D28" w:rsidP="00FC1D28">
      <w:pPr>
        <w:pStyle w:val="BodyNum"/>
      </w:pPr>
      <w:r w:rsidRPr="00277385">
        <w:t>To meet accessibility requirements, alt text (short for “alternative text”) should be applied to any images contained in the document, including formulas. Alt text is a short textual description of the image that is not visible on the face of the relevant document but, instead, sits in the properties of the image.</w:t>
      </w:r>
    </w:p>
    <w:p w14:paraId="051CE881" w14:textId="3F25AFF7" w:rsidR="00FC1D28" w:rsidRPr="00277385" w:rsidRDefault="00FC1D28" w:rsidP="00FC1D28">
      <w:pPr>
        <w:pStyle w:val="BodyNum"/>
      </w:pPr>
      <w:r w:rsidRPr="00277385">
        <w:t xml:space="preserve">It is important to include alt text because screen readers (mentioned </w:t>
      </w:r>
      <w:r w:rsidRPr="003A701E">
        <w:t xml:space="preserve">in paragraph </w:t>
      </w:r>
      <w:r w:rsidR="009A15A0">
        <w:fldChar w:fldCharType="begin"/>
      </w:r>
      <w:r w:rsidR="009A15A0">
        <w:instrText xml:space="preserve"> REF _Ref185322055 \r \h </w:instrText>
      </w:r>
      <w:r w:rsidR="009A15A0">
        <w:fldChar w:fldCharType="separate"/>
      </w:r>
      <w:r w:rsidR="00AB105F">
        <w:t>118</w:t>
      </w:r>
      <w:r w:rsidR="009A15A0">
        <w:fldChar w:fldCharType="end"/>
      </w:r>
      <w:r w:rsidRPr="003A701E">
        <w:t>) rely</w:t>
      </w:r>
      <w:r w:rsidRPr="00277385">
        <w:t xml:space="preserve"> on the alt text description. More information on alt text, including examples and guidance on what alt text to include, can be found in </w:t>
      </w:r>
      <w:hyperlink r:id="rId290" w:history="1">
        <w:r w:rsidRPr="004532FE">
          <w:rPr>
            <w:rStyle w:val="Hyperlink"/>
          </w:rPr>
          <w:t>OPC Drafting Direction 1.9</w:t>
        </w:r>
      </w:hyperlink>
      <w:r w:rsidRPr="004532FE">
        <w:t>.</w:t>
      </w:r>
    </w:p>
    <w:p w14:paraId="41104241" w14:textId="5BC8D7D9" w:rsidR="00FC1D28" w:rsidRPr="005144FF" w:rsidRDefault="00FC1D28" w:rsidP="00FC1D28">
      <w:pPr>
        <w:pStyle w:val="BodyNum"/>
        <w:rPr>
          <w:szCs w:val="24"/>
        </w:rPr>
      </w:pPr>
      <w:r>
        <w:t xml:space="preserve"> An additional service fee will apply if OPC is required to add alt text to any images or objects. Se</w:t>
      </w:r>
      <w:r w:rsidRPr="00FF0E93">
        <w:t xml:space="preserve">e </w:t>
      </w:r>
      <w:r w:rsidRPr="00FD274F">
        <w:t xml:space="preserve">paragraph </w:t>
      </w:r>
      <w:r w:rsidRPr="00FD274F">
        <w:fldChar w:fldCharType="begin"/>
      </w:r>
      <w:r w:rsidRPr="00FD274F">
        <w:instrText xml:space="preserve"> REF _Ref434314290 \r \h  \* MERGEFORMAT </w:instrText>
      </w:r>
      <w:r w:rsidRPr="00FD274F">
        <w:fldChar w:fldCharType="separate"/>
      </w:r>
      <w:r w:rsidR="00AB105F">
        <w:t>162</w:t>
      </w:r>
      <w:r w:rsidRPr="00FD274F">
        <w:fldChar w:fldCharType="end"/>
      </w:r>
      <w:r w:rsidRPr="00FF0E93">
        <w:t xml:space="preserve"> for</w:t>
      </w:r>
      <w:r>
        <w:t xml:space="preserve"> further information on OPC’s special requirement and additional services fees.</w:t>
      </w:r>
      <w:bookmarkEnd w:id="123"/>
    </w:p>
    <w:p w14:paraId="4F3ABD5A" w14:textId="77C3DF0B" w:rsidR="00FC1D28" w:rsidRPr="00FD274F" w:rsidRDefault="00FC1D28" w:rsidP="00FC1D28">
      <w:pPr>
        <w:pStyle w:val="BodyNum"/>
      </w:pPr>
      <w:r w:rsidRPr="00FD274F">
        <w:t xml:space="preserve">A compilation must also contain certain minimum information as prescribed in </w:t>
      </w:r>
      <w:r w:rsidRPr="004709B9">
        <w:t xml:space="preserve">section 15P of the </w:t>
      </w:r>
      <w:hyperlink r:id="rId291" w:history="1">
        <w:r w:rsidRPr="004709B9">
          <w:rPr>
            <w:rStyle w:val="Hyperlink"/>
          </w:rPr>
          <w:t>LA</w:t>
        </w:r>
      </w:hyperlink>
      <w:r w:rsidRPr="004709B9">
        <w:t xml:space="preserve"> a</w:t>
      </w:r>
      <w:r w:rsidRPr="00FD274F">
        <w:t>nd s</w:t>
      </w:r>
      <w:r w:rsidRPr="004532FE">
        <w:t xml:space="preserve">ection </w:t>
      </w:r>
      <w:r w:rsidR="004D2C49">
        <w:t>8</w:t>
      </w:r>
      <w:r w:rsidRPr="004532FE">
        <w:t xml:space="preserve"> of the</w:t>
      </w:r>
      <w:r w:rsidR="004D2C49">
        <w:t xml:space="preserve"> </w:t>
      </w:r>
      <w:hyperlink r:id="rId292" w:history="1">
        <w:r w:rsidR="004D2C49" w:rsidRPr="009D7738">
          <w:rPr>
            <w:rStyle w:val="Hyperlink"/>
          </w:rPr>
          <w:t>LR</w:t>
        </w:r>
      </w:hyperlink>
      <w:r w:rsidR="004D2C49">
        <w:t>.</w:t>
      </w:r>
      <w:r w:rsidRPr="00FD274F">
        <w:t xml:space="preserve"> This information includes</w:t>
      </w:r>
      <w:r w:rsidR="00D54936">
        <w:t xml:space="preserve"> the following</w:t>
      </w:r>
      <w:r w:rsidRPr="00FD274F">
        <w:t>:</w:t>
      </w:r>
    </w:p>
    <w:p w14:paraId="5CB229ED" w14:textId="52B99AA1" w:rsidR="00C07FFB" w:rsidRPr="00FD274F" w:rsidRDefault="00C07FFB" w:rsidP="000A2841">
      <w:pPr>
        <w:pStyle w:val="BodyPara"/>
        <w:spacing w:before="220"/>
      </w:pPr>
      <w:r w:rsidRPr="00FD274F">
        <w:t xml:space="preserve">the </w:t>
      </w:r>
      <w:r w:rsidRPr="007A4D07">
        <w:rPr>
          <w:b/>
          <w:i/>
        </w:rPr>
        <w:t>compilation date</w:t>
      </w:r>
      <w:r w:rsidR="005C7380">
        <w:t xml:space="preserve"> is the date of the required compilation event</w:t>
      </w:r>
      <w:r w:rsidR="005C7380" w:rsidRPr="00FD274F">
        <w:t xml:space="preserve"> (</w:t>
      </w:r>
      <w:hyperlink r:id="rId293" w:history="1">
        <w:r w:rsidR="005C7380" w:rsidRPr="004709B9">
          <w:rPr>
            <w:rStyle w:val="Hyperlink"/>
          </w:rPr>
          <w:t>LA</w:t>
        </w:r>
      </w:hyperlink>
      <w:r w:rsidR="005C7380" w:rsidRPr="004709B9">
        <w:t xml:space="preserve"> s 15</w:t>
      </w:r>
      <w:r w:rsidR="005C7380">
        <w:t>Q</w:t>
      </w:r>
      <w:r w:rsidR="005C7380" w:rsidRPr="004709B9">
        <w:t>(1))</w:t>
      </w:r>
      <w:r w:rsidRPr="00FD274F">
        <w:t xml:space="preserve">, that is, the date from which the text of the instrument shown in the compilation applies </w:t>
      </w:r>
      <w:r w:rsidR="00FC1D28" w:rsidRPr="00FD274F">
        <w:t>(</w:t>
      </w:r>
      <w:hyperlink r:id="rId294" w:history="1">
        <w:r w:rsidR="00FC1D28" w:rsidRPr="004709B9">
          <w:rPr>
            <w:rStyle w:val="Hyperlink"/>
          </w:rPr>
          <w:t>LA</w:t>
        </w:r>
      </w:hyperlink>
      <w:r w:rsidR="00FC1D28" w:rsidRPr="004709B9">
        <w:t xml:space="preserve"> s 15P(1)(a))</w:t>
      </w:r>
      <w:r w:rsidRPr="004709B9">
        <w:t>;</w:t>
      </w:r>
    </w:p>
    <w:p w14:paraId="072A2A8D" w14:textId="5809E1EA" w:rsidR="00FC1D28" w:rsidRPr="004709B9" w:rsidRDefault="00FC1D28" w:rsidP="00FC1D28">
      <w:pPr>
        <w:pStyle w:val="BodyPara"/>
        <w:spacing w:before="220"/>
      </w:pPr>
      <w:r w:rsidRPr="00FD274F">
        <w:t xml:space="preserve">if the compilation was prepared by OPC and incorporates editorial changes—a statement and brief outline of the editorial changes that have been made </w:t>
      </w:r>
      <w:r w:rsidRPr="004709B9">
        <w:t>(</w:t>
      </w:r>
      <w:hyperlink r:id="rId295" w:history="1">
        <w:r w:rsidRPr="004709B9">
          <w:rPr>
            <w:rStyle w:val="Hyperlink"/>
          </w:rPr>
          <w:t>LA</w:t>
        </w:r>
      </w:hyperlink>
      <w:r w:rsidRPr="004709B9">
        <w:t xml:space="preserve"> s 15P(1)(b));</w:t>
      </w:r>
    </w:p>
    <w:p w14:paraId="77AF1B0B" w14:textId="652F7EF9" w:rsidR="00FC1D28" w:rsidRPr="00FD274F" w:rsidRDefault="00FC1D28" w:rsidP="00FC1D28">
      <w:pPr>
        <w:pStyle w:val="BodyPara"/>
        <w:spacing w:before="220"/>
      </w:pPr>
      <w:r w:rsidRPr="00FD274F">
        <w:t xml:space="preserve">commencement and other details of any Act or instrument that amends the principal instrument </w:t>
      </w:r>
      <w:r w:rsidRPr="004709B9">
        <w:t>(</w:t>
      </w:r>
      <w:hyperlink r:id="rId296" w:history="1">
        <w:r w:rsidRPr="004709B9">
          <w:rPr>
            <w:rStyle w:val="Hyperlink"/>
          </w:rPr>
          <w:t>LA</w:t>
        </w:r>
      </w:hyperlink>
      <w:r w:rsidRPr="004709B9">
        <w:t xml:space="preserve"> s 15P(1)(c));</w:t>
      </w:r>
    </w:p>
    <w:p w14:paraId="13AD5B34" w14:textId="74A0B0F9" w:rsidR="00FC1D28" w:rsidRPr="00FD274F" w:rsidRDefault="00FC1D28" w:rsidP="00FC1D28">
      <w:pPr>
        <w:pStyle w:val="BodyPara"/>
        <w:spacing w:before="220"/>
      </w:pPr>
      <w:r w:rsidRPr="00FD274F">
        <w:t xml:space="preserve">the amendment history of each provision of the principal instrument as amended </w:t>
      </w:r>
      <w:r w:rsidRPr="004709B9">
        <w:t>(</w:t>
      </w:r>
      <w:hyperlink r:id="rId297" w:history="1">
        <w:r w:rsidRPr="004709B9">
          <w:rPr>
            <w:rStyle w:val="Hyperlink"/>
          </w:rPr>
          <w:t>LA</w:t>
        </w:r>
      </w:hyperlink>
      <w:r w:rsidRPr="004709B9">
        <w:t xml:space="preserve"> s 15P(1)(d));</w:t>
      </w:r>
    </w:p>
    <w:p w14:paraId="7C908412" w14:textId="791C7D11" w:rsidR="00FC1D28" w:rsidRPr="00FD274F" w:rsidRDefault="00FC1D28" w:rsidP="00FC1D28">
      <w:pPr>
        <w:pStyle w:val="BodyPara"/>
        <w:spacing w:before="220"/>
      </w:pPr>
      <w:r w:rsidRPr="00FD274F">
        <w:t>the name of the instrum</w:t>
      </w:r>
      <w:r w:rsidRPr="004532FE">
        <w:t>ent (</w:t>
      </w:r>
      <w:hyperlink r:id="rId298" w:history="1">
        <w:r w:rsidR="0077418C" w:rsidRPr="00001937">
          <w:rPr>
            <w:rStyle w:val="Hyperlink"/>
          </w:rPr>
          <w:t>LR</w:t>
        </w:r>
      </w:hyperlink>
      <w:r w:rsidRPr="004532FE">
        <w:t xml:space="preserve"> s </w:t>
      </w:r>
      <w:r w:rsidR="0077418C">
        <w:t>8</w:t>
      </w:r>
      <w:r w:rsidRPr="004532FE">
        <w:t>(a));</w:t>
      </w:r>
    </w:p>
    <w:p w14:paraId="4F27B0DB" w14:textId="1ECC179C" w:rsidR="00FC1D28" w:rsidRPr="00FD274F" w:rsidRDefault="00FC1D28" w:rsidP="00FC1D28">
      <w:pPr>
        <w:pStyle w:val="BodyPara"/>
        <w:spacing w:before="220"/>
      </w:pPr>
      <w:r w:rsidRPr="00FD274F">
        <w:t xml:space="preserve">the </w:t>
      </w:r>
      <w:r w:rsidRPr="00FD274F">
        <w:rPr>
          <w:b/>
          <w:i/>
        </w:rPr>
        <w:t>compilation number</w:t>
      </w:r>
      <w:r w:rsidRPr="00FD274F">
        <w:t xml:space="preserve">—this is essentially a </w:t>
      </w:r>
      <w:r w:rsidR="00166BBC">
        <w:t xml:space="preserve">unique, alphanumeric </w:t>
      </w:r>
      <w:r w:rsidRPr="00FD274F">
        <w:t>version number</w:t>
      </w:r>
      <w:r w:rsidR="008E0F53">
        <w:t xml:space="preserve"> </w:t>
      </w:r>
      <w:r w:rsidRPr="00FD274F">
        <w:t xml:space="preserve">and is generally based on how many compilations have already been registered </w:t>
      </w:r>
      <w:r w:rsidRPr="004532FE">
        <w:t>(</w:t>
      </w:r>
      <w:hyperlink r:id="rId299" w:history="1">
        <w:r w:rsidR="0077418C" w:rsidRPr="00001937">
          <w:rPr>
            <w:rStyle w:val="Hyperlink"/>
          </w:rPr>
          <w:t>LR</w:t>
        </w:r>
      </w:hyperlink>
      <w:r w:rsidRPr="004532FE">
        <w:t xml:space="preserve"> s </w:t>
      </w:r>
      <w:r w:rsidR="0077418C">
        <w:t>8</w:t>
      </w:r>
      <w:r w:rsidRPr="004532FE">
        <w:t>(b)</w:t>
      </w:r>
      <w:r w:rsidRPr="00FD274F">
        <w:t>);</w:t>
      </w:r>
    </w:p>
    <w:p w14:paraId="40B8A763" w14:textId="57B4E716" w:rsidR="00FC1D28" w:rsidRPr="00FD274F" w:rsidRDefault="00FC1D28" w:rsidP="00FC1D28">
      <w:pPr>
        <w:pStyle w:val="BodyPara"/>
        <w:spacing w:before="220"/>
        <w:rPr>
          <w:spacing w:val="-6"/>
        </w:rPr>
      </w:pPr>
      <w:r w:rsidRPr="00FD274F">
        <w:rPr>
          <w:spacing w:val="-6"/>
        </w:rPr>
        <w:t xml:space="preserve">the name of the </w:t>
      </w:r>
      <w:r w:rsidR="0077418C">
        <w:rPr>
          <w:spacing w:val="-6"/>
        </w:rPr>
        <w:t>D</w:t>
      </w:r>
      <w:r w:rsidRPr="00FD274F">
        <w:rPr>
          <w:spacing w:val="-6"/>
        </w:rPr>
        <w:t>epartment or agency that prepared the compilati</w:t>
      </w:r>
      <w:r w:rsidRPr="004532FE">
        <w:rPr>
          <w:spacing w:val="-6"/>
        </w:rPr>
        <w:t>on (</w:t>
      </w:r>
      <w:hyperlink r:id="rId300" w:history="1">
        <w:r w:rsidR="0077418C" w:rsidRPr="00001937">
          <w:rPr>
            <w:rStyle w:val="Hyperlink"/>
            <w:spacing w:val="-6"/>
          </w:rPr>
          <w:t>LR</w:t>
        </w:r>
      </w:hyperlink>
      <w:r w:rsidRPr="004532FE">
        <w:rPr>
          <w:spacing w:val="-6"/>
        </w:rPr>
        <w:t xml:space="preserve"> s </w:t>
      </w:r>
      <w:r w:rsidR="0077418C">
        <w:rPr>
          <w:spacing w:val="-6"/>
        </w:rPr>
        <w:t>8</w:t>
      </w:r>
      <w:r w:rsidRPr="004532FE">
        <w:rPr>
          <w:spacing w:val="-6"/>
        </w:rPr>
        <w:t>(c</w:t>
      </w:r>
      <w:r w:rsidRPr="00FD274F">
        <w:rPr>
          <w:spacing w:val="-6"/>
        </w:rPr>
        <w:t>));</w:t>
      </w:r>
    </w:p>
    <w:p w14:paraId="06FA550A" w14:textId="1B4A5F79" w:rsidR="00FC1D28" w:rsidRPr="00FD274F" w:rsidRDefault="00FC1D28" w:rsidP="00FC1D28">
      <w:pPr>
        <w:pStyle w:val="BodyPara"/>
        <w:spacing w:before="220"/>
        <w:rPr>
          <w:spacing w:val="-6"/>
        </w:rPr>
      </w:pPr>
      <w:r w:rsidRPr="00FD274F">
        <w:rPr>
          <w:spacing w:val="-6"/>
        </w:rPr>
        <w:t xml:space="preserve">a key setting out any abbreviations used in </w:t>
      </w:r>
      <w:r w:rsidR="0077418C">
        <w:rPr>
          <w:spacing w:val="-6"/>
        </w:rPr>
        <w:t xml:space="preserve">any </w:t>
      </w:r>
      <w:r w:rsidRPr="00FD274F">
        <w:rPr>
          <w:spacing w:val="-6"/>
        </w:rPr>
        <w:t xml:space="preserve">notes to the compilation </w:t>
      </w:r>
      <w:r w:rsidRPr="004532FE">
        <w:rPr>
          <w:spacing w:val="-6"/>
        </w:rPr>
        <w:t>(</w:t>
      </w:r>
      <w:hyperlink r:id="rId301" w:history="1">
        <w:r w:rsidR="0077418C" w:rsidRPr="00001937">
          <w:rPr>
            <w:rStyle w:val="Hyperlink"/>
            <w:spacing w:val="-6"/>
          </w:rPr>
          <w:t>LR</w:t>
        </w:r>
      </w:hyperlink>
      <w:r w:rsidRPr="004532FE">
        <w:rPr>
          <w:spacing w:val="-6"/>
        </w:rPr>
        <w:t xml:space="preserve"> s </w:t>
      </w:r>
      <w:r w:rsidR="0077418C">
        <w:rPr>
          <w:spacing w:val="-6"/>
        </w:rPr>
        <w:t>8</w:t>
      </w:r>
      <w:r w:rsidRPr="004532FE">
        <w:rPr>
          <w:spacing w:val="-6"/>
        </w:rPr>
        <w:t>(d</w:t>
      </w:r>
      <w:r w:rsidRPr="00FD274F">
        <w:rPr>
          <w:spacing w:val="-6"/>
        </w:rPr>
        <w:t>));</w:t>
      </w:r>
    </w:p>
    <w:p w14:paraId="4C9D0C77" w14:textId="4389DD0D" w:rsidR="00FC1D28" w:rsidRPr="00FD274F" w:rsidRDefault="00FC1D28" w:rsidP="00FC1D28">
      <w:pPr>
        <w:pStyle w:val="BodyPara"/>
        <w:spacing w:before="220"/>
      </w:pPr>
      <w:r w:rsidRPr="00FD274F">
        <w:t xml:space="preserve">the </w:t>
      </w:r>
      <w:r w:rsidRPr="00FD274F">
        <w:rPr>
          <w:b/>
          <w:i/>
        </w:rPr>
        <w:t>enabling legislation</w:t>
      </w:r>
      <w:r w:rsidRPr="00FD274F">
        <w:t xml:space="preserve"> for an instrument, that is, the Act or instrument under which it was made (</w:t>
      </w:r>
      <w:hyperlink r:id="rId302" w:history="1">
        <w:r w:rsidR="0077418C" w:rsidRPr="00001937">
          <w:rPr>
            <w:rStyle w:val="Hyperlink"/>
          </w:rPr>
          <w:t>LR</w:t>
        </w:r>
      </w:hyperlink>
      <w:r w:rsidRPr="004532FE">
        <w:t xml:space="preserve"> s </w:t>
      </w:r>
      <w:r w:rsidR="0077418C">
        <w:t>8</w:t>
      </w:r>
      <w:r w:rsidRPr="004532FE">
        <w:t>(e));</w:t>
      </w:r>
    </w:p>
    <w:p w14:paraId="3FF41509" w14:textId="5429675F" w:rsidR="00FC1D28" w:rsidRDefault="00FC1D28" w:rsidP="00FC1D28">
      <w:pPr>
        <w:pStyle w:val="BodyPara"/>
        <w:spacing w:before="220"/>
      </w:pPr>
      <w:r w:rsidRPr="00FD274F">
        <w:t>any further information prescribed by the rules (</w:t>
      </w:r>
      <w:hyperlink r:id="rId303" w:history="1">
        <w:r w:rsidRPr="004709B9">
          <w:rPr>
            <w:rStyle w:val="Hyperlink"/>
          </w:rPr>
          <w:t>LA</w:t>
        </w:r>
      </w:hyperlink>
      <w:r w:rsidRPr="004709B9">
        <w:t xml:space="preserve"> s 15P(1)(e)).</w:t>
      </w:r>
    </w:p>
    <w:p w14:paraId="411FFD6E" w14:textId="452ED5B3" w:rsidR="00D63723" w:rsidRPr="005144FF" w:rsidRDefault="00D63723" w:rsidP="00D63723">
      <w:pPr>
        <w:pStyle w:val="BodyNum"/>
        <w:rPr>
          <w:szCs w:val="24"/>
        </w:rPr>
      </w:pPr>
      <w:r>
        <w:lastRenderedPageBreak/>
        <w:t xml:space="preserve"> </w:t>
      </w:r>
      <w:r w:rsidR="00852D8B">
        <w:t xml:space="preserve">Agencies should not include a </w:t>
      </w:r>
      <w:r w:rsidR="00852D8B">
        <w:rPr>
          <w:b/>
          <w:i/>
        </w:rPr>
        <w:t>registered date</w:t>
      </w:r>
      <w:r w:rsidR="00852D8B">
        <w:t xml:space="preserve">, that is the date on which the compilation is registered, as this information will be displayed as part of the metadata </w:t>
      </w:r>
      <w:r w:rsidR="00473AFE">
        <w:t xml:space="preserve">on the Register </w:t>
      </w:r>
      <w:r w:rsidR="00852D8B">
        <w:t>and cannot be known at the time of preparation</w:t>
      </w:r>
      <w:r>
        <w:t>.</w:t>
      </w:r>
    </w:p>
    <w:p w14:paraId="146399EA" w14:textId="75FCE298" w:rsidR="00FC1D28" w:rsidRPr="00FD274F" w:rsidRDefault="00FC1D28" w:rsidP="00FC1D28">
      <w:pPr>
        <w:pStyle w:val="BodyNum"/>
      </w:pPr>
      <w:r w:rsidRPr="00FD274F">
        <w:t>Agencies wishing to prepare their own compilations may find the following guidance useful. It takes into account not only the minimum requirements of t</w:t>
      </w:r>
      <w:r w:rsidRPr="004709B9">
        <w:t xml:space="preserve">he </w:t>
      </w:r>
      <w:hyperlink r:id="rId304" w:history="1">
        <w:r w:rsidRPr="004709B9">
          <w:rPr>
            <w:rStyle w:val="Hyperlink"/>
          </w:rPr>
          <w:t>LA</w:t>
        </w:r>
      </w:hyperlink>
      <w:r w:rsidRPr="004709B9">
        <w:t xml:space="preserve"> bu</w:t>
      </w:r>
      <w:r w:rsidRPr="00FD274F">
        <w:t xml:space="preserve">t also current best practice and the needs of users (including the courts). A template for preparing compilations is also available for download from the secure </w:t>
      </w:r>
      <w:hyperlink r:id="rId305" w:history="1">
        <w:r w:rsidRPr="00FD274F">
          <w:rPr>
            <w:rStyle w:val="Hyperlink"/>
          </w:rPr>
          <w:t>lodgement facility</w:t>
        </w:r>
      </w:hyperlink>
      <w:r w:rsidRPr="00FD274F">
        <w:t>.</w:t>
      </w:r>
    </w:p>
    <w:p w14:paraId="4C1461CD" w14:textId="77777777" w:rsidR="00FC1D28" w:rsidRPr="00FD274F" w:rsidRDefault="00FC1D28" w:rsidP="00FC1D28">
      <w:pPr>
        <w:pStyle w:val="BodyNum"/>
      </w:pPr>
      <w:r w:rsidRPr="00FD274F">
        <w:t xml:space="preserve">Starting with the front matter, the compilation </w:t>
      </w:r>
      <w:r>
        <w:t xml:space="preserve">cover page </w:t>
      </w:r>
      <w:r w:rsidRPr="00FD274F">
        <w:t>o</w:t>
      </w:r>
      <w:r>
        <w:t xml:space="preserve">r </w:t>
      </w:r>
      <w:r w:rsidRPr="00FD274F">
        <w:rPr>
          <w:b/>
          <w:i/>
        </w:rPr>
        <w:t xml:space="preserve">title page </w:t>
      </w:r>
      <w:r w:rsidRPr="00FD274F">
        <w:t xml:space="preserve">should clearly identify the principal instrument by its name and series number (if applicable). OPC’s current practice is to provide the following information on the </w:t>
      </w:r>
      <w:r>
        <w:t>title page</w:t>
      </w:r>
      <w:r w:rsidRPr="00FD274F">
        <w:t xml:space="preserve"> as shown in </w:t>
      </w:r>
      <w:r>
        <w:t>I</w:t>
      </w:r>
      <w:r w:rsidRPr="00633C14">
        <w:t>llustration 5A:</w:t>
      </w:r>
    </w:p>
    <w:p w14:paraId="44F8CD5D" w14:textId="77777777" w:rsidR="00FC1D28" w:rsidRPr="00FD274F" w:rsidRDefault="00FC1D28" w:rsidP="00FC1D28">
      <w:pPr>
        <w:pStyle w:val="BodyPara"/>
      </w:pPr>
      <w:r w:rsidRPr="00FD274F">
        <w:t>Australian Government branding to ensure that the compilation is easily identifiable as an official document;</w:t>
      </w:r>
    </w:p>
    <w:p w14:paraId="17EB4519" w14:textId="3B473B65" w:rsidR="00FC1D28" w:rsidRPr="00FD274F" w:rsidRDefault="00FC1D28" w:rsidP="00FC1D28">
      <w:pPr>
        <w:pStyle w:val="BodyPara"/>
      </w:pPr>
      <w:r w:rsidRPr="00FD274F">
        <w:t>the name (or title) that the instrument gives to its</w:t>
      </w:r>
      <w:r w:rsidRPr="004532FE">
        <w:t>elf (</w:t>
      </w:r>
      <w:hyperlink r:id="rId306" w:history="1">
        <w:r w:rsidR="00053F85" w:rsidRPr="00001937">
          <w:rPr>
            <w:rStyle w:val="Hyperlink"/>
          </w:rPr>
          <w:t>LR</w:t>
        </w:r>
      </w:hyperlink>
      <w:r w:rsidRPr="004532FE">
        <w:t xml:space="preserve"> s </w:t>
      </w:r>
      <w:r w:rsidR="00053F85">
        <w:t>8</w:t>
      </w:r>
      <w:r w:rsidRPr="004532FE">
        <w:t>(a)), f</w:t>
      </w:r>
      <w:r w:rsidRPr="00FD274F">
        <w:t>ollowed by any series number that may apply;</w:t>
      </w:r>
    </w:p>
    <w:p w14:paraId="37C6A188" w14:textId="424FBC1F" w:rsidR="00FC1D28" w:rsidRPr="00FD274F" w:rsidRDefault="00FC1D28" w:rsidP="00FC1D28">
      <w:pPr>
        <w:pStyle w:val="BodyPara"/>
      </w:pPr>
      <w:r w:rsidRPr="00FD274F">
        <w:t>the enabling legislation (and if appropriate, provision) for the principal instrumen</w:t>
      </w:r>
      <w:r w:rsidRPr="004532FE">
        <w:t>t (</w:t>
      </w:r>
      <w:hyperlink r:id="rId307" w:history="1">
        <w:r w:rsidR="00053F85" w:rsidRPr="00001937">
          <w:rPr>
            <w:rStyle w:val="Hyperlink"/>
          </w:rPr>
          <w:t>LR</w:t>
        </w:r>
      </w:hyperlink>
      <w:r w:rsidRPr="004532FE">
        <w:t xml:space="preserve"> s </w:t>
      </w:r>
      <w:r w:rsidR="00053F85">
        <w:t>8</w:t>
      </w:r>
      <w:r w:rsidRPr="004532FE">
        <w:t>(e));</w:t>
      </w:r>
    </w:p>
    <w:p w14:paraId="5A2FA2E4" w14:textId="395C50C2" w:rsidR="00FC1D28" w:rsidRPr="00FD274F" w:rsidRDefault="00FC1D28" w:rsidP="00FC1D28">
      <w:pPr>
        <w:pStyle w:val="BodyPara"/>
      </w:pPr>
      <w:r w:rsidRPr="00FD274F">
        <w:t>the compilation number (</w:t>
      </w:r>
      <w:hyperlink r:id="rId308" w:history="1">
        <w:r w:rsidR="00053F85" w:rsidRPr="00001937">
          <w:rPr>
            <w:rStyle w:val="Hyperlink"/>
          </w:rPr>
          <w:t>LR</w:t>
        </w:r>
      </w:hyperlink>
      <w:r w:rsidRPr="004532FE">
        <w:t xml:space="preserve"> s </w:t>
      </w:r>
      <w:r w:rsidR="00053F85">
        <w:t>8</w:t>
      </w:r>
      <w:r w:rsidRPr="004532FE">
        <w:t>(b));</w:t>
      </w:r>
    </w:p>
    <w:p w14:paraId="7088DF6A" w14:textId="1392F957" w:rsidR="00FC1D28" w:rsidRPr="00FD274F" w:rsidRDefault="00FC1D28" w:rsidP="00FC1D28">
      <w:pPr>
        <w:pStyle w:val="BodyPara"/>
      </w:pPr>
      <w:r w:rsidRPr="00FD274F">
        <w:t xml:space="preserve">the compilation date </w:t>
      </w:r>
      <w:r w:rsidRPr="004709B9">
        <w:t>(</w:t>
      </w:r>
      <w:hyperlink r:id="rId309" w:history="1">
        <w:r w:rsidRPr="004709B9">
          <w:rPr>
            <w:rStyle w:val="Hyperlink"/>
          </w:rPr>
          <w:t>LA</w:t>
        </w:r>
      </w:hyperlink>
      <w:r w:rsidRPr="004709B9">
        <w:t xml:space="preserve"> s 15P(1)(a));</w:t>
      </w:r>
    </w:p>
    <w:p w14:paraId="4DEFD680" w14:textId="77777777" w:rsidR="00FC1D28" w:rsidRPr="00FD274F" w:rsidRDefault="00FC1D28" w:rsidP="00FC1D28">
      <w:pPr>
        <w:pStyle w:val="BodyPara"/>
      </w:pPr>
      <w:r w:rsidRPr="00FD274F">
        <w:t>summary of any other significant event that may have triggered the compilation e.g. the disallowan</w:t>
      </w:r>
      <w:r>
        <w:t>ce of a provision or amendment;</w:t>
      </w:r>
    </w:p>
    <w:p w14:paraId="0504C30C" w14:textId="6FD13D58" w:rsidR="00FC1D28" w:rsidRPr="00590636" w:rsidRDefault="00FC1D28" w:rsidP="00FC1D28">
      <w:pPr>
        <w:pStyle w:val="BodyPara"/>
        <w:rPr>
          <w:spacing w:val="-2"/>
        </w:rPr>
      </w:pPr>
      <w:r w:rsidRPr="00590636">
        <w:rPr>
          <w:spacing w:val="-2"/>
        </w:rPr>
        <w:t>the name of the agency that prepared the compilation e.g. “Prepared by the Office of Parliamentary</w:t>
      </w:r>
      <w:r w:rsidR="00E73440">
        <w:rPr>
          <w:spacing w:val="-2"/>
        </w:rPr>
        <w:t xml:space="preserve"> </w:t>
      </w:r>
      <w:r w:rsidRPr="00590636">
        <w:rPr>
          <w:spacing w:val="-2"/>
        </w:rPr>
        <w:t>Counsel, Canber</w:t>
      </w:r>
      <w:r w:rsidRPr="004532FE">
        <w:rPr>
          <w:spacing w:val="-2"/>
        </w:rPr>
        <w:t>ra” (</w:t>
      </w:r>
      <w:hyperlink r:id="rId310" w:history="1">
        <w:r w:rsidR="00053F85" w:rsidRPr="00001937">
          <w:rPr>
            <w:rStyle w:val="Hyperlink"/>
            <w:spacing w:val="-2"/>
          </w:rPr>
          <w:t>LR</w:t>
        </w:r>
      </w:hyperlink>
      <w:r w:rsidRPr="004532FE">
        <w:rPr>
          <w:spacing w:val="-2"/>
        </w:rPr>
        <w:t> s </w:t>
      </w:r>
      <w:r w:rsidR="00053F85">
        <w:rPr>
          <w:spacing w:val="-2"/>
        </w:rPr>
        <w:t>8</w:t>
      </w:r>
      <w:r w:rsidRPr="004532FE">
        <w:rPr>
          <w:spacing w:val="-2"/>
        </w:rPr>
        <w:t>(c)).</w:t>
      </w:r>
    </w:p>
    <w:p w14:paraId="568384A8" w14:textId="77777777" w:rsidR="00077A94" w:rsidRPr="00FD274F" w:rsidRDefault="00077A94" w:rsidP="00FC7069">
      <w:pPr>
        <w:pStyle w:val="Body"/>
        <w:keepNext/>
        <w:rPr>
          <w:b/>
        </w:rPr>
      </w:pPr>
      <w:r w:rsidRPr="00FD274F">
        <w:rPr>
          <w:b/>
        </w:rPr>
        <w:lastRenderedPageBreak/>
        <w:t>I</w:t>
      </w:r>
      <w:r w:rsidR="009B5657" w:rsidRPr="00FD274F">
        <w:rPr>
          <w:b/>
        </w:rPr>
        <w:t>llustration 5</w:t>
      </w:r>
      <w:r w:rsidRPr="00FD274F">
        <w:rPr>
          <w:b/>
        </w:rPr>
        <w:t>A—sample title page for compilation</w:t>
      </w:r>
    </w:p>
    <w:p w14:paraId="10C4CA14" w14:textId="17CBF32F" w:rsidR="00060939" w:rsidRPr="00FD274F" w:rsidRDefault="00060939" w:rsidP="00077A94">
      <w:pPr>
        <w:pStyle w:val="BodyNum"/>
        <w:numPr>
          <w:ilvl w:val="0"/>
          <w:numId w:val="0"/>
        </w:numPr>
        <w:jc w:val="center"/>
      </w:pPr>
      <w:r>
        <w:rPr>
          <w:noProof/>
        </w:rPr>
        <w:drawing>
          <wp:inline distT="0" distB="0" distL="0" distR="0" wp14:anchorId="063D100B" wp14:editId="21EEEC2C">
            <wp:extent cx="4790476" cy="6561905"/>
            <wp:effectExtent l="19050" t="19050" r="10160" b="10795"/>
            <wp:docPr id="2" name="Picture 2" descr="Template for a compilation title page showing preferred order and format of required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1"/>
                    <a:stretch>
                      <a:fillRect/>
                    </a:stretch>
                  </pic:blipFill>
                  <pic:spPr>
                    <a:xfrm>
                      <a:off x="0" y="0"/>
                      <a:ext cx="4790476" cy="6561905"/>
                    </a:xfrm>
                    <a:prstGeom prst="rect">
                      <a:avLst/>
                    </a:prstGeom>
                    <a:ln>
                      <a:solidFill>
                        <a:schemeClr val="tx1"/>
                      </a:solidFill>
                    </a:ln>
                  </pic:spPr>
                </pic:pic>
              </a:graphicData>
            </a:graphic>
          </wp:inline>
        </w:drawing>
      </w:r>
    </w:p>
    <w:p w14:paraId="1DFAF5CD" w14:textId="00DC1D13" w:rsidR="00C33B0F" w:rsidRPr="00FD274F" w:rsidRDefault="00C33B0F" w:rsidP="00C33B0F">
      <w:pPr>
        <w:pStyle w:val="BodyNum"/>
      </w:pPr>
      <w:r w:rsidRPr="00FD274F">
        <w:t>Other reference information can be included in the front matter, including a table of contents even if there is no such table in the principal instrument. OPC’s current practice is to reserve the reverse of the title page (the verso title page) for a short user guide to explain wh</w:t>
      </w:r>
      <w:r w:rsidR="00D20742" w:rsidRPr="00FD274F">
        <w:t>at</w:t>
      </w:r>
      <w:r w:rsidRPr="00FD274F">
        <w:t xml:space="preserve"> the compilation incorporates (for details, see </w:t>
      </w:r>
      <w:r w:rsidR="00392147" w:rsidRPr="00633C14">
        <w:t>I</w:t>
      </w:r>
      <w:r w:rsidRPr="00633C14">
        <w:t xml:space="preserve">llustration </w:t>
      </w:r>
      <w:r w:rsidR="009B5657" w:rsidRPr="00633C14">
        <w:t>5</w:t>
      </w:r>
      <w:r w:rsidR="00077A94" w:rsidRPr="00633C14">
        <w:t>B</w:t>
      </w:r>
      <w:r w:rsidRPr="00633C14">
        <w:t>).</w:t>
      </w:r>
    </w:p>
    <w:p w14:paraId="3FB468FA" w14:textId="77777777" w:rsidR="00C33B0F" w:rsidRPr="00FD274F" w:rsidRDefault="00C33B0F" w:rsidP="00FC7069">
      <w:pPr>
        <w:pStyle w:val="BodyNum"/>
        <w:keepNext/>
        <w:numPr>
          <w:ilvl w:val="0"/>
          <w:numId w:val="0"/>
        </w:numPr>
        <w:rPr>
          <w:b/>
        </w:rPr>
      </w:pPr>
      <w:r w:rsidRPr="00FD274F">
        <w:rPr>
          <w:b/>
        </w:rPr>
        <w:lastRenderedPageBreak/>
        <w:t xml:space="preserve">Illustration </w:t>
      </w:r>
      <w:r w:rsidR="009B5657" w:rsidRPr="00FD274F">
        <w:rPr>
          <w:b/>
        </w:rPr>
        <w:t>5</w:t>
      </w:r>
      <w:r w:rsidRPr="00FD274F">
        <w:rPr>
          <w:b/>
        </w:rPr>
        <w:t>B—sample reverse of title page showing user guide</w:t>
      </w:r>
    </w:p>
    <w:p w14:paraId="0A9AEC08" w14:textId="50963D0E" w:rsidR="00FA0E42" w:rsidRPr="00FD274F" w:rsidRDefault="00FA0E42" w:rsidP="00077A94">
      <w:pPr>
        <w:pStyle w:val="BodyNum"/>
        <w:numPr>
          <w:ilvl w:val="0"/>
          <w:numId w:val="0"/>
        </w:numPr>
        <w:jc w:val="center"/>
        <w:rPr>
          <w:b/>
        </w:rPr>
      </w:pPr>
      <w:r>
        <w:rPr>
          <w:noProof/>
        </w:rPr>
        <w:drawing>
          <wp:inline distT="0" distB="0" distL="0" distR="0" wp14:anchorId="2EB13208" wp14:editId="04B99F8F">
            <wp:extent cx="5040000" cy="4683600"/>
            <wp:effectExtent l="19050" t="19050" r="27305" b="22225"/>
            <wp:docPr id="1" name="Picture 1" descr="Template headed About this compilation, showing possible wording for a compilation us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2"/>
                    <a:stretch>
                      <a:fillRect/>
                    </a:stretch>
                  </pic:blipFill>
                  <pic:spPr>
                    <a:xfrm>
                      <a:off x="0" y="0"/>
                      <a:ext cx="5040000" cy="4683600"/>
                    </a:xfrm>
                    <a:prstGeom prst="rect">
                      <a:avLst/>
                    </a:prstGeom>
                    <a:ln>
                      <a:solidFill>
                        <a:schemeClr val="tx1"/>
                      </a:solidFill>
                    </a:ln>
                  </pic:spPr>
                </pic:pic>
              </a:graphicData>
            </a:graphic>
          </wp:inline>
        </w:drawing>
      </w:r>
    </w:p>
    <w:p w14:paraId="42A69276" w14:textId="7EDF7452" w:rsidR="00C33B0F" w:rsidRPr="00FD274F" w:rsidRDefault="00C33B0F" w:rsidP="00C33B0F">
      <w:pPr>
        <w:pStyle w:val="BodyNum"/>
      </w:pPr>
      <w:r w:rsidRPr="00FD274F">
        <w:t xml:space="preserve">The compilation number and compilation date should also be recorded in the footer </w:t>
      </w:r>
      <w:r w:rsidR="009B5657" w:rsidRPr="00FD274F">
        <w:t>of each page (se</w:t>
      </w:r>
      <w:r w:rsidR="009B5657" w:rsidRPr="00633C14">
        <w:t xml:space="preserve">e </w:t>
      </w:r>
      <w:r w:rsidR="00392147" w:rsidRPr="00633C14">
        <w:t>I</w:t>
      </w:r>
      <w:r w:rsidR="009B5657" w:rsidRPr="00633C14">
        <w:t>llustration 5</w:t>
      </w:r>
      <w:r w:rsidRPr="00633C14">
        <w:t>C).</w:t>
      </w:r>
    </w:p>
    <w:p w14:paraId="0B4D999A" w14:textId="77777777" w:rsidR="00077A94" w:rsidRPr="00FD274F" w:rsidRDefault="00C33B0F" w:rsidP="00FC7069">
      <w:pPr>
        <w:pStyle w:val="BodyNum"/>
        <w:keepNext/>
        <w:numPr>
          <w:ilvl w:val="0"/>
          <w:numId w:val="0"/>
        </w:numPr>
        <w:rPr>
          <w:b/>
        </w:rPr>
      </w:pPr>
      <w:r w:rsidRPr="00FD274F">
        <w:rPr>
          <w:b/>
        </w:rPr>
        <w:t xml:space="preserve">Illustration </w:t>
      </w:r>
      <w:r w:rsidR="009B5657" w:rsidRPr="00FD274F">
        <w:rPr>
          <w:b/>
        </w:rPr>
        <w:t>5</w:t>
      </w:r>
      <w:r w:rsidRPr="00FD274F">
        <w:rPr>
          <w:b/>
        </w:rPr>
        <w:t>C—sample page footer</w:t>
      </w:r>
    </w:p>
    <w:p w14:paraId="4191E5B1" w14:textId="022D715E" w:rsidR="00F55387" w:rsidRPr="00FD274F" w:rsidRDefault="00F55387" w:rsidP="00077A94">
      <w:pPr>
        <w:pStyle w:val="BodyNum"/>
        <w:numPr>
          <w:ilvl w:val="0"/>
          <w:numId w:val="0"/>
        </w:numPr>
        <w:jc w:val="center"/>
        <w:rPr>
          <w:b/>
        </w:rPr>
      </w:pPr>
      <w:r>
        <w:rPr>
          <w:noProof/>
        </w:rPr>
        <w:drawing>
          <wp:inline distT="0" distB="0" distL="0" distR="0" wp14:anchorId="2462C70B" wp14:editId="5FC1D5F2">
            <wp:extent cx="5400000" cy="730800"/>
            <wp:effectExtent l="19050" t="19050" r="10795" b="12700"/>
            <wp:docPr id="11" name="Picture 11" descr="Template footer displaying Example Instrument 2024, page number 1, compilation number 8 and compilation date 1 Januar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3"/>
                    <a:stretch>
                      <a:fillRect/>
                    </a:stretch>
                  </pic:blipFill>
                  <pic:spPr>
                    <a:xfrm>
                      <a:off x="0" y="0"/>
                      <a:ext cx="5400000" cy="730800"/>
                    </a:xfrm>
                    <a:prstGeom prst="rect">
                      <a:avLst/>
                    </a:prstGeom>
                    <a:ln>
                      <a:solidFill>
                        <a:schemeClr val="tx1"/>
                      </a:solidFill>
                    </a:ln>
                  </pic:spPr>
                </pic:pic>
              </a:graphicData>
            </a:graphic>
          </wp:inline>
        </w:drawing>
      </w:r>
    </w:p>
    <w:p w14:paraId="1A656BEE" w14:textId="77777777" w:rsidR="0084047D" w:rsidRPr="00FD274F" w:rsidRDefault="0084047D" w:rsidP="00CD6FA3">
      <w:pPr>
        <w:pStyle w:val="BodyNum"/>
        <w:keepNext/>
      </w:pPr>
      <w:r w:rsidRPr="00FD274F">
        <w:t xml:space="preserve">The </w:t>
      </w:r>
      <w:r w:rsidRPr="00FD274F">
        <w:rPr>
          <w:b/>
          <w:i/>
        </w:rPr>
        <w:t>body</w:t>
      </w:r>
      <w:r w:rsidRPr="00FD274F">
        <w:t xml:space="preserve"> of the compilation shows the text of the principal instrument as in force as at the compilation date. Before updating the text, it is important to identify which amendments to incorporate. As the sample user guide above suggests, only those amendments that have commenced at the compilation date </w:t>
      </w:r>
      <w:r w:rsidR="00BF5238" w:rsidRPr="00FD274F">
        <w:t xml:space="preserve">can </w:t>
      </w:r>
      <w:r w:rsidRPr="00FD274F">
        <w:t>be incorporated into the text. The following should be noted in the endnotes, but not incorporated into the text:</w:t>
      </w:r>
    </w:p>
    <w:p w14:paraId="3FEA53CA" w14:textId="76CDCF7B" w:rsidR="0084047D" w:rsidRPr="00FD274F" w:rsidRDefault="0084047D" w:rsidP="0084047D">
      <w:pPr>
        <w:pStyle w:val="BodyPara"/>
      </w:pPr>
      <w:r w:rsidRPr="00FD274F">
        <w:t>any amendment that has not commenced at the compilation date (s</w:t>
      </w:r>
      <w:r w:rsidRPr="00633C14">
        <w:t xml:space="preserve">ee also paragraph </w:t>
      </w:r>
      <w:r w:rsidR="007873C4" w:rsidRPr="004709B9">
        <w:fldChar w:fldCharType="begin"/>
      </w:r>
      <w:r w:rsidR="007873C4" w:rsidRPr="00633C14">
        <w:instrText xml:space="preserve"> REF _Ref444854800 \r \h </w:instrText>
      </w:r>
      <w:r w:rsidR="00F308D0" w:rsidRPr="00633C14">
        <w:instrText xml:space="preserve"> \* MERGEFORMAT </w:instrText>
      </w:r>
      <w:r w:rsidR="007873C4" w:rsidRPr="004709B9">
        <w:fldChar w:fldCharType="separate"/>
      </w:r>
      <w:r w:rsidR="00AB105F">
        <w:t>204(b)</w:t>
      </w:r>
      <w:r w:rsidR="007873C4" w:rsidRPr="004709B9">
        <w:fldChar w:fldCharType="end"/>
      </w:r>
      <w:r w:rsidR="00942F8D" w:rsidRPr="00633C14">
        <w:t>);</w:t>
      </w:r>
    </w:p>
    <w:p w14:paraId="1B9D4D6B" w14:textId="49E55862" w:rsidR="0084047D" w:rsidRPr="00FD274F" w:rsidRDefault="0084047D" w:rsidP="0084047D">
      <w:pPr>
        <w:pStyle w:val="BodyPara"/>
      </w:pPr>
      <w:r w:rsidRPr="00FD274F">
        <w:lastRenderedPageBreak/>
        <w:t>any application, saving or transitional provision that is not incorporated into the principal instrument by an amendme</w:t>
      </w:r>
      <w:r w:rsidRPr="00633C14">
        <w:t xml:space="preserve">nt (see also paragraph </w:t>
      </w:r>
      <w:r w:rsidRPr="004709B9">
        <w:fldChar w:fldCharType="begin"/>
      </w:r>
      <w:r w:rsidRPr="00633C14">
        <w:instrText xml:space="preserve"> REF _Ref367447079 \r \h </w:instrText>
      </w:r>
      <w:r w:rsidR="00F308D0" w:rsidRPr="00633C14">
        <w:instrText xml:space="preserve"> \* MERGEFORMAT </w:instrText>
      </w:r>
      <w:r w:rsidRPr="004709B9">
        <w:fldChar w:fldCharType="separate"/>
      </w:r>
      <w:r w:rsidR="00AB105F">
        <w:t>203(d)</w:t>
      </w:r>
      <w:r w:rsidRPr="004709B9">
        <w:fldChar w:fldCharType="end"/>
      </w:r>
      <w:r w:rsidRPr="00633C14">
        <w:t>);</w:t>
      </w:r>
    </w:p>
    <w:p w14:paraId="7CAFBDF6" w14:textId="2420CB24" w:rsidR="0084047D" w:rsidRPr="00FD274F" w:rsidRDefault="0084047D" w:rsidP="0084047D">
      <w:pPr>
        <w:pStyle w:val="BodyPara"/>
      </w:pPr>
      <w:r w:rsidRPr="00FD274F">
        <w:t>any amendment that cannot be incorporated because it is misdescribed and the rule</w:t>
      </w:r>
      <w:r w:rsidR="009C4251">
        <w:noBreakHyphen/>
      </w:r>
      <w:r w:rsidRPr="00FD274F">
        <w:t>maker’s intention is uncle</w:t>
      </w:r>
      <w:r w:rsidRPr="00633C14">
        <w:t xml:space="preserve">ar (see also paragraphs </w:t>
      </w:r>
      <w:r w:rsidR="00445382">
        <w:fldChar w:fldCharType="begin"/>
      </w:r>
      <w:r w:rsidR="00445382">
        <w:instrText xml:space="preserve"> REF _Ref110331473 \r \h </w:instrText>
      </w:r>
      <w:r w:rsidR="00445382">
        <w:fldChar w:fldCharType="separate"/>
      </w:r>
      <w:r w:rsidR="00AB105F">
        <w:t>206</w:t>
      </w:r>
      <w:r w:rsidR="00445382">
        <w:fldChar w:fldCharType="end"/>
      </w:r>
      <w:r w:rsidR="009B5657" w:rsidRPr="00633C14">
        <w:t xml:space="preserve"> and </w:t>
      </w:r>
      <w:r w:rsidRPr="004709B9">
        <w:fldChar w:fldCharType="begin"/>
      </w:r>
      <w:r w:rsidRPr="00633C14">
        <w:instrText xml:space="preserve"> REF _Ref428882137 \r \h  \* MERGEFORMAT </w:instrText>
      </w:r>
      <w:r w:rsidRPr="004709B9">
        <w:fldChar w:fldCharType="separate"/>
      </w:r>
      <w:r w:rsidR="00AB105F">
        <w:t>207</w:t>
      </w:r>
      <w:r w:rsidRPr="004709B9">
        <w:fldChar w:fldCharType="end"/>
      </w:r>
      <w:r w:rsidR="00942F8D" w:rsidRPr="00633C14">
        <w:t>);</w:t>
      </w:r>
    </w:p>
    <w:p w14:paraId="7D177A21" w14:textId="77777777" w:rsidR="0084047D" w:rsidRPr="00FD274F" w:rsidRDefault="0084047D" w:rsidP="0084047D">
      <w:pPr>
        <w:pStyle w:val="BodyPara"/>
      </w:pPr>
      <w:r w:rsidRPr="00FD274F">
        <w:t>the expiry or cessation of a provision—a provision should only be removed from the text if it has been repealed</w:t>
      </w:r>
      <w:r w:rsidR="00BE6ED1">
        <w:t xml:space="preserve"> by using the word “repeal”, “revoke” or “rescind”</w:t>
      </w:r>
      <w:r w:rsidRPr="00FD274F">
        <w:t>.</w:t>
      </w:r>
    </w:p>
    <w:p w14:paraId="42130FF2" w14:textId="7E17A420" w:rsidR="00CF1FC1" w:rsidRPr="00F972C8" w:rsidRDefault="00CF1FC1" w:rsidP="002F347F">
      <w:pPr>
        <w:pStyle w:val="BodyNum"/>
        <w:rPr>
          <w:szCs w:val="24"/>
        </w:rPr>
      </w:pPr>
      <w:r w:rsidRPr="00FD274F">
        <w:t xml:space="preserve">It is not necessary to note or incorporate modifications, that is, </w:t>
      </w:r>
      <w:r w:rsidR="00671909">
        <w:t>changes</w:t>
      </w:r>
      <w:r w:rsidR="0057693D">
        <w:t xml:space="preserve"> </w:t>
      </w:r>
      <w:r w:rsidR="00DC5A85">
        <w:t>affect</w:t>
      </w:r>
      <w:r w:rsidR="00C9666C">
        <w:t>ing</w:t>
      </w:r>
      <w:r w:rsidR="00DC5A85">
        <w:t xml:space="preserve"> the operation of an instrument without directly amending its text</w:t>
      </w:r>
      <w:r w:rsidR="0057693D">
        <w:t xml:space="preserve"> (</w:t>
      </w:r>
      <w:r w:rsidR="00DC5A85">
        <w:t>including by notionally adding, omitting or substituting words of provisions</w:t>
      </w:r>
      <w:r w:rsidR="0057693D">
        <w:t xml:space="preserve">) </w:t>
      </w:r>
      <w:r w:rsidR="00DC5A85">
        <w:t>or</w:t>
      </w:r>
      <w:r w:rsidR="0057693D">
        <w:t xml:space="preserve"> </w:t>
      </w:r>
      <w:r w:rsidR="00DC5A85">
        <w:t>apply</w:t>
      </w:r>
      <w:r w:rsidR="00C9666C">
        <w:t>ing</w:t>
      </w:r>
      <w:r w:rsidR="00DC5A85">
        <w:t xml:space="preserve"> to particular locations or cases.</w:t>
      </w:r>
      <w:r w:rsidR="00F972C8">
        <w:t xml:space="preserve"> </w:t>
      </w:r>
      <w:r w:rsidRPr="00FD274F">
        <w:t>Links to and from the modifying legislation will normally be create</w:t>
      </w:r>
      <w:r w:rsidRPr="00F972C8">
        <w:rPr>
          <w:szCs w:val="24"/>
        </w:rPr>
        <w:t xml:space="preserve">d when that legislation is registered but, if this is not the case, please let OPC know by using the </w:t>
      </w:r>
      <w:hyperlink r:id="rId314" w:history="1">
        <w:r w:rsidRPr="00F972C8">
          <w:rPr>
            <w:rStyle w:val="Hyperlink"/>
            <w:szCs w:val="24"/>
          </w:rPr>
          <w:t>feedback form</w:t>
        </w:r>
      </w:hyperlink>
      <w:r w:rsidRPr="00F972C8">
        <w:rPr>
          <w:szCs w:val="24"/>
        </w:rPr>
        <w:t xml:space="preserve"> on the Register (public) website or email</w:t>
      </w:r>
      <w:r w:rsidR="000962E7">
        <w:rPr>
          <w:szCs w:val="24"/>
        </w:rPr>
        <w:t>ing</w:t>
      </w:r>
      <w:r w:rsidRPr="00F972C8">
        <w:rPr>
          <w:szCs w:val="24"/>
        </w:rPr>
        <w:t xml:space="preserve"> </w:t>
      </w:r>
      <w:hyperlink r:id="rId315" w:history="1">
        <w:hyperlink r:id="rId316" w:history="1">
          <w:r w:rsidRPr="00F972C8">
            <w:rPr>
              <w:rStyle w:val="Hyperlink"/>
              <w:rFonts w:eastAsiaTheme="minorHAnsi"/>
              <w:szCs w:val="24"/>
              <w:lang w:eastAsia="en-US"/>
            </w:rPr>
            <w:t>lodge@legislation.gov.au</w:t>
          </w:r>
        </w:hyperlink>
      </w:hyperlink>
      <w:r w:rsidRPr="00F972C8">
        <w:rPr>
          <w:szCs w:val="24"/>
        </w:rPr>
        <w:t>.</w:t>
      </w:r>
    </w:p>
    <w:p w14:paraId="2AEF359B" w14:textId="77777777" w:rsidR="0084047D" w:rsidRPr="00FD274F" w:rsidRDefault="0084047D" w:rsidP="0084047D">
      <w:pPr>
        <w:pStyle w:val="BodyNum"/>
      </w:pPr>
      <w:r w:rsidRPr="00FD274F">
        <w:t>It is important to take a systematic approach to incorporating amendments into the text of the principal instrument. In particular:</w:t>
      </w:r>
    </w:p>
    <w:p w14:paraId="35E8348E" w14:textId="77777777" w:rsidR="0084047D" w:rsidRPr="00FD274F" w:rsidRDefault="0084047D" w:rsidP="0084047D">
      <w:pPr>
        <w:pStyle w:val="BodyPara"/>
      </w:pPr>
      <w:r w:rsidRPr="00FD274F">
        <w:t>any automatic numbering that may have been used must be turned off—otherwise any insertions or omissions may not be shown with the correct provision numbers; and</w:t>
      </w:r>
    </w:p>
    <w:p w14:paraId="2834FCBC" w14:textId="77777777" w:rsidR="0084047D" w:rsidRPr="00FD274F" w:rsidRDefault="0084047D" w:rsidP="0084047D">
      <w:pPr>
        <w:pStyle w:val="BodyPara"/>
      </w:pPr>
      <w:r w:rsidRPr="00FD274F">
        <w:t xml:space="preserve">styles or equivalent formatting devices should be used to format text wherever practicable—this will deliver a consistent look and feel, and make it easy </w:t>
      </w:r>
      <w:r w:rsidR="000A2841" w:rsidRPr="00FD274F">
        <w:t>to up</w:t>
      </w:r>
      <w:r w:rsidR="00942F8D">
        <w:t>date any table of contents; and</w:t>
      </w:r>
    </w:p>
    <w:p w14:paraId="61B31A21" w14:textId="63E39B3F" w:rsidR="00CF1FC1" w:rsidRPr="00FD274F" w:rsidRDefault="00CF1FC1" w:rsidP="00CF1FC1">
      <w:pPr>
        <w:pStyle w:val="BodyPara"/>
      </w:pPr>
      <w:r w:rsidRPr="00FD274F">
        <w:t>any solely commencing, amending or repealing provisions in the instrument should be checked to establish whether they should be removed in accordance with the automatic repeal provisions in Par</w:t>
      </w:r>
      <w:r w:rsidRPr="004709B9">
        <w:t xml:space="preserve">t 3 of Chapter 3 of the </w:t>
      </w:r>
      <w:hyperlink r:id="rId317" w:history="1">
        <w:r w:rsidRPr="004709B9">
          <w:rPr>
            <w:rStyle w:val="Hyperlink"/>
          </w:rPr>
          <w:t>LA</w:t>
        </w:r>
      </w:hyperlink>
      <w:r w:rsidRPr="004709B9">
        <w:t>.</w:t>
      </w:r>
    </w:p>
    <w:p w14:paraId="41E24D24" w14:textId="1C4939A6" w:rsidR="0084047D" w:rsidRPr="00FD274F" w:rsidRDefault="0084047D" w:rsidP="0084047D">
      <w:pPr>
        <w:pStyle w:val="BodyNum"/>
      </w:pPr>
      <w:r w:rsidRPr="00FD274F">
        <w:t xml:space="preserve">After the amendments have been incorporated into the text, it is important to document the changes made to the text, the authority for making the changes and other matters. This information should be set out in </w:t>
      </w:r>
      <w:r w:rsidRPr="00FD274F">
        <w:rPr>
          <w:b/>
          <w:i/>
        </w:rPr>
        <w:t>endnotes</w:t>
      </w:r>
      <w:r w:rsidRPr="00FD274F">
        <w:t xml:space="preserve">, that is, notes after the body of a compilation. OPC’s current practice is to include </w:t>
      </w:r>
      <w:r w:rsidR="00D528C0" w:rsidRPr="00FD274F">
        <w:t xml:space="preserve">at least </w:t>
      </w:r>
      <w:r w:rsidRPr="00FD274F">
        <w:t>4 endnotes, and to explain the purpose and structure of the endnotes in the first endnote (se</w:t>
      </w:r>
      <w:r w:rsidRPr="00FE07C4">
        <w:t xml:space="preserve">e </w:t>
      </w:r>
      <w:r w:rsidR="00392147" w:rsidRPr="00FE07C4">
        <w:t>I</w:t>
      </w:r>
      <w:r w:rsidRPr="00FE07C4">
        <w:t xml:space="preserve">llustration </w:t>
      </w:r>
      <w:r w:rsidR="009B5657" w:rsidRPr="00FE07C4">
        <w:t>5</w:t>
      </w:r>
      <w:r w:rsidR="00942F8D" w:rsidRPr="00FE07C4">
        <w:t>D).</w:t>
      </w:r>
    </w:p>
    <w:p w14:paraId="21B62736" w14:textId="77777777" w:rsidR="0084047D" w:rsidRPr="00FD274F" w:rsidRDefault="0084047D" w:rsidP="007D6093">
      <w:pPr>
        <w:spacing w:line="240" w:lineRule="auto"/>
        <w:rPr>
          <w:b/>
        </w:rPr>
      </w:pPr>
      <w:r w:rsidRPr="00FD274F">
        <w:rPr>
          <w:b/>
        </w:rPr>
        <w:br w:type="page"/>
      </w:r>
      <w:r w:rsidR="009B5657" w:rsidRPr="00FD274F">
        <w:rPr>
          <w:b/>
        </w:rPr>
        <w:lastRenderedPageBreak/>
        <w:t>Illustration 5</w:t>
      </w:r>
      <w:r w:rsidRPr="00FD274F">
        <w:rPr>
          <w:b/>
        </w:rPr>
        <w:t xml:space="preserve">D—sample </w:t>
      </w:r>
      <w:r w:rsidR="00942F8D">
        <w:rPr>
          <w:b/>
        </w:rPr>
        <w:t>E</w:t>
      </w:r>
      <w:r w:rsidR="00E06893">
        <w:rPr>
          <w:b/>
        </w:rPr>
        <w:t>ndnote 1—About the endnotes</w:t>
      </w:r>
    </w:p>
    <w:p w14:paraId="3AB70719" w14:textId="5AE4EA98" w:rsidR="00205E75" w:rsidRDefault="00205E75" w:rsidP="00845FE6">
      <w:pPr>
        <w:pStyle w:val="notedraft"/>
        <w:jc w:val="center"/>
        <w:rPr>
          <w:i w:val="0"/>
          <w:highlight w:val="green"/>
        </w:rPr>
      </w:pPr>
      <w:r>
        <w:rPr>
          <w:noProof/>
        </w:rPr>
        <w:drawing>
          <wp:inline distT="0" distB="0" distL="0" distR="0" wp14:anchorId="419BD25C" wp14:editId="2E0982E7">
            <wp:extent cx="5438775" cy="5323205"/>
            <wp:effectExtent l="19050" t="19050" r="28575" b="10795"/>
            <wp:docPr id="7" name="Picture 7" descr="Template headed Endnotes, showing possible wording for a user guide about endnotes 1 to 4 and misdescribed amend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8"/>
                    <a:srcRect r="1528"/>
                    <a:stretch/>
                  </pic:blipFill>
                  <pic:spPr bwMode="auto">
                    <a:xfrm>
                      <a:off x="0" y="0"/>
                      <a:ext cx="5439392" cy="532380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A886055" w14:textId="610A5C15" w:rsidR="00CF1FC1" w:rsidRDefault="00CF1FC1" w:rsidP="00CF1FC1">
      <w:pPr>
        <w:pStyle w:val="BodyNum"/>
      </w:pPr>
      <w:r w:rsidRPr="000B3456">
        <w:rPr>
          <w:szCs w:val="24"/>
        </w:rPr>
        <w:t>Endnote 2, the abbreviation key, meets the requirement o</w:t>
      </w:r>
      <w:r w:rsidRPr="004532FE">
        <w:rPr>
          <w:szCs w:val="24"/>
        </w:rPr>
        <w:t xml:space="preserve">f paragraph </w:t>
      </w:r>
      <w:r w:rsidR="00053F85">
        <w:rPr>
          <w:szCs w:val="24"/>
        </w:rPr>
        <w:t>8</w:t>
      </w:r>
      <w:r w:rsidRPr="004532FE">
        <w:rPr>
          <w:szCs w:val="24"/>
        </w:rPr>
        <w:t xml:space="preserve">(d) of the </w:t>
      </w:r>
      <w:hyperlink r:id="rId319" w:history="1">
        <w:r w:rsidR="002D5983" w:rsidRPr="00001937">
          <w:rPr>
            <w:rStyle w:val="Hyperlink"/>
          </w:rPr>
          <w:t>LR</w:t>
        </w:r>
      </w:hyperlink>
      <w:r w:rsidR="00053F85" w:rsidRPr="000B3456">
        <w:rPr>
          <w:szCs w:val="24"/>
        </w:rPr>
        <w:t xml:space="preserve"> </w:t>
      </w:r>
      <w:r w:rsidRPr="000B3456">
        <w:rPr>
          <w:szCs w:val="24"/>
        </w:rPr>
        <w:t xml:space="preserve">and </w:t>
      </w:r>
      <w:r w:rsidRPr="00FD274F">
        <w:t>sets out abbreviations that may be used in the endnotes. The most complex compilations prepared by OPC may use over 30 abbreviations. Agencies should use the same abbreviations as OPC to avoid confusing readers</w:t>
      </w:r>
      <w:r>
        <w:t xml:space="preserve"> (</w:t>
      </w:r>
      <w:r w:rsidRPr="00FE07C4">
        <w:t>see Illustration 5E),</w:t>
      </w:r>
      <w:r w:rsidRPr="00FD274F">
        <w:t xml:space="preserve"> but may wish to specify additional abbreviations for matters not covered by the standard OPC abbreviations. OPC can provide advice on the use of abbreviations on request.</w:t>
      </w:r>
    </w:p>
    <w:p w14:paraId="54BC034E" w14:textId="77777777" w:rsidR="00845FE6" w:rsidRPr="00FD274F" w:rsidRDefault="000116BE" w:rsidP="00845FE6">
      <w:pPr>
        <w:keepNext/>
        <w:spacing w:line="240" w:lineRule="auto"/>
        <w:rPr>
          <w:b/>
        </w:rPr>
      </w:pPr>
      <w:r w:rsidRPr="00FD274F">
        <w:rPr>
          <w:b/>
        </w:rPr>
        <w:lastRenderedPageBreak/>
        <w:t>Illustration 5</w:t>
      </w:r>
      <w:r w:rsidR="00845FE6">
        <w:rPr>
          <w:b/>
        </w:rPr>
        <w:t>E</w:t>
      </w:r>
      <w:r w:rsidRPr="00FD274F">
        <w:rPr>
          <w:b/>
        </w:rPr>
        <w:t xml:space="preserve">—sample </w:t>
      </w:r>
      <w:r>
        <w:rPr>
          <w:b/>
        </w:rPr>
        <w:t>Endnote 2—Abbreviation key</w:t>
      </w:r>
    </w:p>
    <w:p w14:paraId="261ACA2B" w14:textId="37445286" w:rsidR="003C40CC" w:rsidRDefault="003C40CC" w:rsidP="00845FE6">
      <w:pPr>
        <w:pStyle w:val="BodyNum"/>
        <w:keepNext/>
        <w:numPr>
          <w:ilvl w:val="0"/>
          <w:numId w:val="0"/>
        </w:numPr>
      </w:pPr>
      <w:r>
        <w:rPr>
          <w:noProof/>
        </w:rPr>
        <w:drawing>
          <wp:inline distT="0" distB="0" distL="0" distR="0" wp14:anchorId="1B12E768" wp14:editId="56A695BF">
            <wp:extent cx="5361905" cy="5314286"/>
            <wp:effectExtent l="19050" t="19050" r="10795" b="20320"/>
            <wp:docPr id="4" name="Picture 4" descr="Template headed Endnote 2, showing an example abbreviation formatting across two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0"/>
                    <a:stretch>
                      <a:fillRect/>
                    </a:stretch>
                  </pic:blipFill>
                  <pic:spPr>
                    <a:xfrm>
                      <a:off x="0" y="0"/>
                      <a:ext cx="5361905" cy="5314286"/>
                    </a:xfrm>
                    <a:prstGeom prst="rect">
                      <a:avLst/>
                    </a:prstGeom>
                    <a:ln>
                      <a:solidFill>
                        <a:schemeClr val="tx1"/>
                      </a:solidFill>
                    </a:ln>
                  </pic:spPr>
                </pic:pic>
              </a:graphicData>
            </a:graphic>
          </wp:inline>
        </w:drawing>
      </w:r>
    </w:p>
    <w:p w14:paraId="2C20DFEF" w14:textId="4AA8AE56" w:rsidR="00CF1FC1" w:rsidRPr="00FD274F" w:rsidRDefault="00CF1FC1" w:rsidP="00CF1FC1">
      <w:pPr>
        <w:pStyle w:val="BodyNum"/>
        <w:keepNext/>
      </w:pPr>
      <w:r w:rsidRPr="00FD274F">
        <w:t>Endnote 3, the legislation history, meets the requirement of p</w:t>
      </w:r>
      <w:r w:rsidRPr="004709B9">
        <w:t xml:space="preserve">aragraph 15P(1)(c) of the </w:t>
      </w:r>
      <w:hyperlink r:id="rId321" w:history="1">
        <w:r w:rsidRPr="004709B9">
          <w:rPr>
            <w:rStyle w:val="Hyperlink"/>
          </w:rPr>
          <w:t>LA</w:t>
        </w:r>
      </w:hyperlink>
      <w:r w:rsidRPr="004709B9">
        <w:t xml:space="preserve"> for</w:t>
      </w:r>
      <w:r w:rsidRPr="00FD274F">
        <w:t xml:space="preserve"> compilations to include commencement and other details for any Act or instrument that amends the principal instrument. It is usual to list this material starting with the principal instrument and to refer to each amending Act or instrument in chronological order of making. The endnote should contain at least the following information for the principal instrument and each amending Act or instrument (s</w:t>
      </w:r>
      <w:r w:rsidRPr="00FE07C4">
        <w:t>ee Illustration 5F):</w:t>
      </w:r>
    </w:p>
    <w:p w14:paraId="7FC4056C" w14:textId="77777777" w:rsidR="0084047D" w:rsidRPr="00FD274F" w:rsidRDefault="0084047D" w:rsidP="0084047D">
      <w:pPr>
        <w:pStyle w:val="BodyPara"/>
      </w:pPr>
      <w:r w:rsidRPr="00FD274F">
        <w:t>its full name, and any series number and year that may apply, unless some other method of citation is identified in an earlier endnote;</w:t>
      </w:r>
    </w:p>
    <w:p w14:paraId="1E110BC1" w14:textId="77777777" w:rsidR="0084047D" w:rsidRPr="00FD274F" w:rsidRDefault="0084047D" w:rsidP="0084047D">
      <w:pPr>
        <w:pStyle w:val="BodyPara"/>
      </w:pPr>
      <w:r w:rsidRPr="00FD274F">
        <w:t xml:space="preserve">for an instrument—the instrument’s date of registration and </w:t>
      </w:r>
      <w:r w:rsidR="00506646" w:rsidRPr="00FD274F">
        <w:t xml:space="preserve">registration </w:t>
      </w:r>
      <w:r w:rsidRPr="00FD274F">
        <w:t>ID (or, if it was made before 2005, the date of gazettal and Gazette number);</w:t>
      </w:r>
    </w:p>
    <w:p w14:paraId="0EFCA6FC" w14:textId="138B4878" w:rsidR="0084047D" w:rsidRPr="00FD274F" w:rsidRDefault="0084047D" w:rsidP="0084047D">
      <w:pPr>
        <w:pStyle w:val="BodyPara"/>
      </w:pPr>
      <w:r w:rsidRPr="00FD274F">
        <w:t>details of when it commenced—if, for example, some provisions commenced on one date and the remainder on another date, this should be spelt out</w:t>
      </w:r>
      <w:r w:rsidR="00C743D8">
        <w:t xml:space="preserve">, or if </w:t>
      </w:r>
      <w:r w:rsidR="00C743D8">
        <w:lastRenderedPageBreak/>
        <w:t>the provi</w:t>
      </w:r>
      <w:r w:rsidR="00C743D8" w:rsidRPr="00FE07C4">
        <w:t xml:space="preserve">sions commence in the future, clearly indicating this (see use of underlining in </w:t>
      </w:r>
      <w:r w:rsidR="00392147" w:rsidRPr="00FE07C4">
        <w:t>I</w:t>
      </w:r>
      <w:r w:rsidR="00C743D8" w:rsidRPr="00FE07C4">
        <w:t>llustration 5</w:t>
      </w:r>
      <w:r w:rsidR="00960AAD" w:rsidRPr="00FE07C4">
        <w:t>F</w:t>
      </w:r>
      <w:r w:rsidR="00C743D8" w:rsidRPr="00FE07C4">
        <w:t xml:space="preserve"> b</w:t>
      </w:r>
      <w:r w:rsidR="00C743D8">
        <w:t>elow)</w:t>
      </w:r>
      <w:r w:rsidRPr="00FD274F">
        <w:t>;</w:t>
      </w:r>
    </w:p>
    <w:p w14:paraId="0D9ECA0C" w14:textId="77777777" w:rsidR="0084047D" w:rsidRPr="00FD274F" w:rsidRDefault="0084047D" w:rsidP="0084047D">
      <w:pPr>
        <w:pStyle w:val="BodyPara"/>
      </w:pPr>
      <w:bookmarkStart w:id="132" w:name="_Ref367447079"/>
      <w:r w:rsidRPr="00FD274F">
        <w:t>the location of any application, saving or transitional provisions that are relevant to, but not included in, the principal instrument;</w:t>
      </w:r>
      <w:bookmarkEnd w:id="132"/>
    </w:p>
    <w:p w14:paraId="1FB9E030" w14:textId="77777777" w:rsidR="00083024" w:rsidRPr="00FD274F" w:rsidRDefault="0084047D" w:rsidP="0084047D">
      <w:pPr>
        <w:pStyle w:val="BodyPara"/>
      </w:pPr>
      <w:r w:rsidRPr="00FD274F">
        <w:t>details of any event that has affected the text of the principal instrument</w:t>
      </w:r>
      <w:r w:rsidR="00083024" w:rsidRPr="00FD274F">
        <w:t>—in the case of disallowance of a provision or amendment, the House, date and time of disallowance should be noted.</w:t>
      </w:r>
    </w:p>
    <w:p w14:paraId="38DA6343" w14:textId="59CBCB03" w:rsidR="0084047D" w:rsidRPr="00FD274F" w:rsidRDefault="0084047D" w:rsidP="00CD6FA3">
      <w:pPr>
        <w:pStyle w:val="Body"/>
        <w:keepNext/>
        <w:rPr>
          <w:b/>
        </w:rPr>
      </w:pPr>
      <w:bookmarkStart w:id="133" w:name="_Ref422926992"/>
      <w:r w:rsidRPr="00FD274F">
        <w:rPr>
          <w:b/>
        </w:rPr>
        <w:t xml:space="preserve">Illustration </w:t>
      </w:r>
      <w:r w:rsidR="009B5657" w:rsidRPr="00FD274F">
        <w:rPr>
          <w:b/>
        </w:rPr>
        <w:t>5</w:t>
      </w:r>
      <w:r w:rsidR="00960AAD">
        <w:rPr>
          <w:b/>
        </w:rPr>
        <w:t>F</w:t>
      </w:r>
      <w:r w:rsidRPr="00FD274F">
        <w:rPr>
          <w:b/>
        </w:rPr>
        <w:t>—sampl</w:t>
      </w:r>
      <w:r w:rsidR="00077A94" w:rsidRPr="00FD274F">
        <w:rPr>
          <w:b/>
        </w:rPr>
        <w:t xml:space="preserve">e </w:t>
      </w:r>
      <w:r w:rsidR="00E06893">
        <w:rPr>
          <w:b/>
        </w:rPr>
        <w:t>E</w:t>
      </w:r>
      <w:r w:rsidR="00077A94" w:rsidRPr="00FD274F">
        <w:rPr>
          <w:b/>
        </w:rPr>
        <w:t>ndnote 3—Legislation history</w:t>
      </w:r>
    </w:p>
    <w:p w14:paraId="3BA4F9A0" w14:textId="3FEE2419" w:rsidR="00DD6F9D" w:rsidRPr="00FD274F" w:rsidRDefault="00BE102E" w:rsidP="00077A94">
      <w:pPr>
        <w:pStyle w:val="Body"/>
        <w:jc w:val="center"/>
        <w:rPr>
          <w:b/>
        </w:rPr>
      </w:pPr>
      <w:r>
        <w:rPr>
          <w:noProof/>
        </w:rPr>
        <w:drawing>
          <wp:inline distT="0" distB="0" distL="0" distR="0" wp14:anchorId="2DEBAC53" wp14:editId="42B95B73">
            <wp:extent cx="5732145" cy="5048250"/>
            <wp:effectExtent l="19050" t="19050" r="20955" b="19050"/>
            <wp:docPr id="10" name="Picture 10" descr="Template headed Endnote 3 Legislation history, showing preferred order and format of required information in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2"/>
                    <a:stretch>
                      <a:fillRect/>
                    </a:stretch>
                  </pic:blipFill>
                  <pic:spPr>
                    <a:xfrm>
                      <a:off x="0" y="0"/>
                      <a:ext cx="5732145" cy="5048250"/>
                    </a:xfrm>
                    <a:prstGeom prst="rect">
                      <a:avLst/>
                    </a:prstGeom>
                    <a:ln>
                      <a:solidFill>
                        <a:schemeClr val="tx1"/>
                      </a:solidFill>
                    </a:ln>
                  </pic:spPr>
                </pic:pic>
              </a:graphicData>
            </a:graphic>
          </wp:inline>
        </w:drawing>
      </w:r>
    </w:p>
    <w:p w14:paraId="30FE09D7" w14:textId="3CAF11B3" w:rsidR="00CF1FC1" w:rsidRPr="00FD274F" w:rsidRDefault="00CF1FC1" w:rsidP="00CF1FC1">
      <w:pPr>
        <w:pStyle w:val="BodyNum"/>
        <w:tabs>
          <w:tab w:val="num" w:pos="1146"/>
        </w:tabs>
      </w:pPr>
      <w:bookmarkStart w:id="134" w:name="_Ref444854775"/>
      <w:bookmarkStart w:id="135" w:name="_Ref428882106"/>
      <w:r w:rsidRPr="00FD274F">
        <w:t xml:space="preserve">Endnote 4, the amendment history, meets the requirement of </w:t>
      </w:r>
      <w:r w:rsidRPr="004709B9">
        <w:t xml:space="preserve">paragraph 15P(1)(d) of the </w:t>
      </w:r>
      <w:hyperlink r:id="rId323" w:history="1">
        <w:r w:rsidRPr="004709B9">
          <w:rPr>
            <w:rStyle w:val="Hyperlink"/>
          </w:rPr>
          <w:t>LA</w:t>
        </w:r>
      </w:hyperlink>
      <w:r w:rsidRPr="004709B9">
        <w:t xml:space="preserve"> fo</w:t>
      </w:r>
      <w:r w:rsidRPr="00FD274F">
        <w:t xml:space="preserve">r compilations to include the amendment history of each amended provision. OPC generally annotates amendments to the section level or higher as appropriate. As illustrated in </w:t>
      </w:r>
      <w:r w:rsidRPr="00FE07C4">
        <w:t>Illustration 5G, t</w:t>
      </w:r>
      <w:r w:rsidRPr="00FD274F">
        <w:t>he endnote should note the nature of, and authority for, any change and in particular:</w:t>
      </w:r>
      <w:bookmarkEnd w:id="134"/>
    </w:p>
    <w:p w14:paraId="74E0464A" w14:textId="77777777" w:rsidR="0084047D" w:rsidRPr="00FD274F" w:rsidRDefault="0084047D" w:rsidP="0084047D">
      <w:pPr>
        <w:pStyle w:val="BodyPara"/>
      </w:pPr>
      <w:r w:rsidRPr="00FD274F">
        <w:lastRenderedPageBreak/>
        <w:t>identify the authority for a change by its full name unless a suitable acronym or a series number and year is identified in an earlier endnote</w:t>
      </w:r>
      <w:bookmarkEnd w:id="133"/>
      <w:bookmarkEnd w:id="135"/>
      <w:r w:rsidR="00E06893">
        <w:t>; and</w:t>
      </w:r>
    </w:p>
    <w:p w14:paraId="5AF5702E" w14:textId="77777777" w:rsidR="0084047D" w:rsidRPr="00FD274F" w:rsidRDefault="0084047D" w:rsidP="0084047D">
      <w:pPr>
        <w:pStyle w:val="BodyPara"/>
      </w:pPr>
      <w:bookmarkStart w:id="136" w:name="_Ref444854800"/>
      <w:r w:rsidRPr="00FD274F">
        <w:t>use underlining to indicate</w:t>
      </w:r>
      <w:r w:rsidR="00AB5E02">
        <w:t xml:space="preserve"> </w:t>
      </w:r>
      <w:r w:rsidRPr="00FD274F">
        <w:t>changes that have not commenced such as:</w:t>
      </w:r>
      <w:bookmarkEnd w:id="136"/>
    </w:p>
    <w:p w14:paraId="14DD72C0" w14:textId="77777777" w:rsidR="0084047D" w:rsidRPr="00FD274F" w:rsidRDefault="0084047D" w:rsidP="001D3931">
      <w:pPr>
        <w:pStyle w:val="BodySubPara"/>
        <w:contextualSpacing/>
      </w:pPr>
      <w:proofErr w:type="spellStart"/>
      <w:r w:rsidRPr="00FD274F">
        <w:t>uncommenced</w:t>
      </w:r>
      <w:proofErr w:type="spellEnd"/>
      <w:r w:rsidRPr="00FD274F">
        <w:t xml:space="preserve"> amendments; and</w:t>
      </w:r>
    </w:p>
    <w:p w14:paraId="0E87E1A8" w14:textId="6B09F96F" w:rsidR="0084047D" w:rsidRPr="00FD274F" w:rsidRDefault="0084047D" w:rsidP="001D3931">
      <w:pPr>
        <w:pStyle w:val="BodySubPara"/>
      </w:pPr>
      <w:r w:rsidRPr="00FD274F">
        <w:t>self</w:t>
      </w:r>
      <w:r w:rsidR="009C4251">
        <w:noBreakHyphen/>
      </w:r>
      <w:r w:rsidRPr="00FD274F">
        <w:t>repealing provisions that have not yet operated; and</w:t>
      </w:r>
    </w:p>
    <w:p w14:paraId="0DE89C76" w14:textId="77777777" w:rsidR="0084047D" w:rsidRPr="00FD274F" w:rsidRDefault="0084047D" w:rsidP="0047607F">
      <w:pPr>
        <w:pStyle w:val="BodyPara"/>
      </w:pPr>
      <w:r w:rsidRPr="00FD274F">
        <w:t xml:space="preserve">if a provision of the instrument as made </w:t>
      </w:r>
      <w:r w:rsidR="0047607F" w:rsidRPr="00FD274F">
        <w:t xml:space="preserve">or </w:t>
      </w:r>
      <w:r w:rsidRPr="00FD274F">
        <w:t>an amendment</w:t>
      </w:r>
      <w:r w:rsidR="0047607F" w:rsidRPr="00FD274F">
        <w:t xml:space="preserve"> to the instrument</w:t>
      </w:r>
      <w:r w:rsidRPr="00FD274F">
        <w:t xml:space="preserve"> has been disallowed</w:t>
      </w:r>
      <w:r w:rsidR="00083024" w:rsidRPr="00FD274F">
        <w:t xml:space="preserve"> in part or in full, an annotation to this effect</w:t>
      </w:r>
      <w:r w:rsidRPr="00FD274F">
        <w:t>.</w:t>
      </w:r>
    </w:p>
    <w:p w14:paraId="2FC717B6" w14:textId="536D0DD1" w:rsidR="0084047D" w:rsidRPr="00FD274F" w:rsidRDefault="009B5657" w:rsidP="00CD6FA3">
      <w:pPr>
        <w:pStyle w:val="Body"/>
        <w:keepNext/>
        <w:spacing w:after="120"/>
        <w:rPr>
          <w:b/>
        </w:rPr>
      </w:pPr>
      <w:bookmarkStart w:id="137" w:name="_Ref367446781"/>
      <w:r w:rsidRPr="00FD274F">
        <w:rPr>
          <w:b/>
        </w:rPr>
        <w:t>Illustration 5</w:t>
      </w:r>
      <w:r w:rsidR="007F0A4E">
        <w:rPr>
          <w:b/>
        </w:rPr>
        <w:t>G</w:t>
      </w:r>
      <w:r w:rsidR="0084047D" w:rsidRPr="00FD274F">
        <w:rPr>
          <w:b/>
        </w:rPr>
        <w:t xml:space="preserve">—sample </w:t>
      </w:r>
      <w:r w:rsidR="00E06893">
        <w:rPr>
          <w:b/>
        </w:rPr>
        <w:t>Endnote 4—Amendment history</w:t>
      </w:r>
    </w:p>
    <w:p w14:paraId="48F734E8" w14:textId="07FDA49B" w:rsidR="0010571F" w:rsidRPr="00FD274F" w:rsidRDefault="0000182F" w:rsidP="0084047D">
      <w:pPr>
        <w:pStyle w:val="Body"/>
        <w:ind w:left="720"/>
      </w:pPr>
      <w:r>
        <w:rPr>
          <w:noProof/>
        </w:rPr>
        <w:drawing>
          <wp:inline distT="0" distB="0" distL="0" distR="0" wp14:anchorId="28A08DD9" wp14:editId="64060861">
            <wp:extent cx="4942857" cy="5676190"/>
            <wp:effectExtent l="19050" t="19050" r="10160" b="20320"/>
            <wp:docPr id="17" name="Picture 17" descr="Example headed Endnote 4 Amendment History, showing preferred presentation of provisions and their amendments in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4"/>
                    <a:stretch>
                      <a:fillRect/>
                    </a:stretch>
                  </pic:blipFill>
                  <pic:spPr>
                    <a:xfrm>
                      <a:off x="0" y="0"/>
                      <a:ext cx="4942857" cy="5676190"/>
                    </a:xfrm>
                    <a:prstGeom prst="rect">
                      <a:avLst/>
                    </a:prstGeom>
                    <a:ln>
                      <a:solidFill>
                        <a:schemeClr val="tx1"/>
                      </a:solidFill>
                    </a:ln>
                  </pic:spPr>
                </pic:pic>
              </a:graphicData>
            </a:graphic>
          </wp:inline>
        </w:drawing>
      </w:r>
    </w:p>
    <w:p w14:paraId="46B00D15" w14:textId="52AEFCE4" w:rsidR="00473AFE" w:rsidRDefault="0000182F" w:rsidP="0084047D">
      <w:pPr>
        <w:pStyle w:val="BodyNum"/>
      </w:pPr>
      <w:bookmarkStart w:id="138" w:name="_Ref428882126"/>
      <w:r>
        <w:lastRenderedPageBreak/>
        <w:t xml:space="preserve">The amendment history captured against section 2.14 in the example </w:t>
      </w:r>
      <w:r w:rsidR="006E0DEE">
        <w:t xml:space="preserve">Endnote </w:t>
      </w:r>
      <w:r>
        <w:t>4 above indicates that subsection (3) of that section contains a future self</w:t>
      </w:r>
      <w:r w:rsidR="006A0B21">
        <w:t>-</w:t>
      </w:r>
      <w:r>
        <w:t>repeal</w:t>
      </w:r>
      <w:r w:rsidR="00473AFE">
        <w:t xml:space="preserve"> for the section as follows</w:t>
      </w:r>
      <w:r>
        <w:t>:</w:t>
      </w:r>
    </w:p>
    <w:p w14:paraId="06FF85CC" w14:textId="4EA47C05" w:rsidR="0000182F" w:rsidRDefault="005332BA" w:rsidP="005332BA">
      <w:pPr>
        <w:pStyle w:val="subsection"/>
      </w:pPr>
      <w:r>
        <w:tab/>
      </w:r>
      <w:r w:rsidR="0000182F">
        <w:t>(3)</w:t>
      </w:r>
      <w:r w:rsidR="0000182F">
        <w:tab/>
        <w:t>This section is repealed at the end of 1 December 2040</w:t>
      </w:r>
      <w:r w:rsidR="00473AFE">
        <w:t>.</w:t>
      </w:r>
    </w:p>
    <w:p w14:paraId="4D3636C7" w14:textId="77777777" w:rsidR="00134A72" w:rsidRPr="00FD274F" w:rsidRDefault="00134A72" w:rsidP="00134A72">
      <w:pPr>
        <w:pStyle w:val="BodyNum"/>
      </w:pPr>
      <w:bookmarkStart w:id="139" w:name="_Ref110331473"/>
      <w:bookmarkStart w:id="140" w:name="Chapter6"/>
      <w:bookmarkEnd w:id="137"/>
      <w:bookmarkEnd w:id="138"/>
      <w:r w:rsidRPr="00FD274F">
        <w:t>Special care is needed if an amendment does not accurately describe the amendments to be made, and it may be necessary or desirable to get legal advice on whether and how to apply the amendment. For example, it may be that an amendment:</w:t>
      </w:r>
      <w:bookmarkEnd w:id="139"/>
    </w:p>
    <w:p w14:paraId="33E06003" w14:textId="77777777" w:rsidR="00134A72" w:rsidRPr="00FD274F" w:rsidRDefault="00134A72" w:rsidP="00134A72">
      <w:pPr>
        <w:pStyle w:val="BodyPara"/>
      </w:pPr>
      <w:r w:rsidRPr="00FD274F">
        <w:t>cites an incorrect provision (e.g. subsection 296T(1) instead of 269T(1)); or</w:t>
      </w:r>
    </w:p>
    <w:p w14:paraId="41D02643" w14:textId="77777777" w:rsidR="00134A72" w:rsidRPr="00FD274F" w:rsidRDefault="00134A72" w:rsidP="00134A72">
      <w:pPr>
        <w:pStyle w:val="BodyPara"/>
      </w:pPr>
      <w:r w:rsidRPr="00FD274F">
        <w:t>cites the text of a provision incorrectly (e.g. it may provide for the omission of text ending in “a child” when the existing provision uses the term “the child”); or</w:t>
      </w:r>
    </w:p>
    <w:p w14:paraId="6958A3A4" w14:textId="77777777" w:rsidR="00134A72" w:rsidRPr="00FD274F" w:rsidRDefault="00134A72" w:rsidP="00134A72">
      <w:pPr>
        <w:pStyle w:val="BodyPara"/>
      </w:pPr>
      <w:r w:rsidRPr="00FD274F">
        <w:t>repeals and substitutes a provision that has already been repealed by some other means (such as automatic repeal).</w:t>
      </w:r>
    </w:p>
    <w:p w14:paraId="088AB97A" w14:textId="3671E342" w:rsidR="00134A72" w:rsidRPr="002D6F11" w:rsidRDefault="00134A72" w:rsidP="00134A72">
      <w:pPr>
        <w:pStyle w:val="BodyNum"/>
        <w:keepLines/>
      </w:pPr>
      <w:bookmarkStart w:id="141" w:name="_Ref428882137"/>
      <w:r w:rsidRPr="002D6F11">
        <w:t xml:space="preserve">If the amendment cannot be incorporated as a result of the misdescription, the abbreviation “(md not incorp)” should be noted in the amendment history. Formal amendments </w:t>
      </w:r>
      <w:r>
        <w:t>may</w:t>
      </w:r>
      <w:r w:rsidRPr="002D6F11">
        <w:t xml:space="preserve"> then be required to resolve the misdescription.</w:t>
      </w:r>
      <w:r>
        <w:t xml:space="preserve"> P</w:t>
      </w:r>
      <w:r w:rsidRPr="006F383F">
        <w:rPr>
          <w:szCs w:val="24"/>
        </w:rPr>
        <w:t>lease contact OPC (</w:t>
      </w:r>
      <w:hyperlink r:id="rId325" w:history="1">
        <w:hyperlink r:id="rId326" w:history="1">
          <w:r w:rsidRPr="006F383F">
            <w:rPr>
              <w:rStyle w:val="Hyperlink"/>
              <w:rFonts w:eastAsiaTheme="minorHAnsi"/>
              <w:szCs w:val="24"/>
              <w:lang w:eastAsia="en-US"/>
            </w:rPr>
            <w:t>lodge@legislation.gov.au</w:t>
          </w:r>
        </w:hyperlink>
      </w:hyperlink>
      <w:r w:rsidRPr="006F383F">
        <w:rPr>
          <w:szCs w:val="24"/>
        </w:rPr>
        <w:t xml:space="preserve"> or (02) 6120 1350)</w:t>
      </w:r>
      <w:r>
        <w:rPr>
          <w:szCs w:val="24"/>
        </w:rPr>
        <w:t xml:space="preserve"> to discuss the options when dealing with misdescribed amendments</w:t>
      </w:r>
      <w:r>
        <w:t>.</w:t>
      </w:r>
    </w:p>
    <w:p w14:paraId="4CFA2A34" w14:textId="7F463838" w:rsidR="00134A72" w:rsidRPr="002D6F11" w:rsidRDefault="00134A72" w:rsidP="00134A72">
      <w:pPr>
        <w:pStyle w:val="BodyNum"/>
        <w:keepLines/>
      </w:pPr>
      <w:r w:rsidRPr="002D6F11">
        <w:t>Se</w:t>
      </w:r>
      <w:r w:rsidRPr="004709B9">
        <w:t xml:space="preserve">ction 15V of the </w:t>
      </w:r>
      <w:hyperlink r:id="rId327" w:history="1">
        <w:r w:rsidRPr="004709B9">
          <w:rPr>
            <w:rStyle w:val="Hyperlink"/>
          </w:rPr>
          <w:t>LA</w:t>
        </w:r>
      </w:hyperlink>
      <w:r w:rsidRPr="002D6F11">
        <w:t xml:space="preserve"> authorises</w:t>
      </w:r>
      <w:r w:rsidR="00107D46">
        <w:t xml:space="preserve"> the</w:t>
      </w:r>
      <w:r w:rsidRPr="002D6F11">
        <w:t xml:space="preserve"> First Parliamentary Counsel to make editorial and presentational changes to a compiled law </w:t>
      </w:r>
      <w:r w:rsidR="002C146F">
        <w:t>when</w:t>
      </w:r>
      <w:r w:rsidR="002C146F" w:rsidRPr="002D6F11">
        <w:t xml:space="preserve"> </w:t>
      </w:r>
      <w:r w:rsidRPr="002D6F11">
        <w:t>preparing a compilation of the law for registration, including giving effect to misdescribed amendments as intended. The changes must not change the effect of the law. Approval for an editorial change can only be sought when OPC is preparing the compilation on behalf of an agency.</w:t>
      </w:r>
    </w:p>
    <w:p w14:paraId="3431DF2A" w14:textId="77777777" w:rsidR="00134A72" w:rsidRPr="002D6F11" w:rsidRDefault="00134A72" w:rsidP="00134A72">
      <w:pPr>
        <w:pStyle w:val="BodyNum"/>
        <w:keepLines/>
      </w:pPr>
      <w:r w:rsidRPr="002D6F11">
        <w:t>If OPC is preparing the compilation on behalf of an agency and an editorial change is required, OPC will contact the agency regarding the issue and seek approval for the cost of each editorial change. Depending on the complexity of the editorial change(s) required and any other issues identified in the quality assurance process, additional compilation preparation time may also be required.</w:t>
      </w:r>
    </w:p>
    <w:bookmarkEnd w:id="141"/>
    <w:p w14:paraId="784B12AA" w14:textId="77777777" w:rsidR="00134A72" w:rsidRPr="00FD274F" w:rsidRDefault="00134A72" w:rsidP="00134A72">
      <w:pPr>
        <w:pStyle w:val="BodyNum"/>
      </w:pPr>
      <w:r w:rsidRPr="00FD274F">
        <w:t>An additional Endnote 5, miscellaneous, is not mandatory but may be used if there are other matters that may be relevant to the compilation. For example, if the principal instrument applies, adopts or incorporates another document by reference, it may be appropriate to include a note about any changes in:</w:t>
      </w:r>
    </w:p>
    <w:p w14:paraId="7317FDBD" w14:textId="77777777" w:rsidR="00134A72" w:rsidRPr="00FD274F" w:rsidRDefault="00134A72" w:rsidP="00134A72">
      <w:pPr>
        <w:pStyle w:val="BodyPara"/>
      </w:pPr>
      <w:r w:rsidRPr="00FD274F">
        <w:t>the availability or location of the other document; or</w:t>
      </w:r>
    </w:p>
    <w:p w14:paraId="7A6E30C5" w14:textId="70B66498" w:rsidR="00134A72" w:rsidRPr="00FD274F" w:rsidRDefault="00134A72" w:rsidP="00134A72">
      <w:pPr>
        <w:pStyle w:val="BodyPara"/>
      </w:pPr>
      <w:r w:rsidRPr="00FD274F">
        <w:t xml:space="preserve">the content or currency of the document—for example, a new version may have been issued but the old version continues to apply to the principal instrument consistent with </w:t>
      </w:r>
      <w:r w:rsidRPr="004709B9">
        <w:t xml:space="preserve">section 14 of the </w:t>
      </w:r>
      <w:hyperlink r:id="rId328" w:history="1">
        <w:r w:rsidRPr="004709B9">
          <w:rPr>
            <w:rStyle w:val="Hyperlink"/>
          </w:rPr>
          <w:t>LA</w:t>
        </w:r>
      </w:hyperlink>
      <w:r w:rsidRPr="004709B9">
        <w:t>.</w:t>
      </w:r>
    </w:p>
    <w:p w14:paraId="7051F22B" w14:textId="23E2B08E" w:rsidR="00134A72" w:rsidRPr="00FD274F" w:rsidRDefault="00134A72" w:rsidP="00134A72">
      <w:pPr>
        <w:pStyle w:val="BodyNum"/>
        <w:rPr>
          <w:szCs w:val="24"/>
        </w:rPr>
      </w:pPr>
      <w:r w:rsidRPr="00FD274F">
        <w:rPr>
          <w:szCs w:val="22"/>
        </w:rPr>
        <w:t xml:space="preserve">For information and </w:t>
      </w:r>
      <w:r w:rsidRPr="00FD274F">
        <w:rPr>
          <w:szCs w:val="24"/>
        </w:rPr>
        <w:t>assistance on compilations, please contact OPC (</w:t>
      </w:r>
      <w:hyperlink r:id="rId329" w:history="1">
        <w:hyperlink r:id="rId330" w:history="1">
          <w:r w:rsidRPr="00FD274F">
            <w:rPr>
              <w:rStyle w:val="Hyperlink"/>
              <w:rFonts w:eastAsiaTheme="minorHAnsi"/>
              <w:szCs w:val="24"/>
              <w:lang w:eastAsia="en-US"/>
            </w:rPr>
            <w:t>lodge@legislation.gov.au</w:t>
          </w:r>
        </w:hyperlink>
      </w:hyperlink>
      <w:r w:rsidRPr="00FD274F">
        <w:rPr>
          <w:szCs w:val="24"/>
        </w:rPr>
        <w:t xml:space="preserve"> or (02) 6120 1350).</w:t>
      </w:r>
    </w:p>
    <w:p w14:paraId="12C45E86" w14:textId="77777777" w:rsidR="00134A72" w:rsidRPr="00FD274F" w:rsidRDefault="00134A72" w:rsidP="00134A72">
      <w:pPr>
        <w:pStyle w:val="Head3"/>
      </w:pPr>
      <w:bookmarkStart w:id="142" w:name="_Toc223687774"/>
      <w:r w:rsidRPr="00FD274F">
        <w:lastRenderedPageBreak/>
        <w:t>Scope to correct errors and make other changes</w:t>
      </w:r>
      <w:bookmarkEnd w:id="142"/>
    </w:p>
    <w:p w14:paraId="126AFABF" w14:textId="5ECB85FC" w:rsidR="00134A72" w:rsidRPr="00FD274F" w:rsidRDefault="00134A72" w:rsidP="00134A72">
      <w:pPr>
        <w:pStyle w:val="BodyNum"/>
      </w:pPr>
      <w:bookmarkStart w:id="143" w:name="_Ref441240649"/>
      <w:r w:rsidRPr="00FD274F">
        <w:t xml:space="preserve">It is possible to make editorial changes and other changes to an instrument as part of preparing a compilation (for examples, </w:t>
      </w:r>
      <w:r w:rsidRPr="004709B9">
        <w:t xml:space="preserve">see sections 15V and 15X of the </w:t>
      </w:r>
      <w:hyperlink r:id="rId331" w:history="1">
        <w:r w:rsidRPr="004709B9">
          <w:rPr>
            <w:rStyle w:val="Hyperlink"/>
          </w:rPr>
          <w:t>LA</w:t>
        </w:r>
      </w:hyperlink>
      <w:r w:rsidRPr="004709B9">
        <w:t>).</w:t>
      </w:r>
      <w:r w:rsidRPr="00FD274F">
        <w:t xml:space="preserve"> However, t</w:t>
      </w:r>
      <w:bookmarkEnd w:id="143"/>
      <w:r w:rsidRPr="00FD274F">
        <w:t>his power:</w:t>
      </w:r>
    </w:p>
    <w:p w14:paraId="2D22307A" w14:textId="77777777" w:rsidR="00134A72" w:rsidRPr="00FD274F" w:rsidRDefault="00134A72" w:rsidP="00134A72">
      <w:pPr>
        <w:pStyle w:val="BodyPara"/>
      </w:pPr>
      <w:r w:rsidRPr="00FD274F">
        <w:t xml:space="preserve">can only be used by the First Parliamentary Counsel—there is no scope for </w:t>
      </w:r>
      <w:r>
        <w:t>agencies to make</w:t>
      </w:r>
      <w:r w:rsidRPr="00FD274F">
        <w:t xml:space="preserve"> editorial changes in an agency</w:t>
      </w:r>
      <w:r>
        <w:noBreakHyphen/>
      </w:r>
      <w:r w:rsidRPr="00FD274F">
        <w:t xml:space="preserve">prepared compilation of a legislative instrument or a notifiable instrument; </w:t>
      </w:r>
      <w:r>
        <w:t>and</w:t>
      </w:r>
    </w:p>
    <w:p w14:paraId="13AA8FEA" w14:textId="77777777" w:rsidR="00134A72" w:rsidRPr="00FD274F" w:rsidRDefault="00134A72" w:rsidP="00134A72">
      <w:pPr>
        <w:pStyle w:val="BodyPara"/>
      </w:pPr>
      <w:r w:rsidRPr="00FD274F">
        <w:t>cannot be used to change the effect of an instrument; and</w:t>
      </w:r>
    </w:p>
    <w:p w14:paraId="115FC473" w14:textId="77777777" w:rsidR="00134A72" w:rsidRPr="00FD274F" w:rsidRDefault="00134A72" w:rsidP="00134A72">
      <w:pPr>
        <w:pStyle w:val="BodyPara"/>
      </w:pPr>
      <w:r w:rsidRPr="00FD274F">
        <w:t>may not be appropriate if, for example, a law requires consultation with or approval from another jurisdiction such as New Zealand, or involves a referral of pow</w:t>
      </w:r>
      <w:r>
        <w:t>er from States and Territories.</w:t>
      </w:r>
    </w:p>
    <w:p w14:paraId="22002B59" w14:textId="530054E2" w:rsidR="00134A72" w:rsidRPr="00FD274F" w:rsidRDefault="00134A72" w:rsidP="00134A72">
      <w:pPr>
        <w:pStyle w:val="BodyNum"/>
        <w:rPr>
          <w:szCs w:val="24"/>
        </w:rPr>
      </w:pPr>
      <w:bookmarkStart w:id="144" w:name="_Ref441240651"/>
      <w:r w:rsidRPr="00FD274F">
        <w:t>If your a</w:t>
      </w:r>
      <w:r w:rsidRPr="00FD274F">
        <w:rPr>
          <w:szCs w:val="24"/>
        </w:rPr>
        <w:t>gency would like to nominate an instrument for editorial changes, please email OPC (</w:t>
      </w:r>
      <w:hyperlink r:id="rId332" w:history="1">
        <w:hyperlink r:id="rId333" w:history="1">
          <w:r w:rsidRPr="00FD274F">
            <w:rPr>
              <w:rStyle w:val="Hyperlink"/>
              <w:rFonts w:eastAsiaTheme="minorHAnsi"/>
              <w:szCs w:val="24"/>
              <w:lang w:eastAsia="en-US"/>
            </w:rPr>
            <w:t>lodge@legislation.gov.au</w:t>
          </w:r>
        </w:hyperlink>
      </w:hyperlink>
      <w:r w:rsidRPr="00C15392">
        <w:t>)</w:t>
      </w:r>
      <w:r w:rsidRPr="00FD274F">
        <w:rPr>
          <w:rStyle w:val="Hyperlink"/>
          <w:szCs w:val="24"/>
        </w:rPr>
        <w:t xml:space="preserve"> </w:t>
      </w:r>
      <w:r w:rsidRPr="00FD274F">
        <w:rPr>
          <w:szCs w:val="24"/>
        </w:rPr>
        <w:t>with more information about what changes are sought</w:t>
      </w:r>
      <w:r>
        <w:rPr>
          <w:szCs w:val="24"/>
        </w:rPr>
        <w:t xml:space="preserve"> and</w:t>
      </w:r>
      <w:r w:rsidRPr="00FD274F">
        <w:rPr>
          <w:szCs w:val="24"/>
        </w:rPr>
        <w:t xml:space="preserve"> why the changes are desirable</w:t>
      </w:r>
      <w:r>
        <w:rPr>
          <w:szCs w:val="24"/>
        </w:rPr>
        <w:t>.</w:t>
      </w:r>
      <w:r w:rsidRPr="00FD274F">
        <w:rPr>
          <w:szCs w:val="24"/>
        </w:rPr>
        <w:t xml:space="preserve"> Fees may apply for the preparation of associated compilations, if the First Parliamentary Counsel agrees that changes can and should be made.</w:t>
      </w:r>
      <w:bookmarkEnd w:id="144"/>
    </w:p>
    <w:p w14:paraId="7B8BB851" w14:textId="77777777" w:rsidR="00134A72" w:rsidRPr="00FD274F" w:rsidRDefault="00134A72" w:rsidP="00134A72">
      <w:pPr>
        <w:pStyle w:val="Head3"/>
      </w:pPr>
      <w:bookmarkStart w:id="145" w:name="_Toc223687775"/>
      <w:r w:rsidRPr="00FD274F">
        <w:t>How to lodge compilations for registration</w:t>
      </w:r>
      <w:bookmarkEnd w:id="145"/>
    </w:p>
    <w:p w14:paraId="3A2AE41A" w14:textId="7EC787A9" w:rsidR="00134A72" w:rsidRPr="00FD274F" w:rsidRDefault="00134A72" w:rsidP="00134A72">
      <w:pPr>
        <w:pStyle w:val="BodyNum"/>
        <w:rPr>
          <w:spacing w:val="-4"/>
        </w:rPr>
      </w:pPr>
      <w:r w:rsidRPr="00FD274F">
        <w:rPr>
          <w:spacing w:val="-4"/>
        </w:rPr>
        <w:t>The processes for, and fees associated with, lodging a compilation for registration are very similar to those for lodging a legislative instrument. For current guidance and help on these matters, see the</w:t>
      </w:r>
      <w:r>
        <w:rPr>
          <w:spacing w:val="-4"/>
        </w:rPr>
        <w:t xml:space="preserve"> home page of the</w:t>
      </w:r>
      <w:r w:rsidRPr="00FD274F">
        <w:rPr>
          <w:spacing w:val="-4"/>
        </w:rPr>
        <w:t xml:space="preserve"> </w:t>
      </w:r>
      <w:hyperlink r:id="rId334" w:history="1">
        <w:r w:rsidRPr="00FD274F">
          <w:rPr>
            <w:rStyle w:val="Hyperlink"/>
            <w:spacing w:val="-4"/>
          </w:rPr>
          <w:t>lodgement facility</w:t>
        </w:r>
      </w:hyperlink>
      <w:r w:rsidRPr="00FD274F">
        <w:rPr>
          <w:spacing w:val="-4"/>
        </w:rPr>
        <w:t xml:space="preserve"> or contact the </w:t>
      </w:r>
      <w:r w:rsidR="006B148A">
        <w:rPr>
          <w:spacing w:val="-4"/>
        </w:rPr>
        <w:t>Lodgement</w:t>
      </w:r>
      <w:r w:rsidRPr="00FD274F">
        <w:rPr>
          <w:spacing w:val="-4"/>
        </w:rPr>
        <w:t xml:space="preserve"> Help Desk on (02) 6120 1350.</w:t>
      </w:r>
    </w:p>
    <w:p w14:paraId="53577847" w14:textId="57A807BC" w:rsidR="0057232B" w:rsidRDefault="00134A72" w:rsidP="00D51C95">
      <w:pPr>
        <w:pStyle w:val="BodyNum"/>
        <w:sectPr w:rsidR="0057232B" w:rsidSect="008123DC">
          <w:headerReference w:type="default" r:id="rId335"/>
          <w:footerReference w:type="default" r:id="rId336"/>
          <w:pgSz w:w="11907" w:h="16839" w:code="9"/>
          <w:pgMar w:top="1440" w:right="1440" w:bottom="1418" w:left="1440" w:header="720" w:footer="720" w:gutter="0"/>
          <w:cols w:sep="1" w:space="567"/>
          <w:docGrid w:linePitch="360"/>
        </w:sectPr>
      </w:pPr>
      <w:r w:rsidRPr="00FD274F">
        <w:t xml:space="preserve">Please note an agency’s responsibility for a </w:t>
      </w:r>
      <w:r w:rsidRPr="0057232B">
        <w:rPr>
          <w:spacing w:val="-4"/>
        </w:rPr>
        <w:t>compilation</w:t>
      </w:r>
      <w:r w:rsidRPr="00FD274F">
        <w:t xml:space="preserve"> does not end with its lodgement. If it emerges that a compilation is incomplete or inaccurate, it must be withdrawn as soon as practicable (</w:t>
      </w:r>
      <w:hyperlink r:id="rId337" w:history="1">
        <w:r w:rsidR="00053F85" w:rsidRPr="00001937">
          <w:rPr>
            <w:rStyle w:val="Hyperlink"/>
          </w:rPr>
          <w:t>LR</w:t>
        </w:r>
      </w:hyperlink>
      <w:r w:rsidRPr="004532FE">
        <w:t xml:space="preserve"> s </w:t>
      </w:r>
      <w:r w:rsidR="00053F85">
        <w:t>7</w:t>
      </w:r>
      <w:r w:rsidRPr="004532FE">
        <w:t>(3)).</w:t>
      </w:r>
      <w:r w:rsidRPr="00FD274F">
        <w:t xml:space="preserve"> If that is no longer possible, then the error must be notified to OPC without d</w:t>
      </w:r>
      <w:r w:rsidRPr="004709B9">
        <w:t>elay (</w:t>
      </w:r>
      <w:hyperlink r:id="rId338" w:history="1">
        <w:r w:rsidRPr="004709B9">
          <w:rPr>
            <w:rStyle w:val="Hyperlink"/>
          </w:rPr>
          <w:t>LA</w:t>
        </w:r>
      </w:hyperlink>
      <w:r w:rsidRPr="004709B9">
        <w:t xml:space="preserve"> s 15L(1)(e)).</w:t>
      </w:r>
      <w:r w:rsidRPr="00FD274F">
        <w:t xml:space="preserve"> Further guidance on how to report events affecting the accuracy and completeness of the Register is provided </w:t>
      </w:r>
      <w:r w:rsidRPr="00FE07C4">
        <w:t xml:space="preserve">in </w:t>
      </w:r>
      <w:hyperlink w:anchor="Chapter6" w:history="1">
        <w:r w:rsidRPr="00FE07C4">
          <w:rPr>
            <w:rStyle w:val="Hyperlink"/>
          </w:rPr>
          <w:t>Chapter 6</w:t>
        </w:r>
      </w:hyperlink>
      <w:r w:rsidRPr="0057232B">
        <w:rPr>
          <w:spacing w:val="-4"/>
        </w:rPr>
        <w:t>.</w:t>
      </w:r>
      <w:bookmarkStart w:id="146" w:name="_Hlk175124791"/>
      <w:bookmarkEnd w:id="106"/>
      <w:bookmarkEnd w:id="140"/>
    </w:p>
    <w:p w14:paraId="27FD1D2B" w14:textId="42983082" w:rsidR="00A83991" w:rsidRPr="00FD274F" w:rsidRDefault="00A83991" w:rsidP="00A83991">
      <w:pPr>
        <w:pStyle w:val="Head2"/>
        <w:keepNext w:val="0"/>
        <w:pageBreakBefore/>
      </w:pPr>
      <w:bookmarkStart w:id="147" w:name="_Toc223687776"/>
      <w:r w:rsidRPr="00FD274F">
        <w:lastRenderedPageBreak/>
        <w:t>Chapter 6—Keeping the Register up</w:t>
      </w:r>
      <w:r w:rsidR="0033067E">
        <w:t xml:space="preserve"> </w:t>
      </w:r>
      <w:r w:rsidRPr="00FD274F">
        <w:t>to</w:t>
      </w:r>
      <w:r w:rsidR="0033067E">
        <w:t xml:space="preserve"> </w:t>
      </w:r>
      <w:r w:rsidRPr="00FD274F">
        <w:t>date</w:t>
      </w:r>
      <w:bookmarkEnd w:id="147"/>
    </w:p>
    <w:p w14:paraId="3454C1BB" w14:textId="77777777" w:rsidR="00A83991" w:rsidRPr="00FD274F" w:rsidRDefault="00A83991" w:rsidP="00A83991">
      <w:pPr>
        <w:pStyle w:val="SundryBoxHeadBold"/>
      </w:pPr>
      <w:r>
        <w:t>Main points</w:t>
      </w:r>
    </w:p>
    <w:p w14:paraId="3298E4DF" w14:textId="77777777" w:rsidR="00A83991" w:rsidRPr="00FD274F" w:rsidRDefault="00A83991" w:rsidP="00A83991">
      <w:pPr>
        <w:pStyle w:val="SundryBoxBullet"/>
      </w:pPr>
      <w:r w:rsidRPr="00FD274F">
        <w:t>•</w:t>
      </w:r>
      <w:r w:rsidRPr="00FD274F">
        <w:tab/>
        <w:t>An agency’s responsibility for an instrument does not end when the instrument is lodged for registration.</w:t>
      </w:r>
    </w:p>
    <w:p w14:paraId="71410361" w14:textId="72CA1767" w:rsidR="0033067E" w:rsidRDefault="00A83991" w:rsidP="00A83991">
      <w:pPr>
        <w:pStyle w:val="SundryBoxBullet"/>
      </w:pPr>
      <w:r w:rsidRPr="00FD274F">
        <w:t>•</w:t>
      </w:r>
      <w:r w:rsidRPr="00FD274F">
        <w:tab/>
        <w:t>Agencies need to take action if a lodgement is found to contain errors or if an event affects the accuracy an</w:t>
      </w:r>
      <w:r>
        <w:t>d completeness of the Register.</w:t>
      </w:r>
    </w:p>
    <w:p w14:paraId="2524DAEE" w14:textId="29041CBE" w:rsidR="0033067E" w:rsidRPr="00FD274F" w:rsidRDefault="006521A2" w:rsidP="00A83991">
      <w:pPr>
        <w:pStyle w:val="SundryBoxBullet"/>
      </w:pPr>
      <w:r w:rsidRPr="00FD274F">
        <w:t>•</w:t>
      </w:r>
      <w:r w:rsidRPr="00FD274F">
        <w:tab/>
        <w:t xml:space="preserve">Agencies </w:t>
      </w:r>
      <w:r>
        <w:t>can contact</w:t>
      </w:r>
      <w:r w:rsidR="00107D46">
        <w:t xml:space="preserve"> the</w:t>
      </w:r>
      <w:r>
        <w:t xml:space="preserve"> </w:t>
      </w:r>
      <w:r w:rsidR="00505B0D" w:rsidRPr="00505B0D">
        <w:t>First Parliamentary Counsel</w:t>
      </w:r>
      <w:r w:rsidR="00505B0D">
        <w:t xml:space="preserve"> </w:t>
      </w:r>
      <w:r>
        <w:t xml:space="preserve">about errors by emailing </w:t>
      </w:r>
      <w:hyperlink r:id="rId339" w:history="1">
        <w:r w:rsidR="00300BD5" w:rsidRPr="00E927CB">
          <w:rPr>
            <w:rStyle w:val="Hyperlink"/>
          </w:rPr>
          <w:t>lodge@legislation.gov.au</w:t>
        </w:r>
      </w:hyperlink>
      <w:r w:rsidR="00300BD5">
        <w:t xml:space="preserve"> </w:t>
      </w:r>
      <w:r w:rsidRPr="004C44D3">
        <w:t>or calling the Lodgement Help Desk on (02) 6120 1350</w:t>
      </w:r>
      <w:r>
        <w:t>.</w:t>
      </w:r>
    </w:p>
    <w:p w14:paraId="0E8D3F37" w14:textId="77777777" w:rsidR="00A83991" w:rsidRPr="00FD274F" w:rsidRDefault="00A83991" w:rsidP="00A83991">
      <w:pPr>
        <w:pStyle w:val="Head3"/>
      </w:pPr>
      <w:bookmarkStart w:id="148" w:name="_Toc223687777"/>
      <w:r>
        <w:t>General</w:t>
      </w:r>
      <w:bookmarkEnd w:id="148"/>
    </w:p>
    <w:p w14:paraId="5BBEEAC9" w14:textId="391AFA4C" w:rsidR="00A83991" w:rsidRPr="00FD274F" w:rsidRDefault="00A83991" w:rsidP="00A83991">
      <w:pPr>
        <w:pStyle w:val="BodyNum"/>
      </w:pPr>
      <w:r w:rsidRPr="00FD274F">
        <w:t>The Register is an important resource for courts and other users</w:t>
      </w:r>
      <w:r w:rsidR="004076ED">
        <w:t>.</w:t>
      </w:r>
      <w:r w:rsidRPr="00FD274F">
        <w:t xml:space="preserve"> </w:t>
      </w:r>
      <w:r w:rsidR="004076ED">
        <w:t>Section</w:t>
      </w:r>
      <w:r w:rsidR="004076ED" w:rsidRPr="00927913">
        <w:t xml:space="preserve"> </w:t>
      </w:r>
      <w:r w:rsidRPr="00927913">
        <w:t xml:space="preserve">15B of the </w:t>
      </w:r>
      <w:hyperlink r:id="rId340" w:history="1">
        <w:r w:rsidRPr="00927913">
          <w:rPr>
            <w:rStyle w:val="Hyperlink"/>
          </w:rPr>
          <w:t>LA</w:t>
        </w:r>
      </w:hyperlink>
      <w:r w:rsidRPr="00FD274F">
        <w:t xml:space="preserve"> provides that it is “for all purposes, taken to be a complete and accurate record of all registered Acts, legislative instruments and notifiable instruments”.</w:t>
      </w:r>
    </w:p>
    <w:p w14:paraId="4641F7A3" w14:textId="369542E5" w:rsidR="00A83991" w:rsidRPr="00FD274F" w:rsidRDefault="00A83991" w:rsidP="00A83991">
      <w:pPr>
        <w:pStyle w:val="BodyNum"/>
      </w:pPr>
      <w:r w:rsidRPr="00FD274F">
        <w:t>Users of the Register are also subject to special legal protections. S</w:t>
      </w:r>
      <w:r w:rsidRPr="00927913">
        <w:t xml:space="preserve">ubsection 15D(3) of the </w:t>
      </w:r>
      <w:hyperlink r:id="rId341" w:history="1">
        <w:hyperlink r:id="rId342" w:history="1">
          <w:r w:rsidRPr="00927913">
            <w:rPr>
              <w:rStyle w:val="Hyperlink"/>
            </w:rPr>
            <w:t>LA</w:t>
          </w:r>
        </w:hyperlink>
        <w:r w:rsidRPr="00927913">
          <w:t xml:space="preserve"> </w:t>
        </w:r>
      </w:hyperlink>
      <w:r w:rsidRPr="00927913">
        <w:t>provi</w:t>
      </w:r>
      <w:r w:rsidRPr="00FD274F">
        <w:t xml:space="preserve">des that, if the Register is erroneous because of a mistake or omission and the Register is </w:t>
      </w:r>
      <w:r>
        <w:t>rectified</w:t>
      </w:r>
      <w:r w:rsidRPr="00FD274F">
        <w:t xml:space="preserve"> to correct the error, the </w:t>
      </w:r>
      <w:r>
        <w:t>rectification</w:t>
      </w:r>
      <w:r w:rsidRPr="00FD274F">
        <w:t xml:space="preserve"> does not:</w:t>
      </w:r>
    </w:p>
    <w:p w14:paraId="6BC60127" w14:textId="77777777" w:rsidR="00A83991" w:rsidRPr="00FD274F" w:rsidRDefault="00A83991" w:rsidP="00A83991">
      <w:pPr>
        <w:pStyle w:val="BodyPara"/>
      </w:pPr>
      <w:r>
        <w:t>affect any right or privilege that was acquired, or that accrued, because of reliance on the content of the Register before the rectification was made; or</w:t>
      </w:r>
    </w:p>
    <w:p w14:paraId="26272650" w14:textId="77777777" w:rsidR="00A83991" w:rsidRPr="00FD274F" w:rsidRDefault="00A83991" w:rsidP="00A83991">
      <w:pPr>
        <w:pStyle w:val="BodyPara"/>
      </w:pPr>
      <w:r w:rsidRPr="00FD274F">
        <w:t xml:space="preserve">impose or increase any obligation or liability incurred before the </w:t>
      </w:r>
      <w:r>
        <w:t>rectification</w:t>
      </w:r>
      <w:r w:rsidRPr="00FD274F">
        <w:t xml:space="preserve"> was made.</w:t>
      </w:r>
    </w:p>
    <w:p w14:paraId="46F58954" w14:textId="7B959BB1" w:rsidR="00A83991" w:rsidRDefault="00A83991" w:rsidP="00A83991">
      <w:pPr>
        <w:pStyle w:val="BodyNum"/>
      </w:pPr>
      <w:r w:rsidRPr="00FD274F">
        <w:t>In other words, there is a clear expectation that agencies and OPC will work together to keep the Register up</w:t>
      </w:r>
      <w:r w:rsidR="00196361">
        <w:t xml:space="preserve"> </w:t>
      </w:r>
      <w:r w:rsidRPr="00FD274F">
        <w:t>to</w:t>
      </w:r>
      <w:r w:rsidR="00196361">
        <w:t xml:space="preserve"> </w:t>
      </w:r>
      <w:r w:rsidRPr="00FD274F">
        <w:t>date.</w:t>
      </w:r>
    </w:p>
    <w:p w14:paraId="2F972044" w14:textId="4366F925" w:rsidR="0085041E" w:rsidRPr="00FD274F" w:rsidRDefault="0085041E" w:rsidP="00A83991">
      <w:pPr>
        <w:pStyle w:val="BodyNum"/>
      </w:pPr>
      <w:r>
        <w:t>Agencies should contact OPC promptly about errors found in lodgements or on the Register. Please notify us b</w:t>
      </w:r>
      <w:r w:rsidR="00077E2E">
        <w:t xml:space="preserve">y emailing the details to </w:t>
      </w:r>
      <w:hyperlink r:id="rId343" w:history="1">
        <w:r w:rsidR="00077E2E" w:rsidRPr="00E927CB">
          <w:rPr>
            <w:rStyle w:val="Hyperlink"/>
          </w:rPr>
          <w:t>lodge@legislation.gov.au</w:t>
        </w:r>
      </w:hyperlink>
      <w:r w:rsidR="00077E2E">
        <w:t xml:space="preserve"> or calling the Lodgement Help Desk on (02) 6120 1350 to discuss the issue.</w:t>
      </w:r>
    </w:p>
    <w:p w14:paraId="54A2332E" w14:textId="77777777" w:rsidR="00A83991" w:rsidRPr="00FD274F" w:rsidRDefault="00A83991" w:rsidP="00A83991">
      <w:pPr>
        <w:pStyle w:val="Head3"/>
      </w:pPr>
      <w:bookmarkStart w:id="149" w:name="_Toc223687778"/>
      <w:r w:rsidRPr="00FD274F">
        <w:t>Agencies must act on lodgements found to contain errors</w:t>
      </w:r>
      <w:bookmarkEnd w:id="149"/>
    </w:p>
    <w:p w14:paraId="6D92597A" w14:textId="61BE0CFE" w:rsidR="00A83991" w:rsidRPr="00FD274F" w:rsidRDefault="00A83991" w:rsidP="00A83991">
      <w:pPr>
        <w:pStyle w:val="BodyNum"/>
      </w:pPr>
      <w:r w:rsidRPr="00FD274F">
        <w:t xml:space="preserve">Although OPC performs basic checks on every document that is registered, agencies are responsible for ensuring that the documents they lodge for registration are complete and accurate. Consequently, if it emerges that a lodgement is incomplete or inaccurate, the person who lodged it must withdraw it as soon as practicable (see </w:t>
      </w:r>
      <w:hyperlink r:id="rId344" w:history="1">
        <w:r w:rsidR="00044E00" w:rsidRPr="00001937">
          <w:rPr>
            <w:rStyle w:val="Hyperlink"/>
          </w:rPr>
          <w:t>LR</w:t>
        </w:r>
      </w:hyperlink>
      <w:r w:rsidRPr="0049119D">
        <w:t xml:space="preserve"> s </w:t>
      </w:r>
      <w:r w:rsidR="00044E00">
        <w:t>7</w:t>
      </w:r>
      <w:r w:rsidRPr="0049119D">
        <w:t>(3)). T</w:t>
      </w:r>
      <w:r w:rsidRPr="00FD274F">
        <w:t>his can be done:</w:t>
      </w:r>
    </w:p>
    <w:p w14:paraId="227FA17F" w14:textId="116A3E25" w:rsidR="00A83991" w:rsidRPr="00FD274F" w:rsidRDefault="00A83991" w:rsidP="00A83991">
      <w:pPr>
        <w:pStyle w:val="BodyPara"/>
        <w:rPr>
          <w:szCs w:val="24"/>
        </w:rPr>
      </w:pPr>
      <w:r w:rsidRPr="00FD274F">
        <w:t>by using the online</w:t>
      </w:r>
      <w:r w:rsidRPr="00FD274F">
        <w:rPr>
          <w:szCs w:val="24"/>
        </w:rPr>
        <w:t xml:space="preserve"> lodgement facility at </w:t>
      </w:r>
      <w:hyperlink r:id="rId345" w:history="1">
        <w:r w:rsidRPr="0049119D">
          <w:rPr>
            <w:rStyle w:val="Hyperlink"/>
            <w:szCs w:val="24"/>
          </w:rPr>
          <w:t>https://lodge.legislation.gov.au</w:t>
        </w:r>
      </w:hyperlink>
      <w:r w:rsidRPr="0049119D">
        <w:rPr>
          <w:szCs w:val="24"/>
        </w:rPr>
        <w:t>;</w:t>
      </w:r>
      <w:r>
        <w:rPr>
          <w:szCs w:val="24"/>
        </w:rPr>
        <w:t xml:space="preserve"> or</w:t>
      </w:r>
    </w:p>
    <w:p w14:paraId="15634880" w14:textId="18CC82D9" w:rsidR="00A83991" w:rsidRPr="00FD274F" w:rsidRDefault="00A83991" w:rsidP="00A83991">
      <w:pPr>
        <w:pStyle w:val="BodyPara"/>
        <w:rPr>
          <w:szCs w:val="24"/>
        </w:rPr>
      </w:pPr>
      <w:r w:rsidRPr="00FD274F">
        <w:rPr>
          <w:szCs w:val="24"/>
        </w:rPr>
        <w:t xml:space="preserve">by emailing </w:t>
      </w:r>
      <w:hyperlink r:id="rId346" w:history="1">
        <w:hyperlink r:id="rId347" w:history="1">
          <w:r w:rsidRPr="00FD274F">
            <w:rPr>
              <w:rStyle w:val="Hyperlink"/>
              <w:rFonts w:eastAsiaTheme="minorHAnsi"/>
              <w:szCs w:val="24"/>
              <w:lang w:eastAsia="en-US"/>
            </w:rPr>
            <w:t>lodge@legislation.gov.au</w:t>
          </w:r>
        </w:hyperlink>
      </w:hyperlink>
      <w:r w:rsidRPr="00FD274F">
        <w:rPr>
          <w:szCs w:val="24"/>
        </w:rPr>
        <w:t>.</w:t>
      </w:r>
    </w:p>
    <w:p w14:paraId="1CE1154B" w14:textId="107E2804" w:rsidR="00A83991" w:rsidRPr="00FD274F" w:rsidRDefault="00A83991" w:rsidP="00A83991">
      <w:pPr>
        <w:pStyle w:val="BodyNum"/>
        <w:rPr>
          <w:szCs w:val="24"/>
        </w:rPr>
      </w:pPr>
      <w:r w:rsidRPr="00FD274F">
        <w:lastRenderedPageBreak/>
        <w:t>It may be that it is not possible to withdraw a lodgement e.g. because it has already been registered. If so, this must be notified to OPC without delay in accordance with paragrap</w:t>
      </w:r>
      <w:r w:rsidRPr="00927913">
        <w:t xml:space="preserve">h 15L(1)(e) of the </w:t>
      </w:r>
      <w:hyperlink r:id="rId348" w:history="1">
        <w:r w:rsidRPr="00927913">
          <w:rPr>
            <w:rStyle w:val="Hyperlink"/>
          </w:rPr>
          <w:t>LA</w:t>
        </w:r>
      </w:hyperlink>
      <w:r w:rsidRPr="00927913">
        <w:t>. Th</w:t>
      </w:r>
      <w:r w:rsidRPr="00FD274F">
        <w:t>is does not require a log</w:t>
      </w:r>
      <w:r>
        <w:noBreakHyphen/>
      </w:r>
      <w:r w:rsidRPr="00FD274F">
        <w:t>on</w:t>
      </w:r>
      <w:r w:rsidRPr="00FD274F">
        <w:rPr>
          <w:szCs w:val="24"/>
        </w:rPr>
        <w:t xml:space="preserve"> and can be done by any member of the public by using the </w:t>
      </w:r>
      <w:hyperlink r:id="rId349" w:history="1">
        <w:r w:rsidRPr="0049119D">
          <w:rPr>
            <w:rStyle w:val="Hyperlink"/>
            <w:szCs w:val="24"/>
          </w:rPr>
          <w:t>Feedback form</w:t>
        </w:r>
      </w:hyperlink>
      <w:r w:rsidRPr="0049119D">
        <w:rPr>
          <w:szCs w:val="24"/>
        </w:rPr>
        <w:t xml:space="preserve"> o</w:t>
      </w:r>
      <w:r w:rsidRPr="00FD274F">
        <w:rPr>
          <w:szCs w:val="24"/>
        </w:rPr>
        <w:t xml:space="preserve">n the Register website or emailing </w:t>
      </w:r>
      <w:hyperlink r:id="rId350" w:history="1">
        <w:r w:rsidRPr="00FD274F">
          <w:rPr>
            <w:rStyle w:val="Hyperlink"/>
            <w:rFonts w:eastAsiaTheme="minorHAnsi"/>
            <w:szCs w:val="24"/>
            <w:lang w:eastAsia="en-US"/>
          </w:rPr>
          <w:t>lodge@legislation.gov.au</w:t>
        </w:r>
      </w:hyperlink>
      <w:r w:rsidRPr="00FD274F">
        <w:rPr>
          <w:rFonts w:eastAsiaTheme="minorHAnsi"/>
          <w:color w:val="1F497D"/>
          <w:szCs w:val="24"/>
          <w:lang w:eastAsia="en-US"/>
        </w:rPr>
        <w:t>.</w:t>
      </w:r>
    </w:p>
    <w:p w14:paraId="05F169A8" w14:textId="77777777" w:rsidR="00A83991" w:rsidRPr="00FD274F" w:rsidRDefault="00A83991" w:rsidP="00A83991">
      <w:pPr>
        <w:pStyle w:val="Head3"/>
      </w:pPr>
      <w:bookmarkStart w:id="150" w:name="_Toc223687779"/>
      <w:r w:rsidRPr="00FD274F">
        <w:t>Agencies must notify other events affecting the Register</w:t>
      </w:r>
      <w:bookmarkEnd w:id="150"/>
    </w:p>
    <w:p w14:paraId="196F0C1B" w14:textId="561D60B8" w:rsidR="00A83991" w:rsidRPr="00FD274F" w:rsidRDefault="00A83991" w:rsidP="00A83991">
      <w:pPr>
        <w:pStyle w:val="BodyNum"/>
      </w:pPr>
      <w:r w:rsidRPr="00FD274F">
        <w:t xml:space="preserve">As part of its registration services, OPC routinely monitors a range of ‘downstream’ processes that may affect the accuracy and completeness of registered laws. </w:t>
      </w:r>
      <w:r w:rsidR="00CC252C">
        <w:t>OPC will update the Register without notifications for the following events</w:t>
      </w:r>
      <w:r w:rsidRPr="00FD274F">
        <w:t>:</w:t>
      </w:r>
    </w:p>
    <w:p w14:paraId="54302983" w14:textId="77777777" w:rsidR="00A83991" w:rsidRPr="00FD274F" w:rsidRDefault="00A83991" w:rsidP="00A83991">
      <w:pPr>
        <w:pStyle w:val="BodyPara"/>
      </w:pPr>
      <w:r w:rsidRPr="00FD274F">
        <w:t>the occurrence of a specified day or time;</w:t>
      </w:r>
    </w:p>
    <w:p w14:paraId="56B55CA5" w14:textId="19F9399A" w:rsidR="00A83991" w:rsidRPr="00FD274F" w:rsidRDefault="00A83991" w:rsidP="00A83991">
      <w:pPr>
        <w:pStyle w:val="BodyPara"/>
      </w:pPr>
      <w:r w:rsidRPr="00FD274F">
        <w:t>the commencement of, or changes in the commencement</w:t>
      </w:r>
      <w:r w:rsidR="00FF6E8A">
        <w:t xml:space="preserve"> of</w:t>
      </w:r>
      <w:r w:rsidRPr="00FD274F">
        <w:t>, a registered law where the commencement is linked to either:</w:t>
      </w:r>
    </w:p>
    <w:p w14:paraId="06B00434" w14:textId="77777777" w:rsidR="00A83991" w:rsidRPr="00FD274F" w:rsidRDefault="00A83991" w:rsidP="00A83991">
      <w:pPr>
        <w:pStyle w:val="BodySubPara"/>
      </w:pPr>
      <w:r w:rsidRPr="00FD274F">
        <w:t>the commencement of another registered law; or</w:t>
      </w:r>
    </w:p>
    <w:p w14:paraId="299E05B3" w14:textId="5A9CD532" w:rsidR="00A83991" w:rsidRPr="00927913" w:rsidRDefault="00A83991" w:rsidP="00A83991">
      <w:pPr>
        <w:pStyle w:val="BodySubPara"/>
      </w:pPr>
      <w:r w:rsidRPr="00FD274F">
        <w:t xml:space="preserve">a commencement instrument that has been lodged for registration </w:t>
      </w:r>
      <w:r w:rsidRPr="00927913">
        <w:t>(</w:t>
      </w:r>
      <w:hyperlink r:id="rId351" w:history="1">
        <w:r w:rsidRPr="00927913">
          <w:rPr>
            <w:rStyle w:val="Hyperlink"/>
          </w:rPr>
          <w:t>LA</w:t>
        </w:r>
      </w:hyperlink>
      <w:r w:rsidRPr="00927913">
        <w:t xml:space="preserve"> s 15L(2)(a));</w:t>
      </w:r>
    </w:p>
    <w:p w14:paraId="2E4D7075" w14:textId="2C418D76" w:rsidR="00A83991" w:rsidRDefault="00A83991" w:rsidP="00A83991">
      <w:pPr>
        <w:pStyle w:val="BodyPara"/>
      </w:pPr>
      <w:r w:rsidRPr="00FD274F">
        <w:t>required compilation events as described i</w:t>
      </w:r>
      <w:r w:rsidRPr="002D74A6">
        <w:t xml:space="preserve">n paragraph </w:t>
      </w:r>
      <w:r w:rsidRPr="00927913">
        <w:fldChar w:fldCharType="begin"/>
      </w:r>
      <w:r w:rsidRPr="002D74A6">
        <w:instrText xml:space="preserve"> REF _Ref441240710 \r \h  \* MERGEFORMAT </w:instrText>
      </w:r>
      <w:r w:rsidRPr="00927913">
        <w:fldChar w:fldCharType="separate"/>
      </w:r>
      <w:r w:rsidR="00AB105F">
        <w:t>177</w:t>
      </w:r>
      <w:r w:rsidRPr="00927913">
        <w:fldChar w:fldCharType="end"/>
      </w:r>
      <w:r w:rsidRPr="00FD274F">
        <w:t xml:space="preserve"> (</w:t>
      </w:r>
      <w:hyperlink r:id="rId352" w:history="1">
        <w:r w:rsidRPr="00927913">
          <w:rPr>
            <w:rStyle w:val="Hyperlink"/>
          </w:rPr>
          <w:t>LA</w:t>
        </w:r>
      </w:hyperlink>
      <w:r w:rsidRPr="00927913">
        <w:t xml:space="preserve"> s 15L(2)(b));</w:t>
      </w:r>
    </w:p>
    <w:p w14:paraId="6BDFF678" w14:textId="53305966" w:rsidR="00A83991" w:rsidRPr="00FD274F" w:rsidRDefault="00A83991" w:rsidP="00A83991">
      <w:pPr>
        <w:pStyle w:val="BodyPara"/>
      </w:pPr>
      <w:r>
        <w:t>the disallowance of legislative instrumen</w:t>
      </w:r>
      <w:r w:rsidRPr="00927913">
        <w:t>ts (</w:t>
      </w:r>
      <w:hyperlink r:id="rId353" w:history="1">
        <w:r w:rsidRPr="00927913">
          <w:rPr>
            <w:rStyle w:val="Hyperlink"/>
          </w:rPr>
          <w:t>LA</w:t>
        </w:r>
      </w:hyperlink>
      <w:r w:rsidRPr="00927913">
        <w:t xml:space="preserve"> s 15L(2)(c));</w:t>
      </w:r>
    </w:p>
    <w:p w14:paraId="09FF3BC1" w14:textId="0CC7CABA" w:rsidR="00A83991" w:rsidRPr="00FD274F" w:rsidRDefault="00A83991" w:rsidP="00A83991">
      <w:pPr>
        <w:pStyle w:val="BodyPara"/>
      </w:pPr>
      <w:r w:rsidRPr="00FD274F">
        <w:t xml:space="preserve">the automatic repeal </w:t>
      </w:r>
      <w:r w:rsidRPr="00927913">
        <w:t>of a registered law that is solely commencing, amending or repealing under Part 3 of Chapter 3 of the LA (</w:t>
      </w:r>
      <w:hyperlink r:id="rId354" w:history="1">
        <w:r w:rsidRPr="00927913">
          <w:rPr>
            <w:rStyle w:val="Hyperlink"/>
          </w:rPr>
          <w:t>LA</w:t>
        </w:r>
      </w:hyperlink>
      <w:r w:rsidRPr="00927913">
        <w:t xml:space="preserve"> s 15L(2)(d)(</w:t>
      </w:r>
      <w:proofErr w:type="spellStart"/>
      <w:r w:rsidRPr="00927913">
        <w:t>i</w:t>
      </w:r>
      <w:proofErr w:type="spellEnd"/>
      <w:r w:rsidRPr="00927913">
        <w:t>));</w:t>
      </w:r>
    </w:p>
    <w:p w14:paraId="1FA40CCB" w14:textId="3E21E496" w:rsidR="00A83991" w:rsidRPr="00FD274F" w:rsidRDefault="00A83991" w:rsidP="00A83991">
      <w:pPr>
        <w:pStyle w:val="BodyPara"/>
      </w:pPr>
      <w:r w:rsidRPr="00FD274F">
        <w:t xml:space="preserve">the sunsetting of legislative instruments </w:t>
      </w:r>
      <w:r w:rsidRPr="00927913">
        <w:t>(</w:t>
      </w:r>
      <w:hyperlink r:id="rId355" w:history="1">
        <w:r w:rsidRPr="00927913">
          <w:rPr>
            <w:rStyle w:val="Hyperlink"/>
          </w:rPr>
          <w:t>LA</w:t>
        </w:r>
      </w:hyperlink>
      <w:r w:rsidRPr="00927913">
        <w:t xml:space="preserve"> s 15L(2)(d)(ii))</w:t>
      </w:r>
      <w:r w:rsidRPr="00FD274F">
        <w:t>;</w:t>
      </w:r>
    </w:p>
    <w:p w14:paraId="738B8BA1" w14:textId="1C0CDC72" w:rsidR="00A83991" w:rsidRPr="00FD274F" w:rsidRDefault="00A83991" w:rsidP="00A83991">
      <w:pPr>
        <w:pStyle w:val="BodyPara"/>
      </w:pPr>
      <w:r w:rsidRPr="00FD274F">
        <w:t>any other event prescribed by the rules (</w:t>
      </w:r>
      <w:hyperlink r:id="rId356" w:history="1">
        <w:r w:rsidRPr="00927913">
          <w:rPr>
            <w:rStyle w:val="Hyperlink"/>
          </w:rPr>
          <w:t>LA</w:t>
        </w:r>
      </w:hyperlink>
      <w:r w:rsidRPr="00927913">
        <w:t xml:space="preserve"> s 15L(2)(e)).</w:t>
      </w:r>
    </w:p>
    <w:p w14:paraId="4B788F0E" w14:textId="0BDEA1DA" w:rsidR="00A83991" w:rsidRPr="00FD274F" w:rsidRDefault="00A83991" w:rsidP="00A83991">
      <w:pPr>
        <w:pStyle w:val="BodyNum"/>
        <w:rPr>
          <w:szCs w:val="24"/>
        </w:rPr>
      </w:pPr>
      <w:r w:rsidRPr="00FD274F">
        <w:t xml:space="preserve">OPC is not, however, able to monitor all of the events that could affect instruments and other registered laws. OPC relies on agencies to monitor and notify </w:t>
      </w:r>
      <w:r>
        <w:t xml:space="preserve">OPC of </w:t>
      </w:r>
      <w:r w:rsidRPr="00FD274F">
        <w:t>other events that may affect registered laws in accordance with subsec</w:t>
      </w:r>
      <w:r w:rsidRPr="00927913">
        <w:t xml:space="preserve">tion 15L(1) of the </w:t>
      </w:r>
      <w:hyperlink r:id="rId357" w:history="1">
        <w:r w:rsidRPr="00927913">
          <w:rPr>
            <w:rStyle w:val="Hyperlink"/>
          </w:rPr>
          <w:t>LA</w:t>
        </w:r>
      </w:hyperlink>
      <w:r w:rsidRPr="00927913">
        <w:t>. A</w:t>
      </w:r>
      <w:r w:rsidRPr="00FD274F">
        <w:t>gencies are required to notify OPC of any othe</w:t>
      </w:r>
      <w:r>
        <w:t>r event that has the effect of:</w:t>
      </w:r>
    </w:p>
    <w:p w14:paraId="6B14F7C1" w14:textId="074A241D" w:rsidR="00A83991" w:rsidRPr="00FD274F" w:rsidRDefault="00A83991" w:rsidP="00A83991">
      <w:pPr>
        <w:pStyle w:val="BodyPara"/>
      </w:pPr>
      <w:r w:rsidRPr="00FD274F">
        <w:t>commencing a registered la</w:t>
      </w:r>
      <w:r w:rsidRPr="00927913">
        <w:t>w (</w:t>
      </w:r>
      <w:hyperlink r:id="rId358" w:history="1">
        <w:r w:rsidRPr="00927913">
          <w:rPr>
            <w:rStyle w:val="Hyperlink"/>
          </w:rPr>
          <w:t>LA</w:t>
        </w:r>
      </w:hyperlink>
      <w:r w:rsidRPr="00927913">
        <w:t xml:space="preserve"> s 15L(1)(a)); or</w:t>
      </w:r>
    </w:p>
    <w:p w14:paraId="1E71A7FE" w14:textId="53A15E34" w:rsidR="00A83991" w:rsidRPr="00610DF6" w:rsidRDefault="00A83991" w:rsidP="00A83991">
      <w:pPr>
        <w:pStyle w:val="BodyPara"/>
      </w:pPr>
      <w:r w:rsidRPr="00610DF6">
        <w:t xml:space="preserve">amending the text of a registered law as in force as a result of the automatic repeal provisions under </w:t>
      </w:r>
      <w:r w:rsidRPr="00927913">
        <w:t>section 48C or 48D</w:t>
      </w:r>
      <w:r>
        <w:t xml:space="preserve"> of the </w:t>
      </w:r>
      <w:hyperlink r:id="rId359" w:history="1">
        <w:r w:rsidRPr="00927913">
          <w:rPr>
            <w:rStyle w:val="Hyperlink"/>
          </w:rPr>
          <w:t>LA</w:t>
        </w:r>
      </w:hyperlink>
      <w:r w:rsidRPr="00927913">
        <w:t>,</w:t>
      </w:r>
      <w:r w:rsidRPr="00610DF6">
        <w:t xml:space="preserve"> or modifying the text of a registered law as in force (see also </w:t>
      </w:r>
      <w:r w:rsidRPr="00A37B0D">
        <w:t xml:space="preserve">paragraph </w:t>
      </w:r>
      <w:r w:rsidRPr="00927913">
        <w:fldChar w:fldCharType="begin"/>
      </w:r>
      <w:r w:rsidRPr="00A37B0D">
        <w:instrText xml:space="preserve"> REF _Ref444859371 \r \h  \* MERGEFORMAT </w:instrText>
      </w:r>
      <w:r w:rsidRPr="00927913">
        <w:fldChar w:fldCharType="separate"/>
      </w:r>
      <w:r w:rsidR="00AB105F">
        <w:t>179</w:t>
      </w:r>
      <w:r w:rsidRPr="00927913">
        <w:fldChar w:fldCharType="end"/>
      </w:r>
      <w:r>
        <w:t xml:space="preserve"> </w:t>
      </w:r>
      <w:r w:rsidRPr="00610DF6">
        <w:t xml:space="preserve">on </w:t>
      </w:r>
      <w:r w:rsidRPr="00927913">
        <w:t>discretionary compilation events) (</w:t>
      </w:r>
      <w:hyperlink r:id="rId360" w:history="1">
        <w:r w:rsidRPr="00927913">
          <w:rPr>
            <w:rStyle w:val="Hyperlink"/>
          </w:rPr>
          <w:t>LA</w:t>
        </w:r>
      </w:hyperlink>
      <w:r w:rsidRPr="00927913">
        <w:t xml:space="preserve"> s 15L(1)(b)); or</w:t>
      </w:r>
    </w:p>
    <w:p w14:paraId="09467EF0" w14:textId="4BBFD97E" w:rsidR="00A83991" w:rsidRPr="00FD274F" w:rsidRDefault="00A83991" w:rsidP="00A83991">
      <w:pPr>
        <w:pStyle w:val="BodyPara"/>
      </w:pPr>
      <w:r w:rsidRPr="00FD274F">
        <w:t>repealing a registered law</w:t>
      </w:r>
      <w:r>
        <w:t xml:space="preserve"> or a provision of a registered law</w:t>
      </w:r>
      <w:r w:rsidRPr="00FD274F">
        <w:t xml:space="preserve">, or otherwise causing a registered law </w:t>
      </w:r>
      <w:r>
        <w:t xml:space="preserve">or provision </w:t>
      </w:r>
      <w:r w:rsidRPr="00FD274F">
        <w:t>to cease to be in force (</w:t>
      </w:r>
      <w:hyperlink r:id="rId361" w:history="1">
        <w:r w:rsidRPr="00927913">
          <w:rPr>
            <w:rStyle w:val="Hyperlink"/>
          </w:rPr>
          <w:t>LA</w:t>
        </w:r>
      </w:hyperlink>
      <w:r w:rsidRPr="00927913">
        <w:rPr>
          <w:rStyle w:val="Hyperlink"/>
        </w:rPr>
        <w:t xml:space="preserve"> </w:t>
      </w:r>
      <w:r w:rsidRPr="00927913">
        <w:t>s 15L(1)(c));</w:t>
      </w:r>
      <w:r w:rsidRPr="00FD274F">
        <w:t xml:space="preserve"> or</w:t>
      </w:r>
    </w:p>
    <w:p w14:paraId="7080717C" w14:textId="3296826D" w:rsidR="00A83991" w:rsidRPr="00FD274F" w:rsidRDefault="00A83991" w:rsidP="00A83991">
      <w:pPr>
        <w:pStyle w:val="BodyPara"/>
      </w:pPr>
      <w:r w:rsidRPr="00FD274F">
        <w:lastRenderedPageBreak/>
        <w:t>rendering a registered law invalid or unenforceable (</w:t>
      </w:r>
      <w:hyperlink r:id="rId362" w:history="1">
        <w:r w:rsidRPr="00927913">
          <w:rPr>
            <w:rStyle w:val="Hyperlink"/>
          </w:rPr>
          <w:t>LA</w:t>
        </w:r>
      </w:hyperlink>
      <w:r w:rsidRPr="00927913">
        <w:rPr>
          <w:rStyle w:val="Hyperlink"/>
        </w:rPr>
        <w:t xml:space="preserve"> </w:t>
      </w:r>
      <w:r w:rsidRPr="00927913">
        <w:t>s 15L(1)(d)</w:t>
      </w:r>
      <w:r w:rsidRPr="00FD274F">
        <w:t>)</w:t>
      </w:r>
      <w:r>
        <w:t xml:space="preserve"> (e.g. as a result of a </w:t>
      </w:r>
      <w:r w:rsidR="00450617">
        <w:t>c</w:t>
      </w:r>
      <w:r>
        <w:t xml:space="preserve">ourt or </w:t>
      </w:r>
      <w:r w:rsidR="00450617">
        <w:t>t</w:t>
      </w:r>
      <w:r>
        <w:t>ribunal decision)</w:t>
      </w:r>
      <w:r w:rsidRPr="00FD274F">
        <w:t>.</w:t>
      </w:r>
    </w:p>
    <w:p w14:paraId="0A8E9A03" w14:textId="77777777" w:rsidR="00A83991" w:rsidRPr="00FD274F" w:rsidRDefault="00A83991" w:rsidP="00A83991">
      <w:pPr>
        <w:pStyle w:val="BodyNum"/>
        <w:rPr>
          <w:szCs w:val="24"/>
        </w:rPr>
      </w:pPr>
      <w:r w:rsidRPr="00FD274F">
        <w:rPr>
          <w:szCs w:val="24"/>
        </w:rPr>
        <w:t xml:space="preserve">Examples of events that agencies must notify </w:t>
      </w:r>
      <w:r>
        <w:rPr>
          <w:szCs w:val="24"/>
        </w:rPr>
        <w:t xml:space="preserve">OPC of </w:t>
      </w:r>
      <w:r w:rsidRPr="00FD274F">
        <w:rPr>
          <w:szCs w:val="24"/>
        </w:rPr>
        <w:t>are as follows:</w:t>
      </w:r>
    </w:p>
    <w:p w14:paraId="1BB7113A" w14:textId="77777777" w:rsidR="00A83991" w:rsidRPr="00FD274F" w:rsidRDefault="00A83991" w:rsidP="00A83991">
      <w:pPr>
        <w:pStyle w:val="BodyPara"/>
      </w:pPr>
      <w:r w:rsidRPr="00FD274F">
        <w:t xml:space="preserve">the commencement of State </w:t>
      </w:r>
      <w:r>
        <w:t xml:space="preserve">or Territory </w:t>
      </w:r>
      <w:r w:rsidRPr="00FD274F">
        <w:t>law</w:t>
      </w:r>
      <w:r>
        <w:t>s</w:t>
      </w:r>
      <w:r w:rsidRPr="00FD274F">
        <w:t xml:space="preserve"> or of an international treaty, where this triggers the commencement of a registered law;</w:t>
      </w:r>
    </w:p>
    <w:p w14:paraId="591C9105" w14:textId="09239826" w:rsidR="00A83991" w:rsidRPr="00FD274F" w:rsidRDefault="00A83991" w:rsidP="00A83991">
      <w:pPr>
        <w:pStyle w:val="BodyPara"/>
      </w:pPr>
      <w:r w:rsidRPr="00FD274F">
        <w:t xml:space="preserve">the implied amendment of a registered law </w:t>
      </w:r>
      <w:r w:rsidR="00C71203">
        <w:t>(</w:t>
      </w:r>
      <w:r w:rsidRPr="00FD274F">
        <w:t>for example, by an amendment that is broadly framed and that does not specify each law that is amended</w:t>
      </w:r>
      <w:r w:rsidR="0085013C">
        <w:t>)</w:t>
      </w:r>
      <w:r w:rsidRPr="00FD274F">
        <w:t>;</w:t>
      </w:r>
    </w:p>
    <w:p w14:paraId="37F45A70" w14:textId="35909D0E" w:rsidR="00A83991" w:rsidRPr="00FD274F" w:rsidRDefault="00A83991" w:rsidP="00A83991">
      <w:pPr>
        <w:pStyle w:val="BodyPara"/>
      </w:pPr>
      <w:r w:rsidRPr="00FD274F">
        <w:t xml:space="preserve">the implied repeal of a law </w:t>
      </w:r>
      <w:r w:rsidR="0085013C">
        <w:t>(</w:t>
      </w:r>
      <w:r w:rsidRPr="00FD274F">
        <w:t>for example, by the repeal of an instrument’s enabling legislation or provision</w:t>
      </w:r>
      <w:r w:rsidR="0085013C">
        <w:t>)</w:t>
      </w:r>
      <w:r w:rsidRPr="00FD274F">
        <w:t>;</w:t>
      </w:r>
    </w:p>
    <w:p w14:paraId="343E4A90" w14:textId="77777777" w:rsidR="00A83991" w:rsidRPr="00FD274F" w:rsidRDefault="00A83991" w:rsidP="00A83991">
      <w:pPr>
        <w:pStyle w:val="BodyPara"/>
      </w:pPr>
      <w:r w:rsidRPr="00FD274F">
        <w:t>the preservation of an instrument by a saving, application or transitional provision despite the repeal of its enabling legislation or provision.</w:t>
      </w:r>
    </w:p>
    <w:p w14:paraId="54BF41EA" w14:textId="0FCF6E87" w:rsidR="00A83991" w:rsidRPr="00FD274F" w:rsidRDefault="00A83991" w:rsidP="00A83991">
      <w:pPr>
        <w:pStyle w:val="BodyNum"/>
        <w:rPr>
          <w:szCs w:val="24"/>
        </w:rPr>
      </w:pPr>
      <w:r w:rsidRPr="00FD274F">
        <w:t>Agencies are asked to notify OPC of even</w:t>
      </w:r>
      <w:r w:rsidRPr="00FD274F">
        <w:rPr>
          <w:szCs w:val="24"/>
        </w:rPr>
        <w:t xml:space="preserve">ts by emailing </w:t>
      </w:r>
      <w:hyperlink r:id="rId363" w:history="1">
        <w:hyperlink r:id="rId364" w:history="1">
          <w:r w:rsidRPr="00FD274F">
            <w:rPr>
              <w:rStyle w:val="Hyperlink"/>
              <w:rFonts w:eastAsiaTheme="minorHAnsi"/>
              <w:szCs w:val="24"/>
              <w:lang w:eastAsia="en-US"/>
            </w:rPr>
            <w:t>lodge@legislation.gov.au</w:t>
          </w:r>
        </w:hyperlink>
      </w:hyperlink>
      <w:r w:rsidRPr="00FD274F">
        <w:rPr>
          <w:szCs w:val="24"/>
        </w:rPr>
        <w:t xml:space="preserve"> and to attach or provide links to documentary evidence of the relevant event, such as a court judgement or a written statement from an SES employee </w:t>
      </w:r>
      <w:r w:rsidRPr="0049119D">
        <w:rPr>
          <w:szCs w:val="24"/>
        </w:rPr>
        <w:t>(</w:t>
      </w:r>
      <w:hyperlink r:id="rId365" w:history="1">
        <w:r w:rsidR="00044E00" w:rsidRPr="00001937">
          <w:rPr>
            <w:rStyle w:val="Hyperlink"/>
            <w:szCs w:val="24"/>
          </w:rPr>
          <w:t>LR</w:t>
        </w:r>
      </w:hyperlink>
      <w:r w:rsidRPr="0049119D">
        <w:rPr>
          <w:szCs w:val="24"/>
        </w:rPr>
        <w:t xml:space="preserve"> s 1</w:t>
      </w:r>
      <w:r w:rsidR="00044E00">
        <w:rPr>
          <w:szCs w:val="24"/>
        </w:rPr>
        <w:t>7</w:t>
      </w:r>
      <w:r w:rsidRPr="0049119D">
        <w:rPr>
          <w:szCs w:val="24"/>
        </w:rPr>
        <w:t>). T</w:t>
      </w:r>
      <w:r w:rsidRPr="00FD274F">
        <w:rPr>
          <w:szCs w:val="24"/>
        </w:rPr>
        <w:t>his evidence may be registered and</w:t>
      </w:r>
      <w:r w:rsidR="003F10D0">
        <w:rPr>
          <w:szCs w:val="24"/>
        </w:rPr>
        <w:t>,</w:t>
      </w:r>
      <w:r w:rsidRPr="00FD274F">
        <w:rPr>
          <w:szCs w:val="24"/>
        </w:rPr>
        <w:t xml:space="preserve"> as such, must not contain classified or sensitive information.</w:t>
      </w:r>
    </w:p>
    <w:p w14:paraId="48509269" w14:textId="77777777" w:rsidR="00A83991" w:rsidRPr="00FD274F" w:rsidRDefault="00A83991" w:rsidP="00A83991">
      <w:pPr>
        <w:pStyle w:val="Head3"/>
      </w:pPr>
      <w:bookmarkStart w:id="151" w:name="_Toc223687780"/>
      <w:r w:rsidRPr="00FD274F">
        <w:t>If an error is found in the Register</w:t>
      </w:r>
      <w:bookmarkEnd w:id="151"/>
    </w:p>
    <w:p w14:paraId="1344F198" w14:textId="321CACBD" w:rsidR="00950497" w:rsidRDefault="00950497" w:rsidP="00A83991">
      <w:pPr>
        <w:pStyle w:val="BodyNum"/>
        <w:rPr>
          <w:spacing w:val="-4"/>
        </w:rPr>
      </w:pPr>
      <w:bookmarkStart w:id="152" w:name="_Ref442361469"/>
      <w:r>
        <w:rPr>
          <w:spacing w:val="-4"/>
        </w:rPr>
        <w:t xml:space="preserve">Errors </w:t>
      </w:r>
      <w:r w:rsidR="00DB63DB">
        <w:rPr>
          <w:spacing w:val="-4"/>
        </w:rPr>
        <w:t xml:space="preserve">found in </w:t>
      </w:r>
      <w:r>
        <w:rPr>
          <w:spacing w:val="-4"/>
        </w:rPr>
        <w:t xml:space="preserve">the Register broadly fall into </w:t>
      </w:r>
      <w:r w:rsidR="00E86BB6">
        <w:rPr>
          <w:spacing w:val="-4"/>
        </w:rPr>
        <w:t xml:space="preserve">three </w:t>
      </w:r>
      <w:r>
        <w:rPr>
          <w:spacing w:val="-4"/>
        </w:rPr>
        <w:t xml:space="preserve">categories: </w:t>
      </w:r>
      <w:r w:rsidR="00335D9A">
        <w:rPr>
          <w:spacing w:val="-4"/>
        </w:rPr>
        <w:t>metadata, textual</w:t>
      </w:r>
      <w:r w:rsidR="00E86BB6">
        <w:rPr>
          <w:spacing w:val="-4"/>
        </w:rPr>
        <w:t xml:space="preserve"> and </w:t>
      </w:r>
      <w:r w:rsidR="00335D9A">
        <w:rPr>
          <w:spacing w:val="-4"/>
        </w:rPr>
        <w:t>presentational</w:t>
      </w:r>
      <w:r w:rsidR="0053212C">
        <w:rPr>
          <w:spacing w:val="-4"/>
        </w:rPr>
        <w:t>.</w:t>
      </w:r>
      <w:r w:rsidR="00123745">
        <w:rPr>
          <w:spacing w:val="-4"/>
        </w:rPr>
        <w:t xml:space="preserve"> Each of these categories of error require different approaches to resolve the issues </w:t>
      </w:r>
      <w:r w:rsidR="0094492C">
        <w:rPr>
          <w:spacing w:val="-4"/>
        </w:rPr>
        <w:t xml:space="preserve">as </w:t>
      </w:r>
      <w:r w:rsidR="00123745">
        <w:rPr>
          <w:spacing w:val="-4"/>
        </w:rPr>
        <w:t>laid out in the table below.</w:t>
      </w:r>
    </w:p>
    <w:p w14:paraId="2D050278" w14:textId="77777777" w:rsidR="00123745" w:rsidRPr="00123745" w:rsidRDefault="00123745" w:rsidP="0012374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731"/>
        <w:gridCol w:w="2659"/>
        <w:gridCol w:w="2693"/>
        <w:gridCol w:w="1843"/>
      </w:tblGrid>
      <w:tr w:rsidR="00C85914" w:rsidRPr="00FD274F" w14:paraId="6B1E71B1" w14:textId="39BED72A" w:rsidTr="003C18DE">
        <w:trPr>
          <w:tblHeader/>
        </w:trPr>
        <w:tc>
          <w:tcPr>
            <w:tcW w:w="1731" w:type="dxa"/>
            <w:tcBorders>
              <w:top w:val="single" w:sz="12" w:space="0" w:color="auto"/>
              <w:bottom w:val="single" w:sz="12" w:space="0" w:color="auto"/>
            </w:tcBorders>
          </w:tcPr>
          <w:p w14:paraId="58CFFF17" w14:textId="7018AC0F" w:rsidR="00C85914" w:rsidRPr="00FD274F" w:rsidRDefault="00C85914" w:rsidP="00C85914">
            <w:pPr>
              <w:pStyle w:val="TableHeading"/>
            </w:pPr>
            <w:r>
              <w:t>Category of error</w:t>
            </w:r>
          </w:p>
        </w:tc>
        <w:tc>
          <w:tcPr>
            <w:tcW w:w="2659" w:type="dxa"/>
            <w:tcBorders>
              <w:top w:val="single" w:sz="12" w:space="0" w:color="auto"/>
              <w:bottom w:val="single" w:sz="12" w:space="0" w:color="auto"/>
            </w:tcBorders>
          </w:tcPr>
          <w:p w14:paraId="3E7A0BAB" w14:textId="7C71C3F9" w:rsidR="00C85914" w:rsidRPr="00FD274F" w:rsidRDefault="0090098B" w:rsidP="00C85914">
            <w:pPr>
              <w:pStyle w:val="TableHeading"/>
            </w:pPr>
            <w:r>
              <w:t>Description</w:t>
            </w:r>
          </w:p>
        </w:tc>
        <w:tc>
          <w:tcPr>
            <w:tcW w:w="2693" w:type="dxa"/>
            <w:tcBorders>
              <w:top w:val="single" w:sz="12" w:space="0" w:color="auto"/>
              <w:bottom w:val="single" w:sz="12" w:space="0" w:color="auto"/>
            </w:tcBorders>
          </w:tcPr>
          <w:p w14:paraId="45EF4ED6" w14:textId="0B8CC900" w:rsidR="00C85914" w:rsidRDefault="00C85914" w:rsidP="00C85914">
            <w:pPr>
              <w:pStyle w:val="TableHeading"/>
            </w:pPr>
            <w:r>
              <w:t>Example</w:t>
            </w:r>
            <w:r w:rsidR="002D3ECC">
              <w:t>(s)</w:t>
            </w:r>
          </w:p>
        </w:tc>
        <w:tc>
          <w:tcPr>
            <w:tcW w:w="1843" w:type="dxa"/>
            <w:tcBorders>
              <w:top w:val="single" w:sz="12" w:space="0" w:color="auto"/>
              <w:bottom w:val="single" w:sz="12" w:space="0" w:color="auto"/>
            </w:tcBorders>
          </w:tcPr>
          <w:p w14:paraId="695140C5" w14:textId="53DE4D19" w:rsidR="00C85914" w:rsidRDefault="00C85914" w:rsidP="00C85914">
            <w:pPr>
              <w:pStyle w:val="TableHeading"/>
            </w:pPr>
            <w:r>
              <w:t>Action required</w:t>
            </w:r>
          </w:p>
        </w:tc>
      </w:tr>
      <w:tr w:rsidR="00C85914" w:rsidRPr="00FD274F" w14:paraId="3720449C" w14:textId="6D2EAF96" w:rsidTr="003C18DE">
        <w:tc>
          <w:tcPr>
            <w:tcW w:w="1731" w:type="dxa"/>
            <w:tcBorders>
              <w:top w:val="single" w:sz="12" w:space="0" w:color="auto"/>
            </w:tcBorders>
          </w:tcPr>
          <w:p w14:paraId="09FC7396" w14:textId="0BA3F6FF" w:rsidR="00C85914" w:rsidRPr="00FD274F" w:rsidRDefault="00C85914" w:rsidP="00C85914">
            <w:pPr>
              <w:pStyle w:val="Tabletext"/>
            </w:pPr>
            <w:r>
              <w:t>Metadata</w:t>
            </w:r>
          </w:p>
        </w:tc>
        <w:tc>
          <w:tcPr>
            <w:tcW w:w="2659" w:type="dxa"/>
            <w:tcBorders>
              <w:top w:val="single" w:sz="12" w:space="0" w:color="auto"/>
            </w:tcBorders>
          </w:tcPr>
          <w:p w14:paraId="34EB04B4" w14:textId="27D8C6E5" w:rsidR="00C85914" w:rsidRPr="00FD274F" w:rsidRDefault="00A10CAF" w:rsidP="00C85914">
            <w:pPr>
              <w:pStyle w:val="Tabletext"/>
            </w:pPr>
            <w:r>
              <w:t xml:space="preserve">Information presented on the Register about </w:t>
            </w:r>
            <w:r w:rsidR="002D3ECC">
              <w:t>the content of legislation</w:t>
            </w:r>
          </w:p>
        </w:tc>
        <w:tc>
          <w:tcPr>
            <w:tcW w:w="2693" w:type="dxa"/>
            <w:tcBorders>
              <w:top w:val="single" w:sz="12" w:space="0" w:color="auto"/>
            </w:tcBorders>
          </w:tcPr>
          <w:p w14:paraId="6E96EE5D" w14:textId="4C5DE7DA" w:rsidR="00C85914" w:rsidRDefault="00CA302C" w:rsidP="00C85914">
            <w:pPr>
              <w:pStyle w:val="Tabletext"/>
            </w:pPr>
            <w:r>
              <w:t>Administering department listed incorrectly, status is appearing as no longer in force</w:t>
            </w:r>
            <w:r w:rsidR="003C18DE">
              <w:t xml:space="preserve"> prior to the repeal date</w:t>
            </w:r>
          </w:p>
        </w:tc>
        <w:tc>
          <w:tcPr>
            <w:tcW w:w="1843" w:type="dxa"/>
            <w:tcBorders>
              <w:top w:val="single" w:sz="12" w:space="0" w:color="auto"/>
            </w:tcBorders>
          </w:tcPr>
          <w:p w14:paraId="33130E85" w14:textId="54060F5A" w:rsidR="00C85914" w:rsidRDefault="0090098B" w:rsidP="00C85914">
            <w:pPr>
              <w:pStyle w:val="Tabletext"/>
            </w:pPr>
            <w:r>
              <w:t>Notify OPC*</w:t>
            </w:r>
            <w:r w:rsidR="00627737">
              <w:t xml:space="preserve"> to request that metadata be updated</w:t>
            </w:r>
          </w:p>
        </w:tc>
      </w:tr>
      <w:tr w:rsidR="00C85914" w:rsidRPr="00FD274F" w14:paraId="27A6C0CF" w14:textId="7D20D60F" w:rsidTr="003C18DE">
        <w:tc>
          <w:tcPr>
            <w:tcW w:w="1731" w:type="dxa"/>
            <w:tcBorders>
              <w:bottom w:val="single" w:sz="4" w:space="0" w:color="auto"/>
            </w:tcBorders>
          </w:tcPr>
          <w:p w14:paraId="6BF4D8A1" w14:textId="1C4E82A9" w:rsidR="00C85914" w:rsidRPr="00FD274F" w:rsidRDefault="00C85914" w:rsidP="00C85914">
            <w:pPr>
              <w:pStyle w:val="Tabletext"/>
            </w:pPr>
            <w:r>
              <w:t>Textual</w:t>
            </w:r>
          </w:p>
        </w:tc>
        <w:tc>
          <w:tcPr>
            <w:tcW w:w="2659" w:type="dxa"/>
            <w:tcBorders>
              <w:bottom w:val="single" w:sz="4" w:space="0" w:color="auto"/>
            </w:tcBorders>
          </w:tcPr>
          <w:p w14:paraId="20CE60C3" w14:textId="77777777" w:rsidR="00C85914" w:rsidRDefault="00522819" w:rsidP="00C85914">
            <w:pPr>
              <w:pStyle w:val="Tabletext"/>
            </w:pPr>
            <w:r>
              <w:t>Text of the document in the Register is not the same as the text as made or assented to</w:t>
            </w:r>
          </w:p>
          <w:p w14:paraId="2B278F07" w14:textId="44A824AB" w:rsidR="00522819" w:rsidRPr="00FD274F" w:rsidRDefault="00522819" w:rsidP="00C85914">
            <w:pPr>
              <w:pStyle w:val="Tabletext"/>
            </w:pPr>
            <w:r>
              <w:t xml:space="preserve">Text of the document </w:t>
            </w:r>
            <w:r w:rsidR="003F4443">
              <w:t xml:space="preserve">in the Register </w:t>
            </w:r>
            <w:r>
              <w:t xml:space="preserve">is incorrect as a result of </w:t>
            </w:r>
            <w:r w:rsidR="003F4443">
              <w:t>the compilation process</w:t>
            </w:r>
          </w:p>
        </w:tc>
        <w:tc>
          <w:tcPr>
            <w:tcW w:w="2693" w:type="dxa"/>
            <w:tcBorders>
              <w:bottom w:val="single" w:sz="4" w:space="0" w:color="auto"/>
            </w:tcBorders>
          </w:tcPr>
          <w:p w14:paraId="73883698" w14:textId="7ED5929A" w:rsidR="009B7274" w:rsidRDefault="00D23074" w:rsidP="00C85914">
            <w:pPr>
              <w:pStyle w:val="Tabletext"/>
            </w:pPr>
            <w:r>
              <w:t xml:space="preserve">An earlier </w:t>
            </w:r>
            <w:r w:rsidR="003F4443">
              <w:t xml:space="preserve">electronic version </w:t>
            </w:r>
            <w:r>
              <w:t xml:space="preserve">rather than the final signed version </w:t>
            </w:r>
            <w:r w:rsidR="00770CA8">
              <w:t xml:space="preserve">was </w:t>
            </w:r>
            <w:r w:rsidR="003F4443">
              <w:t>lodged for registration</w:t>
            </w:r>
          </w:p>
          <w:p w14:paraId="47C36B9F" w14:textId="6D8D2163" w:rsidR="00D23074" w:rsidRDefault="009B7274" w:rsidP="00C85914">
            <w:pPr>
              <w:pStyle w:val="Tabletext"/>
            </w:pPr>
            <w:r>
              <w:t>A</w:t>
            </w:r>
            <w:r w:rsidR="00CA302C">
              <w:t xml:space="preserve"> compilation where one of the amendments was not incorporated</w:t>
            </w:r>
          </w:p>
        </w:tc>
        <w:tc>
          <w:tcPr>
            <w:tcW w:w="1843" w:type="dxa"/>
            <w:tcBorders>
              <w:bottom w:val="single" w:sz="4" w:space="0" w:color="auto"/>
            </w:tcBorders>
          </w:tcPr>
          <w:p w14:paraId="6FC1042B" w14:textId="1B87C310" w:rsidR="00C85914" w:rsidRDefault="00BE7F6D" w:rsidP="00C85914">
            <w:pPr>
              <w:pStyle w:val="Tabletext"/>
            </w:pPr>
            <w:r>
              <w:t>Notify OPC*</w:t>
            </w:r>
            <w:r w:rsidR="00627737">
              <w:t xml:space="preserve"> to discuss rectifying the document</w:t>
            </w:r>
          </w:p>
        </w:tc>
      </w:tr>
      <w:tr w:rsidR="003C18DE" w:rsidRPr="00FD274F" w14:paraId="492E06C4" w14:textId="77777777" w:rsidTr="003C18DE">
        <w:tc>
          <w:tcPr>
            <w:tcW w:w="1731" w:type="dxa"/>
            <w:tcBorders>
              <w:bottom w:val="single" w:sz="12" w:space="0" w:color="auto"/>
            </w:tcBorders>
          </w:tcPr>
          <w:p w14:paraId="3F89DEE3" w14:textId="32519A88" w:rsidR="003C18DE" w:rsidRDefault="003C18DE" w:rsidP="003C18DE">
            <w:pPr>
              <w:pStyle w:val="Tabletext"/>
            </w:pPr>
            <w:r>
              <w:t>Presentational</w:t>
            </w:r>
          </w:p>
        </w:tc>
        <w:tc>
          <w:tcPr>
            <w:tcW w:w="2659" w:type="dxa"/>
            <w:tcBorders>
              <w:bottom w:val="single" w:sz="12" w:space="0" w:color="auto"/>
            </w:tcBorders>
          </w:tcPr>
          <w:p w14:paraId="27387A91" w14:textId="6A555C7A" w:rsidR="003C18DE" w:rsidRDefault="003C18DE" w:rsidP="003C18DE">
            <w:pPr>
              <w:pStyle w:val="Tabletext"/>
            </w:pPr>
            <w:r>
              <w:t>An aspect of the document</w:t>
            </w:r>
            <w:r w:rsidR="00917C16">
              <w:t xml:space="preserve"> in the Register</w:t>
            </w:r>
            <w:r>
              <w:t xml:space="preserve"> relating to its form and not its substance is not properly presented</w:t>
            </w:r>
          </w:p>
        </w:tc>
        <w:tc>
          <w:tcPr>
            <w:tcW w:w="2693" w:type="dxa"/>
            <w:tcBorders>
              <w:bottom w:val="single" w:sz="12" w:space="0" w:color="auto"/>
            </w:tcBorders>
          </w:tcPr>
          <w:p w14:paraId="3CC2C6D2" w14:textId="1A5C9956" w:rsidR="003C18DE" w:rsidRDefault="003C18DE" w:rsidP="003C18DE">
            <w:pPr>
              <w:pStyle w:val="Tabletext"/>
            </w:pPr>
            <w:r>
              <w:t>Missing headers, additional blank pages</w:t>
            </w:r>
          </w:p>
        </w:tc>
        <w:tc>
          <w:tcPr>
            <w:tcW w:w="1843" w:type="dxa"/>
            <w:tcBorders>
              <w:bottom w:val="single" w:sz="12" w:space="0" w:color="auto"/>
            </w:tcBorders>
          </w:tcPr>
          <w:p w14:paraId="17523E55" w14:textId="701DC73D" w:rsidR="003C18DE" w:rsidRDefault="003C18DE" w:rsidP="003C18DE">
            <w:pPr>
              <w:pStyle w:val="Tabletext"/>
            </w:pPr>
            <w:r>
              <w:t>Notify OPC* to discuss replacing the document</w:t>
            </w:r>
          </w:p>
        </w:tc>
      </w:tr>
    </w:tbl>
    <w:p w14:paraId="1F9B6275" w14:textId="61BAEA34" w:rsidR="0090098B" w:rsidRPr="00123745" w:rsidRDefault="0090098B" w:rsidP="00123745">
      <w:pPr>
        <w:pStyle w:val="Tabletext"/>
      </w:pPr>
      <w:r>
        <w:t xml:space="preserve">*Please notify us by emailing </w:t>
      </w:r>
      <w:r w:rsidR="00061000">
        <w:t xml:space="preserve">the </w:t>
      </w:r>
      <w:r w:rsidR="00BE7F6D">
        <w:t xml:space="preserve">details to </w:t>
      </w:r>
      <w:hyperlink r:id="rId366" w:history="1">
        <w:hyperlink r:id="rId367" w:history="1">
          <w:r w:rsidR="00BE7F6D" w:rsidRPr="00FD274F">
            <w:rPr>
              <w:rStyle w:val="Hyperlink"/>
              <w:rFonts w:eastAsiaTheme="minorHAnsi"/>
              <w:szCs w:val="24"/>
              <w:lang w:eastAsia="en-US"/>
            </w:rPr>
            <w:t>lodge@legislation.gov.au</w:t>
          </w:r>
        </w:hyperlink>
      </w:hyperlink>
      <w:r>
        <w:t xml:space="preserve"> or calling </w:t>
      </w:r>
      <w:r w:rsidRPr="00FD274F">
        <w:t xml:space="preserve">the </w:t>
      </w:r>
      <w:r>
        <w:t>Lodgement</w:t>
      </w:r>
      <w:r w:rsidRPr="00FD274F">
        <w:t xml:space="preserve"> Help Desk on (02) 6120 1350</w:t>
      </w:r>
      <w:r w:rsidR="00061000">
        <w:t xml:space="preserve"> to discuss the issue</w:t>
      </w:r>
      <w:r w:rsidR="00BE7F6D">
        <w:t>.</w:t>
      </w:r>
    </w:p>
    <w:p w14:paraId="71F27093" w14:textId="5E4A5426" w:rsidR="00E86BB6" w:rsidRDefault="003C18DE" w:rsidP="00A83991">
      <w:pPr>
        <w:pStyle w:val="BodyNum"/>
        <w:rPr>
          <w:spacing w:val="-4"/>
        </w:rPr>
      </w:pPr>
      <w:r>
        <w:rPr>
          <w:spacing w:val="-4"/>
        </w:rPr>
        <w:t xml:space="preserve">Errors relating to the </w:t>
      </w:r>
      <w:r w:rsidR="00917C16">
        <w:rPr>
          <w:spacing w:val="-4"/>
        </w:rPr>
        <w:t>substance</w:t>
      </w:r>
      <w:r w:rsidR="000336F6">
        <w:rPr>
          <w:spacing w:val="-4"/>
        </w:rPr>
        <w:t xml:space="preserve">, content or underlying policy </w:t>
      </w:r>
      <w:r w:rsidR="00917C16">
        <w:rPr>
          <w:spacing w:val="-4"/>
        </w:rPr>
        <w:t xml:space="preserve">of legislation </w:t>
      </w:r>
      <w:r w:rsidR="00EA1216">
        <w:rPr>
          <w:spacing w:val="-4"/>
        </w:rPr>
        <w:t xml:space="preserve">sit outside OPC’s scope and </w:t>
      </w:r>
      <w:r w:rsidR="00917C16">
        <w:rPr>
          <w:spacing w:val="-4"/>
        </w:rPr>
        <w:t>should be addressed to the relevant administering department.</w:t>
      </w:r>
    </w:p>
    <w:p w14:paraId="560DAF45" w14:textId="55ABE144" w:rsidR="00A83991" w:rsidRPr="00FD274F" w:rsidRDefault="00A83991" w:rsidP="00A83991">
      <w:pPr>
        <w:pStyle w:val="BodyNum"/>
        <w:rPr>
          <w:spacing w:val="-4"/>
        </w:rPr>
      </w:pPr>
      <w:r w:rsidRPr="00FD274F">
        <w:rPr>
          <w:spacing w:val="-4"/>
        </w:rPr>
        <w:lastRenderedPageBreak/>
        <w:t>If an agency or another user of the Register notifies OPC of an error in the Register</w:t>
      </w:r>
      <w:r>
        <w:rPr>
          <w:spacing w:val="-4"/>
        </w:rPr>
        <w:t xml:space="preserve"> that arises because the text of the document in the Register is not the same as the text as made or assented to or the document was not compiled correctly</w:t>
      </w:r>
      <w:r w:rsidRPr="00FD274F">
        <w:rPr>
          <w:spacing w:val="-4"/>
        </w:rPr>
        <w:t xml:space="preserve">, the matter will be investigated consistent with the First Parliamentary Counsel’s obligation to </w:t>
      </w:r>
      <w:r>
        <w:rPr>
          <w:spacing w:val="-4"/>
        </w:rPr>
        <w:t xml:space="preserve">rectify </w:t>
      </w:r>
      <w:r w:rsidRPr="00FD274F">
        <w:rPr>
          <w:spacing w:val="-4"/>
        </w:rPr>
        <w:t>errors under s</w:t>
      </w:r>
      <w:r w:rsidRPr="005633BF">
        <w:rPr>
          <w:spacing w:val="-4"/>
        </w:rPr>
        <w:t xml:space="preserve">ubsection 15D(1) of the </w:t>
      </w:r>
      <w:hyperlink r:id="rId368" w:history="1">
        <w:r w:rsidRPr="005633BF">
          <w:rPr>
            <w:rStyle w:val="Hyperlink"/>
          </w:rPr>
          <w:t>LA</w:t>
        </w:r>
      </w:hyperlink>
      <w:r w:rsidRPr="005633BF">
        <w:rPr>
          <w:spacing w:val="-4"/>
        </w:rPr>
        <w:t>.</w:t>
      </w:r>
      <w:r w:rsidRPr="00FD274F">
        <w:rPr>
          <w:spacing w:val="-4"/>
        </w:rPr>
        <w:t xml:space="preserve"> A </w:t>
      </w:r>
      <w:r>
        <w:rPr>
          <w:spacing w:val="-4"/>
        </w:rPr>
        <w:t>rectification</w:t>
      </w:r>
      <w:r w:rsidRPr="00FD274F">
        <w:rPr>
          <w:spacing w:val="-4"/>
        </w:rPr>
        <w:t xml:space="preserve"> may be appropriate if, for example:</w:t>
      </w:r>
      <w:bookmarkEnd w:id="152"/>
    </w:p>
    <w:p w14:paraId="6609BDD6" w14:textId="77777777" w:rsidR="00A83991" w:rsidRPr="00FD274F" w:rsidRDefault="00A83991" w:rsidP="00A83991">
      <w:pPr>
        <w:pStyle w:val="BodyPara"/>
      </w:pPr>
      <w:r w:rsidRPr="00FD274F">
        <w:t>a symbol or mathematical formula is not displaying correctly in the authoris</w:t>
      </w:r>
      <w:r>
        <w:t>ed version of an instrument; or</w:t>
      </w:r>
    </w:p>
    <w:p w14:paraId="1EC4976E" w14:textId="77777777" w:rsidR="00A83991" w:rsidRPr="00FD274F" w:rsidRDefault="00A83991" w:rsidP="00A83991">
      <w:pPr>
        <w:pStyle w:val="BodyPara"/>
      </w:pPr>
      <w:r w:rsidRPr="00FD274F">
        <w:t>an amendment has not been incorporated into a compilation correctly or in a timely manner (for example, because commencement was tied to an event that</w:t>
      </w:r>
      <w:r>
        <w:t xml:space="preserve"> was not notified promptly); or</w:t>
      </w:r>
    </w:p>
    <w:p w14:paraId="76F224E2" w14:textId="77777777" w:rsidR="00A83991" w:rsidRPr="00FD274F" w:rsidRDefault="00A83991" w:rsidP="00A83991">
      <w:pPr>
        <w:pStyle w:val="BodyPara"/>
      </w:pPr>
      <w:r>
        <w:t>an electronic version of a disallowable legislative instrument registered on the Register does not accurately reflect the text of the original document as made by the rule</w:t>
      </w:r>
      <w:r>
        <w:noBreakHyphen/>
        <w:t>maker.</w:t>
      </w:r>
    </w:p>
    <w:p w14:paraId="427DEEB5" w14:textId="7950960E" w:rsidR="00A83991" w:rsidRPr="005633BF" w:rsidRDefault="00A83991" w:rsidP="00A83991">
      <w:pPr>
        <w:pStyle w:val="BodyNum"/>
      </w:pPr>
      <w:r w:rsidRPr="00FD274F">
        <w:t xml:space="preserve">If a </w:t>
      </w:r>
      <w:r>
        <w:t>rectification</w:t>
      </w:r>
      <w:r w:rsidRPr="00FD274F">
        <w:t xml:space="preserve"> </w:t>
      </w:r>
      <w:r w:rsidR="00906FA5">
        <w:t xml:space="preserve">or a replacement </w:t>
      </w:r>
      <w:r w:rsidRPr="00FD274F">
        <w:t xml:space="preserve">is made, both the </w:t>
      </w:r>
      <w:r>
        <w:t>rectified</w:t>
      </w:r>
      <w:r w:rsidR="00906FA5">
        <w:t xml:space="preserve"> or replaced version</w:t>
      </w:r>
      <w:r w:rsidRPr="00FD274F">
        <w:t xml:space="preserve"> and the original document remain on the Register to enable users to assess the legal effect of changes. The Register is also annotated to show that a </w:t>
      </w:r>
      <w:r w:rsidR="00906FA5">
        <w:t xml:space="preserve">replacement </w:t>
      </w:r>
      <w:r w:rsidRPr="00FD274F">
        <w:t xml:space="preserve">has been made and to outline </w:t>
      </w:r>
      <w:r w:rsidR="004412EE">
        <w:t xml:space="preserve">the </w:t>
      </w:r>
      <w:r>
        <w:t>rectification</w:t>
      </w:r>
      <w:r w:rsidRPr="00FD274F">
        <w:t xml:space="preserve"> </w:t>
      </w:r>
      <w:r w:rsidR="004412EE">
        <w:t xml:space="preserve">or replacement </w:t>
      </w:r>
      <w:r w:rsidRPr="00FD274F">
        <w:t xml:space="preserve">in general terms </w:t>
      </w:r>
      <w:r w:rsidRPr="005633BF">
        <w:t>(</w:t>
      </w:r>
      <w:hyperlink r:id="rId369" w:history="1">
        <w:r w:rsidRPr="005633BF">
          <w:rPr>
            <w:rStyle w:val="Hyperlink"/>
          </w:rPr>
          <w:t>LA</w:t>
        </w:r>
      </w:hyperlink>
      <w:r w:rsidRPr="005633BF">
        <w:rPr>
          <w:rStyle w:val="Hyperlink"/>
        </w:rPr>
        <w:t xml:space="preserve"> </w:t>
      </w:r>
      <w:r w:rsidRPr="005633BF">
        <w:t>s 15D(2)).</w:t>
      </w:r>
    </w:p>
    <w:p w14:paraId="743B724A" w14:textId="1A4C12CE" w:rsidR="00A83991" w:rsidRPr="005D53B9" w:rsidRDefault="00A83991" w:rsidP="00A83991">
      <w:pPr>
        <w:pStyle w:val="BodyNum"/>
      </w:pPr>
      <w:r w:rsidRPr="00FD274F">
        <w:t xml:space="preserve">A </w:t>
      </w:r>
      <w:r>
        <w:t>rectification</w:t>
      </w:r>
      <w:r w:rsidRPr="00FD274F">
        <w:t xml:space="preserve"> may not be appropriate in every instance. For example, if the text of an instrument contains a typographic</w:t>
      </w:r>
      <w:r>
        <w:t>al</w:t>
      </w:r>
      <w:r w:rsidRPr="00FD274F">
        <w:t xml:space="preserve"> error but the text is consistent with the text made by the rule</w:t>
      </w:r>
      <w:r>
        <w:noBreakHyphen/>
      </w:r>
      <w:r w:rsidRPr="00FD274F">
        <w:t>maker, the error cannot be corrected under sectio</w:t>
      </w:r>
      <w:r w:rsidRPr="005633BF">
        <w:t xml:space="preserve">n 15D of the </w:t>
      </w:r>
      <w:hyperlink r:id="rId370" w:history="1">
        <w:r w:rsidRPr="005633BF">
          <w:rPr>
            <w:rStyle w:val="Hyperlink"/>
          </w:rPr>
          <w:t>LA</w:t>
        </w:r>
      </w:hyperlink>
      <w:r w:rsidRPr="005633BF">
        <w:t>.</w:t>
      </w:r>
      <w:r w:rsidRPr="00FD274F">
        <w:t xml:space="preserve"> However, in this example, it may be possible for OPC to prepare a compilation that incorporates an editorial change that fixes the error. For more information on OPC’s editorial powers, see </w:t>
      </w:r>
      <w:r w:rsidRPr="005D53B9">
        <w:t xml:space="preserve">paragraphs </w:t>
      </w:r>
      <w:r w:rsidRPr="005633BF">
        <w:fldChar w:fldCharType="begin"/>
      </w:r>
      <w:r w:rsidRPr="005D53B9">
        <w:instrText xml:space="preserve"> REF _Ref441240649 \r \h  \* MERGEFORMAT </w:instrText>
      </w:r>
      <w:r w:rsidRPr="005633BF">
        <w:fldChar w:fldCharType="separate"/>
      </w:r>
      <w:r w:rsidR="00AB105F">
        <w:t>212</w:t>
      </w:r>
      <w:r w:rsidRPr="005633BF">
        <w:fldChar w:fldCharType="end"/>
      </w:r>
      <w:r w:rsidRPr="005D53B9">
        <w:t xml:space="preserve"> and </w:t>
      </w:r>
      <w:r w:rsidRPr="005633BF">
        <w:fldChar w:fldCharType="begin"/>
      </w:r>
      <w:r w:rsidRPr="005D53B9">
        <w:instrText xml:space="preserve"> REF _Ref441240651 \r \h  \* MERGEFORMAT </w:instrText>
      </w:r>
      <w:r w:rsidRPr="005633BF">
        <w:fldChar w:fldCharType="separate"/>
      </w:r>
      <w:r w:rsidR="00AB105F">
        <w:t>213</w:t>
      </w:r>
      <w:r w:rsidRPr="005633BF">
        <w:fldChar w:fldCharType="end"/>
      </w:r>
      <w:r w:rsidRPr="005D53B9">
        <w:t>.</w:t>
      </w:r>
    </w:p>
    <w:p w14:paraId="279C673D" w14:textId="77777777" w:rsidR="00A83991" w:rsidRDefault="00A83991" w:rsidP="00A83991">
      <w:pPr>
        <w:pStyle w:val="Head3"/>
      </w:pPr>
      <w:bookmarkStart w:id="153" w:name="_Toc223687781"/>
      <w:r>
        <w:t>Rectification of disallowable legislative instruments</w:t>
      </w:r>
      <w:bookmarkEnd w:id="153"/>
    </w:p>
    <w:p w14:paraId="3631476F" w14:textId="2A1EDA2B" w:rsidR="00A83991" w:rsidRDefault="00A83991" w:rsidP="00A83991">
      <w:pPr>
        <w:pStyle w:val="BodyNum"/>
      </w:pPr>
      <w:bookmarkStart w:id="154" w:name="_Ref2948989"/>
      <w:r>
        <w:t>If a disallowable legislative instrument is rectified after the original version was tabled</w:t>
      </w:r>
      <w:r w:rsidR="00780039">
        <w:t>,</w:t>
      </w:r>
      <w:r>
        <w:t xml:space="preserve"> then the rectified instrument must be re</w:t>
      </w:r>
      <w:r>
        <w:noBreakHyphen/>
        <w:t xml:space="preserve">tabled in each House of the Parliament within 6 sitting days after the rectification </w:t>
      </w:r>
      <w:r w:rsidRPr="00FD274F">
        <w:t>(</w:t>
      </w:r>
      <w:hyperlink r:id="rId371" w:history="1">
        <w:r w:rsidRPr="005633BF">
          <w:rPr>
            <w:rStyle w:val="Hyperlink"/>
          </w:rPr>
          <w:t>LA</w:t>
        </w:r>
      </w:hyperlink>
      <w:r w:rsidRPr="005633BF">
        <w:rPr>
          <w:rStyle w:val="Hyperlink"/>
        </w:rPr>
        <w:t xml:space="preserve"> </w:t>
      </w:r>
      <w:r w:rsidRPr="005633BF">
        <w:t>s 15DA(2)).</w:t>
      </w:r>
      <w:bookmarkEnd w:id="154"/>
    </w:p>
    <w:p w14:paraId="1B8E309D" w14:textId="5C4AA255" w:rsidR="00A83991" w:rsidRDefault="00A83991" w:rsidP="00A83991">
      <w:pPr>
        <w:pStyle w:val="BodyNum"/>
      </w:pPr>
      <w:bookmarkStart w:id="155" w:name="_Ref2949471"/>
      <w:r>
        <w:t>If the disallowable legislative instrument has already been disallowed in full by a House of the Parliament</w:t>
      </w:r>
      <w:r w:rsidR="00780039">
        <w:t>,</w:t>
      </w:r>
      <w:r>
        <w:t xml:space="preserve"> then the re</w:t>
      </w:r>
      <w:r>
        <w:noBreakHyphen/>
        <w:t>tabled instrument is not subject to a new disallowance perio</w:t>
      </w:r>
      <w:r w:rsidRPr="005633BF">
        <w:t>d (</w:t>
      </w:r>
      <w:hyperlink r:id="rId372" w:history="1">
        <w:r w:rsidRPr="005633BF">
          <w:rPr>
            <w:rStyle w:val="Hyperlink"/>
          </w:rPr>
          <w:t>LA</w:t>
        </w:r>
      </w:hyperlink>
      <w:r w:rsidRPr="005633BF">
        <w:rPr>
          <w:rStyle w:val="Hyperlink"/>
        </w:rPr>
        <w:t xml:space="preserve"> </w:t>
      </w:r>
      <w:r w:rsidRPr="005633BF">
        <w:t>s 15DA(4)). I</w:t>
      </w:r>
      <w:r>
        <w:t>n all other cases, a rectified disallowable legislative instrument extends or starts a new disallowance peri</w:t>
      </w:r>
      <w:r w:rsidRPr="005633BF">
        <w:t>od (</w:t>
      </w:r>
      <w:hyperlink r:id="rId373" w:history="1">
        <w:r w:rsidRPr="005633BF">
          <w:rPr>
            <w:rStyle w:val="Hyperlink"/>
          </w:rPr>
          <w:t>LA</w:t>
        </w:r>
      </w:hyperlink>
      <w:r w:rsidRPr="005633BF">
        <w:rPr>
          <w:rStyle w:val="Hyperlink"/>
        </w:rPr>
        <w:t xml:space="preserve"> </w:t>
      </w:r>
      <w:r w:rsidRPr="005633BF">
        <w:t>s 15DA(3</w:t>
      </w:r>
      <w:r w:rsidRPr="00FD274F">
        <w:t>)</w:t>
      </w:r>
      <w:r>
        <w:t>).</w:t>
      </w:r>
      <w:bookmarkEnd w:id="155"/>
    </w:p>
    <w:p w14:paraId="38EBAEDC" w14:textId="77777777" w:rsidR="00A83991" w:rsidRDefault="00A83991" w:rsidP="00A83991">
      <w:pPr>
        <w:pStyle w:val="BodyNum"/>
      </w:pPr>
      <w:bookmarkStart w:id="156" w:name="_Ref2949476"/>
      <w:r>
        <w:t>The following table summarises the impact of rectification on parliamentary processes for disallowable legislative instruments.</w:t>
      </w:r>
      <w:bookmarkEnd w:id="156"/>
    </w:p>
    <w:p w14:paraId="449FEDC3" w14:textId="77777777" w:rsidR="00A83991" w:rsidRPr="00DF6481" w:rsidRDefault="00A83991" w:rsidP="00A83991"/>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513"/>
        <w:gridCol w:w="4513"/>
      </w:tblGrid>
      <w:tr w:rsidR="00A83991" w:rsidRPr="00FD274F" w14:paraId="44A6040D" w14:textId="77777777" w:rsidTr="008373F5">
        <w:trPr>
          <w:cantSplit/>
          <w:tblHeader/>
        </w:trPr>
        <w:tc>
          <w:tcPr>
            <w:tcW w:w="4513" w:type="dxa"/>
            <w:tcBorders>
              <w:top w:val="single" w:sz="12" w:space="0" w:color="auto"/>
              <w:bottom w:val="single" w:sz="12" w:space="0" w:color="auto"/>
            </w:tcBorders>
          </w:tcPr>
          <w:p w14:paraId="46712263" w14:textId="77777777" w:rsidR="00A83991" w:rsidRPr="00FD274F" w:rsidRDefault="00A83991" w:rsidP="00A83991">
            <w:pPr>
              <w:pStyle w:val="TableHeading"/>
            </w:pPr>
            <w:r w:rsidRPr="00526C3D">
              <w:t>Time of rectification</w:t>
            </w:r>
          </w:p>
        </w:tc>
        <w:tc>
          <w:tcPr>
            <w:tcW w:w="4513" w:type="dxa"/>
            <w:tcBorders>
              <w:top w:val="single" w:sz="12" w:space="0" w:color="auto"/>
              <w:bottom w:val="single" w:sz="12" w:space="0" w:color="auto"/>
            </w:tcBorders>
          </w:tcPr>
          <w:p w14:paraId="7D4113EA" w14:textId="77777777" w:rsidR="00A83991" w:rsidRPr="00FD274F" w:rsidRDefault="00A83991" w:rsidP="00A83991">
            <w:pPr>
              <w:pStyle w:val="TableHeading"/>
            </w:pPr>
            <w:r>
              <w:t>Action</w:t>
            </w:r>
          </w:p>
        </w:tc>
      </w:tr>
      <w:tr w:rsidR="00A83991" w:rsidRPr="00FD274F" w14:paraId="6B372E95" w14:textId="77777777" w:rsidTr="008373F5">
        <w:trPr>
          <w:cantSplit/>
        </w:trPr>
        <w:tc>
          <w:tcPr>
            <w:tcW w:w="4513" w:type="dxa"/>
            <w:tcBorders>
              <w:top w:val="single" w:sz="12" w:space="0" w:color="auto"/>
            </w:tcBorders>
          </w:tcPr>
          <w:p w14:paraId="2FF62CEF" w14:textId="77777777" w:rsidR="00A83991" w:rsidRPr="00FD274F" w:rsidRDefault="00A83991" w:rsidP="00A83991">
            <w:pPr>
              <w:pStyle w:val="Tabletext"/>
            </w:pPr>
            <w:r>
              <w:t>The instrument is rectified before the original instrument has been tabled</w:t>
            </w:r>
          </w:p>
        </w:tc>
        <w:tc>
          <w:tcPr>
            <w:tcW w:w="4513" w:type="dxa"/>
            <w:tcBorders>
              <w:top w:val="single" w:sz="12" w:space="0" w:color="auto"/>
            </w:tcBorders>
          </w:tcPr>
          <w:p w14:paraId="122687DF" w14:textId="77777777" w:rsidR="00A83991" w:rsidRPr="00FD274F" w:rsidRDefault="00A83991" w:rsidP="00A83991">
            <w:pPr>
              <w:pStyle w:val="Tabletext"/>
            </w:pPr>
            <w:r>
              <w:t>The rectified instrument is tabled and normal parliamentary processes occur</w:t>
            </w:r>
          </w:p>
        </w:tc>
      </w:tr>
      <w:tr w:rsidR="00A83991" w:rsidRPr="00FD274F" w14:paraId="74FCC091" w14:textId="77777777" w:rsidTr="008373F5">
        <w:trPr>
          <w:cantSplit/>
        </w:trPr>
        <w:tc>
          <w:tcPr>
            <w:tcW w:w="4513" w:type="dxa"/>
            <w:tcBorders>
              <w:bottom w:val="single" w:sz="4" w:space="0" w:color="auto"/>
            </w:tcBorders>
          </w:tcPr>
          <w:p w14:paraId="3F02E94A" w14:textId="77777777" w:rsidR="00A83991" w:rsidRPr="00FD274F" w:rsidRDefault="00A83991" w:rsidP="00A83991">
            <w:pPr>
              <w:pStyle w:val="Tabletext"/>
            </w:pPr>
            <w:r>
              <w:t>The instrument is rectified after the original instrument has been tabled and the disallowance period has begun but no motion to disallow is on foot</w:t>
            </w:r>
          </w:p>
        </w:tc>
        <w:tc>
          <w:tcPr>
            <w:tcW w:w="4513" w:type="dxa"/>
            <w:tcBorders>
              <w:bottom w:val="single" w:sz="4" w:space="0" w:color="auto"/>
            </w:tcBorders>
          </w:tcPr>
          <w:p w14:paraId="6DBC89BB" w14:textId="77777777" w:rsidR="00A83991" w:rsidRPr="00FD274F" w:rsidRDefault="00A83991" w:rsidP="00A83991">
            <w:pPr>
              <w:pStyle w:val="Tabletext"/>
            </w:pPr>
            <w:r>
              <w:t>The rectified instrument is re</w:t>
            </w:r>
            <w:r>
              <w:noBreakHyphen/>
              <w:t>tabled and the disallowance period restarts (thereby extending) the disallowance period</w:t>
            </w:r>
          </w:p>
        </w:tc>
      </w:tr>
      <w:tr w:rsidR="00A83991" w:rsidRPr="00FD274F" w14:paraId="3B311259" w14:textId="77777777" w:rsidTr="008373F5">
        <w:trPr>
          <w:cantSplit/>
        </w:trPr>
        <w:tc>
          <w:tcPr>
            <w:tcW w:w="4513" w:type="dxa"/>
          </w:tcPr>
          <w:p w14:paraId="1F7481C6" w14:textId="77777777" w:rsidR="00A83991" w:rsidRDefault="00A83991" w:rsidP="00A83991">
            <w:pPr>
              <w:pStyle w:val="Tabletext"/>
            </w:pPr>
            <w:r>
              <w:lastRenderedPageBreak/>
              <w:t>The instrument is rectified after the original instrument has been tabled, the disallowance period has begun and notice of a motion to disallow is on foot</w:t>
            </w:r>
          </w:p>
        </w:tc>
        <w:tc>
          <w:tcPr>
            <w:tcW w:w="4513" w:type="dxa"/>
          </w:tcPr>
          <w:p w14:paraId="53A34F96" w14:textId="77777777" w:rsidR="00A83991" w:rsidRDefault="00A83991" w:rsidP="00A83991">
            <w:pPr>
              <w:pStyle w:val="Tabletext"/>
            </w:pPr>
            <w:r>
              <w:t>The rectified instrument is re</w:t>
            </w:r>
            <w:r>
              <w:noBreakHyphen/>
              <w:t>tabled and the disallowance period restarts (thereby extending) the disallowance period. The notice of motion is taken to have been given on the sitting day after the rectified instrument is tabled</w:t>
            </w:r>
          </w:p>
        </w:tc>
      </w:tr>
      <w:tr w:rsidR="00A83991" w:rsidRPr="00FD274F" w14:paraId="37BDD611" w14:textId="77777777" w:rsidTr="008373F5">
        <w:trPr>
          <w:cantSplit/>
        </w:trPr>
        <w:tc>
          <w:tcPr>
            <w:tcW w:w="4513" w:type="dxa"/>
          </w:tcPr>
          <w:p w14:paraId="6499A68A" w14:textId="77777777" w:rsidR="00A83991" w:rsidRPr="00FD274F" w:rsidRDefault="00A83991" w:rsidP="00A83991">
            <w:pPr>
              <w:pStyle w:val="Tabletext"/>
            </w:pPr>
            <w:r>
              <w:t>The instrument is rectified after the original instrument has been tabled and the instrument has been disallowed in full</w:t>
            </w:r>
          </w:p>
        </w:tc>
        <w:tc>
          <w:tcPr>
            <w:tcW w:w="4513" w:type="dxa"/>
          </w:tcPr>
          <w:p w14:paraId="7596DD89" w14:textId="77777777" w:rsidR="00A83991" w:rsidRPr="00FD274F" w:rsidRDefault="00A83991" w:rsidP="00A83991">
            <w:pPr>
              <w:pStyle w:val="Tabletext"/>
            </w:pPr>
            <w:r>
              <w:t>The rectified instrument is re</w:t>
            </w:r>
            <w:r>
              <w:noBreakHyphen/>
              <w:t>tabled but the disallowance period does not restart as the instrument has already been disallowed in full</w:t>
            </w:r>
          </w:p>
        </w:tc>
      </w:tr>
      <w:tr w:rsidR="00A83991" w:rsidRPr="00FD274F" w14:paraId="6FEB9024" w14:textId="77777777" w:rsidTr="008373F5">
        <w:trPr>
          <w:cantSplit/>
        </w:trPr>
        <w:tc>
          <w:tcPr>
            <w:tcW w:w="4513" w:type="dxa"/>
          </w:tcPr>
          <w:p w14:paraId="08CA296A" w14:textId="77777777" w:rsidR="00A83991" w:rsidRDefault="00A83991" w:rsidP="00A83991">
            <w:pPr>
              <w:pStyle w:val="Tabletext"/>
            </w:pPr>
            <w:r>
              <w:t>The instrument is rectified after the original instrument has been tabled, the disallowance period has begun and a motion to disallow the instrument in part has been passed</w:t>
            </w:r>
          </w:p>
        </w:tc>
        <w:tc>
          <w:tcPr>
            <w:tcW w:w="4513" w:type="dxa"/>
          </w:tcPr>
          <w:p w14:paraId="4EA375D0" w14:textId="77777777" w:rsidR="00A83991" w:rsidRDefault="00A83991" w:rsidP="00A83991">
            <w:pPr>
              <w:pStyle w:val="Tabletext"/>
            </w:pPr>
            <w:r>
              <w:t>The rectified instrument is re</w:t>
            </w:r>
            <w:r>
              <w:noBreakHyphen/>
              <w:t>tabled and the disallowance period restarts for the provisions of the instrument that have not already been disallowed</w:t>
            </w:r>
          </w:p>
        </w:tc>
      </w:tr>
      <w:tr w:rsidR="00A83991" w:rsidRPr="00FD274F" w14:paraId="4E6D0DF9" w14:textId="77777777" w:rsidTr="008373F5">
        <w:trPr>
          <w:cantSplit/>
        </w:trPr>
        <w:tc>
          <w:tcPr>
            <w:tcW w:w="4513" w:type="dxa"/>
            <w:tcBorders>
              <w:bottom w:val="single" w:sz="12" w:space="0" w:color="auto"/>
            </w:tcBorders>
          </w:tcPr>
          <w:p w14:paraId="3B059E47" w14:textId="77777777" w:rsidR="00A83991" w:rsidRDefault="00A83991" w:rsidP="00A83991">
            <w:pPr>
              <w:pStyle w:val="Tabletext"/>
            </w:pPr>
            <w:r>
              <w:t>The instrument is rectified after the original instrument has been tabled, the original disallowance period has ended and for solely amending or repealing instruments or provisions, s</w:t>
            </w:r>
            <w:r w:rsidRPr="005633BF">
              <w:t>ection 48A or 48C of the LA has ope</w:t>
            </w:r>
            <w:r>
              <w:t>rated and automatically repealed the instrument or provisions of the instrument</w:t>
            </w:r>
          </w:p>
        </w:tc>
        <w:tc>
          <w:tcPr>
            <w:tcW w:w="4513" w:type="dxa"/>
            <w:tcBorders>
              <w:bottom w:val="single" w:sz="12" w:space="0" w:color="auto"/>
            </w:tcBorders>
          </w:tcPr>
          <w:p w14:paraId="6195E488" w14:textId="77777777" w:rsidR="00A83991" w:rsidRDefault="00A83991" w:rsidP="00A83991">
            <w:pPr>
              <w:pStyle w:val="Tabletext"/>
            </w:pPr>
            <w:r>
              <w:t>The rectified instrument is re</w:t>
            </w:r>
            <w:r>
              <w:noBreakHyphen/>
              <w:t>tabled, the automatic repeal of the instrument or provisions of the instrument under s</w:t>
            </w:r>
            <w:r w:rsidRPr="005633BF">
              <w:t>ections 48A or 48C of the LA i</w:t>
            </w:r>
            <w:r>
              <w:t>s taken not to have occurred and a new disallowance period begins</w:t>
            </w:r>
          </w:p>
        </w:tc>
      </w:tr>
    </w:tbl>
    <w:p w14:paraId="48BDD7C2" w14:textId="77777777" w:rsidR="00A83991" w:rsidRPr="00FD274F" w:rsidRDefault="00A83991" w:rsidP="00A83991">
      <w:pPr>
        <w:pStyle w:val="Head3"/>
      </w:pPr>
      <w:bookmarkStart w:id="157" w:name="_Toc223687782"/>
      <w:r w:rsidRPr="00FD274F">
        <w:t>Scope for redaction or removal of registered documents</w:t>
      </w:r>
      <w:bookmarkEnd w:id="157"/>
    </w:p>
    <w:p w14:paraId="4374DF57" w14:textId="35767CFC" w:rsidR="008D21D5" w:rsidRPr="008D21D5" w:rsidRDefault="007A4898" w:rsidP="00B96441">
      <w:pPr>
        <w:pStyle w:val="BodyNum"/>
        <w:rPr>
          <w:rStyle w:val="Hyperlink"/>
          <w:color w:val="auto"/>
        </w:rPr>
      </w:pPr>
      <w:bookmarkStart w:id="158" w:name="_Ref435529190"/>
      <w:r>
        <w:t>There is limited scope for redaction</w:t>
      </w:r>
      <w:r w:rsidR="00EA154F">
        <w:t xml:space="preserve"> (blacking out)</w:t>
      </w:r>
      <w:r>
        <w:t xml:space="preserve"> of </w:t>
      </w:r>
      <w:r w:rsidR="00336CA3">
        <w:t>content on the Register.</w:t>
      </w:r>
      <w:r w:rsidR="001905DD">
        <w:t xml:space="preserve"> Section </w:t>
      </w:r>
      <w:r w:rsidR="00B51B63">
        <w:t>15</w:t>
      </w:r>
      <w:r w:rsidR="001905DD">
        <w:t xml:space="preserve"> of the </w:t>
      </w:r>
      <w:hyperlink r:id="rId374" w:history="1">
        <w:r w:rsidR="00B51B63" w:rsidRPr="00001937">
          <w:rPr>
            <w:rStyle w:val="Hyperlink"/>
          </w:rPr>
          <w:t>LR</w:t>
        </w:r>
      </w:hyperlink>
      <w:r w:rsidR="001905DD" w:rsidRPr="009B5976">
        <w:rPr>
          <w:rStyle w:val="Hyperlink"/>
          <w:color w:val="auto"/>
          <w:spacing w:val="-6"/>
        </w:rPr>
        <w:t xml:space="preserve"> pro</w:t>
      </w:r>
      <w:r w:rsidR="00E002C7" w:rsidRPr="009B5976">
        <w:rPr>
          <w:rStyle w:val="Hyperlink"/>
          <w:color w:val="auto"/>
          <w:spacing w:val="-6"/>
        </w:rPr>
        <w:t>vides that</w:t>
      </w:r>
      <w:r w:rsidR="00374505">
        <w:rPr>
          <w:rStyle w:val="Hyperlink"/>
          <w:color w:val="auto"/>
          <w:spacing w:val="-6"/>
        </w:rPr>
        <w:t xml:space="preserve"> the</w:t>
      </w:r>
      <w:r w:rsidR="00E002C7" w:rsidRPr="009B5976">
        <w:rPr>
          <w:rStyle w:val="Hyperlink"/>
          <w:color w:val="auto"/>
          <w:spacing w:val="-6"/>
        </w:rPr>
        <w:t xml:space="preserve"> First Parliamentary Counsel may redact personal information (within the meaning of the </w:t>
      </w:r>
      <w:hyperlink r:id="rId375" w:history="1">
        <w:r w:rsidR="006B2FE8" w:rsidRPr="002E3F8C">
          <w:rPr>
            <w:rStyle w:val="Hyperlink"/>
            <w:i/>
          </w:rPr>
          <w:t>Privacy Act 1988</w:t>
        </w:r>
      </w:hyperlink>
      <w:r w:rsidR="00E002C7" w:rsidRPr="006B2FE8">
        <w:rPr>
          <w:rStyle w:val="Hyperlink"/>
          <w:color w:val="auto"/>
          <w:spacing w:val="-6"/>
        </w:rPr>
        <w:t xml:space="preserve">) from </w:t>
      </w:r>
      <w:r w:rsidR="00B96441" w:rsidRPr="006B2FE8">
        <w:rPr>
          <w:rStyle w:val="Hyperlink"/>
          <w:color w:val="auto"/>
          <w:spacing w:val="-6"/>
        </w:rPr>
        <w:t xml:space="preserve">a </w:t>
      </w:r>
      <w:r w:rsidR="00E002C7" w:rsidRPr="006B2FE8">
        <w:rPr>
          <w:rStyle w:val="Hyperlink"/>
          <w:color w:val="auto"/>
          <w:spacing w:val="-6"/>
        </w:rPr>
        <w:t>document</w:t>
      </w:r>
      <w:r w:rsidR="00B96441" w:rsidRPr="006B2FE8">
        <w:rPr>
          <w:rStyle w:val="Hyperlink"/>
          <w:color w:val="auto"/>
          <w:spacing w:val="-6"/>
        </w:rPr>
        <w:t xml:space="preserve"> on the Register, other than a</w:t>
      </w:r>
      <w:r w:rsidR="00B51B63">
        <w:rPr>
          <w:rStyle w:val="Hyperlink"/>
          <w:color w:val="auto"/>
          <w:spacing w:val="-6"/>
        </w:rPr>
        <w:t>n Act, a</w:t>
      </w:r>
      <w:r w:rsidR="00B96441" w:rsidRPr="006B2FE8">
        <w:rPr>
          <w:rStyle w:val="Hyperlink"/>
          <w:color w:val="auto"/>
          <w:spacing w:val="-6"/>
        </w:rPr>
        <w:t xml:space="preserve"> legislative </w:t>
      </w:r>
      <w:r w:rsidR="00B51B63">
        <w:rPr>
          <w:rStyle w:val="Hyperlink"/>
          <w:color w:val="auto"/>
          <w:spacing w:val="-6"/>
        </w:rPr>
        <w:t xml:space="preserve">instrument </w:t>
      </w:r>
      <w:r w:rsidR="00B96441" w:rsidRPr="006B2FE8">
        <w:rPr>
          <w:rStyle w:val="Hyperlink"/>
          <w:color w:val="auto"/>
          <w:spacing w:val="-6"/>
        </w:rPr>
        <w:t>or</w:t>
      </w:r>
      <w:r w:rsidR="00B51B63">
        <w:rPr>
          <w:rStyle w:val="Hyperlink"/>
          <w:color w:val="auto"/>
          <w:spacing w:val="-6"/>
        </w:rPr>
        <w:t xml:space="preserve"> a</w:t>
      </w:r>
      <w:r w:rsidR="00B96441" w:rsidRPr="006B2FE8">
        <w:rPr>
          <w:rStyle w:val="Hyperlink"/>
          <w:color w:val="auto"/>
          <w:spacing w:val="-6"/>
        </w:rPr>
        <w:t xml:space="preserve"> notifiable instrument.</w:t>
      </w:r>
    </w:p>
    <w:p w14:paraId="6EF0F4E6" w14:textId="12562359" w:rsidR="009B5976" w:rsidRDefault="009B5976" w:rsidP="00B96441">
      <w:pPr>
        <w:pStyle w:val="BodyNum"/>
        <w:rPr>
          <w:rStyle w:val="Hyperlink"/>
          <w:color w:val="auto"/>
        </w:rPr>
      </w:pPr>
      <w:r>
        <w:rPr>
          <w:rStyle w:val="Hyperlink"/>
          <w:color w:val="auto"/>
        </w:rPr>
        <w:t xml:space="preserve">Neither the </w:t>
      </w:r>
      <w:hyperlink r:id="rId376" w:history="1">
        <w:r w:rsidRPr="005633BF">
          <w:rPr>
            <w:rStyle w:val="Hyperlink"/>
          </w:rPr>
          <w:t>LA</w:t>
        </w:r>
      </w:hyperlink>
      <w:r>
        <w:rPr>
          <w:rStyle w:val="Hyperlink"/>
        </w:rPr>
        <w:t xml:space="preserve"> </w:t>
      </w:r>
      <w:r>
        <w:rPr>
          <w:rStyle w:val="Hyperlink"/>
          <w:color w:val="auto"/>
        </w:rPr>
        <w:t xml:space="preserve">nor the </w:t>
      </w:r>
      <w:hyperlink r:id="rId377" w:history="1">
        <w:r w:rsidR="00044E00" w:rsidRPr="00001937">
          <w:rPr>
            <w:rStyle w:val="Hyperlink"/>
          </w:rPr>
          <w:t>LR</w:t>
        </w:r>
      </w:hyperlink>
      <w:r>
        <w:rPr>
          <w:rStyle w:val="Hyperlink"/>
          <w:color w:val="auto"/>
        </w:rPr>
        <w:t xml:space="preserve"> make provision for the removal of any document that is required to be registered, </w:t>
      </w:r>
      <w:r w:rsidR="00302E78">
        <w:rPr>
          <w:rStyle w:val="Hyperlink"/>
          <w:color w:val="auto"/>
        </w:rPr>
        <w:t>so it is important</w:t>
      </w:r>
      <w:r w:rsidR="00D16C95">
        <w:rPr>
          <w:rStyle w:val="Hyperlink"/>
          <w:color w:val="auto"/>
        </w:rPr>
        <w:t xml:space="preserve"> that</w:t>
      </w:r>
      <w:r w:rsidR="00BD2897">
        <w:rPr>
          <w:rStyle w:val="Hyperlink"/>
          <w:color w:val="auto"/>
        </w:rPr>
        <w:t xml:space="preserve"> any material lodged for registration is appropriate for </w:t>
      </w:r>
      <w:r w:rsidR="007E13AF">
        <w:rPr>
          <w:rStyle w:val="Hyperlink"/>
          <w:color w:val="auto"/>
        </w:rPr>
        <w:t>public access.</w:t>
      </w:r>
    </w:p>
    <w:p w14:paraId="5F136C62" w14:textId="2C295F4A" w:rsidR="00A83991" w:rsidRPr="00FD274F" w:rsidRDefault="00A83991" w:rsidP="00A83991">
      <w:pPr>
        <w:pStyle w:val="BodyNum"/>
      </w:pPr>
      <w:bookmarkStart w:id="159" w:name="_Ref184283856"/>
      <w:r w:rsidRPr="00FD274F">
        <w:t xml:space="preserve">If your agency has </w:t>
      </w:r>
      <w:r w:rsidR="00302E78">
        <w:t xml:space="preserve">any </w:t>
      </w:r>
      <w:r w:rsidRPr="00FD274F">
        <w:t>concerns about the content of a registered document, please contact OPC (</w:t>
      </w:r>
      <w:hyperlink r:id="rId378" w:history="1">
        <w:hyperlink r:id="rId379" w:history="1">
          <w:r w:rsidRPr="00FD274F">
            <w:rPr>
              <w:rStyle w:val="Hyperlink"/>
              <w:rFonts w:eastAsiaTheme="minorHAnsi"/>
              <w:szCs w:val="24"/>
              <w:lang w:eastAsia="en-US"/>
            </w:rPr>
            <w:t>lodge@legislation.gov.au</w:t>
          </w:r>
        </w:hyperlink>
      </w:hyperlink>
      <w:r w:rsidR="00D95E8D">
        <w:rPr>
          <w:rStyle w:val="Hyperlink"/>
          <w:rFonts w:eastAsiaTheme="minorHAnsi"/>
          <w:szCs w:val="24"/>
          <w:lang w:eastAsia="en-US"/>
        </w:rPr>
        <w:t xml:space="preserve"> </w:t>
      </w:r>
      <w:r w:rsidR="00D95E8D" w:rsidRPr="00FD274F">
        <w:rPr>
          <w:color w:val="000000"/>
          <w:spacing w:val="-2"/>
          <w:szCs w:val="24"/>
        </w:rPr>
        <w:t xml:space="preserve">or (02) </w:t>
      </w:r>
      <w:r w:rsidR="00D95E8D" w:rsidRPr="00FD274F">
        <w:rPr>
          <w:spacing w:val="-2"/>
          <w:szCs w:val="24"/>
        </w:rPr>
        <w:t>6120 1350</w:t>
      </w:r>
      <w:r>
        <w:rPr>
          <w:szCs w:val="24"/>
        </w:rPr>
        <w:t xml:space="preserve">) </w:t>
      </w:r>
      <w:r w:rsidRPr="00FD274F">
        <w:t>to discuss the issues and options. It may be possible, for example, to clarify the status of an instrument by adding information or documents such as a court judgement.</w:t>
      </w:r>
      <w:bookmarkEnd w:id="159"/>
    </w:p>
    <w:p w14:paraId="76D009A7" w14:textId="4188A0EA" w:rsidR="004F066C" w:rsidRPr="00FD274F" w:rsidRDefault="004F066C" w:rsidP="004F066C">
      <w:pPr>
        <w:pStyle w:val="Head3"/>
      </w:pPr>
      <w:bookmarkStart w:id="160" w:name="_Toc223687783"/>
      <w:bookmarkEnd w:id="158"/>
      <w:r w:rsidRPr="00FD274F">
        <w:t>Scope for re</w:t>
      </w:r>
      <w:r>
        <w:t>moval of reviewing comments</w:t>
      </w:r>
      <w:bookmarkEnd w:id="160"/>
    </w:p>
    <w:p w14:paraId="0FD495BE" w14:textId="6E0D58BC" w:rsidR="003F6AC6" w:rsidRPr="00CA6864" w:rsidRDefault="004F066C" w:rsidP="00CA6864">
      <w:pPr>
        <w:pStyle w:val="BodyNum"/>
        <w:rPr>
          <w:rStyle w:val="Hyperlink"/>
          <w:color w:val="auto"/>
        </w:rPr>
      </w:pPr>
      <w:r>
        <w:t>There is scope for</w:t>
      </w:r>
      <w:r w:rsidR="00345044">
        <w:t xml:space="preserve"> the removal of reviewing comments </w:t>
      </w:r>
      <w:r>
        <w:t>on the Register. Section 1</w:t>
      </w:r>
      <w:r w:rsidR="00374505">
        <w:t>6</w:t>
      </w:r>
      <w:r>
        <w:t xml:space="preserve"> of the </w:t>
      </w:r>
      <w:hyperlink r:id="rId380" w:history="1">
        <w:r w:rsidRPr="00001937">
          <w:rPr>
            <w:rStyle w:val="Hyperlink"/>
          </w:rPr>
          <w:t>LR</w:t>
        </w:r>
      </w:hyperlink>
      <w:r w:rsidRPr="009B5976">
        <w:rPr>
          <w:rStyle w:val="Hyperlink"/>
          <w:color w:val="auto"/>
          <w:spacing w:val="-6"/>
        </w:rPr>
        <w:t xml:space="preserve"> provides that </w:t>
      </w:r>
      <w:r w:rsidR="00374505">
        <w:rPr>
          <w:rStyle w:val="Hyperlink"/>
          <w:color w:val="auto"/>
          <w:spacing w:val="-6"/>
        </w:rPr>
        <w:t xml:space="preserve">the </w:t>
      </w:r>
      <w:r w:rsidRPr="009B5976">
        <w:rPr>
          <w:rStyle w:val="Hyperlink"/>
          <w:color w:val="auto"/>
          <w:spacing w:val="-6"/>
        </w:rPr>
        <w:t xml:space="preserve">First Parliamentary Counsel </w:t>
      </w:r>
      <w:r w:rsidR="00374505" w:rsidRPr="00E8679D">
        <w:t>may remove any reviewing comments from a document on the Register (other than an Act, a legislative instrument or a notifiable instrument) if the First Parliamentary Counsel is satisfied that the inclusion of the comments in the document is an error.</w:t>
      </w:r>
      <w:r w:rsidR="00CA6864">
        <w:t xml:space="preserve"> </w:t>
      </w:r>
      <w:r w:rsidR="003F6AC6">
        <w:t xml:space="preserve">Prior to removal, the First Parliamentary Counsel </w:t>
      </w:r>
      <w:r w:rsidR="003F6AC6" w:rsidRPr="00CA6864">
        <w:rPr>
          <w:szCs w:val="24"/>
        </w:rPr>
        <w:t>will consult with the rule-maker to be satisfied that the inclusion was in error and without legal effect.</w:t>
      </w:r>
    </w:p>
    <w:p w14:paraId="0731CCDD" w14:textId="77777777" w:rsidR="00A83991" w:rsidRPr="00FD274F" w:rsidRDefault="00A83991" w:rsidP="00A83991">
      <w:pPr>
        <w:pStyle w:val="Head3"/>
      </w:pPr>
      <w:bookmarkStart w:id="161" w:name="_Toc223687784"/>
      <w:r w:rsidRPr="00FD274F">
        <w:t>Scope for republication of registered content</w:t>
      </w:r>
      <w:bookmarkEnd w:id="161"/>
    </w:p>
    <w:p w14:paraId="1C8CE4EC" w14:textId="212EDE99" w:rsidR="00A83991" w:rsidRPr="00FD274F" w:rsidRDefault="00A83991" w:rsidP="00A83991">
      <w:pPr>
        <w:pStyle w:val="BodyNum"/>
      </w:pPr>
      <w:bookmarkStart w:id="162" w:name="_Ref441250050"/>
      <w:bookmarkStart w:id="163" w:name="_Ref422933070"/>
      <w:bookmarkStart w:id="164" w:name="_Ref422907436"/>
      <w:r w:rsidRPr="00FD274F">
        <w:t>It is possible to make authorised versions of registered documents from the PDF files published on the Register (</w:t>
      </w:r>
      <w:hyperlink r:id="rId381" w:history="1">
        <w:r w:rsidR="00B51B63" w:rsidRPr="00001937">
          <w:rPr>
            <w:rStyle w:val="Hyperlink"/>
          </w:rPr>
          <w:t>LR</w:t>
        </w:r>
      </w:hyperlink>
      <w:r w:rsidRPr="0049119D">
        <w:t xml:space="preserve"> s </w:t>
      </w:r>
      <w:r w:rsidR="00B51B63">
        <w:t>18</w:t>
      </w:r>
      <w:r w:rsidRPr="0049119D">
        <w:t>(1)). The</w:t>
      </w:r>
      <w:r w:rsidRPr="00FD274F">
        <w:t xml:space="preserve"> electronic version, and any print version that is </w:t>
      </w:r>
      <w:r w:rsidRPr="00FD274F">
        <w:lastRenderedPageBreak/>
        <w:t xml:space="preserve">made from it, must also contain a specific phrase, such as “Authorised version” as used from March 2016. For a complete list of specified phrases, see </w:t>
      </w:r>
      <w:r w:rsidRPr="0049119D">
        <w:t>subsection 1</w:t>
      </w:r>
      <w:r w:rsidR="00B51B63">
        <w:t>8</w:t>
      </w:r>
      <w:r w:rsidRPr="0049119D">
        <w:t xml:space="preserve">(2) of the </w:t>
      </w:r>
      <w:hyperlink r:id="rId382" w:history="1">
        <w:r w:rsidR="00B51B63" w:rsidRPr="009D7738">
          <w:rPr>
            <w:rStyle w:val="Hyperlink"/>
          </w:rPr>
          <w:t>LR</w:t>
        </w:r>
      </w:hyperlink>
      <w:r w:rsidRPr="0049119D">
        <w:t>.</w:t>
      </w:r>
      <w:bookmarkEnd w:id="162"/>
    </w:p>
    <w:p w14:paraId="6436F2C5" w14:textId="1C9D883B" w:rsidR="00A83991" w:rsidRPr="00FD274F" w:rsidRDefault="00A83991" w:rsidP="00A83991">
      <w:pPr>
        <w:pStyle w:val="BodyNum"/>
      </w:pPr>
      <w:bookmarkStart w:id="165" w:name="_Ref474413213"/>
      <w:r w:rsidRPr="00FD274F">
        <w:t xml:space="preserve">Wholesale or commercial reproduction of registered content is subject to the </w:t>
      </w:r>
      <w:hyperlink r:id="rId383" w:history="1">
        <w:r w:rsidRPr="0049119D">
          <w:rPr>
            <w:rStyle w:val="Hyperlink"/>
            <w:i/>
          </w:rPr>
          <w:t>Copyright Act 1968</w:t>
        </w:r>
      </w:hyperlink>
      <w:r w:rsidRPr="0049119D">
        <w:t>,</w:t>
      </w:r>
      <w:r w:rsidRPr="00FD274F">
        <w:t xml:space="preserve"> other relevant laws and the relevant Creative Commons licence. However, there are still some restrictions on </w:t>
      </w:r>
      <w:r>
        <w:t xml:space="preserve">the </w:t>
      </w:r>
      <w:r w:rsidRPr="00FD274F">
        <w:t xml:space="preserve">use of some content (such as the Commonwealth coat of arms). Please refer to the </w:t>
      </w:r>
      <w:hyperlink r:id="rId384" w:history="1">
        <w:r w:rsidRPr="0049119D">
          <w:rPr>
            <w:rStyle w:val="Hyperlink"/>
          </w:rPr>
          <w:t xml:space="preserve">copyright notice on the Register website </w:t>
        </w:r>
      </w:hyperlink>
      <w:bookmarkEnd w:id="163"/>
      <w:r w:rsidRPr="0049119D">
        <w:t>f</w:t>
      </w:r>
      <w:r w:rsidRPr="00FD274F">
        <w:t>or details.</w:t>
      </w:r>
      <w:bookmarkEnd w:id="165"/>
    </w:p>
    <w:p w14:paraId="2B0C62E2" w14:textId="5BA5CDD0" w:rsidR="00A83991" w:rsidRPr="00FD274F" w:rsidRDefault="00A83991" w:rsidP="00A83991">
      <w:pPr>
        <w:pStyle w:val="BodyNum"/>
      </w:pPr>
      <w:bookmarkStart w:id="166" w:name="_Ref444779699"/>
      <w:r w:rsidRPr="00FD274F">
        <w:t>Agencies wishing to reproduce registered co</w:t>
      </w:r>
      <w:r>
        <w:t xml:space="preserve">ntent should also be aware that this </w:t>
      </w:r>
      <w:r w:rsidRPr="00FD274F">
        <w:t xml:space="preserve">has inherent risks </w:t>
      </w:r>
      <w:r>
        <w:t>as</w:t>
      </w:r>
      <w:r w:rsidRPr="00FD274F">
        <w:t xml:space="preserve"> the law is subject to change</w:t>
      </w:r>
      <w:r>
        <w:t xml:space="preserve">. </w:t>
      </w:r>
      <w:r w:rsidR="00E24D75">
        <w:t>In particular, f</w:t>
      </w:r>
      <w:r w:rsidR="00E24D75" w:rsidRPr="00FD274F">
        <w:t xml:space="preserve">ailure </w:t>
      </w:r>
      <w:r w:rsidRPr="00FD274F">
        <w:t>to keep agency websites up</w:t>
      </w:r>
      <w:r w:rsidR="0002651C">
        <w:t xml:space="preserve"> </w:t>
      </w:r>
      <w:r w:rsidRPr="00FD274F">
        <w:t>to</w:t>
      </w:r>
      <w:r w:rsidR="0002651C">
        <w:t xml:space="preserve"> </w:t>
      </w:r>
      <w:r w:rsidRPr="00FD274F">
        <w:t xml:space="preserve">date may </w:t>
      </w:r>
      <w:bookmarkEnd w:id="164"/>
      <w:r w:rsidRPr="00FD274F">
        <w:t>raise questions of legal liability. It may, therefore, be better to provide simple links to relevant content on the Register. This can be done</w:t>
      </w:r>
      <w:r w:rsidR="00985845">
        <w:t xml:space="preserve"> using the link format in the following table</w:t>
      </w:r>
      <w:r w:rsidR="00367041">
        <w:t>:</w:t>
      </w:r>
      <w:bookmarkEnd w:id="166"/>
      <w:r w:rsidRPr="00FD274F">
        <w:br/>
      </w: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513"/>
        <w:gridCol w:w="4513"/>
      </w:tblGrid>
      <w:tr w:rsidR="00A83991" w:rsidRPr="00FD274F" w14:paraId="08D66F93" w14:textId="77777777" w:rsidTr="00A83991">
        <w:trPr>
          <w:tblHeader/>
        </w:trPr>
        <w:tc>
          <w:tcPr>
            <w:tcW w:w="4513" w:type="dxa"/>
            <w:tcBorders>
              <w:top w:val="single" w:sz="12" w:space="0" w:color="auto"/>
              <w:bottom w:val="single" w:sz="12" w:space="0" w:color="auto"/>
            </w:tcBorders>
          </w:tcPr>
          <w:p w14:paraId="153A407C" w14:textId="77777777" w:rsidR="00A83991" w:rsidRPr="00FD274F" w:rsidRDefault="00A83991" w:rsidP="00A83991">
            <w:pPr>
              <w:pStyle w:val="TableHeading"/>
            </w:pPr>
            <w:r w:rsidRPr="00FD274F">
              <w:t>Use this link format</w:t>
            </w:r>
          </w:p>
        </w:tc>
        <w:tc>
          <w:tcPr>
            <w:tcW w:w="4513" w:type="dxa"/>
            <w:tcBorders>
              <w:top w:val="single" w:sz="12" w:space="0" w:color="auto"/>
              <w:bottom w:val="single" w:sz="12" w:space="0" w:color="auto"/>
            </w:tcBorders>
          </w:tcPr>
          <w:p w14:paraId="76C89A5A" w14:textId="77777777" w:rsidR="00A83991" w:rsidRPr="00FD274F" w:rsidRDefault="00A83991" w:rsidP="00A83991">
            <w:pPr>
              <w:pStyle w:val="TableHeading"/>
            </w:pPr>
            <w:r>
              <w:t>To link users to</w:t>
            </w:r>
          </w:p>
        </w:tc>
      </w:tr>
      <w:tr w:rsidR="00A83991" w:rsidRPr="00FD274F" w14:paraId="5641E7EB" w14:textId="790CD42A" w:rsidTr="00A83991">
        <w:tc>
          <w:tcPr>
            <w:tcW w:w="4513" w:type="dxa"/>
            <w:tcBorders>
              <w:top w:val="single" w:sz="12" w:space="0" w:color="auto"/>
            </w:tcBorders>
          </w:tcPr>
          <w:p w14:paraId="25831E11" w14:textId="1D3A4706" w:rsidR="00A83991" w:rsidRPr="00FD274F" w:rsidRDefault="00A83991" w:rsidP="00A83991">
            <w:pPr>
              <w:pStyle w:val="Tabletext"/>
            </w:pPr>
            <w:r w:rsidRPr="00FD274F">
              <w:t>www.legislation.gov.au/</w:t>
            </w:r>
            <w:r w:rsidR="00024C3A">
              <w:t>[Title ID]</w:t>
            </w:r>
            <w:r w:rsidR="00642748">
              <w:t>/</w:t>
            </w:r>
            <w:proofErr w:type="spellStart"/>
            <w:r w:rsidR="00642748">
              <w:t>yyyy</w:t>
            </w:r>
            <w:proofErr w:type="spellEnd"/>
            <w:r w:rsidR="00642748">
              <w:t>-</w:t>
            </w:r>
            <w:r w:rsidR="009550BC">
              <w:t>mm-dd/text</w:t>
            </w:r>
          </w:p>
        </w:tc>
        <w:tc>
          <w:tcPr>
            <w:tcW w:w="4513" w:type="dxa"/>
            <w:tcBorders>
              <w:top w:val="single" w:sz="12" w:space="0" w:color="auto"/>
            </w:tcBorders>
          </w:tcPr>
          <w:p w14:paraId="3225267A" w14:textId="67ED7C33" w:rsidR="00A83991" w:rsidRPr="00FD274F" w:rsidRDefault="009550BC" w:rsidP="00A83991">
            <w:pPr>
              <w:pStyle w:val="Tabletext"/>
            </w:pPr>
            <w:r>
              <w:t xml:space="preserve">that point in time version of a </w:t>
            </w:r>
            <w:r w:rsidR="00A83991" w:rsidRPr="00FD274F">
              <w:t>law—not recommended unless the intent is to link to a historic version</w:t>
            </w:r>
          </w:p>
        </w:tc>
      </w:tr>
      <w:tr w:rsidR="00A83991" w:rsidRPr="00FD274F" w14:paraId="7C177E18" w14:textId="77777777" w:rsidTr="00A83991">
        <w:tc>
          <w:tcPr>
            <w:tcW w:w="4513" w:type="dxa"/>
            <w:tcBorders>
              <w:bottom w:val="single" w:sz="4" w:space="0" w:color="auto"/>
            </w:tcBorders>
          </w:tcPr>
          <w:p w14:paraId="396AF4CB" w14:textId="1CC295C2" w:rsidR="00A83991" w:rsidRPr="00FD274F" w:rsidRDefault="00A83991" w:rsidP="00A83991">
            <w:pPr>
              <w:pStyle w:val="Tabletext"/>
            </w:pPr>
            <w:r w:rsidRPr="00FD274F">
              <w:t>www.legislation.gov.au/</w:t>
            </w:r>
            <w:r w:rsidR="00024C3A">
              <w:t>[Title ID]</w:t>
            </w:r>
            <w:r w:rsidR="004E7C15">
              <w:t>/latest</w:t>
            </w:r>
          </w:p>
        </w:tc>
        <w:tc>
          <w:tcPr>
            <w:tcW w:w="4513" w:type="dxa"/>
            <w:tcBorders>
              <w:bottom w:val="single" w:sz="4" w:space="0" w:color="auto"/>
            </w:tcBorders>
          </w:tcPr>
          <w:p w14:paraId="573DE217" w14:textId="77777777" w:rsidR="00A83991" w:rsidRPr="00FD274F" w:rsidRDefault="00A83991" w:rsidP="00A83991">
            <w:pPr>
              <w:pStyle w:val="Tabletext"/>
            </w:pPr>
            <w:r w:rsidRPr="00FD274F">
              <w:t>the latest version of a law</w:t>
            </w:r>
          </w:p>
        </w:tc>
      </w:tr>
      <w:tr w:rsidR="00A83991" w:rsidRPr="00FD274F" w14:paraId="39CA1B21" w14:textId="77777777" w:rsidTr="00A83991">
        <w:tc>
          <w:tcPr>
            <w:tcW w:w="4513" w:type="dxa"/>
            <w:tcBorders>
              <w:bottom w:val="single" w:sz="12" w:space="0" w:color="auto"/>
            </w:tcBorders>
          </w:tcPr>
          <w:p w14:paraId="2C4D5495" w14:textId="6FF7F629" w:rsidR="00642748" w:rsidRPr="00FD274F" w:rsidRDefault="00A83991" w:rsidP="00A83991">
            <w:pPr>
              <w:pStyle w:val="Tabletext"/>
            </w:pPr>
            <w:r w:rsidRPr="00FD274F">
              <w:t>www.legislation.gov.au/</w:t>
            </w:r>
            <w:r w:rsidR="00024C3A">
              <w:t>[Title ID]</w:t>
            </w:r>
            <w:r w:rsidR="00356ED5">
              <w:t>/</w:t>
            </w:r>
            <w:r w:rsidR="004E7C15">
              <w:t>l</w:t>
            </w:r>
            <w:r w:rsidR="00356ED5">
              <w:t>atest/</w:t>
            </w:r>
            <w:r w:rsidR="004E7C15">
              <w:t>v</w:t>
            </w:r>
            <w:r w:rsidR="00356ED5">
              <w:t>ersions</w:t>
            </w:r>
          </w:p>
        </w:tc>
        <w:tc>
          <w:tcPr>
            <w:tcW w:w="4513" w:type="dxa"/>
            <w:tcBorders>
              <w:bottom w:val="single" w:sz="12" w:space="0" w:color="auto"/>
            </w:tcBorders>
          </w:tcPr>
          <w:p w14:paraId="2DB2A754" w14:textId="1B15D767" w:rsidR="00A83991" w:rsidRPr="00FD274F" w:rsidRDefault="00A83991" w:rsidP="00A83991">
            <w:pPr>
              <w:pStyle w:val="Tabletext"/>
            </w:pPr>
            <w:r w:rsidRPr="00FD274F">
              <w:t xml:space="preserve">the </w:t>
            </w:r>
            <w:r w:rsidR="004D5D6E">
              <w:t>All versions</w:t>
            </w:r>
            <w:r w:rsidR="004D5D6E" w:rsidRPr="00FD274F">
              <w:t xml:space="preserve"> </w:t>
            </w:r>
            <w:r w:rsidR="002879D8">
              <w:t>tab</w:t>
            </w:r>
            <w:r w:rsidRPr="00FD274F">
              <w:t>, which shows all available versions of a law</w:t>
            </w:r>
          </w:p>
        </w:tc>
      </w:tr>
    </w:tbl>
    <w:p w14:paraId="73F26D6D" w14:textId="39E5A5EC" w:rsidR="00367041" w:rsidRPr="00FD274F" w:rsidRDefault="00367041" w:rsidP="00367041">
      <w:pPr>
        <w:pStyle w:val="noteToPara"/>
        <w:ind w:left="1429"/>
      </w:pPr>
      <w:bookmarkStart w:id="167" w:name="_Ref444792746"/>
      <w:r w:rsidRPr="00FD274F">
        <w:t>Note:</w:t>
      </w:r>
      <w:r w:rsidRPr="00FD274F">
        <w:tab/>
      </w:r>
      <w:r>
        <w:t>A Title ID is the ID given to the as made version of a title.</w:t>
      </w:r>
      <w:r w:rsidR="003E6994">
        <w:t xml:space="preserve"> </w:t>
      </w:r>
      <w:r>
        <w:t xml:space="preserve">For an instrument, it appears in the format of </w:t>
      </w:r>
      <w:proofErr w:type="spellStart"/>
      <w:r>
        <w:t>FYYYYLNNNNNN</w:t>
      </w:r>
      <w:proofErr w:type="spellEnd"/>
      <w:r w:rsidR="00931097">
        <w:t>.</w:t>
      </w:r>
      <w:r w:rsidR="00F965F6">
        <w:t xml:space="preserve"> </w:t>
      </w:r>
      <w:r w:rsidR="00000846">
        <w:t xml:space="preserve">for example </w:t>
      </w:r>
      <w:r w:rsidR="00000846" w:rsidRPr="00000846">
        <w:t>F2016L00229</w:t>
      </w:r>
      <w:r w:rsidR="00931097">
        <w:t>.</w:t>
      </w:r>
      <w:r w:rsidR="00000846">
        <w:t xml:space="preserve"> </w:t>
      </w:r>
      <w:r w:rsidR="00931097">
        <w:t>The Title ID can be found on the Details tab for a title on the Register.</w:t>
      </w:r>
    </w:p>
    <w:p w14:paraId="4279405A" w14:textId="7FD2B709" w:rsidR="00AA22E4" w:rsidRDefault="00AA22E4" w:rsidP="00A83991">
      <w:pPr>
        <w:pStyle w:val="BodyNum"/>
      </w:pPr>
      <w:r>
        <w:t xml:space="preserve"> For more information about links, please refer to </w:t>
      </w:r>
      <w:r w:rsidR="00E80F84">
        <w:t xml:space="preserve">the </w:t>
      </w:r>
      <w:hyperlink r:id="rId385" w:history="1">
        <w:r w:rsidR="00E80F84" w:rsidRPr="000D4CFA">
          <w:rPr>
            <w:rStyle w:val="Hyperlink"/>
          </w:rPr>
          <w:t>guidance on linking and downloads</w:t>
        </w:r>
        <w:r w:rsidR="000D4CFA" w:rsidRPr="000D4CFA">
          <w:rPr>
            <w:rStyle w:val="Hyperlink"/>
          </w:rPr>
          <w:t xml:space="preserve"> on the Register website</w:t>
        </w:r>
      </w:hyperlink>
      <w:r w:rsidR="00E80F84">
        <w:t>.</w:t>
      </w:r>
    </w:p>
    <w:p w14:paraId="197FA41F" w14:textId="30F265A0" w:rsidR="00A83991" w:rsidRPr="00FD274F" w:rsidRDefault="00A83991" w:rsidP="00A83991">
      <w:pPr>
        <w:pStyle w:val="BodyNum"/>
      </w:pPr>
      <w:bookmarkStart w:id="168" w:name="_Ref184283908"/>
      <w:r w:rsidRPr="00FD274F">
        <w:t xml:space="preserve">If an agency still wants or needs to reproduce registered content, it would be prudent to do so using the authorised version as described in </w:t>
      </w:r>
      <w:r w:rsidRPr="00507B09">
        <w:t xml:space="preserve">paragraph </w:t>
      </w:r>
      <w:r w:rsidRPr="005633BF">
        <w:fldChar w:fldCharType="begin"/>
      </w:r>
      <w:r w:rsidRPr="00507B09">
        <w:instrText xml:space="preserve"> REF _Ref441250050 \r \h  \* MERGEFORMAT </w:instrText>
      </w:r>
      <w:r w:rsidRPr="005633BF">
        <w:fldChar w:fldCharType="separate"/>
      </w:r>
      <w:r w:rsidR="00AB105F">
        <w:t>238</w:t>
      </w:r>
      <w:r w:rsidRPr="005633BF">
        <w:fldChar w:fldCharType="end"/>
      </w:r>
      <w:r w:rsidRPr="00507B09">
        <w:t>,</w:t>
      </w:r>
      <w:r w:rsidRPr="00FD274F">
        <w:t xml:space="preserve"> and also to include an </w:t>
      </w:r>
      <w:hyperlink r:id="rId386" w:history="1">
        <w:r w:rsidRPr="0049119D">
          <w:rPr>
            <w:rStyle w:val="Hyperlink"/>
          </w:rPr>
          <w:t>appropriate attribution</w:t>
        </w:r>
      </w:hyperlink>
      <w:r w:rsidRPr="0049119D">
        <w:t xml:space="preserve"> s</w:t>
      </w:r>
      <w:r w:rsidRPr="00FD274F">
        <w:t>o that users can easily check the Register for up</w:t>
      </w:r>
      <w:r>
        <w:noBreakHyphen/>
      </w:r>
      <w:r w:rsidRPr="00FD274F">
        <w:t>to</w:t>
      </w:r>
      <w:r>
        <w:noBreakHyphen/>
      </w:r>
      <w:r w:rsidRPr="00FD274F">
        <w:t>date information.</w:t>
      </w:r>
      <w:bookmarkEnd w:id="167"/>
      <w:bookmarkEnd w:id="168"/>
    </w:p>
    <w:p w14:paraId="50C7F8A6" w14:textId="4660C4FD" w:rsidR="00A83991" w:rsidRPr="00FD274F" w:rsidRDefault="00A83991" w:rsidP="00A83991">
      <w:pPr>
        <w:pStyle w:val="BodyNum"/>
      </w:pPr>
      <w:r w:rsidRPr="00FD274F">
        <w:t>Agencies can also order bound print copies of registered documents online, by locating the relevant document on the Register and using the “Buy Print Copy” facility.</w:t>
      </w:r>
      <w:r w:rsidR="002B7BF7">
        <w:t xml:space="preserve"> </w:t>
      </w:r>
      <w:r w:rsidRPr="00FD274F">
        <w:t>Please email OPC (</w:t>
      </w:r>
      <w:hyperlink r:id="rId387" w:history="1">
        <w:hyperlink r:id="rId388" w:history="1">
          <w:r w:rsidRPr="00FD274F">
            <w:rPr>
              <w:rStyle w:val="Hyperlink"/>
              <w:rFonts w:eastAsiaTheme="minorHAnsi"/>
              <w:szCs w:val="24"/>
              <w:lang w:eastAsia="en-US"/>
            </w:rPr>
            <w:t>lodge@legislation.gov.au</w:t>
          </w:r>
        </w:hyperlink>
      </w:hyperlink>
      <w:r>
        <w:rPr>
          <w:szCs w:val="24"/>
        </w:rPr>
        <w:t>)</w:t>
      </w:r>
      <w:r w:rsidRPr="00FD274F">
        <w:t xml:space="preserve"> if your agency would like </w:t>
      </w:r>
      <w:r>
        <w:t xml:space="preserve">to enquire about purchasing copies of </w:t>
      </w:r>
      <w:r w:rsidRPr="00FD274F">
        <w:t>legislati</w:t>
      </w:r>
      <w:r>
        <w:t>on that cannot be ordered online or has not commenced.</w:t>
      </w:r>
    </w:p>
    <w:p w14:paraId="229AEBC5" w14:textId="2FB98DEF" w:rsidR="00A83991" w:rsidRPr="00FD274F" w:rsidRDefault="00A83991" w:rsidP="00A83991">
      <w:pPr>
        <w:pStyle w:val="BodyNum"/>
      </w:pPr>
      <w:r w:rsidRPr="00FD274F">
        <w:t xml:space="preserve">If your agency receives a request about copyright of content that it has contributed to the Register, please review the </w:t>
      </w:r>
      <w:hyperlink r:id="rId389" w:history="1">
        <w:r w:rsidRPr="0049119D">
          <w:rPr>
            <w:rStyle w:val="Hyperlink"/>
          </w:rPr>
          <w:t>copyright permissions for the Register website</w:t>
        </w:r>
      </w:hyperlink>
      <w:r w:rsidRPr="0049119D">
        <w:t>.</w:t>
      </w:r>
      <w:r w:rsidRPr="00FD274F">
        <w:t xml:space="preserve"> It may be that no additional permission is required. Alternatively, if the request involves the issues identifie</w:t>
      </w:r>
      <w:r w:rsidRPr="00507B09">
        <w:t xml:space="preserve">d in paragraph </w:t>
      </w:r>
      <w:r>
        <w:fldChar w:fldCharType="begin"/>
      </w:r>
      <w:r>
        <w:instrText xml:space="preserve"> REF _Ref474413213 \r \h </w:instrText>
      </w:r>
      <w:r>
        <w:fldChar w:fldCharType="separate"/>
      </w:r>
      <w:r w:rsidR="00AB105F">
        <w:t>239</w:t>
      </w:r>
      <w:r>
        <w:fldChar w:fldCharType="end"/>
      </w:r>
      <w:r w:rsidRPr="00507B09">
        <w:t>, th</w:t>
      </w:r>
      <w:r w:rsidRPr="00FD274F">
        <w:t xml:space="preserve">e request may need </w:t>
      </w:r>
      <w:r>
        <w:t>to be referred to other bodies.</w:t>
      </w:r>
    </w:p>
    <w:p w14:paraId="2C53BAE3" w14:textId="77777777" w:rsidR="00A83991" w:rsidRPr="00FD274F" w:rsidRDefault="00A83991" w:rsidP="00A83991">
      <w:pPr>
        <w:pStyle w:val="Head3"/>
      </w:pPr>
      <w:bookmarkStart w:id="169" w:name="_Toc223687785"/>
      <w:r w:rsidRPr="00FD274F">
        <w:t>If an instrument is no longer required</w:t>
      </w:r>
      <w:bookmarkEnd w:id="169"/>
    </w:p>
    <w:p w14:paraId="23355389" w14:textId="5FCB0F99" w:rsidR="00A83991" w:rsidRPr="00FD274F" w:rsidRDefault="00A83991" w:rsidP="00A83991">
      <w:pPr>
        <w:pStyle w:val="BodyNum"/>
      </w:pPr>
      <w:bookmarkStart w:id="170" w:name="_Ref367446866"/>
      <w:r w:rsidRPr="00FD274F">
        <w:t>P</w:t>
      </w:r>
      <w:r w:rsidRPr="000D2500">
        <w:t xml:space="preserve">arts 3 and 4 of Chapter 3 of the </w:t>
      </w:r>
      <w:hyperlink r:id="rId390" w:history="1">
        <w:hyperlink r:id="rId391" w:history="1">
          <w:r w:rsidRPr="000D2500">
            <w:rPr>
              <w:rStyle w:val="Hyperlink"/>
            </w:rPr>
            <w:t>LA</w:t>
          </w:r>
        </w:hyperlink>
        <w:r w:rsidRPr="000D2500">
          <w:rPr>
            <w:rStyle w:val="Hyperlink"/>
          </w:rPr>
          <w:t xml:space="preserve"> </w:t>
        </w:r>
      </w:hyperlink>
      <w:r w:rsidRPr="000D2500">
        <w:t>e</w:t>
      </w:r>
      <w:r w:rsidRPr="00FD274F">
        <w:t>ncourage the timely repeal of instruments that are no longer required. An instrument that is repealed remains on permanent public record on the Register, but no longer displays as in force. An instrument may be repealed:</w:t>
      </w:r>
      <w:bookmarkEnd w:id="170"/>
    </w:p>
    <w:p w14:paraId="4FD263AB" w14:textId="1B0AD1AC" w:rsidR="00A83991" w:rsidRPr="00FD274F" w:rsidRDefault="00A83991" w:rsidP="00A83991">
      <w:pPr>
        <w:pStyle w:val="BodyPara"/>
        <w:rPr>
          <w:spacing w:val="-2"/>
        </w:rPr>
      </w:pPr>
      <w:r w:rsidRPr="00FD274F">
        <w:rPr>
          <w:spacing w:val="-2"/>
        </w:rPr>
        <w:lastRenderedPageBreak/>
        <w:t xml:space="preserve">by the automatic and bulk repeal provisions </w:t>
      </w:r>
      <w:r w:rsidRPr="000D2500">
        <w:rPr>
          <w:spacing w:val="-2"/>
        </w:rPr>
        <w:t xml:space="preserve">of Part 3 of Chapter 3 of the </w:t>
      </w:r>
      <w:hyperlink r:id="rId392" w:history="1">
        <w:r w:rsidRPr="000D2500">
          <w:rPr>
            <w:rStyle w:val="Hyperlink"/>
          </w:rPr>
          <w:t>LA</w:t>
        </w:r>
      </w:hyperlink>
      <w:r w:rsidRPr="000D2500">
        <w:rPr>
          <w:spacing w:val="-2"/>
        </w:rPr>
        <w:t>; o</w:t>
      </w:r>
      <w:r w:rsidRPr="00FD274F">
        <w:rPr>
          <w:spacing w:val="-2"/>
        </w:rPr>
        <w:t>r</w:t>
      </w:r>
    </w:p>
    <w:p w14:paraId="55467A1A" w14:textId="77777777" w:rsidR="00A83991" w:rsidRPr="00FD274F" w:rsidRDefault="00A83991" w:rsidP="00A83991">
      <w:pPr>
        <w:pStyle w:val="BodyPara"/>
        <w:rPr>
          <w:spacing w:val="-2"/>
        </w:rPr>
      </w:pPr>
      <w:r w:rsidRPr="00FD274F">
        <w:rPr>
          <w:spacing w:val="-2"/>
        </w:rPr>
        <w:t>by the rule</w:t>
      </w:r>
      <w:r>
        <w:rPr>
          <w:spacing w:val="-2"/>
        </w:rPr>
        <w:noBreakHyphen/>
      </w:r>
      <w:r w:rsidRPr="00FD274F">
        <w:rPr>
          <w:spacing w:val="-2"/>
        </w:rPr>
        <w:t>maker; or</w:t>
      </w:r>
    </w:p>
    <w:p w14:paraId="0BC70F44" w14:textId="571D43D2" w:rsidR="00A83991" w:rsidRPr="000312DD" w:rsidRDefault="00A83991" w:rsidP="00A83991">
      <w:pPr>
        <w:pStyle w:val="BodyPara"/>
        <w:rPr>
          <w:spacing w:val="-4"/>
        </w:rPr>
      </w:pPr>
      <w:r w:rsidRPr="000312DD">
        <w:rPr>
          <w:spacing w:val="-4"/>
        </w:rPr>
        <w:t>if it is a legislative instrument—by sunsetting u</w:t>
      </w:r>
      <w:r w:rsidRPr="000D2500">
        <w:rPr>
          <w:spacing w:val="-4"/>
        </w:rPr>
        <w:t xml:space="preserve">nder Part 4 of Chapter 3 of the </w:t>
      </w:r>
      <w:hyperlink r:id="rId393" w:history="1">
        <w:r w:rsidRPr="000D2500">
          <w:rPr>
            <w:rStyle w:val="Hyperlink"/>
            <w:spacing w:val="-4"/>
          </w:rPr>
          <w:t>LA</w:t>
        </w:r>
      </w:hyperlink>
      <w:r w:rsidRPr="000D2500">
        <w:rPr>
          <w:spacing w:val="-4"/>
        </w:rPr>
        <w:t>.</w:t>
      </w:r>
    </w:p>
    <w:p w14:paraId="6EA152AE" w14:textId="77777777" w:rsidR="00A83991" w:rsidRPr="00FD274F" w:rsidRDefault="00A83991" w:rsidP="00A83991">
      <w:pPr>
        <w:pStyle w:val="Head4"/>
      </w:pPr>
      <w:bookmarkStart w:id="171" w:name="_Toc223687786"/>
      <w:r w:rsidRPr="00FD274F">
        <w:t>Automatic and bulk repeal under P</w:t>
      </w:r>
      <w:r w:rsidRPr="000D2500">
        <w:t>art 3 of Chapter 3 of the LA</w:t>
      </w:r>
      <w:bookmarkEnd w:id="171"/>
    </w:p>
    <w:p w14:paraId="3DEDD925" w14:textId="5A242D1B" w:rsidR="00A83991" w:rsidRDefault="00A83991" w:rsidP="00A83991">
      <w:pPr>
        <w:pStyle w:val="BodyNum"/>
      </w:pPr>
      <w:bookmarkStart w:id="172" w:name="_Ref384368606"/>
      <w:r>
        <w:t>A</w:t>
      </w:r>
      <w:r w:rsidRPr="00FD274F">
        <w:t>ll new instruments that are solely commencing, amending or repealing are subject to automatic repeal as soon as they have been registered</w:t>
      </w:r>
      <w:r>
        <w:t xml:space="preserve">, </w:t>
      </w:r>
      <w:r w:rsidRPr="00FD274F">
        <w:t xml:space="preserve">operated in full </w:t>
      </w:r>
      <w:r>
        <w:t xml:space="preserve">and, for disallowable legislative instruments, their disallowance period has ended </w:t>
      </w:r>
      <w:r w:rsidRPr="00FD274F">
        <w:t>(se</w:t>
      </w:r>
      <w:r w:rsidRPr="00492805">
        <w:t xml:space="preserve">e paragraph </w:t>
      </w:r>
      <w:r w:rsidRPr="000D2500">
        <w:fldChar w:fldCharType="begin"/>
      </w:r>
      <w:r w:rsidRPr="00492805">
        <w:instrText xml:space="preserve"> REF _Ref384723656 \r \h  \* MERGEFORMAT </w:instrText>
      </w:r>
      <w:r w:rsidRPr="000D2500">
        <w:fldChar w:fldCharType="separate"/>
      </w:r>
      <w:r w:rsidR="00AB105F">
        <w:t>91</w:t>
      </w:r>
      <w:r w:rsidRPr="000D2500">
        <w:fldChar w:fldCharType="end"/>
      </w:r>
      <w:r w:rsidRPr="00492805">
        <w:t>).</w:t>
      </w:r>
    </w:p>
    <w:p w14:paraId="68B024B3" w14:textId="16D1CEAD" w:rsidR="00A83991" w:rsidRPr="00FD274F" w:rsidRDefault="00A83991" w:rsidP="00A83991">
      <w:pPr>
        <w:pStyle w:val="BodyNum"/>
      </w:pPr>
      <w:bookmarkStart w:id="173" w:name="_Ref110331308"/>
      <w:r w:rsidRPr="00FD274F">
        <w:t>In addition, existing instruments and provisions can be repealed in bulk by means of a regulation made under secti</w:t>
      </w:r>
      <w:r w:rsidRPr="000D2500">
        <w:t xml:space="preserve">on 48E of the </w:t>
      </w:r>
      <w:hyperlink r:id="rId394" w:history="1">
        <w:r w:rsidRPr="000D2500">
          <w:rPr>
            <w:rStyle w:val="Hyperlink"/>
          </w:rPr>
          <w:t>LA</w:t>
        </w:r>
      </w:hyperlink>
      <w:r w:rsidRPr="000D2500">
        <w:rPr>
          <w:rStyle w:val="Hyperlink"/>
        </w:rPr>
        <w:t xml:space="preserve">. </w:t>
      </w:r>
      <w:r w:rsidRPr="000D2500">
        <w:t>H</w:t>
      </w:r>
      <w:r>
        <w:t>owever, no bulk repeal regulations have been made by the Attorney</w:t>
      </w:r>
      <w:r>
        <w:noBreakHyphen/>
        <w:t>General since 2015</w:t>
      </w:r>
      <w:r w:rsidRPr="00FD274F">
        <w:t>.</w:t>
      </w:r>
      <w:bookmarkEnd w:id="172"/>
      <w:bookmarkEnd w:id="173"/>
    </w:p>
    <w:p w14:paraId="487CD313" w14:textId="77777777" w:rsidR="00A83991" w:rsidRPr="00FD274F" w:rsidRDefault="00A83991" w:rsidP="00A83991">
      <w:pPr>
        <w:pStyle w:val="BodyNum"/>
      </w:pPr>
      <w:r w:rsidRPr="00FD274F">
        <w:t>Automatic and bulk repeal does not un</w:t>
      </w:r>
      <w:r>
        <w:t>do the effect of the instrument</w:t>
      </w:r>
      <w:r w:rsidRPr="00FD274F">
        <w:t>. Bulk repeal may also be used to repeal instruments that:</w:t>
      </w:r>
    </w:p>
    <w:p w14:paraId="77BA56E4" w14:textId="77777777" w:rsidR="00A83991" w:rsidRPr="00FD274F" w:rsidRDefault="00A83991" w:rsidP="00A83991">
      <w:pPr>
        <w:pStyle w:val="BodyPara"/>
      </w:pPr>
      <w:r w:rsidRPr="00FD274F">
        <w:t>are spent but currently exempt from sunsetting; or</w:t>
      </w:r>
    </w:p>
    <w:p w14:paraId="42A4649C" w14:textId="77777777" w:rsidR="00A83991" w:rsidRPr="00FD274F" w:rsidRDefault="00A83991" w:rsidP="00A83991">
      <w:pPr>
        <w:pStyle w:val="BodyPara"/>
      </w:pPr>
      <w:r w:rsidRPr="00FD274F">
        <w:t>may</w:t>
      </w:r>
      <w:r>
        <w:t xml:space="preserve"> not have been validly made; or</w:t>
      </w:r>
    </w:p>
    <w:p w14:paraId="37B49136" w14:textId="77777777" w:rsidR="00A83991" w:rsidRPr="00FD274F" w:rsidRDefault="00A83991" w:rsidP="00A83991">
      <w:pPr>
        <w:pStyle w:val="BodyPara"/>
      </w:pPr>
      <w:r w:rsidRPr="00FD274F">
        <w:t>are no longer required for whatever reason.</w:t>
      </w:r>
    </w:p>
    <w:p w14:paraId="2533849C" w14:textId="4582E581" w:rsidR="00A83991" w:rsidRPr="00FD274F" w:rsidRDefault="00A83991" w:rsidP="00A83991">
      <w:pPr>
        <w:pStyle w:val="BodyNum"/>
      </w:pPr>
      <w:r w:rsidRPr="00FD274F">
        <w:t xml:space="preserve">Agencies, not OPC, are responsible for assessing whether there are any statutory or other impediments to the repeal of an instrument and, if appropriate, seeking legal advice about this matter in accordance with the </w:t>
      </w:r>
      <w:hyperlink r:id="rId395" w:history="1">
        <w:r w:rsidR="00757790" w:rsidRPr="008E74B4">
          <w:rPr>
            <w:rStyle w:val="Hyperlink"/>
          </w:rPr>
          <w:t>Legal Services Directions</w:t>
        </w:r>
      </w:hyperlink>
      <w:r w:rsidR="00757790" w:rsidRPr="000228F8">
        <w:t xml:space="preserve"> </w:t>
      </w:r>
      <w:r w:rsidRPr="0049119D">
        <w:t>a</w:t>
      </w:r>
      <w:r w:rsidRPr="00FD274F">
        <w:t>s in force from time to time. It may not be appropriate to list an instrument for bulk repeal if, for example, it:</w:t>
      </w:r>
    </w:p>
    <w:p w14:paraId="44730CCB" w14:textId="77777777" w:rsidR="00A83991" w:rsidRPr="00FD274F" w:rsidRDefault="00A83991" w:rsidP="00A83991">
      <w:pPr>
        <w:pStyle w:val="BodyPara"/>
      </w:pPr>
      <w:r w:rsidRPr="00FD274F">
        <w:t>is described in its enabling</w:t>
      </w:r>
      <w:r>
        <w:t xml:space="preserve"> legislation as irrevocable; or</w:t>
      </w:r>
    </w:p>
    <w:p w14:paraId="0CBEA376" w14:textId="2962E153" w:rsidR="00A83991" w:rsidRPr="00FD274F" w:rsidRDefault="00A83991" w:rsidP="00A83991">
      <w:pPr>
        <w:pStyle w:val="BodyPara"/>
      </w:pPr>
      <w:r w:rsidRPr="00FD274F">
        <w:t>amends or modifies something that is not available on the Register (such as an aircraft maintenance manual</w:t>
      </w:r>
      <w:r w:rsidR="00DA7CE8">
        <w:t>,</w:t>
      </w:r>
      <w:r w:rsidRPr="00FD274F">
        <w:t xml:space="preserve"> or a law enacted by a State government); or</w:t>
      </w:r>
    </w:p>
    <w:p w14:paraId="0891A5EF" w14:textId="77777777" w:rsidR="00A83991" w:rsidRPr="00FD274F" w:rsidRDefault="00A83991" w:rsidP="00A83991">
      <w:pPr>
        <w:pStyle w:val="BodyPara"/>
      </w:pPr>
      <w:r w:rsidRPr="00FD274F">
        <w:t>is referenced in the laws of another jurisdiction and changes to that law are required to ensure that there are no unintended consequences.</w:t>
      </w:r>
    </w:p>
    <w:p w14:paraId="569780EA" w14:textId="4CD14197" w:rsidR="00A83991" w:rsidRPr="00FD274F" w:rsidRDefault="00A83991" w:rsidP="00A83991">
      <w:pPr>
        <w:pStyle w:val="BodyNum"/>
      </w:pPr>
      <w:r w:rsidRPr="00FD274F">
        <w:t>For more information about any aspect of automatic or bulk repeal, please contact OPC (</w:t>
      </w:r>
      <w:hyperlink r:id="rId396" w:history="1">
        <w:r w:rsidR="008E74B4" w:rsidRPr="008E74B4">
          <w:rPr>
            <w:rStyle w:val="Hyperlink"/>
          </w:rPr>
          <w:t>sunsetting@opc.gov.au</w:t>
        </w:r>
      </w:hyperlink>
      <w:r w:rsidRPr="00FD274F">
        <w:t xml:space="preserve"> or (02) 6120 13</w:t>
      </w:r>
      <w:r>
        <w:t>50</w:t>
      </w:r>
      <w:r w:rsidRPr="00FD274F">
        <w:t>).</w:t>
      </w:r>
    </w:p>
    <w:p w14:paraId="0D39689A" w14:textId="77777777" w:rsidR="00A83991" w:rsidRPr="00FD274F" w:rsidRDefault="00A83991" w:rsidP="00A83991">
      <w:pPr>
        <w:pStyle w:val="Head4"/>
      </w:pPr>
      <w:bookmarkStart w:id="174" w:name="_Toc223687787"/>
      <w:r w:rsidRPr="00FD274F">
        <w:t>Direct repeal by rule</w:t>
      </w:r>
      <w:r>
        <w:noBreakHyphen/>
      </w:r>
      <w:r w:rsidRPr="00FD274F">
        <w:t>maker</w:t>
      </w:r>
      <w:bookmarkEnd w:id="174"/>
    </w:p>
    <w:p w14:paraId="6E6E9C62" w14:textId="77777777" w:rsidR="00A83991" w:rsidRPr="000D41C4" w:rsidRDefault="00A83991" w:rsidP="00A83991">
      <w:pPr>
        <w:pStyle w:val="BodyNum"/>
        <w:keepNext/>
      </w:pPr>
      <w:r w:rsidRPr="000D41C4">
        <w:t>A rule</w:t>
      </w:r>
      <w:r w:rsidRPr="000D41C4">
        <w:noBreakHyphen/>
        <w:t xml:space="preserve">maker who is authorised to make a particular instrument can repeal any instrument of the same </w:t>
      </w:r>
      <w:r>
        <w:t>kind</w:t>
      </w:r>
      <w:r w:rsidRPr="000D41C4">
        <w:t xml:space="preserve">, even if a different individual in the position of the rule-maker, or a delegate </w:t>
      </w:r>
      <w:r>
        <w:t xml:space="preserve">of </w:t>
      </w:r>
      <w:r w:rsidRPr="000D41C4">
        <w:t>the rule-maker, made the instrument. If a rule</w:t>
      </w:r>
      <w:r w:rsidRPr="000D41C4">
        <w:noBreakHyphen/>
        <w:t>maker is required or wishes to use OPC’s drafting services, please contact OPC with the details. Otherwise, please note that:</w:t>
      </w:r>
    </w:p>
    <w:p w14:paraId="24723D89" w14:textId="08A36B80" w:rsidR="00A83991" w:rsidRPr="00FD274F" w:rsidRDefault="00A83991" w:rsidP="00A83991">
      <w:pPr>
        <w:pStyle w:val="BodyPara"/>
      </w:pPr>
      <w:r w:rsidRPr="00FD274F">
        <w:t xml:space="preserve">any date specified for repeal </w:t>
      </w:r>
      <w:r>
        <w:t xml:space="preserve">must not </w:t>
      </w:r>
      <w:r w:rsidRPr="00FD274F">
        <w:t xml:space="preserve">be </w:t>
      </w:r>
      <w:r>
        <w:t>later</w:t>
      </w:r>
      <w:r w:rsidRPr="00FD274F">
        <w:t xml:space="preserve"> than any sunset date that may apply under Pa</w:t>
      </w:r>
      <w:r w:rsidRPr="000D2500">
        <w:t xml:space="preserve">rt 4 of Chapter 3 of the </w:t>
      </w:r>
      <w:hyperlink r:id="rId397" w:history="1">
        <w:r w:rsidRPr="000D2500">
          <w:rPr>
            <w:rStyle w:val="Hyperlink"/>
          </w:rPr>
          <w:t>LA</w:t>
        </w:r>
      </w:hyperlink>
      <w:r w:rsidRPr="000D2500">
        <w:t>; a</w:t>
      </w:r>
      <w:r w:rsidRPr="00FD274F">
        <w:t>nd</w:t>
      </w:r>
    </w:p>
    <w:p w14:paraId="4DAF73D4" w14:textId="2F48A22C" w:rsidR="00A83991" w:rsidRPr="00FD274F" w:rsidRDefault="00A83991" w:rsidP="00A83991">
      <w:pPr>
        <w:pStyle w:val="BodyPara"/>
      </w:pPr>
      <w:r w:rsidRPr="00FD274F">
        <w:lastRenderedPageBreak/>
        <w:t xml:space="preserve">it is important to use the word “repeal” to link clearly back to </w:t>
      </w:r>
      <w:r w:rsidRPr="0049119D">
        <w:t xml:space="preserve">section 7 of the </w:t>
      </w:r>
      <w:hyperlink r:id="rId398" w:history="1">
        <w:hyperlink r:id="rId399" w:history="1">
          <w:r w:rsidRPr="0049119D">
            <w:rPr>
              <w:rStyle w:val="Hyperlink"/>
              <w:i/>
            </w:rPr>
            <w:t>Acts Interpretation Act 1901</w:t>
          </w:r>
        </w:hyperlink>
      </w:hyperlink>
      <w:r w:rsidRPr="0049119D">
        <w:t>, unle</w:t>
      </w:r>
      <w:r w:rsidRPr="00FD274F">
        <w:t>ss another term is required b</w:t>
      </w:r>
      <w:r>
        <w:t>y the enabling legislation; and</w:t>
      </w:r>
    </w:p>
    <w:p w14:paraId="5EFB7BA8" w14:textId="77777777" w:rsidR="00A83991" w:rsidRDefault="00A83991" w:rsidP="00A83991">
      <w:pPr>
        <w:pStyle w:val="BodyPara"/>
      </w:pPr>
      <w:r w:rsidRPr="00FD274F">
        <w:t>if the instrument of repeal includes a transitional, saving or application provision that is not to be inserted into the principal instrument by amendment, a self</w:t>
      </w:r>
      <w:r>
        <w:noBreakHyphen/>
      </w:r>
      <w:r w:rsidRPr="00FD274F">
        <w:t>repealing provision should also be considered.</w:t>
      </w:r>
    </w:p>
    <w:p w14:paraId="70C3CE98" w14:textId="6D84BEC9" w:rsidR="00A83991" w:rsidRPr="00FD274F" w:rsidRDefault="00A83991" w:rsidP="00A83991">
      <w:pPr>
        <w:pStyle w:val="BodyNum"/>
      </w:pPr>
      <w:r w:rsidRPr="00FD274F">
        <w:t>For further guidance on how to repeal instruments, including the drafting of self</w:t>
      </w:r>
      <w:r>
        <w:noBreakHyphen/>
      </w:r>
      <w:r w:rsidRPr="00FD274F">
        <w:t xml:space="preserve">repealing provisions, see </w:t>
      </w:r>
      <w:hyperlink w:anchor="Chapter3" w:history="1">
        <w:r w:rsidRPr="00492805">
          <w:rPr>
            <w:rStyle w:val="Hyperlink"/>
          </w:rPr>
          <w:t>Chapter 3</w:t>
        </w:r>
      </w:hyperlink>
      <w:r w:rsidRPr="00492805">
        <w:t>.</w:t>
      </w:r>
    </w:p>
    <w:p w14:paraId="22D99302" w14:textId="77777777" w:rsidR="00A83991" w:rsidRPr="00FD274F" w:rsidRDefault="00A83991" w:rsidP="00A83991">
      <w:pPr>
        <w:pStyle w:val="Head4"/>
      </w:pPr>
      <w:bookmarkStart w:id="175" w:name="_Toc223687788"/>
      <w:r w:rsidRPr="00FD274F">
        <w:t>Sunsetting under Pa</w:t>
      </w:r>
      <w:r w:rsidRPr="000D2500">
        <w:t>rt 4 of Chapter 3 of the LA</w:t>
      </w:r>
      <w:bookmarkEnd w:id="175"/>
    </w:p>
    <w:p w14:paraId="0FE97BE3" w14:textId="6EBC0D86" w:rsidR="00A83991" w:rsidRPr="00FD274F" w:rsidRDefault="00A83991" w:rsidP="00A83991">
      <w:pPr>
        <w:pStyle w:val="BodyNum"/>
      </w:pPr>
      <w:r w:rsidRPr="00FD274F">
        <w:t>If a legislative instrument is no longer required, it is preferable to repeal the instrument explicitly. Doing nothing does not guarantee that an instrument will, in fact, sunset because the instrument may be exempt from sunsetting. Even if an instrument is subject to sunsetting, any Senator or Member may move for a resolution to defer (“</w:t>
      </w:r>
      <w:r w:rsidR="00A67C86">
        <w:t>rollover</w:t>
      </w:r>
      <w:r w:rsidRPr="00FD274F">
        <w:t>”) its sunset date by 10 years.</w:t>
      </w:r>
    </w:p>
    <w:p w14:paraId="0B4263DF" w14:textId="1C779475" w:rsidR="00A83991" w:rsidRPr="00FD274F" w:rsidRDefault="00A83991" w:rsidP="00A83991">
      <w:pPr>
        <w:pStyle w:val="BodyNum"/>
      </w:pPr>
      <w:r w:rsidRPr="00FD274F">
        <w:t xml:space="preserve">For further guidance on sunsetting processes, see </w:t>
      </w:r>
      <w:hyperlink w:anchor="Chapter10" w:history="1">
        <w:r w:rsidRPr="00492805">
          <w:rPr>
            <w:rStyle w:val="Hyperlink"/>
          </w:rPr>
          <w:t>Chapter 10</w:t>
        </w:r>
      </w:hyperlink>
      <w:r w:rsidRPr="00492805">
        <w:t>.</w:t>
      </w:r>
    </w:p>
    <w:p w14:paraId="0C3F285B" w14:textId="77777777" w:rsidR="0057232B" w:rsidRDefault="0057232B" w:rsidP="00A83991">
      <w:pPr>
        <w:pStyle w:val="Head2"/>
        <w:rPr>
          <w:sz w:val="36"/>
        </w:rPr>
        <w:sectPr w:rsidR="0057232B" w:rsidSect="008123DC">
          <w:headerReference w:type="default" r:id="rId400"/>
          <w:footerReference w:type="default" r:id="rId401"/>
          <w:pgSz w:w="11907" w:h="16839" w:code="9"/>
          <w:pgMar w:top="1440" w:right="1440" w:bottom="1418" w:left="1440" w:header="720" w:footer="720" w:gutter="0"/>
          <w:cols w:sep="1" w:space="567"/>
          <w:docGrid w:linePitch="360"/>
        </w:sectPr>
      </w:pPr>
    </w:p>
    <w:p w14:paraId="0C7F5795" w14:textId="325E2471" w:rsidR="00A83991" w:rsidRPr="00FD274F" w:rsidRDefault="00A83991" w:rsidP="00A83991">
      <w:pPr>
        <w:pStyle w:val="Head2"/>
        <w:rPr>
          <w:sz w:val="36"/>
        </w:rPr>
      </w:pPr>
      <w:bookmarkStart w:id="176" w:name="_Toc223687789"/>
      <w:r w:rsidRPr="00FD274F">
        <w:rPr>
          <w:sz w:val="36"/>
        </w:rPr>
        <w:lastRenderedPageBreak/>
        <w:t>Part 2—Matters specific to legislative instruments</w:t>
      </w:r>
      <w:bookmarkEnd w:id="176"/>
    </w:p>
    <w:p w14:paraId="0C4FADFF" w14:textId="77777777" w:rsidR="00A83991" w:rsidRPr="00FD274F" w:rsidRDefault="00A83991" w:rsidP="00A83991">
      <w:pPr>
        <w:pStyle w:val="Head2"/>
      </w:pPr>
      <w:bookmarkStart w:id="177" w:name="_Toc223687790"/>
      <w:bookmarkStart w:id="178" w:name="Chapter7"/>
      <w:r w:rsidRPr="00FD274F">
        <w:t>Chapter 7—Before making a legislative instrument</w:t>
      </w:r>
      <w:bookmarkEnd w:id="177"/>
    </w:p>
    <w:bookmarkEnd w:id="178"/>
    <w:p w14:paraId="67D2D252" w14:textId="77777777" w:rsidR="00A83991" w:rsidRPr="00FD274F" w:rsidRDefault="00A83991" w:rsidP="00A83991">
      <w:pPr>
        <w:pStyle w:val="SundryBoxHeadBold"/>
      </w:pPr>
      <w:r>
        <w:t>Main points</w:t>
      </w:r>
    </w:p>
    <w:p w14:paraId="1DDB86F5" w14:textId="77777777" w:rsidR="00A83991" w:rsidRPr="00FD274F" w:rsidRDefault="00A83991" w:rsidP="00A83991">
      <w:pPr>
        <w:pStyle w:val="SundryBoxBullet"/>
      </w:pPr>
      <w:r w:rsidRPr="00FD274F">
        <w:t>•</w:t>
      </w:r>
      <w:r w:rsidRPr="00FD274F">
        <w:tab/>
        <w:t>Before making a legislative instrument, a rule</w:t>
      </w:r>
      <w:r>
        <w:noBreakHyphen/>
      </w:r>
      <w:r w:rsidRPr="00FD274F">
        <w:t>maker is required to do a range of things (or to arrange for these to be done)</w:t>
      </w:r>
      <w:r>
        <w:t>.</w:t>
      </w:r>
    </w:p>
    <w:p w14:paraId="09D51F74" w14:textId="77777777" w:rsidR="00A83991" w:rsidRPr="00FD274F" w:rsidRDefault="00A83991" w:rsidP="00A83991">
      <w:pPr>
        <w:pStyle w:val="SundryBoxBullet"/>
      </w:pPr>
      <w:r w:rsidRPr="00FD274F">
        <w:t>•</w:t>
      </w:r>
      <w:r w:rsidRPr="00FD274F">
        <w:tab/>
        <w:t>In particular, the rule</w:t>
      </w:r>
      <w:r>
        <w:noBreakHyphen/>
      </w:r>
      <w:r w:rsidRPr="00FD274F">
        <w:t xml:space="preserve">maker must be satisfied that consultation has been undertaken to the extent </w:t>
      </w:r>
      <w:r>
        <w:t xml:space="preserve">that is </w:t>
      </w:r>
      <w:r w:rsidRPr="00FD274F">
        <w:t>appropriate and practicable.</w:t>
      </w:r>
    </w:p>
    <w:p w14:paraId="50244C54" w14:textId="188FEA90" w:rsidR="00A83991" w:rsidRPr="00FD274F" w:rsidRDefault="00A83991" w:rsidP="00A83991">
      <w:pPr>
        <w:pStyle w:val="SundryBoxBullet"/>
      </w:pPr>
      <w:r w:rsidRPr="00FD274F">
        <w:t>•</w:t>
      </w:r>
      <w:r w:rsidRPr="00FD274F">
        <w:tab/>
        <w:t>The rule</w:t>
      </w:r>
      <w:r>
        <w:noBreakHyphen/>
      </w:r>
      <w:r w:rsidRPr="00FD274F">
        <w:t xml:space="preserve">maker must also assess the </w:t>
      </w:r>
      <w:r w:rsidR="005F1193">
        <w:t>policy</w:t>
      </w:r>
      <w:r w:rsidRPr="00FD274F">
        <w:t xml:space="preserve"> impact of a proposal, and consider a range of other matters.</w:t>
      </w:r>
    </w:p>
    <w:p w14:paraId="1B910C48" w14:textId="77777777" w:rsidR="00A83991" w:rsidRPr="00FD274F" w:rsidRDefault="00A83991" w:rsidP="00A83991">
      <w:pPr>
        <w:pStyle w:val="Head3"/>
      </w:pPr>
      <w:bookmarkStart w:id="179" w:name="_Toc223687791"/>
      <w:bookmarkStart w:id="180" w:name="_Hlk175830055"/>
      <w:r w:rsidRPr="00FD274F">
        <w:t>What is making?</w:t>
      </w:r>
      <w:bookmarkEnd w:id="179"/>
    </w:p>
    <w:p w14:paraId="2690F0DD" w14:textId="104F4AAD" w:rsidR="00A83991" w:rsidRDefault="00A83991" w:rsidP="00A83991">
      <w:pPr>
        <w:pStyle w:val="BodyNum"/>
      </w:pPr>
      <w:r w:rsidRPr="00FD274F">
        <w:t>For the purposes of t</w:t>
      </w:r>
      <w:r w:rsidRPr="009574E1">
        <w:t xml:space="preserve">he </w:t>
      </w:r>
      <w:hyperlink r:id="rId402" w:history="1">
        <w:r w:rsidRPr="009574E1">
          <w:rPr>
            <w:rStyle w:val="Hyperlink"/>
          </w:rPr>
          <w:t>LA</w:t>
        </w:r>
      </w:hyperlink>
      <w:r w:rsidRPr="009574E1">
        <w:t>, t</w:t>
      </w:r>
      <w:r w:rsidRPr="00FD274F">
        <w:t xml:space="preserve">he </w:t>
      </w:r>
      <w:r w:rsidRPr="00FD274F">
        <w:rPr>
          <w:b/>
          <w:i/>
        </w:rPr>
        <w:t>making</w:t>
      </w:r>
      <w:r w:rsidRPr="00FD274F">
        <w:t xml:space="preserve"> of a legislative instrument is the signing, sealing or other endorsement of the instrument by the person or body empowered to make it, by which it becomes a legislative instrum</w:t>
      </w:r>
      <w:r w:rsidRPr="009574E1">
        <w:t>ent (</w:t>
      </w:r>
      <w:hyperlink r:id="rId403" w:history="1">
        <w:r w:rsidRPr="009574E1">
          <w:rPr>
            <w:rStyle w:val="Hyperlink"/>
          </w:rPr>
          <w:t>LA</w:t>
        </w:r>
      </w:hyperlink>
      <w:r w:rsidRPr="009574E1">
        <w:rPr>
          <w:rStyle w:val="Hyperlink"/>
        </w:rPr>
        <w:t xml:space="preserve"> </w:t>
      </w:r>
      <w:r w:rsidRPr="009574E1">
        <w:t>s 4).</w:t>
      </w:r>
    </w:p>
    <w:p w14:paraId="215E412D" w14:textId="0E6A5F37" w:rsidR="00A83991" w:rsidRDefault="00A83991" w:rsidP="008668BF">
      <w:pPr>
        <w:pStyle w:val="BodyNum"/>
      </w:pPr>
      <w:r w:rsidRPr="0049119D">
        <w:t>AGS have published the Legal briefing - Execution solutions for remote working arrangements t</w:t>
      </w:r>
      <w:r>
        <w:t>o assist agencies.</w:t>
      </w:r>
      <w:r w:rsidR="000C6431">
        <w:t xml:space="preserve"> </w:t>
      </w:r>
      <w:r>
        <w:t>In this, AGS advise:</w:t>
      </w:r>
    </w:p>
    <w:p w14:paraId="37F72A9F" w14:textId="77777777" w:rsidR="00A83991" w:rsidRPr="001C63D8" w:rsidRDefault="00A83991" w:rsidP="00A83991">
      <w:pPr>
        <w:pStyle w:val="Head4"/>
        <w:ind w:left="284"/>
      </w:pPr>
      <w:bookmarkStart w:id="181" w:name="_Toc223687792"/>
      <w:r w:rsidRPr="001C63D8">
        <w:t>Making legislative instruments</w:t>
      </w:r>
      <w:bookmarkEnd w:id="181"/>
    </w:p>
    <w:p w14:paraId="202AF659" w14:textId="77777777" w:rsidR="00A83991" w:rsidRPr="001C63D8" w:rsidRDefault="00A83991" w:rsidP="00A83991">
      <w:pPr>
        <w:pStyle w:val="Body"/>
        <w:ind w:left="284"/>
      </w:pPr>
      <w:r w:rsidRPr="001C63D8">
        <w:t xml:space="preserve">Under the </w:t>
      </w:r>
      <w:r w:rsidRPr="002F3911">
        <w:rPr>
          <w:i/>
        </w:rPr>
        <w:t>Legislation Act 2003</w:t>
      </w:r>
      <w:r w:rsidRPr="002F3911">
        <w:t xml:space="preserve"> (</w:t>
      </w:r>
      <w:proofErr w:type="spellStart"/>
      <w:r w:rsidRPr="002F3911">
        <w:t>Cth</w:t>
      </w:r>
      <w:proofErr w:type="spellEnd"/>
      <w:r w:rsidRPr="002F3911">
        <w:t>), a l</w:t>
      </w:r>
      <w:r w:rsidRPr="001C63D8">
        <w:t>egislative instrument is ‘made’ by the signing, sealing or other endorsement of the instrument by the person or body empowered to make it. A Minister or other rule-maker could probably ‘make’ such an instrument by personally applying an electronic signature, on the basis that this would constitute their endorsement (approval) of the instrument.</w:t>
      </w:r>
    </w:p>
    <w:p w14:paraId="2B396CFB" w14:textId="77777777" w:rsidR="00A83991" w:rsidRPr="001C63D8" w:rsidRDefault="00A83991" w:rsidP="00A83991">
      <w:pPr>
        <w:pStyle w:val="Body"/>
        <w:ind w:left="284"/>
      </w:pPr>
      <w:r w:rsidRPr="001C63D8">
        <w:t>Where this is done, it would be advisable that a person witness the application by the Minister of their electronic signature and make a contemporaneous file note to that effect, to ensure that evidence can be provided should there be a question raised in future as to whether it was the Minister who endorsed the document. Alternatively, it may be that the electronic signature could be locked to the Minister personally and evidence provided, if required, that only the Minister could access and apply it.</w:t>
      </w:r>
    </w:p>
    <w:bookmarkEnd w:id="180"/>
    <w:p w14:paraId="551698F2" w14:textId="6F93DDA0" w:rsidR="00A83991" w:rsidRPr="001C63D8" w:rsidRDefault="00A83991" w:rsidP="00A83991">
      <w:pPr>
        <w:pStyle w:val="BodyNum"/>
      </w:pPr>
      <w:r w:rsidRPr="001C63D8">
        <w:t xml:space="preserve">Before </w:t>
      </w:r>
      <w:r>
        <w:t>applying</w:t>
      </w:r>
      <w:r w:rsidRPr="001C63D8">
        <w:t xml:space="preserve"> </w:t>
      </w:r>
      <w:r>
        <w:t xml:space="preserve">an </w:t>
      </w:r>
      <w:r w:rsidRPr="001C63D8">
        <w:t xml:space="preserve">electronic signature, agencies should satisfy themselves first that the instrument can be validly made using </w:t>
      </w:r>
      <w:r>
        <w:t xml:space="preserve">the application of </w:t>
      </w:r>
      <w:r w:rsidRPr="001C63D8">
        <w:t>an electronic signature.</w:t>
      </w:r>
    </w:p>
    <w:p w14:paraId="5EF66BDB" w14:textId="53A9829B" w:rsidR="00A83991" w:rsidRPr="001C63D8" w:rsidRDefault="00A83991" w:rsidP="00A83991">
      <w:pPr>
        <w:pStyle w:val="BodyNum"/>
      </w:pPr>
      <w:r w:rsidRPr="001C63D8">
        <w:t xml:space="preserve">For instruments for Exco, agencies should </w:t>
      </w:r>
      <w:r>
        <w:t>also have regard</w:t>
      </w:r>
      <w:r w:rsidRPr="001C63D8">
        <w:t xml:space="preserve"> to other relevant guidance, including</w:t>
      </w:r>
      <w:r w:rsidR="003A3A5D">
        <w:t>,</w:t>
      </w:r>
      <w:r w:rsidRPr="001C63D8">
        <w:t xml:space="preserve"> for example</w:t>
      </w:r>
      <w:r w:rsidR="003A3A5D">
        <w:t xml:space="preserve">, </w:t>
      </w:r>
      <w:r w:rsidRPr="001C63D8">
        <w:t>the</w:t>
      </w:r>
      <w:r>
        <w:t xml:space="preserve"> </w:t>
      </w:r>
      <w:r w:rsidRPr="00FD274F">
        <w:t>Federal</w:t>
      </w:r>
      <w:r>
        <w:t xml:space="preserve"> </w:t>
      </w:r>
      <w:r w:rsidRPr="001C63D8">
        <w:t>Exe</w:t>
      </w:r>
      <w:r w:rsidRPr="0049119D">
        <w:t>cutive Council Handbook</w:t>
      </w:r>
      <w:r w:rsidRPr="0049119D">
        <w:rPr>
          <w:rStyle w:val="FootnoteReference"/>
        </w:rPr>
        <w:footnoteReference w:id="19"/>
      </w:r>
      <w:r>
        <w:t xml:space="preserve"> and Executive Council Circulars.</w:t>
      </w:r>
    </w:p>
    <w:p w14:paraId="2E9498A3" w14:textId="036B1B03" w:rsidR="00A83991" w:rsidRDefault="00A83991" w:rsidP="00A83991">
      <w:pPr>
        <w:pStyle w:val="BodyNum"/>
      </w:pPr>
      <w:r w:rsidRPr="001C63D8">
        <w:lastRenderedPageBreak/>
        <w:t xml:space="preserve">When an instrument is lodged for registration, </w:t>
      </w:r>
      <w:r>
        <w:t xml:space="preserve">an additional certification requirement is included in relation to electronic signatures that have been applied to a legislative instrument </w:t>
      </w:r>
      <w:r w:rsidRPr="00A55793">
        <w:t xml:space="preserve">(see paragraph </w:t>
      </w:r>
      <w:r w:rsidRPr="009574E1">
        <w:fldChar w:fldCharType="begin"/>
      </w:r>
      <w:r w:rsidRPr="00A55793">
        <w:instrText xml:space="preserve"> REF _Ref81732483 \r \h </w:instrText>
      </w:r>
      <w:r>
        <w:rPr>
          <w:highlight w:val="yellow"/>
        </w:rPr>
        <w:instrText xml:space="preserve"> \* MERGEFORMAT </w:instrText>
      </w:r>
      <w:r w:rsidRPr="009574E1">
        <w:fldChar w:fldCharType="separate"/>
      </w:r>
      <w:r w:rsidR="00AB105F">
        <w:t>153</w:t>
      </w:r>
      <w:r w:rsidRPr="009574E1">
        <w:fldChar w:fldCharType="end"/>
      </w:r>
      <w:r w:rsidRPr="00A55793">
        <w:t>).</w:t>
      </w:r>
    </w:p>
    <w:p w14:paraId="15B06428" w14:textId="77777777" w:rsidR="00A83991" w:rsidRPr="00FD274F" w:rsidRDefault="00A83991" w:rsidP="00A83991">
      <w:pPr>
        <w:pStyle w:val="Head3"/>
      </w:pPr>
      <w:bookmarkStart w:id="182" w:name="_Toc223687793"/>
      <w:r w:rsidRPr="00FD274F">
        <w:t>Requirement to consult before making</w:t>
      </w:r>
      <w:bookmarkEnd w:id="182"/>
    </w:p>
    <w:p w14:paraId="2AFF1C30" w14:textId="0B6CB51B" w:rsidR="00A83991" w:rsidRPr="00FD274F" w:rsidRDefault="00A83991" w:rsidP="00A83991">
      <w:pPr>
        <w:pStyle w:val="BodyNum"/>
      </w:pPr>
      <w:r w:rsidRPr="00FD274F">
        <w:t>T</w:t>
      </w:r>
      <w:r w:rsidRPr="00521AB3">
        <w:t xml:space="preserve">he </w:t>
      </w:r>
      <w:hyperlink r:id="rId404" w:history="1">
        <w:r w:rsidRPr="00521AB3">
          <w:rPr>
            <w:rStyle w:val="Hyperlink"/>
          </w:rPr>
          <w:t>LA</w:t>
        </w:r>
      </w:hyperlink>
      <w:r w:rsidRPr="00521AB3">
        <w:t xml:space="preserve"> requi</w:t>
      </w:r>
      <w:r w:rsidRPr="00FD274F">
        <w:t>res a rule</w:t>
      </w:r>
      <w:r>
        <w:noBreakHyphen/>
      </w:r>
      <w:r w:rsidRPr="00FD274F">
        <w:t>maker, before making a legislative instrument, to be satisfied that any consultation the rule</w:t>
      </w:r>
      <w:r>
        <w:noBreakHyphen/>
      </w:r>
      <w:r w:rsidRPr="00FD274F">
        <w:t>maker considers to be appropriate and reasonably practicable has been undertak</w:t>
      </w:r>
      <w:r w:rsidRPr="00521AB3">
        <w:t>en (</w:t>
      </w:r>
      <w:hyperlink r:id="rId405" w:history="1">
        <w:r w:rsidRPr="00521AB3">
          <w:rPr>
            <w:rStyle w:val="Hyperlink"/>
          </w:rPr>
          <w:t>LA</w:t>
        </w:r>
      </w:hyperlink>
      <w:r w:rsidRPr="00521AB3">
        <w:rPr>
          <w:rStyle w:val="Hyperlink"/>
        </w:rPr>
        <w:t xml:space="preserve"> </w:t>
      </w:r>
      <w:r w:rsidRPr="00521AB3">
        <w:t>s 17(1)).</w:t>
      </w:r>
      <w:r w:rsidRPr="00FD274F">
        <w:t xml:space="preserve"> This requirement applies to all legislative instruments.</w:t>
      </w:r>
    </w:p>
    <w:p w14:paraId="17E9261F" w14:textId="2A19684B" w:rsidR="00A83991" w:rsidRPr="00FD274F" w:rsidRDefault="00A83991" w:rsidP="00A83991">
      <w:pPr>
        <w:pStyle w:val="BodyNum"/>
      </w:pPr>
      <w:r w:rsidRPr="00FD274F">
        <w:t xml:space="preserve">The </w:t>
      </w:r>
      <w:hyperlink r:id="rId406" w:history="1">
        <w:r w:rsidRPr="00521AB3">
          <w:rPr>
            <w:rStyle w:val="Hyperlink"/>
          </w:rPr>
          <w:t>LA</w:t>
        </w:r>
      </w:hyperlink>
      <w:r w:rsidRPr="00521AB3">
        <w:t xml:space="preserve"> pro</w:t>
      </w:r>
      <w:r w:rsidRPr="00FD274F">
        <w:t>vides that, in deciding whether consultation is appropriate, the rule</w:t>
      </w:r>
      <w:r>
        <w:noBreakHyphen/>
      </w:r>
      <w:r w:rsidRPr="00FD274F">
        <w:t>maker may have regard to the extent to which consultation drew on the knowledge of relevant subject matter experts and ensured that persons likely to be affected by the proposed instrument had an adequate opportunity to comment on its proposed conten</w:t>
      </w:r>
      <w:r w:rsidRPr="00521AB3">
        <w:t>t (</w:t>
      </w:r>
      <w:hyperlink r:id="rId407" w:history="1">
        <w:r w:rsidRPr="00521AB3">
          <w:rPr>
            <w:rStyle w:val="Hyperlink"/>
          </w:rPr>
          <w:t>LA</w:t>
        </w:r>
      </w:hyperlink>
      <w:r w:rsidRPr="00521AB3">
        <w:rPr>
          <w:rStyle w:val="Hyperlink"/>
        </w:rPr>
        <w:t xml:space="preserve"> </w:t>
      </w:r>
      <w:r w:rsidRPr="00521AB3">
        <w:t>s 17(2)).</w:t>
      </w:r>
      <w:r w:rsidRPr="00FD274F">
        <w:t xml:space="preserve"> Consultation could involve </w:t>
      </w:r>
      <w:r w:rsidRPr="00521AB3">
        <w:t>(</w:t>
      </w:r>
      <w:hyperlink r:id="rId408" w:history="1">
        <w:r w:rsidRPr="00521AB3">
          <w:rPr>
            <w:rStyle w:val="Hyperlink"/>
          </w:rPr>
          <w:t>LA</w:t>
        </w:r>
      </w:hyperlink>
      <w:r w:rsidRPr="00521AB3">
        <w:rPr>
          <w:rStyle w:val="Hyperlink"/>
        </w:rPr>
        <w:t xml:space="preserve"> </w:t>
      </w:r>
      <w:r w:rsidRPr="00521AB3">
        <w:t>s 17(3)):</w:t>
      </w:r>
    </w:p>
    <w:p w14:paraId="66682E14" w14:textId="77777777" w:rsidR="00A83991" w:rsidRPr="00FD274F" w:rsidRDefault="00A83991" w:rsidP="00A83991">
      <w:pPr>
        <w:pStyle w:val="BodyPara"/>
      </w:pPr>
      <w:r w:rsidRPr="00FD274F">
        <w:t>notifying representative bodies or organisations (either directly or by advertisement); and</w:t>
      </w:r>
    </w:p>
    <w:p w14:paraId="45BCA5A8" w14:textId="77777777" w:rsidR="00A83991" w:rsidRPr="00FD274F" w:rsidRDefault="00A83991" w:rsidP="00A83991">
      <w:pPr>
        <w:pStyle w:val="BodyPara"/>
      </w:pPr>
      <w:r w:rsidRPr="00FD274F">
        <w:t>inviting submissions or pa</w:t>
      </w:r>
      <w:r>
        <w:t>rticipation in public hearings.</w:t>
      </w:r>
    </w:p>
    <w:p w14:paraId="712C098D" w14:textId="6A2C6C3F" w:rsidR="00A83991" w:rsidRPr="00FD274F" w:rsidRDefault="00A83991" w:rsidP="00A83991">
      <w:pPr>
        <w:pStyle w:val="BodyNum"/>
      </w:pPr>
      <w:r w:rsidRPr="00FD274F">
        <w:t>Although t</w:t>
      </w:r>
      <w:r w:rsidRPr="00521AB3">
        <w:t xml:space="preserve">he </w:t>
      </w:r>
      <w:hyperlink r:id="rId409" w:history="1">
        <w:r w:rsidRPr="00521AB3">
          <w:rPr>
            <w:rStyle w:val="Hyperlink"/>
          </w:rPr>
          <w:t>LA</w:t>
        </w:r>
      </w:hyperlink>
      <w:r w:rsidRPr="00521AB3">
        <w:t xml:space="preserve"> is</w:t>
      </w:r>
      <w:r w:rsidRPr="00FD274F">
        <w:t xml:space="preserve"> not prescriptive about consultation, agencies should note that the Parliament takes the obligation to consult seriously. Inadequate consultation is one of the most frequent grounds of criticism by the Senate Standing Committee </w:t>
      </w:r>
      <w:r>
        <w:t xml:space="preserve">for the Scrutiny of Delegated Legislation </w:t>
      </w:r>
      <w:r w:rsidRPr="00FD274F">
        <w:t>(</w:t>
      </w:r>
      <w:r>
        <w:t>SDLC</w:t>
      </w:r>
      <w:r w:rsidRPr="00FD274F">
        <w:t>). Consequently, agencies should:</w:t>
      </w:r>
    </w:p>
    <w:p w14:paraId="4177592A" w14:textId="77777777" w:rsidR="00A83991" w:rsidRPr="00FD274F" w:rsidRDefault="00A83991" w:rsidP="00A83991">
      <w:pPr>
        <w:pStyle w:val="BodyPara"/>
      </w:pPr>
      <w:r w:rsidRPr="00FD274F">
        <w:t>establish what the rule</w:t>
      </w:r>
      <w:r>
        <w:noBreakHyphen/>
      </w:r>
      <w:r w:rsidRPr="00FD274F">
        <w:t>maker considers to be the most appropriate form of consultation at an early stage of the process; and</w:t>
      </w:r>
    </w:p>
    <w:p w14:paraId="1AA46C50" w14:textId="77777777" w:rsidR="00A83991" w:rsidRPr="00FD274F" w:rsidRDefault="00A83991" w:rsidP="00A83991">
      <w:pPr>
        <w:pStyle w:val="BodyPara"/>
      </w:pPr>
      <w:r w:rsidRPr="00FD274F">
        <w:t>satisfy the rule</w:t>
      </w:r>
      <w:r>
        <w:noBreakHyphen/>
      </w:r>
      <w:r w:rsidRPr="00FD274F">
        <w:t>maker that consultation has been undertaken to the required standard bef</w:t>
      </w:r>
      <w:r>
        <w:t>ore the instrument is made; and</w:t>
      </w:r>
    </w:p>
    <w:p w14:paraId="30DBFA8D" w14:textId="77777777" w:rsidR="00A83991" w:rsidRPr="00FD274F" w:rsidRDefault="00A83991" w:rsidP="00A83991">
      <w:pPr>
        <w:pStyle w:val="BodyPara"/>
      </w:pPr>
      <w:r w:rsidRPr="00FD274F">
        <w:t>ensure that the explanatory statement for an instrument provides an adequate description of either:</w:t>
      </w:r>
    </w:p>
    <w:p w14:paraId="0227C3A0" w14:textId="77777777" w:rsidR="00A83991" w:rsidRPr="00FD274F" w:rsidRDefault="00A83991" w:rsidP="00A83991">
      <w:pPr>
        <w:pStyle w:val="BodySubPara"/>
      </w:pPr>
      <w:r w:rsidRPr="00FD274F">
        <w:t>the consul</w:t>
      </w:r>
      <w:r>
        <w:t>tation process and outcomes; or</w:t>
      </w:r>
    </w:p>
    <w:p w14:paraId="4A8880C7" w14:textId="7E0D67B9" w:rsidR="00A83991" w:rsidRPr="00FD274F" w:rsidRDefault="00A83991" w:rsidP="00A83991">
      <w:pPr>
        <w:pStyle w:val="BodySubPara"/>
      </w:pPr>
      <w:r w:rsidRPr="00FD274F">
        <w:t xml:space="preserve">if no consultation was undertaken, the reasons for not consulting (see </w:t>
      </w:r>
      <w:r w:rsidRPr="00A55793">
        <w:t xml:space="preserve">paragraphs </w:t>
      </w:r>
      <w:r w:rsidRPr="00521AB3">
        <w:fldChar w:fldCharType="begin"/>
      </w:r>
      <w:r w:rsidRPr="00A55793">
        <w:instrText xml:space="preserve"> REF _Ref369887055 \r \h  \* MERGEFORMAT </w:instrText>
      </w:r>
      <w:r w:rsidRPr="00521AB3">
        <w:fldChar w:fldCharType="separate"/>
      </w:r>
      <w:r w:rsidR="00AB105F">
        <w:t>264</w:t>
      </w:r>
      <w:r w:rsidRPr="00521AB3">
        <w:fldChar w:fldCharType="end"/>
      </w:r>
      <w:r w:rsidRPr="00A55793">
        <w:t xml:space="preserve"> to </w:t>
      </w:r>
      <w:r w:rsidRPr="00521AB3">
        <w:fldChar w:fldCharType="begin"/>
      </w:r>
      <w:r w:rsidRPr="00A55793">
        <w:instrText xml:space="preserve"> REF _Ref369887049 \r \h  \* MERGEFORMAT </w:instrText>
      </w:r>
      <w:r w:rsidRPr="00521AB3">
        <w:fldChar w:fldCharType="separate"/>
      </w:r>
      <w:r w:rsidR="00AB105F">
        <w:t>266</w:t>
      </w:r>
      <w:r w:rsidRPr="00521AB3">
        <w:fldChar w:fldCharType="end"/>
      </w:r>
      <w:r w:rsidRPr="00A55793">
        <w:t>).</w:t>
      </w:r>
    </w:p>
    <w:p w14:paraId="71C14036" w14:textId="708C3579" w:rsidR="00A83991" w:rsidRPr="00FD274F" w:rsidRDefault="00A83991" w:rsidP="00A83991">
      <w:pPr>
        <w:pStyle w:val="BodyNum"/>
      </w:pPr>
      <w:bookmarkStart w:id="183" w:name="_Ref369887081"/>
      <w:r w:rsidRPr="00FD274F">
        <w:t xml:space="preserve">An explanatory statement that does not mention consultation, or that contains only a superficial description, is likely to result in the relevant Minister being asked by </w:t>
      </w:r>
      <w:r>
        <w:t xml:space="preserve">the SDLC </w:t>
      </w:r>
      <w:r w:rsidRPr="00FD274F">
        <w:t>to provide additional i</w:t>
      </w:r>
      <w:r>
        <w:t>nformation or take other action</w:t>
      </w:r>
      <w:r w:rsidRPr="00FD274F">
        <w:t>. Further guidance on how to meet the requirements of t</w:t>
      </w:r>
      <w:r w:rsidRPr="00521AB3">
        <w:t xml:space="preserve">he </w:t>
      </w:r>
      <w:hyperlink r:id="rId410" w:history="1">
        <w:r w:rsidRPr="00521AB3">
          <w:rPr>
            <w:rStyle w:val="Hyperlink"/>
          </w:rPr>
          <w:t>LA</w:t>
        </w:r>
      </w:hyperlink>
      <w:r w:rsidRPr="00521AB3">
        <w:t xml:space="preserve"> a</w:t>
      </w:r>
      <w:r w:rsidRPr="00FD274F">
        <w:t xml:space="preserve">nd the Parliament is provided on the </w:t>
      </w:r>
      <w:r>
        <w:t xml:space="preserve">SDLC </w:t>
      </w:r>
      <w:r w:rsidRPr="00FD274F">
        <w:t>websi</w:t>
      </w:r>
      <w:r w:rsidRPr="009574E1">
        <w:t>te</w:t>
      </w:r>
      <w:r w:rsidRPr="009574E1">
        <w:rPr>
          <w:rStyle w:val="FootnoteReference"/>
        </w:rPr>
        <w:footnoteReference w:id="20"/>
      </w:r>
      <w:r w:rsidRPr="009574E1">
        <w:t>.</w:t>
      </w:r>
    </w:p>
    <w:p w14:paraId="1DC95A5F" w14:textId="77777777" w:rsidR="00A83991" w:rsidRPr="00FD274F" w:rsidRDefault="00A83991" w:rsidP="00A83991">
      <w:pPr>
        <w:pStyle w:val="Head4"/>
      </w:pPr>
      <w:bookmarkStart w:id="184" w:name="_Toc223687794"/>
      <w:bookmarkEnd w:id="183"/>
      <w:r w:rsidRPr="00FD274F">
        <w:lastRenderedPageBreak/>
        <w:t>When consultation may be unnecessary or inappropriate</w:t>
      </w:r>
      <w:bookmarkEnd w:id="184"/>
    </w:p>
    <w:p w14:paraId="509CA0A3" w14:textId="7EF132B2" w:rsidR="00A83991" w:rsidRPr="00FD274F" w:rsidRDefault="00A83991" w:rsidP="00A83991">
      <w:pPr>
        <w:pStyle w:val="BodyNum"/>
      </w:pPr>
      <w:bookmarkStart w:id="185" w:name="_Ref369887055"/>
      <w:r w:rsidRPr="00FD274F">
        <w:t xml:space="preserve">The </w:t>
      </w:r>
      <w:hyperlink r:id="rId411" w:history="1">
        <w:r w:rsidRPr="00521AB3">
          <w:rPr>
            <w:rStyle w:val="Hyperlink"/>
          </w:rPr>
          <w:t>LA</w:t>
        </w:r>
      </w:hyperlink>
      <w:r w:rsidRPr="00521AB3">
        <w:t xml:space="preserve"> does</w:t>
      </w:r>
      <w:r w:rsidRPr="00FD274F">
        <w:t xml:space="preserve"> not require consultation if the rule</w:t>
      </w:r>
      <w:r>
        <w:noBreakHyphen/>
      </w:r>
      <w:r w:rsidRPr="00FD274F">
        <w:t>maker considers it inappropriate or impractical. It may be, for example, that a legislative instrument:</w:t>
      </w:r>
    </w:p>
    <w:bookmarkEnd w:id="185"/>
    <w:p w14:paraId="23CB7AE9" w14:textId="77777777" w:rsidR="00A83991" w:rsidRPr="00FD274F" w:rsidRDefault="00A83991" w:rsidP="00A83991">
      <w:pPr>
        <w:pStyle w:val="BodyPara"/>
      </w:pPr>
      <w:r w:rsidRPr="00FD274F">
        <w:t>is of a minor or machinery nature or does not substantially alter existing arrangements; or</w:t>
      </w:r>
    </w:p>
    <w:p w14:paraId="5037137C" w14:textId="77777777" w:rsidR="00A83991" w:rsidRPr="00FD274F" w:rsidRDefault="00A83991" w:rsidP="00A83991">
      <w:pPr>
        <w:pStyle w:val="BodyPara"/>
      </w:pPr>
      <w:r w:rsidRPr="00FD274F">
        <w:t>is required urgently; or</w:t>
      </w:r>
    </w:p>
    <w:p w14:paraId="6BF369E4" w14:textId="77777777" w:rsidR="00A83991" w:rsidRPr="00FD274F" w:rsidRDefault="00A83991" w:rsidP="00A83991">
      <w:pPr>
        <w:pStyle w:val="BodyPara"/>
      </w:pPr>
      <w:r w:rsidRPr="00FD274F">
        <w:t>implements a decision announced in the Budget; or</w:t>
      </w:r>
    </w:p>
    <w:p w14:paraId="7432349B" w14:textId="77777777" w:rsidR="00A83991" w:rsidRPr="00FD274F" w:rsidRDefault="00A83991" w:rsidP="00A83991">
      <w:pPr>
        <w:pStyle w:val="BodyPara"/>
      </w:pPr>
      <w:r w:rsidRPr="00FD274F">
        <w:t>is required because of a national security issue; or</w:t>
      </w:r>
    </w:p>
    <w:p w14:paraId="451903FC" w14:textId="77777777" w:rsidR="00A83991" w:rsidRPr="00FD274F" w:rsidRDefault="00A83991" w:rsidP="00A83991">
      <w:pPr>
        <w:pStyle w:val="BodyPara"/>
      </w:pPr>
      <w:r w:rsidRPr="00FD274F">
        <w:t>is an instrument for which appropriate consultation has already been undertaken by somebody else; or</w:t>
      </w:r>
    </w:p>
    <w:p w14:paraId="6BBAC71E" w14:textId="77777777" w:rsidR="00A83991" w:rsidRPr="00FD274F" w:rsidRDefault="00A83991" w:rsidP="00A83991">
      <w:pPr>
        <w:pStyle w:val="BodyPara"/>
      </w:pPr>
      <w:r w:rsidRPr="00FD274F">
        <w:t>relates to employme</w:t>
      </w:r>
      <w:r>
        <w:t>nt; or</w:t>
      </w:r>
    </w:p>
    <w:p w14:paraId="7775AB4D" w14:textId="77777777" w:rsidR="00A83991" w:rsidRPr="00FD274F" w:rsidRDefault="00A83991" w:rsidP="00A83991">
      <w:pPr>
        <w:pStyle w:val="BodyPara"/>
      </w:pPr>
      <w:r w:rsidRPr="00FD274F">
        <w:t>relates to the management of, or to the service of members of, the Australian Defence Force.</w:t>
      </w:r>
    </w:p>
    <w:p w14:paraId="7839AE44" w14:textId="7E210A9B" w:rsidR="00A83991" w:rsidRPr="00FD274F" w:rsidRDefault="00A83991" w:rsidP="00A83991">
      <w:pPr>
        <w:pStyle w:val="BodyNum"/>
      </w:pPr>
      <w:r w:rsidRPr="00FD274F">
        <w:rPr>
          <w:szCs w:val="24"/>
        </w:rPr>
        <w:t>Even if an instrument falls into one of these examples, a case</w:t>
      </w:r>
      <w:r>
        <w:rPr>
          <w:szCs w:val="24"/>
        </w:rPr>
        <w:noBreakHyphen/>
      </w:r>
      <w:r w:rsidRPr="00FD274F">
        <w:rPr>
          <w:szCs w:val="24"/>
        </w:rPr>
        <w:t>by</w:t>
      </w:r>
      <w:r>
        <w:rPr>
          <w:szCs w:val="24"/>
        </w:rPr>
        <w:noBreakHyphen/>
      </w:r>
      <w:r w:rsidRPr="00FD274F">
        <w:rPr>
          <w:szCs w:val="24"/>
        </w:rPr>
        <w:t>case assessment is still important and necessary to satisfy the requirements o</w:t>
      </w:r>
      <w:r w:rsidRPr="00521AB3">
        <w:rPr>
          <w:szCs w:val="24"/>
        </w:rPr>
        <w:t xml:space="preserve">f section 17 of the </w:t>
      </w:r>
      <w:hyperlink r:id="rId412" w:history="1">
        <w:r w:rsidRPr="00521AB3">
          <w:rPr>
            <w:rStyle w:val="Hyperlink"/>
          </w:rPr>
          <w:t>LA</w:t>
        </w:r>
      </w:hyperlink>
      <w:r w:rsidRPr="00521AB3">
        <w:rPr>
          <w:rStyle w:val="Hyperlink"/>
        </w:rPr>
        <w:t xml:space="preserve"> </w:t>
      </w:r>
      <w:r w:rsidRPr="00521AB3">
        <w:rPr>
          <w:szCs w:val="24"/>
        </w:rPr>
        <w:t>an</w:t>
      </w:r>
      <w:r w:rsidRPr="00FD274F">
        <w:rPr>
          <w:szCs w:val="24"/>
        </w:rPr>
        <w:t>d of scrutiny bodies.</w:t>
      </w:r>
    </w:p>
    <w:p w14:paraId="57DF6C4D" w14:textId="77777777" w:rsidR="00A83991" w:rsidRPr="00FD274F" w:rsidRDefault="00A83991" w:rsidP="00A83991">
      <w:pPr>
        <w:pStyle w:val="Head4"/>
      </w:pPr>
      <w:bookmarkStart w:id="186" w:name="_Toc223687795"/>
      <w:r w:rsidRPr="00FD274F">
        <w:t>Consequences of failure to consult</w:t>
      </w:r>
      <w:bookmarkEnd w:id="186"/>
    </w:p>
    <w:p w14:paraId="314A9AB8" w14:textId="6615D4F1" w:rsidR="00A83991" w:rsidRPr="00FD274F" w:rsidRDefault="00A83991" w:rsidP="00A83991">
      <w:pPr>
        <w:pStyle w:val="BodyNum"/>
      </w:pPr>
      <w:bookmarkStart w:id="187" w:name="_Ref369887049"/>
      <w:r w:rsidRPr="00FD274F">
        <w:t>Failure to consult in relation to a legislative instrument does not affect the validity or enforceability of the instru</w:t>
      </w:r>
      <w:r w:rsidRPr="00521AB3">
        <w:t>ment (</w:t>
      </w:r>
      <w:hyperlink r:id="rId413" w:history="1">
        <w:r w:rsidRPr="00521AB3">
          <w:rPr>
            <w:rStyle w:val="Hyperlink"/>
          </w:rPr>
          <w:t>LA</w:t>
        </w:r>
      </w:hyperlink>
      <w:r w:rsidRPr="00521AB3">
        <w:rPr>
          <w:rStyle w:val="Hyperlink"/>
        </w:rPr>
        <w:t xml:space="preserve"> </w:t>
      </w:r>
      <w:r w:rsidRPr="00521AB3">
        <w:t>s 19). Ho</w:t>
      </w:r>
      <w:r w:rsidRPr="00FD274F">
        <w:t>wever, the rule</w:t>
      </w:r>
      <w:r>
        <w:noBreakHyphen/>
      </w:r>
      <w:r w:rsidRPr="00FD274F">
        <w:t xml:space="preserve">maker must explain why consultation was unnecessary or inappropriate in the explanatory statement that is registered and tabled with the instrument in the Parliament </w:t>
      </w:r>
      <w:r w:rsidRPr="00980B37">
        <w:t xml:space="preserve">(see also </w:t>
      </w:r>
      <w:hyperlink w:anchor="Chapter8" w:history="1">
        <w:r w:rsidRPr="00980B37">
          <w:rPr>
            <w:rStyle w:val="Hyperlink"/>
          </w:rPr>
          <w:t>Chapter 8</w:t>
        </w:r>
      </w:hyperlink>
      <w:r w:rsidRPr="00980B37">
        <w:t>).</w:t>
      </w:r>
      <w:bookmarkEnd w:id="187"/>
    </w:p>
    <w:p w14:paraId="711357DD" w14:textId="77777777" w:rsidR="00432F4C" w:rsidRDefault="00432F4C" w:rsidP="00432F4C">
      <w:pPr>
        <w:pStyle w:val="Head3"/>
      </w:pPr>
      <w:bookmarkStart w:id="188" w:name="_Toc223687796"/>
      <w:bookmarkStart w:id="189" w:name="_Hlk175829784"/>
      <w:r>
        <w:t>Requirement to assess policy impacts before making</w:t>
      </w:r>
      <w:bookmarkEnd w:id="188"/>
    </w:p>
    <w:p w14:paraId="0E1EA436" w14:textId="152F5AD7" w:rsidR="00432F4C" w:rsidRDefault="00432F4C" w:rsidP="00C27411">
      <w:pPr>
        <w:pStyle w:val="BodyNum"/>
      </w:pPr>
      <w:r>
        <w:t>Before the decision is taken to make an instrument, a preliminary assessment</w:t>
      </w:r>
      <w:r>
        <w:rPr>
          <w:rStyle w:val="FootnoteReference"/>
        </w:rPr>
        <w:footnoteReference w:id="21"/>
      </w:r>
      <w:r>
        <w:t xml:space="preserve"> must be provided to the Office of Impact Analysis (</w:t>
      </w:r>
      <w:proofErr w:type="spellStart"/>
      <w:r>
        <w:t>OIA</w:t>
      </w:r>
      <w:proofErr w:type="spellEnd"/>
      <w:r>
        <w:t>) to determine whether an Impact Analysis is required. An Impact Analysis is required for any policy proposal or action of government, with an expectation of compliance, that would result in a more than minor change in behaviour or impact for people, businesses or community organisations. Further details regarding Impact Analysis requirements are available in the Australian Government Guide to Policy Impact Analysis.</w:t>
      </w:r>
      <w:r w:rsidR="000065FB">
        <w:rPr>
          <w:rStyle w:val="FootnoteReference"/>
        </w:rPr>
        <w:footnoteReference w:id="22"/>
      </w:r>
    </w:p>
    <w:p w14:paraId="488E66E3" w14:textId="4EFE85AF" w:rsidR="00432F4C" w:rsidRDefault="00432F4C" w:rsidP="00C27411">
      <w:pPr>
        <w:pStyle w:val="BodyNum"/>
      </w:pPr>
      <w:r>
        <w:lastRenderedPageBreak/>
        <w:t xml:space="preserve">For the remaking of an instrument due to sunset, Impact Analysis requirements for various scenarios are laid out in the </w:t>
      </w:r>
      <w:proofErr w:type="spellStart"/>
      <w:r>
        <w:t>OIA’s</w:t>
      </w:r>
      <w:proofErr w:type="spellEnd"/>
      <w:r>
        <w:t xml:space="preserve"> Sunsetting Legislative Instruments Guidance Note.</w:t>
      </w:r>
      <w:r w:rsidR="000065FB">
        <w:rPr>
          <w:rStyle w:val="FootnoteReference"/>
        </w:rPr>
        <w:footnoteReference w:id="23"/>
      </w:r>
    </w:p>
    <w:p w14:paraId="1A0DDFF1" w14:textId="3B8E7006" w:rsidR="00432F4C" w:rsidRDefault="00432F4C" w:rsidP="00C27411">
      <w:pPr>
        <w:pStyle w:val="BodyNum"/>
      </w:pPr>
      <w:r>
        <w:t xml:space="preserve">Where an Impact Analysis is required, the </w:t>
      </w:r>
      <w:proofErr w:type="spellStart"/>
      <w:r>
        <w:t>OIA</w:t>
      </w:r>
      <w:proofErr w:type="spellEnd"/>
      <w:r>
        <w:t xml:space="preserve"> assesses the quality of the analysis and the process involved in developing that analysis. Following a final assessment by the </w:t>
      </w:r>
      <w:proofErr w:type="spellStart"/>
      <w:r>
        <w:t>OIA</w:t>
      </w:r>
      <w:proofErr w:type="spellEnd"/>
      <w:r>
        <w:t>, an Impact Analysis may be assessed as exemplary practice, good practice, adequate or insufficient. An Impact Analysis assessed as insufficient means the process and analysis is of poor quality and should not be used as a basis for decision making. However, an insufficient Impact Analysis does not invalidate an instrument, but will likely attract unfavourable scrutiny.</w:t>
      </w:r>
      <w:r w:rsidR="000065FB">
        <w:rPr>
          <w:rStyle w:val="FootnoteReference"/>
        </w:rPr>
        <w:footnoteReference w:id="24"/>
      </w:r>
      <w:r>
        <w:t xml:space="preserve"> More information on the current Impact Analysis requirements is available from the </w:t>
      </w:r>
      <w:proofErr w:type="spellStart"/>
      <w:r>
        <w:t>OIA</w:t>
      </w:r>
      <w:proofErr w:type="spellEnd"/>
      <w:r>
        <w:t xml:space="preserve"> website</w:t>
      </w:r>
      <w:r w:rsidR="000065FB">
        <w:rPr>
          <w:rStyle w:val="FootnoteReference"/>
        </w:rPr>
        <w:footnoteReference w:id="25"/>
      </w:r>
      <w:r>
        <w:t xml:space="preserve"> and on request (</w:t>
      </w:r>
      <w:hyperlink r:id="rId414" w:history="1">
        <w:r>
          <w:rPr>
            <w:rStyle w:val="Hyperlink"/>
          </w:rPr>
          <w:t>helpdesk</w:t>
        </w:r>
        <w:r>
          <w:rPr>
            <w:rStyle w:val="Hyperlink"/>
          </w:rPr>
          <w:noBreakHyphen/>
          <w:t>OIA@pmc.gov.au</w:t>
        </w:r>
      </w:hyperlink>
      <w:r>
        <w:rPr>
          <w:rStyle w:val="Hyperlink"/>
        </w:rPr>
        <w:t xml:space="preserve"> </w:t>
      </w:r>
      <w:r>
        <w:t>or (02) 6271 6270).</w:t>
      </w:r>
    </w:p>
    <w:p w14:paraId="2154F359" w14:textId="77777777" w:rsidR="00432F4C" w:rsidRDefault="00432F4C" w:rsidP="00C27411">
      <w:pPr>
        <w:pStyle w:val="BodyNum"/>
      </w:pPr>
      <w:r>
        <w:t>Note also that if an Impact Analysis that relates to an instrument has been completed, the entire Impact Analysis must be included in, or attached to, the instrument’s explanatory statement.</w:t>
      </w:r>
    </w:p>
    <w:p w14:paraId="3382990E" w14:textId="77777777" w:rsidR="00A83991" w:rsidRPr="00FD274F" w:rsidRDefault="00A83991" w:rsidP="00A83991">
      <w:pPr>
        <w:pStyle w:val="Head3"/>
      </w:pPr>
      <w:bookmarkStart w:id="190" w:name="_Toc223687797"/>
      <w:bookmarkEnd w:id="189"/>
      <w:r w:rsidRPr="00FD274F">
        <w:t>Other requirements to consider before making</w:t>
      </w:r>
      <w:bookmarkEnd w:id="190"/>
    </w:p>
    <w:p w14:paraId="34368AB3" w14:textId="77777777" w:rsidR="00A83991" w:rsidRPr="00FD274F" w:rsidRDefault="00A83991" w:rsidP="00A83991">
      <w:pPr>
        <w:pStyle w:val="BodyNum"/>
      </w:pPr>
      <w:r w:rsidRPr="00FD274F">
        <w:t>There are a range of other requirements a rule</w:t>
      </w:r>
      <w:r>
        <w:noBreakHyphen/>
      </w:r>
      <w:r w:rsidRPr="00FD274F">
        <w:t>maker may need to consider before making a legislative instrument or approving an explanatory statement. For example, as a matter of process, before making an instrument:</w:t>
      </w:r>
    </w:p>
    <w:p w14:paraId="2B73C77D" w14:textId="77777777" w:rsidR="00A83991" w:rsidRPr="00FD274F" w:rsidRDefault="00A83991" w:rsidP="00A83991">
      <w:pPr>
        <w:pStyle w:val="BodyPara"/>
      </w:pPr>
      <w:r w:rsidRPr="00FD274F">
        <w:t>during the caretaker (election) period—it may be necessary to consider the caretaker conventions, even if the rule</w:t>
      </w:r>
      <w:r>
        <w:noBreakHyphen/>
      </w:r>
      <w:r w:rsidRPr="00FD274F">
        <w:t>maker is a statutory authority or officeholder rather than a Minister or department</w:t>
      </w:r>
      <w:r w:rsidRPr="00FD274F">
        <w:rPr>
          <w:rStyle w:val="FootnoteReference"/>
        </w:rPr>
        <w:footnoteReference w:id="26"/>
      </w:r>
      <w:r>
        <w:t>; or</w:t>
      </w:r>
    </w:p>
    <w:p w14:paraId="13B8C910" w14:textId="7296FE11" w:rsidR="00A83991" w:rsidRPr="00FD274F" w:rsidRDefault="00A83991" w:rsidP="00A83991">
      <w:pPr>
        <w:pStyle w:val="BodyPara"/>
      </w:pPr>
      <w:r w:rsidRPr="00FD274F">
        <w:t>that is the same in substance as an instrument that has been registered or disallowed recently—it may be neces</w:t>
      </w:r>
      <w:r w:rsidRPr="00980B37">
        <w:t xml:space="preserve">sary to consider the restrictions on remaking that apply before and after tabling (see </w:t>
      </w:r>
      <w:hyperlink w:anchor="Chapter9" w:history="1">
        <w:r w:rsidRPr="00980B37">
          <w:rPr>
            <w:rStyle w:val="Hyperlink"/>
          </w:rPr>
          <w:t>Chapter 9</w:t>
        </w:r>
      </w:hyperlink>
      <w:r w:rsidRPr="00980B37">
        <w:t>);</w:t>
      </w:r>
      <w:r w:rsidRPr="00FD274F">
        <w:t xml:space="preserve"> or</w:t>
      </w:r>
    </w:p>
    <w:p w14:paraId="330620F3" w14:textId="310D16E3" w:rsidR="00A83991" w:rsidRPr="00FD274F" w:rsidRDefault="00A83991" w:rsidP="00A83991">
      <w:pPr>
        <w:pStyle w:val="BodyPara"/>
      </w:pPr>
      <w:r w:rsidRPr="00FD274F">
        <w:t xml:space="preserve">that is intended to amend or replace an instrument that has already </w:t>
      </w:r>
      <w:proofErr w:type="spellStart"/>
      <w:r w:rsidRPr="00FD274F">
        <w:t>sunsetted</w:t>
      </w:r>
      <w:proofErr w:type="spellEnd"/>
      <w:r w:rsidRPr="00FD274F">
        <w:t xml:space="preserve"> or will sunset soon—it is necessary to consider a range of other issues (see </w:t>
      </w:r>
      <w:hyperlink w:anchor="Chapter10" w:history="1">
        <w:r w:rsidRPr="00980B37">
          <w:rPr>
            <w:rStyle w:val="Hyperlink"/>
          </w:rPr>
          <w:t>Chapter 10</w:t>
        </w:r>
      </w:hyperlink>
      <w:r w:rsidRPr="00980B37">
        <w:t>).</w:t>
      </w:r>
    </w:p>
    <w:p w14:paraId="743CD965" w14:textId="77777777" w:rsidR="0057232B" w:rsidRDefault="0057232B" w:rsidP="00A83991">
      <w:pPr>
        <w:pStyle w:val="Head2"/>
        <w:sectPr w:rsidR="0057232B" w:rsidSect="00004B84">
          <w:headerReference w:type="default" r:id="rId415"/>
          <w:footerReference w:type="default" r:id="rId416"/>
          <w:pgSz w:w="11907" w:h="16839" w:code="9"/>
          <w:pgMar w:top="1440" w:right="1440" w:bottom="1418" w:left="1440" w:header="720" w:footer="720" w:gutter="0"/>
          <w:pgNumType w:start="62"/>
          <w:cols w:sep="1" w:space="567"/>
          <w:docGrid w:linePitch="360"/>
        </w:sectPr>
      </w:pPr>
      <w:bookmarkStart w:id="191" w:name="Chapter8"/>
    </w:p>
    <w:p w14:paraId="3FF8A618" w14:textId="16687359" w:rsidR="00A83991" w:rsidRPr="00FD274F" w:rsidRDefault="00A83991" w:rsidP="00A83991">
      <w:pPr>
        <w:pStyle w:val="Head2"/>
      </w:pPr>
      <w:bookmarkStart w:id="192" w:name="_Toc223687798"/>
      <w:r w:rsidRPr="00FD274F">
        <w:lastRenderedPageBreak/>
        <w:t>Chapter 8—Explanatory statements</w:t>
      </w:r>
      <w:bookmarkEnd w:id="192"/>
    </w:p>
    <w:bookmarkEnd w:id="191"/>
    <w:p w14:paraId="4108C23E" w14:textId="77777777" w:rsidR="00A83991" w:rsidRPr="00FD274F" w:rsidRDefault="00A83991" w:rsidP="00A83991">
      <w:pPr>
        <w:pStyle w:val="SundryBoxHeadBold"/>
      </w:pPr>
      <w:r>
        <w:t>Main points</w:t>
      </w:r>
    </w:p>
    <w:p w14:paraId="0810ACAD" w14:textId="77777777" w:rsidR="00A83991" w:rsidRPr="00FD274F" w:rsidRDefault="00A83991" w:rsidP="00A83991">
      <w:pPr>
        <w:pStyle w:val="SundryBoxBullet"/>
      </w:pPr>
      <w:r w:rsidRPr="00FD274F">
        <w:t>•</w:t>
      </w:r>
      <w:r w:rsidRPr="00FD274F">
        <w:tab/>
        <w:t>Each new legislative instrument must have an explanatory statement approved by the rule</w:t>
      </w:r>
      <w:r>
        <w:noBreakHyphen/>
      </w:r>
      <w:r w:rsidRPr="00FD274F">
        <w:t>maker, but a single statement may relate to one or more legislative instruments.</w:t>
      </w:r>
    </w:p>
    <w:p w14:paraId="02BD2EC3" w14:textId="73B556DE" w:rsidR="00A83991" w:rsidRPr="00FD274F" w:rsidRDefault="00A83991" w:rsidP="00A83991">
      <w:pPr>
        <w:pStyle w:val="SundryBoxBullet"/>
      </w:pPr>
      <w:bookmarkStart w:id="193" w:name="_Hlk183785938"/>
      <w:r w:rsidRPr="00FD274F">
        <w:t>•</w:t>
      </w:r>
      <w:r w:rsidRPr="00FD274F">
        <w:tab/>
        <w:t>An explanatory statement must contain certain information and should also take into account the requirements of the Federal Executive Council (</w:t>
      </w:r>
      <w:proofErr w:type="spellStart"/>
      <w:r w:rsidRPr="00FD274F">
        <w:t>ExCo</w:t>
      </w:r>
      <w:proofErr w:type="spellEnd"/>
      <w:r w:rsidRPr="00FD274F">
        <w:t>) Secretariat and of parliamentary committees if applicable.</w:t>
      </w:r>
    </w:p>
    <w:bookmarkEnd w:id="193"/>
    <w:p w14:paraId="2EB78E03" w14:textId="77777777" w:rsidR="00A83991" w:rsidRPr="00FD274F" w:rsidRDefault="00A83991" w:rsidP="00A83991">
      <w:pPr>
        <w:pStyle w:val="SundryBoxBullet"/>
      </w:pPr>
      <w:r w:rsidRPr="00FD274F">
        <w:t>•</w:t>
      </w:r>
      <w:r w:rsidRPr="00FD274F">
        <w:tab/>
        <w:t>The explanatory statement must be lodged with OPC for registration with, or as soon as practicable after, the legislative instrument to which it relates.</w:t>
      </w:r>
    </w:p>
    <w:p w14:paraId="52CFD225" w14:textId="77777777" w:rsidR="00A83991" w:rsidRPr="00FD274F" w:rsidRDefault="00A83991" w:rsidP="00A83991">
      <w:pPr>
        <w:pStyle w:val="SundryBoxBullet"/>
      </w:pPr>
      <w:r w:rsidRPr="00FD274F">
        <w:t>•</w:t>
      </w:r>
      <w:r w:rsidRPr="00FD274F">
        <w:tab/>
        <w:t>The explanatory statement is likely to attract question and comment if it is not able to be tabled with the instrument or does not meet parliamentary requirements.</w:t>
      </w:r>
    </w:p>
    <w:p w14:paraId="09BDCA1C" w14:textId="77777777" w:rsidR="00A83991" w:rsidRPr="00FD274F" w:rsidRDefault="00A83991" w:rsidP="00A83991">
      <w:pPr>
        <w:pStyle w:val="SundryBoxBullet"/>
      </w:pPr>
      <w:r w:rsidRPr="00FD274F">
        <w:t>•</w:t>
      </w:r>
      <w:r w:rsidRPr="00FD274F">
        <w:tab/>
        <w:t>If the initial explanatory statement provided by a rule</w:t>
      </w:r>
      <w:r>
        <w:noBreakHyphen/>
      </w:r>
      <w:r w:rsidRPr="00FD274F">
        <w:t>maker is incomplete or inaccurate, it may be possible to lodge a supplementary or replacement statement with OPC</w:t>
      </w:r>
      <w:r>
        <w:t xml:space="preserve"> for registration on the Register</w:t>
      </w:r>
      <w:r w:rsidRPr="00FD274F">
        <w:t>.</w:t>
      </w:r>
    </w:p>
    <w:p w14:paraId="50FF4087" w14:textId="77777777" w:rsidR="00A83991" w:rsidRPr="00FD274F" w:rsidRDefault="00A83991" w:rsidP="00A83991">
      <w:pPr>
        <w:pStyle w:val="Head3"/>
      </w:pPr>
      <w:bookmarkStart w:id="194" w:name="_Toc223687799"/>
      <w:r>
        <w:t>General</w:t>
      </w:r>
      <w:bookmarkEnd w:id="194"/>
    </w:p>
    <w:p w14:paraId="6B5B6943" w14:textId="665EA0CF" w:rsidR="00A83991" w:rsidRPr="00FD274F" w:rsidRDefault="00A83991" w:rsidP="00A83991">
      <w:pPr>
        <w:pStyle w:val="BodyNum"/>
      </w:pPr>
      <w:r w:rsidRPr="00FD274F">
        <w:t>Explanatory sta</w:t>
      </w:r>
      <w:r w:rsidRPr="002C0EF2">
        <w:t xml:space="preserve">tements are an important resource for readers of legislative instruments and, under section 15AB of the </w:t>
      </w:r>
      <w:hyperlink r:id="rId417" w:history="1">
        <w:hyperlink r:id="rId418" w:history="1">
          <w:r w:rsidRPr="002C0EF2">
            <w:rPr>
              <w:rStyle w:val="Hyperlink"/>
              <w:i/>
            </w:rPr>
            <w:t>Acts Interpretation Act 1901</w:t>
          </w:r>
        </w:hyperlink>
      </w:hyperlink>
      <w:r w:rsidRPr="002C0EF2">
        <w:t>,</w:t>
      </w:r>
      <w:r w:rsidRPr="00FD274F">
        <w:t xml:space="preserve"> may be used by a court to help interpret an instrument. A well</w:t>
      </w:r>
      <w:r>
        <w:noBreakHyphen/>
      </w:r>
      <w:r w:rsidRPr="00FD274F">
        <w:t>prepared explanatory statement is also desirable to facilitate:</w:t>
      </w:r>
    </w:p>
    <w:p w14:paraId="2CE21099" w14:textId="77777777" w:rsidR="00A83991" w:rsidRPr="00FD274F" w:rsidRDefault="00A83991" w:rsidP="00A83991">
      <w:pPr>
        <w:pStyle w:val="BodyPara"/>
      </w:pPr>
      <w:r w:rsidRPr="00FD274F">
        <w:t>parliamentary scrutiny of the legislative instrument; and</w:t>
      </w:r>
    </w:p>
    <w:p w14:paraId="77A38EBA" w14:textId="77777777" w:rsidR="00A83991" w:rsidRPr="00FD274F" w:rsidRDefault="00A83991" w:rsidP="00A83991">
      <w:pPr>
        <w:pStyle w:val="BodyPara"/>
      </w:pPr>
      <w:r w:rsidRPr="00FD274F">
        <w:t>compliance with the instrument by agencies and external stakeholders.</w:t>
      </w:r>
    </w:p>
    <w:p w14:paraId="58A76AE8" w14:textId="5481D01D" w:rsidR="00A83991" w:rsidRPr="00FD274F" w:rsidRDefault="00A83991" w:rsidP="00A83991">
      <w:pPr>
        <w:pStyle w:val="BodyNum"/>
      </w:pPr>
      <w:bookmarkStart w:id="195" w:name="_Ref369784874"/>
      <w:r w:rsidRPr="00FD274F">
        <w:t xml:space="preserve">Although each legislative instrument must be accompanied by an explanatory statement, a single explanatory statement may relate to one or more legislative instruments </w:t>
      </w:r>
      <w:r w:rsidRPr="001A4E0D">
        <w:t>(</w:t>
      </w:r>
      <w:hyperlink r:id="rId419" w:history="1">
        <w:hyperlink r:id="rId420" w:history="1">
          <w:r w:rsidRPr="001A4E0D">
            <w:rPr>
              <w:rStyle w:val="Hyperlink"/>
            </w:rPr>
            <w:t>LA</w:t>
          </w:r>
        </w:hyperlink>
        <w:r w:rsidRPr="001A4E0D">
          <w:rPr>
            <w:rStyle w:val="Hyperlink"/>
          </w:rPr>
          <w:t xml:space="preserve"> </w:t>
        </w:r>
      </w:hyperlink>
      <w:r w:rsidRPr="001A4E0D">
        <w:t>s 15J(4)). T</w:t>
      </w:r>
      <w:r w:rsidRPr="00FD274F">
        <w:t>his may be appropriate if, for example, several instruments are made under the same enabling legislation at the same time. However, careful consideration should be given to the content and timing requirements outlined i</w:t>
      </w:r>
      <w:r w:rsidRPr="00411168">
        <w:t>n paragraphs</w:t>
      </w:r>
      <w:r w:rsidR="00113E26">
        <w:t xml:space="preserve"> </w:t>
      </w:r>
      <w:r w:rsidR="00113E26">
        <w:fldChar w:fldCharType="begin"/>
      </w:r>
      <w:r w:rsidR="00113E26">
        <w:instrText xml:space="preserve"> REF _Ref184284000 \r \h </w:instrText>
      </w:r>
      <w:r w:rsidR="00113E26">
        <w:fldChar w:fldCharType="separate"/>
      </w:r>
      <w:r w:rsidR="00AB105F">
        <w:t>278</w:t>
      </w:r>
      <w:r w:rsidR="00113E26">
        <w:fldChar w:fldCharType="end"/>
      </w:r>
      <w:r w:rsidRPr="00411168">
        <w:t xml:space="preserve"> and </w:t>
      </w:r>
      <w:r w:rsidRPr="001A4E0D">
        <w:fldChar w:fldCharType="begin"/>
      </w:r>
      <w:r w:rsidRPr="00411168">
        <w:instrText xml:space="preserve"> REF _Ref29483756 \r \h </w:instrText>
      </w:r>
      <w:r>
        <w:rPr>
          <w:highlight w:val="yellow"/>
        </w:rPr>
        <w:instrText xml:space="preserve"> \* MERGEFORMAT </w:instrText>
      </w:r>
      <w:r w:rsidRPr="001A4E0D">
        <w:fldChar w:fldCharType="separate"/>
      </w:r>
      <w:r w:rsidR="00AB105F">
        <w:t>305</w:t>
      </w:r>
      <w:r w:rsidRPr="001A4E0D">
        <w:fldChar w:fldCharType="end"/>
      </w:r>
      <w:r w:rsidRPr="00411168">
        <w:t>.</w:t>
      </w:r>
      <w:bookmarkEnd w:id="195"/>
    </w:p>
    <w:p w14:paraId="29BD3181" w14:textId="77777777" w:rsidR="00A83991" w:rsidRPr="00FD274F" w:rsidRDefault="00A83991" w:rsidP="00A83991">
      <w:pPr>
        <w:pStyle w:val="Head3"/>
      </w:pPr>
      <w:bookmarkStart w:id="196" w:name="_Toc223687800"/>
      <w:r>
        <w:t xml:space="preserve">Responsibility </w:t>
      </w:r>
      <w:r w:rsidRPr="00FD274F">
        <w:t>for approving explanatory statements</w:t>
      </w:r>
      <w:bookmarkEnd w:id="196"/>
    </w:p>
    <w:p w14:paraId="5A20F8EE" w14:textId="7C51D77F" w:rsidR="00A83991" w:rsidRPr="00FD274F" w:rsidRDefault="00A83991" w:rsidP="00A83991">
      <w:pPr>
        <w:pStyle w:val="BodyNum"/>
      </w:pPr>
      <w:r w:rsidRPr="00FD274F">
        <w:t>Agencies must ensure that any explanatory statement that they lodge in relation to an instrument has been approved by the relevant rule</w:t>
      </w:r>
      <w:r>
        <w:noBreakHyphen/>
      </w:r>
      <w:r w:rsidRPr="00FD274F">
        <w:t xml:space="preserve">maker as required by </w:t>
      </w:r>
      <w:r w:rsidRPr="001A4E0D">
        <w:t xml:space="preserve">section 15J of the </w:t>
      </w:r>
      <w:hyperlink r:id="rId421" w:history="1">
        <w:hyperlink r:id="rId422" w:history="1">
          <w:r w:rsidRPr="001A4E0D">
            <w:rPr>
              <w:rStyle w:val="Hyperlink"/>
            </w:rPr>
            <w:t>LA</w:t>
          </w:r>
        </w:hyperlink>
      </w:hyperlink>
      <w:r w:rsidRPr="001A4E0D">
        <w:t>. It is usua</w:t>
      </w:r>
      <w:r w:rsidRPr="00FD274F">
        <w:t>l to submit explanatory statements to rule</w:t>
      </w:r>
      <w:r>
        <w:noBreakHyphen/>
      </w:r>
      <w:r w:rsidRPr="00FD274F">
        <w:t xml:space="preserve">makers at the same time as the legislative instruments that they explain so that all related documents can be lodged, </w:t>
      </w:r>
      <w:r>
        <w:t>registered and tabled together.</w:t>
      </w:r>
    </w:p>
    <w:p w14:paraId="3DFA9ED9" w14:textId="27AA5533" w:rsidR="00A83991" w:rsidRPr="00FD274F" w:rsidRDefault="00A83991" w:rsidP="00A83991">
      <w:pPr>
        <w:pStyle w:val="BodyNum"/>
        <w:keepLines/>
      </w:pPr>
      <w:r w:rsidRPr="00FD274F">
        <w:lastRenderedPageBreak/>
        <w:t>In the case of a legislative instrument made by the Governor</w:t>
      </w:r>
      <w:r>
        <w:noBreakHyphen/>
      </w:r>
      <w:r w:rsidRPr="00FD274F">
        <w:t>General, the explanatory statement can be approved by the relevant Minis</w:t>
      </w:r>
      <w:r w:rsidRPr="00277499">
        <w:t xml:space="preserve">ter (see </w:t>
      </w:r>
      <w:hyperlink r:id="rId423" w:history="1">
        <w:r w:rsidRPr="00277499">
          <w:rPr>
            <w:rStyle w:val="Hyperlink"/>
          </w:rPr>
          <w:t>LA</w:t>
        </w:r>
      </w:hyperlink>
      <w:r w:rsidRPr="00277499">
        <w:rPr>
          <w:rStyle w:val="Hyperlink"/>
        </w:rPr>
        <w:t xml:space="preserve"> </w:t>
      </w:r>
      <w:r w:rsidRPr="00277499">
        <w:t>s 6(1)(a)).</w:t>
      </w:r>
      <w:r w:rsidRPr="00FD274F">
        <w:t xml:space="preserve"> The explanatory statement does not generally need to be submitted to </w:t>
      </w:r>
      <w:proofErr w:type="spellStart"/>
      <w:r w:rsidRPr="00FD274F">
        <w:t>ExCo</w:t>
      </w:r>
      <w:proofErr w:type="spellEnd"/>
      <w:r w:rsidRPr="00FD274F">
        <w:t xml:space="preserve">, and should not be confused with the explanatory memorandum that is required for </w:t>
      </w:r>
      <w:proofErr w:type="spellStart"/>
      <w:r w:rsidRPr="00FD274F">
        <w:t>ExCo</w:t>
      </w:r>
      <w:proofErr w:type="spellEnd"/>
      <w:r w:rsidRPr="00FD274F">
        <w:t xml:space="preserve"> purposes</w:t>
      </w:r>
      <w:r w:rsidRPr="00277499">
        <w:t xml:space="preserve">. For further information on </w:t>
      </w:r>
      <w:proofErr w:type="spellStart"/>
      <w:r w:rsidRPr="00277499">
        <w:t>ExCo</w:t>
      </w:r>
      <w:proofErr w:type="spellEnd"/>
      <w:r w:rsidRPr="00277499">
        <w:t xml:space="preserve"> requirements and processes, see the Federal Executive Council Handbook</w:t>
      </w:r>
      <w:r w:rsidRPr="00277499">
        <w:rPr>
          <w:rStyle w:val="FootnoteReference"/>
        </w:rPr>
        <w:footnoteReference w:id="27"/>
      </w:r>
      <w:r w:rsidRPr="00277499">
        <w:t>.</w:t>
      </w:r>
    </w:p>
    <w:p w14:paraId="52ACC33F" w14:textId="77777777" w:rsidR="00A83991" w:rsidRPr="00FD274F" w:rsidRDefault="00A83991" w:rsidP="00A83991">
      <w:pPr>
        <w:pStyle w:val="Head3"/>
      </w:pPr>
      <w:bookmarkStart w:id="197" w:name="_Toc223687801"/>
      <w:r>
        <w:t>Content of</w:t>
      </w:r>
      <w:r w:rsidRPr="00FD274F">
        <w:t xml:space="preserve"> explanatory statements</w:t>
      </w:r>
      <w:bookmarkEnd w:id="197"/>
    </w:p>
    <w:p w14:paraId="48CB2E9D" w14:textId="77777777" w:rsidR="00A83991" w:rsidRPr="00FD274F" w:rsidRDefault="00A83991" w:rsidP="00A83991">
      <w:pPr>
        <w:pStyle w:val="BodyNum"/>
      </w:pPr>
      <w:r w:rsidRPr="00FD274F">
        <w:t>The explanatory statement for an instrument should be as clear and helpful as possible. The more complex the instrument, the more extensive the explanatory statement needs to be to achieve this.</w:t>
      </w:r>
    </w:p>
    <w:p w14:paraId="35C81800" w14:textId="77777777" w:rsidR="00A83991" w:rsidRPr="00FD274F" w:rsidRDefault="00A83991" w:rsidP="00A83991">
      <w:pPr>
        <w:pStyle w:val="BodyNum"/>
      </w:pPr>
      <w:bookmarkStart w:id="198" w:name="_Ref367446445"/>
      <w:r w:rsidRPr="00FD274F">
        <w:t>To make it easy to identify an explanatory statement and the instrument that it explains, it is usual to present the following information at the top of the first page:</w:t>
      </w:r>
    </w:p>
    <w:p w14:paraId="584D7F1B" w14:textId="77777777" w:rsidR="00A83991" w:rsidRPr="00FD274F" w:rsidRDefault="00A83991" w:rsidP="00A83991">
      <w:pPr>
        <w:pStyle w:val="BodyPara"/>
      </w:pPr>
      <w:r w:rsidRPr="00FD274F">
        <w:t>the name of the document e.g. “Explanatory Statement” (if necessary prefaced by the words “Replacement” or “Supplementary”); and</w:t>
      </w:r>
    </w:p>
    <w:p w14:paraId="3012171C" w14:textId="77777777" w:rsidR="00A83991" w:rsidRPr="00FD274F" w:rsidRDefault="00A83991" w:rsidP="00A83991">
      <w:pPr>
        <w:pStyle w:val="BodyPara"/>
      </w:pPr>
      <w:r w:rsidRPr="00FD274F">
        <w:t>the complete name of the instrument to which the statement relates, as specified in the instrument.</w:t>
      </w:r>
    </w:p>
    <w:p w14:paraId="410D6104" w14:textId="1B4E4E9E" w:rsidR="00A83991" w:rsidRPr="00FD274F" w:rsidRDefault="00A83991" w:rsidP="00A83991">
      <w:pPr>
        <w:pStyle w:val="BodyNum"/>
      </w:pPr>
      <w:bookmarkStart w:id="199" w:name="_Ref184284000"/>
      <w:r w:rsidRPr="00FD274F">
        <w:t>When it comes to the content of the statement, se</w:t>
      </w:r>
      <w:r w:rsidRPr="00277499">
        <w:t xml:space="preserve">ction 15J of the </w:t>
      </w:r>
      <w:hyperlink r:id="rId424" w:history="1">
        <w:hyperlink r:id="rId425" w:history="1">
          <w:r w:rsidRPr="00277499">
            <w:rPr>
              <w:rStyle w:val="Hyperlink"/>
            </w:rPr>
            <w:t>LA</w:t>
          </w:r>
        </w:hyperlink>
        <w:r w:rsidRPr="00277499">
          <w:rPr>
            <w:rStyle w:val="Hyperlink"/>
          </w:rPr>
          <w:t xml:space="preserve"> </w:t>
        </w:r>
      </w:hyperlink>
      <w:r w:rsidRPr="00277499">
        <w:t>s</w:t>
      </w:r>
      <w:r w:rsidRPr="00FD274F">
        <w:t>ets out the minimum standards in some detail. An initial or replacement explanatory statement must:</w:t>
      </w:r>
      <w:bookmarkEnd w:id="199"/>
    </w:p>
    <w:bookmarkEnd w:id="198"/>
    <w:p w14:paraId="394FBA1C" w14:textId="77777777" w:rsidR="00A83991" w:rsidRPr="00FD274F" w:rsidRDefault="00A83991" w:rsidP="00A83991">
      <w:pPr>
        <w:pStyle w:val="BodyPara"/>
      </w:pPr>
      <w:r w:rsidRPr="00FD274F">
        <w:t>be approved by the rule</w:t>
      </w:r>
      <w:r>
        <w:noBreakHyphen/>
      </w:r>
      <w:r w:rsidRPr="00FD274F">
        <w:t>maker; and</w:t>
      </w:r>
    </w:p>
    <w:p w14:paraId="42A38DFA" w14:textId="77777777" w:rsidR="00A83991" w:rsidRPr="00FD274F" w:rsidRDefault="00A83991" w:rsidP="00A83991">
      <w:pPr>
        <w:pStyle w:val="BodyPara"/>
      </w:pPr>
      <w:r w:rsidRPr="00FD274F">
        <w:t>explain the purpose and operation of the instrument; and</w:t>
      </w:r>
    </w:p>
    <w:p w14:paraId="178A8671" w14:textId="77777777" w:rsidR="00A83991" w:rsidRPr="00FD274F" w:rsidRDefault="00A83991" w:rsidP="00A83991">
      <w:pPr>
        <w:pStyle w:val="BodyPara"/>
      </w:pPr>
      <w:r w:rsidRPr="00FD274F">
        <w:t>if any documents are incorporated in the instrument by reference—contain a description of the incorporated documents and indicate how they may be obtained; and</w:t>
      </w:r>
    </w:p>
    <w:p w14:paraId="38544FA1" w14:textId="6916F82D" w:rsidR="00A83991" w:rsidRPr="00FD274F" w:rsidRDefault="00A83991" w:rsidP="00A83991">
      <w:pPr>
        <w:pStyle w:val="BodyPara"/>
      </w:pPr>
      <w:r w:rsidRPr="00FD274F">
        <w:t>if consultation was undertaken under s</w:t>
      </w:r>
      <w:r w:rsidRPr="00277499">
        <w:t xml:space="preserve">ection 17 of the </w:t>
      </w:r>
      <w:hyperlink r:id="rId426" w:history="1">
        <w:hyperlink r:id="rId427" w:history="1">
          <w:r w:rsidRPr="00277499">
            <w:rPr>
              <w:rStyle w:val="Hyperlink"/>
            </w:rPr>
            <w:t>LA</w:t>
          </w:r>
        </w:hyperlink>
        <w:r w:rsidRPr="00277499">
          <w:rPr>
            <w:rStyle w:val="Hyperlink"/>
          </w:rPr>
          <w:t xml:space="preserve"> </w:t>
        </w:r>
      </w:hyperlink>
      <w:r w:rsidRPr="00277499">
        <w:t>b</w:t>
      </w:r>
      <w:r w:rsidRPr="00FD274F">
        <w:t>efore the instrument was made—contain a description of the nature of the consultation; and</w:t>
      </w:r>
    </w:p>
    <w:p w14:paraId="157F9E45" w14:textId="77777777" w:rsidR="00A83991" w:rsidRPr="00FD274F" w:rsidRDefault="00A83991" w:rsidP="00A83991">
      <w:pPr>
        <w:pStyle w:val="BodyPara"/>
      </w:pPr>
      <w:r w:rsidRPr="00FD274F">
        <w:t>if no such consultation was undertaken—explain why no such consultation was undertaken; and</w:t>
      </w:r>
    </w:p>
    <w:p w14:paraId="5BE77B2E" w14:textId="5CA6134B" w:rsidR="00A83991" w:rsidRPr="00FD274F" w:rsidRDefault="00A83991" w:rsidP="00A83991">
      <w:pPr>
        <w:pStyle w:val="BodyPara"/>
      </w:pPr>
      <w:r w:rsidRPr="00FD274F">
        <w:t>if the instrument is disallowable—contain a statement of compatibility prepared unde</w:t>
      </w:r>
      <w:r w:rsidRPr="00277499">
        <w:t xml:space="preserve">r subsection 9(1) of the </w:t>
      </w:r>
      <w:hyperlink r:id="rId428" w:history="1">
        <w:r w:rsidRPr="00277499">
          <w:rPr>
            <w:rStyle w:val="Hyperlink"/>
            <w:i/>
          </w:rPr>
          <w:t>Human Rights (Parliamentary Scrutiny) Act 2011</w:t>
        </w:r>
      </w:hyperlink>
      <w:r w:rsidRPr="00277499">
        <w:t>; and</w:t>
      </w:r>
    </w:p>
    <w:p w14:paraId="5A6D83CD" w14:textId="77777777" w:rsidR="00A83991" w:rsidRPr="00ED449C" w:rsidRDefault="00A83991" w:rsidP="00A83991">
      <w:pPr>
        <w:pStyle w:val="BodyPara"/>
        <w:rPr>
          <w:spacing w:val="-2"/>
        </w:rPr>
      </w:pPr>
      <w:r w:rsidRPr="00ED449C">
        <w:rPr>
          <w:spacing w:val="-2"/>
        </w:rPr>
        <w:t>contain any other information prescribed by regulation.</w:t>
      </w:r>
    </w:p>
    <w:p w14:paraId="3666457C" w14:textId="49E59C6D" w:rsidR="00A83991" w:rsidRPr="00D35347" w:rsidRDefault="00A83991" w:rsidP="00A83991">
      <w:pPr>
        <w:pStyle w:val="BodyNum"/>
        <w:rPr>
          <w:spacing w:val="-2"/>
        </w:rPr>
      </w:pPr>
      <w:r w:rsidRPr="00D35347">
        <w:t xml:space="preserve">An </w:t>
      </w:r>
      <w:r>
        <w:t xml:space="preserve">Act may prescribe certain information that must be included in an </w:t>
      </w:r>
      <w:r w:rsidRPr="00D35347">
        <w:t>explanatory statement</w:t>
      </w:r>
      <w:r w:rsidRPr="00D35347">
        <w:rPr>
          <w:spacing w:val="-2"/>
        </w:rPr>
        <w:t>, for examp</w:t>
      </w:r>
      <w:r w:rsidRPr="00277499">
        <w:rPr>
          <w:spacing w:val="-2"/>
        </w:rPr>
        <w:t xml:space="preserve">le </w:t>
      </w:r>
      <w:hyperlink r:id="rId429" w:history="1">
        <w:hyperlink r:id="rId430" w:history="1">
          <w:r w:rsidRPr="00277499">
            <w:rPr>
              <w:rStyle w:val="Hyperlink"/>
            </w:rPr>
            <w:t>LA</w:t>
          </w:r>
        </w:hyperlink>
        <w:r w:rsidRPr="00277499">
          <w:rPr>
            <w:rStyle w:val="Hyperlink"/>
          </w:rPr>
          <w:t xml:space="preserve"> </w:t>
        </w:r>
      </w:hyperlink>
      <w:r w:rsidRPr="00277499">
        <w:rPr>
          <w:spacing w:val="-2"/>
        </w:rPr>
        <w:t>s 51(5) and 51A(4).</w:t>
      </w:r>
    </w:p>
    <w:p w14:paraId="0C84831C" w14:textId="77777777" w:rsidR="00A83991" w:rsidRPr="00FD274F" w:rsidRDefault="00A83991" w:rsidP="00A83991">
      <w:pPr>
        <w:pStyle w:val="BodyNum"/>
      </w:pPr>
      <w:r w:rsidRPr="00FD274F">
        <w:lastRenderedPageBreak/>
        <w:t>A supplementary explanatory statement must also be approved by the rule</w:t>
      </w:r>
      <w:r>
        <w:noBreakHyphen/>
      </w:r>
      <w:r w:rsidRPr="00FD274F">
        <w:t>maker and must contain any other information prescribed by regula</w:t>
      </w:r>
      <w:r>
        <w:t>tion.</w:t>
      </w:r>
    </w:p>
    <w:p w14:paraId="52A69393" w14:textId="1CD2EC26" w:rsidR="00A83991" w:rsidRPr="00FD274F" w:rsidRDefault="00A83991" w:rsidP="00A83991">
      <w:pPr>
        <w:pStyle w:val="BodyNum"/>
      </w:pPr>
      <w:r w:rsidRPr="00FD274F">
        <w:t>It may be necessary or desirable to include other content to provide assurance that key legal requirements or issues have been considere</w:t>
      </w:r>
      <w:r w:rsidRPr="00B53AAE">
        <w:t xml:space="preserve">d, and to facilitate parliamentary scrutiny. Other content considerations are discussed in paragraphs </w:t>
      </w:r>
      <w:r w:rsidRPr="00277499">
        <w:fldChar w:fldCharType="begin"/>
      </w:r>
      <w:r w:rsidRPr="00B53AAE">
        <w:instrText xml:space="preserve"> REF _Ref369786489 \r \h  \* MERGEFORMAT </w:instrText>
      </w:r>
      <w:r w:rsidRPr="00277499">
        <w:fldChar w:fldCharType="separate"/>
      </w:r>
      <w:r w:rsidR="00AB105F">
        <w:t>289</w:t>
      </w:r>
      <w:r w:rsidRPr="00277499">
        <w:fldChar w:fldCharType="end"/>
      </w:r>
      <w:r w:rsidRPr="00B53AAE">
        <w:t xml:space="preserve"> to </w:t>
      </w:r>
      <w:r w:rsidRPr="00277499">
        <w:fldChar w:fldCharType="begin"/>
      </w:r>
      <w:r w:rsidRPr="00B53AAE">
        <w:instrText xml:space="preserve"> REF _Ref384355454 \r \h </w:instrText>
      </w:r>
      <w:r>
        <w:rPr>
          <w:highlight w:val="yellow"/>
        </w:rPr>
        <w:instrText xml:space="preserve"> \* MERGEFORMAT </w:instrText>
      </w:r>
      <w:r w:rsidRPr="00277499">
        <w:fldChar w:fldCharType="separate"/>
      </w:r>
      <w:r w:rsidR="00AB105F">
        <w:t>304</w:t>
      </w:r>
      <w:r w:rsidRPr="00277499">
        <w:fldChar w:fldCharType="end"/>
      </w:r>
      <w:r w:rsidRPr="00B53AAE">
        <w:t>.</w:t>
      </w:r>
    </w:p>
    <w:p w14:paraId="5B785667" w14:textId="77777777" w:rsidR="00A83991" w:rsidRPr="00FD274F" w:rsidRDefault="00A83991" w:rsidP="00A83991">
      <w:pPr>
        <w:pStyle w:val="Head4"/>
      </w:pPr>
      <w:bookmarkStart w:id="200" w:name="_Toc223687802"/>
      <w:r w:rsidRPr="00FD274F">
        <w:t>Purpose and operation of instrument</w:t>
      </w:r>
      <w:bookmarkEnd w:id="200"/>
    </w:p>
    <w:p w14:paraId="32978BC1" w14:textId="77777777" w:rsidR="00A83991" w:rsidRPr="00FD274F" w:rsidRDefault="00A83991" w:rsidP="00A83991">
      <w:pPr>
        <w:pStyle w:val="BodyNum"/>
      </w:pPr>
      <w:r w:rsidRPr="00FD274F">
        <w:t>The explanatory statement should contain sufficient information to enable readers to understand the need for the instrument, its objectives and its intended operation. As a guide, it is desirable for the statement to include the following information:</w:t>
      </w:r>
    </w:p>
    <w:p w14:paraId="7AD938E3" w14:textId="77777777" w:rsidR="00A83991" w:rsidRPr="00FD274F" w:rsidRDefault="00A83991" w:rsidP="00A83991">
      <w:pPr>
        <w:pStyle w:val="BodyPara"/>
      </w:pPr>
      <w:r w:rsidRPr="00FD274F">
        <w:t>the issues giving rise to the need for the legislative instrument;</w:t>
      </w:r>
    </w:p>
    <w:p w14:paraId="7A684B21" w14:textId="77777777" w:rsidR="00A83991" w:rsidRPr="00FD274F" w:rsidRDefault="00A83991" w:rsidP="00A83991">
      <w:pPr>
        <w:pStyle w:val="BodyPara"/>
      </w:pPr>
      <w:r w:rsidRPr="00FD274F">
        <w:t>why legislation is necessary to address the issues;</w:t>
      </w:r>
    </w:p>
    <w:p w14:paraId="0E173C22" w14:textId="77777777" w:rsidR="00A83991" w:rsidRPr="00FD274F" w:rsidRDefault="00A83991" w:rsidP="00A83991">
      <w:pPr>
        <w:pStyle w:val="BodyPara"/>
      </w:pPr>
      <w:r w:rsidRPr="00FD274F">
        <w:t>an explanation of how the instrument is intended to operate, and its likely impact.</w:t>
      </w:r>
    </w:p>
    <w:p w14:paraId="2C6AA3AB" w14:textId="40740D08" w:rsidR="00A83991" w:rsidRPr="00FD274F" w:rsidRDefault="00A83991" w:rsidP="00A83991">
      <w:pPr>
        <w:pStyle w:val="BodyNum"/>
      </w:pPr>
      <w:bookmarkStart w:id="201" w:name="_Ref369785034"/>
      <w:r w:rsidRPr="00FD274F">
        <w:t>Althoug</w:t>
      </w:r>
      <w:r w:rsidRPr="00277499">
        <w:t xml:space="preserve">h the </w:t>
      </w:r>
      <w:hyperlink r:id="rId431" w:history="1">
        <w:r w:rsidRPr="00277499">
          <w:rPr>
            <w:rStyle w:val="Hyperlink"/>
          </w:rPr>
          <w:t>LA</w:t>
        </w:r>
      </w:hyperlink>
      <w:r w:rsidRPr="00277499">
        <w:t xml:space="preserve"> d</w:t>
      </w:r>
      <w:r w:rsidRPr="00FD274F">
        <w:t>oes not insist on a provision</w:t>
      </w:r>
      <w:r>
        <w:noBreakHyphen/>
      </w:r>
      <w:r w:rsidRPr="00FD274F">
        <w:t>by</w:t>
      </w:r>
      <w:r>
        <w:noBreakHyphen/>
      </w:r>
      <w:r w:rsidRPr="00FD274F">
        <w:t>provision explanation, this is often useful and may be necessary to meet the needs of users</w:t>
      </w:r>
      <w:r>
        <w:t>,</w:t>
      </w:r>
      <w:r w:rsidRPr="00FD274F">
        <w:t xml:space="preserve"> particularly scrutiny bodies such as </w:t>
      </w:r>
      <w:r>
        <w:t xml:space="preserve">the SDLC </w:t>
      </w:r>
      <w:r w:rsidRPr="00FD274F">
        <w:t>(</w:t>
      </w:r>
      <w:r w:rsidRPr="00CE7008">
        <w:t xml:space="preserve">see paragraphs </w:t>
      </w:r>
      <w:r w:rsidRPr="00277499">
        <w:fldChar w:fldCharType="begin"/>
      </w:r>
      <w:r w:rsidRPr="00CE7008">
        <w:instrText xml:space="preserve"> REF _Ref36029834 \r \h </w:instrText>
      </w:r>
      <w:r>
        <w:rPr>
          <w:highlight w:val="yellow"/>
        </w:rPr>
        <w:instrText xml:space="preserve"> \* MERGEFORMAT </w:instrText>
      </w:r>
      <w:r w:rsidRPr="00277499">
        <w:fldChar w:fldCharType="separate"/>
      </w:r>
      <w:r w:rsidR="00AB105F">
        <w:t>293</w:t>
      </w:r>
      <w:r w:rsidRPr="00277499">
        <w:fldChar w:fldCharType="end"/>
      </w:r>
      <w:r w:rsidRPr="00CE7008">
        <w:t xml:space="preserve"> to </w:t>
      </w:r>
      <w:r w:rsidRPr="00277499">
        <w:fldChar w:fldCharType="begin"/>
      </w:r>
      <w:r w:rsidRPr="00CE7008">
        <w:instrText xml:space="preserve"> REF _Ref36029839 \r \h </w:instrText>
      </w:r>
      <w:r>
        <w:rPr>
          <w:highlight w:val="yellow"/>
        </w:rPr>
        <w:instrText xml:space="preserve"> \* MERGEFORMAT </w:instrText>
      </w:r>
      <w:r w:rsidRPr="00277499">
        <w:fldChar w:fldCharType="separate"/>
      </w:r>
      <w:r w:rsidR="00AB105F">
        <w:t>297</w:t>
      </w:r>
      <w:r w:rsidRPr="00277499">
        <w:fldChar w:fldCharType="end"/>
      </w:r>
      <w:r w:rsidRPr="00CE7008">
        <w:t>).</w:t>
      </w:r>
    </w:p>
    <w:p w14:paraId="12159D42" w14:textId="77777777" w:rsidR="00A83991" w:rsidRPr="00FD274F" w:rsidRDefault="00A83991" w:rsidP="00A83991">
      <w:pPr>
        <w:pStyle w:val="Head4"/>
      </w:pPr>
      <w:bookmarkStart w:id="202" w:name="_Toc223687803"/>
      <w:bookmarkEnd w:id="201"/>
      <w:r w:rsidRPr="00FD274F">
        <w:t>Documents incorporated by reference</w:t>
      </w:r>
      <w:bookmarkEnd w:id="202"/>
    </w:p>
    <w:p w14:paraId="623EA10D" w14:textId="40B18C08" w:rsidR="00A83991" w:rsidRPr="00277499" w:rsidRDefault="00A83991" w:rsidP="00A83991">
      <w:pPr>
        <w:pStyle w:val="BodyNum"/>
      </w:pPr>
      <w:r w:rsidRPr="00FD274F">
        <w:t>If an instrument incorporates a document by reference</w:t>
      </w:r>
      <w:r>
        <w:t xml:space="preserve"> and </w:t>
      </w:r>
      <w:r w:rsidRPr="00FD274F">
        <w:t>the document is not a Commonwealth Act or legislative instrument, the explanatory statement must describe each document that has been incorporated and indicate how the document may be obtaine</w:t>
      </w:r>
      <w:r w:rsidRPr="00277499">
        <w:t>d (</w:t>
      </w:r>
      <w:hyperlink r:id="rId432" w:history="1">
        <w:hyperlink r:id="rId433" w:history="1">
          <w:hyperlink r:id="rId434" w:history="1">
            <w:r w:rsidRPr="00277499">
              <w:rPr>
                <w:rStyle w:val="Hyperlink"/>
              </w:rPr>
              <w:t>LA</w:t>
            </w:r>
          </w:hyperlink>
          <w:r w:rsidRPr="00277499">
            <w:rPr>
              <w:rStyle w:val="Hyperlink"/>
            </w:rPr>
            <w:t xml:space="preserve"> </w:t>
          </w:r>
        </w:hyperlink>
      </w:hyperlink>
      <w:r w:rsidRPr="00277499">
        <w:t>s 15J(2)(c)). In describing such documents, the explanatory statement should:</w:t>
      </w:r>
    </w:p>
    <w:p w14:paraId="17B552C8" w14:textId="77777777" w:rsidR="00A83991" w:rsidRPr="00FD274F" w:rsidRDefault="00A83991" w:rsidP="00A83991">
      <w:pPr>
        <w:pStyle w:val="BodyPara"/>
      </w:pPr>
      <w:r w:rsidRPr="00FD274F">
        <w:t>state whether the document is incorporated as in force from time to time or as at a particular time; and</w:t>
      </w:r>
    </w:p>
    <w:p w14:paraId="22357B14" w14:textId="77777777" w:rsidR="00A83991" w:rsidRPr="00ED449C" w:rsidRDefault="00A83991" w:rsidP="00A83991">
      <w:pPr>
        <w:pStyle w:val="BodyPara"/>
        <w:rPr>
          <w:spacing w:val="-4"/>
        </w:rPr>
      </w:pPr>
      <w:r w:rsidRPr="00ED449C">
        <w:rPr>
          <w:spacing w:val="-4"/>
        </w:rPr>
        <w:t>if the document is incorporated as in force at a particular time—state the time; and</w:t>
      </w:r>
    </w:p>
    <w:p w14:paraId="78BF7F7C" w14:textId="56EEAEA8" w:rsidR="00A83991" w:rsidRDefault="00A83991" w:rsidP="00A83991">
      <w:pPr>
        <w:pStyle w:val="BodyPara"/>
      </w:pPr>
      <w:r w:rsidRPr="00FD274F">
        <w:t>if the document is incorporated as in force from time to time—comment on the application of subsectio</w:t>
      </w:r>
      <w:r w:rsidRPr="00277499">
        <w:t xml:space="preserve">n 14(2) of the </w:t>
      </w:r>
      <w:hyperlink r:id="rId435" w:history="1">
        <w:r w:rsidRPr="00277499">
          <w:rPr>
            <w:rStyle w:val="Hyperlink"/>
          </w:rPr>
          <w:t>LA</w:t>
        </w:r>
      </w:hyperlink>
      <w:r w:rsidRPr="00FD274F">
        <w:t xml:space="preserve"> and mention any contrary provision in the enabling legislation that displaces it</w:t>
      </w:r>
      <w:r>
        <w:t>; and</w:t>
      </w:r>
    </w:p>
    <w:p w14:paraId="658AB45A" w14:textId="77777777" w:rsidR="00A83991" w:rsidRPr="00FD274F" w:rsidRDefault="00A83991" w:rsidP="00A83991">
      <w:pPr>
        <w:pStyle w:val="BodyPara"/>
      </w:pPr>
      <w:r>
        <w:t>indicate where the document may be freely accessed and used by members of the public</w:t>
      </w:r>
      <w:r w:rsidRPr="00FD274F">
        <w:t>.</w:t>
      </w:r>
    </w:p>
    <w:p w14:paraId="1535C7BA" w14:textId="77777777" w:rsidR="00A83991" w:rsidRPr="00FD274F" w:rsidRDefault="00A83991" w:rsidP="00A83991">
      <w:pPr>
        <w:pStyle w:val="BodyNum"/>
      </w:pPr>
      <w:r w:rsidRPr="00FD274F">
        <w:t>If an instrument does not incorporate a document by reference, a statement in the explanatory statement indicating this can assist in exp</w:t>
      </w:r>
      <w:r>
        <w:t>editing parliamentary scrutiny.</w:t>
      </w:r>
    </w:p>
    <w:p w14:paraId="4B3BD4AE" w14:textId="59132224" w:rsidR="00A83991" w:rsidRPr="00FD274F" w:rsidRDefault="00A83991" w:rsidP="00A83991">
      <w:pPr>
        <w:pStyle w:val="BodyNum"/>
      </w:pPr>
      <w:r w:rsidRPr="00FD274F">
        <w:t>Please refer to parag</w:t>
      </w:r>
      <w:r w:rsidRPr="00124F91">
        <w:t xml:space="preserve">raphs </w:t>
      </w:r>
      <w:r w:rsidRPr="00277499">
        <w:fldChar w:fldCharType="begin"/>
      </w:r>
      <w:r w:rsidRPr="00124F91">
        <w:instrText xml:space="preserve"> REF _Ref428882029 \r \h  \* MERGEFORMAT </w:instrText>
      </w:r>
      <w:r w:rsidRPr="00277499">
        <w:fldChar w:fldCharType="separate"/>
      </w:r>
      <w:r w:rsidR="00AB105F">
        <w:t>96</w:t>
      </w:r>
      <w:r w:rsidRPr="00277499">
        <w:fldChar w:fldCharType="end"/>
      </w:r>
      <w:r w:rsidRPr="00124F91">
        <w:t xml:space="preserve"> to </w:t>
      </w:r>
      <w:r w:rsidR="00584337">
        <w:fldChar w:fldCharType="begin"/>
      </w:r>
      <w:r w:rsidR="00584337">
        <w:instrText xml:space="preserve"> REF _Ref184283646 \r \h </w:instrText>
      </w:r>
      <w:r w:rsidR="00584337">
        <w:fldChar w:fldCharType="separate"/>
      </w:r>
      <w:r w:rsidR="00AB105F">
        <w:t>101</w:t>
      </w:r>
      <w:r w:rsidR="00584337">
        <w:fldChar w:fldCharType="end"/>
      </w:r>
      <w:r w:rsidRPr="00124F91">
        <w:t xml:space="preserve">, </w:t>
      </w:r>
      <w:r w:rsidRPr="00277499">
        <w:fldChar w:fldCharType="begin"/>
      </w:r>
      <w:r w:rsidRPr="00124F91">
        <w:instrText xml:space="preserve"> REF _Ref36030145 \r \h </w:instrText>
      </w:r>
      <w:r>
        <w:rPr>
          <w:highlight w:val="yellow"/>
        </w:rPr>
        <w:instrText xml:space="preserve"> \* MERGEFORMAT </w:instrText>
      </w:r>
      <w:r w:rsidRPr="00277499">
        <w:fldChar w:fldCharType="separate"/>
      </w:r>
      <w:r w:rsidR="00AB105F">
        <w:t>295</w:t>
      </w:r>
      <w:r w:rsidRPr="00277499">
        <w:fldChar w:fldCharType="end"/>
      </w:r>
      <w:r w:rsidRPr="00124F91">
        <w:t xml:space="preserve">, </w:t>
      </w:r>
      <w:r w:rsidR="00584337">
        <w:fldChar w:fldCharType="begin"/>
      </w:r>
      <w:r w:rsidR="00584337">
        <w:instrText xml:space="preserve"> REF _Ref435530013 \r \h </w:instrText>
      </w:r>
      <w:r w:rsidR="00584337">
        <w:fldChar w:fldCharType="separate"/>
      </w:r>
      <w:r w:rsidR="00AB105F">
        <w:t>322</w:t>
      </w:r>
      <w:r w:rsidR="00584337">
        <w:fldChar w:fldCharType="end"/>
      </w:r>
      <w:r w:rsidR="00584337">
        <w:t xml:space="preserve"> and </w:t>
      </w:r>
      <w:r w:rsidRPr="00277499">
        <w:fldChar w:fldCharType="begin"/>
      </w:r>
      <w:r w:rsidRPr="00124F91">
        <w:instrText xml:space="preserve"> REF _Ref435530018 \r \h  \* MERGEFORMAT </w:instrText>
      </w:r>
      <w:r w:rsidRPr="00277499">
        <w:fldChar w:fldCharType="separate"/>
      </w:r>
      <w:r w:rsidR="00AB105F">
        <w:t>323</w:t>
      </w:r>
      <w:r w:rsidRPr="00277499">
        <w:fldChar w:fldCharType="end"/>
      </w:r>
      <w:r w:rsidRPr="00FD274F">
        <w:t xml:space="preserve"> for further information on documents incorporated by reference.</w:t>
      </w:r>
    </w:p>
    <w:p w14:paraId="515AF432" w14:textId="77777777" w:rsidR="00A83991" w:rsidRPr="00FD274F" w:rsidRDefault="00A83991" w:rsidP="00A83991">
      <w:pPr>
        <w:pStyle w:val="Head4"/>
      </w:pPr>
      <w:bookmarkStart w:id="203" w:name="_Toc223687804"/>
      <w:r w:rsidRPr="00FD274F">
        <w:lastRenderedPageBreak/>
        <w:t>Consultation</w:t>
      </w:r>
      <w:bookmarkEnd w:id="203"/>
    </w:p>
    <w:p w14:paraId="29570BF7" w14:textId="4CD38007" w:rsidR="00A83991" w:rsidRPr="00AB5E02" w:rsidRDefault="00A83991" w:rsidP="00A83991">
      <w:pPr>
        <w:pStyle w:val="BodyNum"/>
        <w:rPr>
          <w:spacing w:val="-2"/>
        </w:rPr>
      </w:pPr>
      <w:r w:rsidRPr="00AB5E02">
        <w:rPr>
          <w:spacing w:val="-2"/>
        </w:rPr>
        <w:t>The explanatory statement must contain a description of any consultation undertaken unde</w:t>
      </w:r>
      <w:r w:rsidRPr="00277499">
        <w:rPr>
          <w:spacing w:val="-2"/>
        </w:rPr>
        <w:t xml:space="preserve">r section 17 of the </w:t>
      </w:r>
      <w:hyperlink r:id="rId436" w:history="1">
        <w:hyperlink r:id="rId437" w:history="1">
          <w:hyperlink r:id="rId438" w:history="1">
            <w:hyperlink r:id="rId439" w:history="1">
              <w:hyperlink r:id="rId440" w:history="1">
                <w:r w:rsidRPr="00277499">
                  <w:rPr>
                    <w:rStyle w:val="Hyperlink"/>
                    <w:spacing w:val="-2"/>
                  </w:rPr>
                  <w:t>LA</w:t>
                </w:r>
              </w:hyperlink>
              <w:r w:rsidRPr="00277499">
                <w:rPr>
                  <w:rStyle w:val="Hyperlink"/>
                  <w:spacing w:val="-2"/>
                </w:rPr>
                <w:t xml:space="preserve"> </w:t>
              </w:r>
            </w:hyperlink>
          </w:hyperlink>
        </w:hyperlink>
      </w:hyperlink>
      <w:r w:rsidRPr="00277499">
        <w:rPr>
          <w:spacing w:val="-2"/>
        </w:rPr>
        <w:t>be</w:t>
      </w:r>
      <w:r w:rsidRPr="00AB5E02">
        <w:rPr>
          <w:spacing w:val="-2"/>
        </w:rPr>
        <w:t xml:space="preserve">fore the instrument was made or, if no such consultation was undertaken, an explanation as to why no such consultation was undertaken. The requirement for consultation before making a legislative instrument is discussed in more </w:t>
      </w:r>
      <w:r w:rsidRPr="00B2122D">
        <w:rPr>
          <w:spacing w:val="-2"/>
        </w:rPr>
        <w:t xml:space="preserve">detail in </w:t>
      </w:r>
      <w:hyperlink w:anchor="Chapter7" w:history="1">
        <w:r w:rsidRPr="00B2122D">
          <w:rPr>
            <w:rStyle w:val="Hyperlink"/>
            <w:spacing w:val="-2"/>
          </w:rPr>
          <w:t>Chapter 7</w:t>
        </w:r>
      </w:hyperlink>
      <w:r w:rsidRPr="00B2122D">
        <w:rPr>
          <w:spacing w:val="-2"/>
        </w:rPr>
        <w:t>.</w:t>
      </w:r>
    </w:p>
    <w:p w14:paraId="0B72C87E" w14:textId="77777777" w:rsidR="00A83991" w:rsidRPr="00FD274F" w:rsidRDefault="00A83991" w:rsidP="00A83991">
      <w:pPr>
        <w:pStyle w:val="Head4"/>
      </w:pPr>
      <w:bookmarkStart w:id="204" w:name="_Toc223687805"/>
      <w:r w:rsidRPr="00FD274F">
        <w:t>Human rights compatibility</w:t>
      </w:r>
      <w:bookmarkEnd w:id="204"/>
    </w:p>
    <w:p w14:paraId="4D82415F" w14:textId="12974F37" w:rsidR="00A83991" w:rsidRPr="00FD274F" w:rsidRDefault="00A83991" w:rsidP="00A83991">
      <w:pPr>
        <w:pStyle w:val="BodyNum"/>
      </w:pPr>
      <w:r w:rsidRPr="00FD274F">
        <w:t>Under paragrap</w:t>
      </w:r>
      <w:r w:rsidRPr="00277499">
        <w:t xml:space="preserve">h 15J(2)(f) of the </w:t>
      </w:r>
      <w:hyperlink r:id="rId441" w:history="1">
        <w:hyperlink r:id="rId442" w:history="1">
          <w:hyperlink r:id="rId443" w:history="1">
            <w:r w:rsidRPr="00277499">
              <w:rPr>
                <w:rStyle w:val="Hyperlink"/>
              </w:rPr>
              <w:t>LA</w:t>
            </w:r>
          </w:hyperlink>
        </w:hyperlink>
      </w:hyperlink>
      <w:r w:rsidRPr="00277499">
        <w:t>, if a le</w:t>
      </w:r>
      <w:r w:rsidRPr="00FD274F">
        <w:t xml:space="preserve">gislative instrument is disallowable, its explanatory statement must include a statement of compatibility prepared under </w:t>
      </w:r>
      <w:r w:rsidRPr="00277499">
        <w:t xml:space="preserve">subsection 9(1) of the </w:t>
      </w:r>
      <w:hyperlink r:id="rId444" w:history="1">
        <w:r w:rsidRPr="00277499">
          <w:rPr>
            <w:rStyle w:val="Hyperlink"/>
            <w:i/>
          </w:rPr>
          <w:t>Human Rights (Parliamentary Scrutiny) Act 2011</w:t>
        </w:r>
      </w:hyperlink>
      <w:r w:rsidRPr="00277499">
        <w:rPr>
          <w:rStyle w:val="Hyperlink"/>
          <w:i/>
        </w:rPr>
        <w:t xml:space="preserve"> </w:t>
      </w:r>
      <w:r w:rsidRPr="00277499">
        <w:t>tha</w:t>
      </w:r>
      <w:r w:rsidRPr="00FD274F">
        <w:t>t assesses the instrument’s compatibility with the rights and freedoms contained in seven core human rights treaties to which Australia is a party. More information on human rights and how to assess compatibility is available on the AGD websit</w:t>
      </w:r>
      <w:r w:rsidRPr="00277499">
        <w:t>e</w:t>
      </w:r>
      <w:r w:rsidRPr="00277499">
        <w:rPr>
          <w:rStyle w:val="FootnoteReference"/>
        </w:rPr>
        <w:footnoteReference w:id="28"/>
      </w:r>
      <w:r w:rsidRPr="00277499">
        <w:t>.</w:t>
      </w:r>
    </w:p>
    <w:p w14:paraId="1912AAD0" w14:textId="77777777" w:rsidR="00A83991" w:rsidRPr="00FD274F" w:rsidRDefault="00A83991" w:rsidP="00A83991">
      <w:pPr>
        <w:pStyle w:val="Head3"/>
      </w:pPr>
      <w:bookmarkStart w:id="205" w:name="_Toc223687806"/>
      <w:r w:rsidRPr="00FD274F">
        <w:t>Other content considerations</w:t>
      </w:r>
      <w:bookmarkEnd w:id="205"/>
    </w:p>
    <w:p w14:paraId="7C2FA41B" w14:textId="7351EBCD" w:rsidR="00A83991" w:rsidRPr="00FD274F" w:rsidRDefault="00A83991" w:rsidP="00A83991">
      <w:pPr>
        <w:pStyle w:val="BodyNum"/>
      </w:pPr>
      <w:bookmarkStart w:id="206" w:name="_Ref369786489"/>
      <w:bookmarkStart w:id="207" w:name="_Ref384355426"/>
      <w:r w:rsidRPr="00FD274F">
        <w:t xml:space="preserve">In considering what to include in an explanatory statement, it is useful to take into account the needs of users. The following guidance takes into account issues of particular interest to the Parliament. For </w:t>
      </w:r>
      <w:r w:rsidRPr="00B2122D">
        <w:t>general guidance on formatting matters, including use of images and hidden content, see paragraphs</w:t>
      </w:r>
      <w:bookmarkEnd w:id="206"/>
      <w:r w:rsidR="00D15548">
        <w:t xml:space="preserve"> </w:t>
      </w:r>
      <w:r w:rsidR="009A15A0">
        <w:fldChar w:fldCharType="begin"/>
      </w:r>
      <w:r w:rsidR="009A15A0">
        <w:instrText xml:space="preserve"> REF _Ref185322055 \r \h </w:instrText>
      </w:r>
      <w:r w:rsidR="009A15A0">
        <w:fldChar w:fldCharType="separate"/>
      </w:r>
      <w:r w:rsidR="00AB105F">
        <w:t>118</w:t>
      </w:r>
      <w:r w:rsidR="009A15A0">
        <w:fldChar w:fldCharType="end"/>
      </w:r>
      <w:r w:rsidR="009A15A0">
        <w:t xml:space="preserve"> </w:t>
      </w:r>
      <w:r w:rsidR="00D15548">
        <w:t xml:space="preserve">to </w:t>
      </w:r>
      <w:r w:rsidR="00D15548">
        <w:fldChar w:fldCharType="begin"/>
      </w:r>
      <w:r w:rsidR="00D15548">
        <w:instrText xml:space="preserve"> REF _Ref184284176 \r \h </w:instrText>
      </w:r>
      <w:r w:rsidR="00D15548">
        <w:fldChar w:fldCharType="separate"/>
      </w:r>
      <w:r w:rsidR="00AB105F">
        <w:t>130</w:t>
      </w:r>
      <w:r w:rsidR="00D15548">
        <w:fldChar w:fldCharType="end"/>
      </w:r>
      <w:r w:rsidRPr="00B2122D">
        <w:t>.</w:t>
      </w:r>
      <w:bookmarkEnd w:id="207"/>
    </w:p>
    <w:p w14:paraId="573A960E" w14:textId="77777777" w:rsidR="0014733A" w:rsidRDefault="0014733A" w:rsidP="0014733A">
      <w:pPr>
        <w:pStyle w:val="Head4"/>
      </w:pPr>
      <w:bookmarkStart w:id="208" w:name="_Toc223687807"/>
      <w:r>
        <w:t>Impact Analysis requirements</w:t>
      </w:r>
      <w:bookmarkEnd w:id="208"/>
    </w:p>
    <w:p w14:paraId="7D9B7F9C" w14:textId="4A8BBBD9" w:rsidR="0014733A" w:rsidRDefault="0014733A" w:rsidP="00C27411">
      <w:pPr>
        <w:pStyle w:val="BodyNum"/>
      </w:pPr>
      <w:r>
        <w:t xml:space="preserve">If an Impact Analysis has been completed, the entire Impact Analysis must be included in or attached to the instrument’s explanatory statement for tabling purposes. There may be certain circumstances where publishing the Impact Analysis in the explanatory statement is impractical, such as if the Impact Analysis is exceptionally long. In this case, with prior agreement of the </w:t>
      </w:r>
      <w:proofErr w:type="spellStart"/>
      <w:r>
        <w:t>OIA</w:t>
      </w:r>
      <w:proofErr w:type="spellEnd"/>
      <w:r>
        <w:t>, a summary of the document (for example, the executive summary) may be published instead in the explanatory statement.</w:t>
      </w:r>
    </w:p>
    <w:p w14:paraId="517B6C6C" w14:textId="77777777" w:rsidR="0014733A" w:rsidRDefault="0014733A" w:rsidP="00C27411">
      <w:pPr>
        <w:pStyle w:val="BodyNum"/>
      </w:pPr>
      <w:r>
        <w:t>Where an Impact Analysis is not required, the explanatory statement must be silent on the Impact Analysis requirements.</w:t>
      </w:r>
    </w:p>
    <w:p w14:paraId="06FB42AE" w14:textId="4790E731" w:rsidR="0014733A" w:rsidRDefault="0014733A" w:rsidP="00C27411">
      <w:pPr>
        <w:pStyle w:val="BodyNum"/>
      </w:pPr>
      <w:r>
        <w:t>For more information about these requirements</w:t>
      </w:r>
      <w:r>
        <w:rPr>
          <w:rStyle w:val="FootnoteReference"/>
        </w:rPr>
        <w:footnoteReference w:id="29"/>
      </w:r>
      <w:r>
        <w:t xml:space="preserve">, please contact </w:t>
      </w:r>
      <w:proofErr w:type="spellStart"/>
      <w:r>
        <w:t>OIA</w:t>
      </w:r>
      <w:proofErr w:type="spellEnd"/>
      <w:r>
        <w:t xml:space="preserve"> (</w:t>
      </w:r>
      <w:hyperlink r:id="rId445" w:history="1">
        <w:r>
          <w:rPr>
            <w:rStyle w:val="Hyperlink"/>
          </w:rPr>
          <w:t>helpdesk</w:t>
        </w:r>
        <w:r>
          <w:rPr>
            <w:rStyle w:val="Hyperlink"/>
          </w:rPr>
          <w:noBreakHyphen/>
          <w:t>OIA@pmc.gov.au</w:t>
        </w:r>
      </w:hyperlink>
      <w:r>
        <w:rPr>
          <w:rStyle w:val="Hyperlink"/>
        </w:rPr>
        <w:t xml:space="preserve"> </w:t>
      </w:r>
      <w:r>
        <w:t>or (02) 6271 6270).</w:t>
      </w:r>
    </w:p>
    <w:p w14:paraId="414AB5E2" w14:textId="77777777" w:rsidR="00A83991" w:rsidRPr="00FD274F" w:rsidRDefault="00A83991" w:rsidP="00A83991">
      <w:pPr>
        <w:pStyle w:val="Head4"/>
      </w:pPr>
      <w:bookmarkStart w:id="209" w:name="_Toc223687808"/>
      <w:r w:rsidRPr="00FD274F">
        <w:t xml:space="preserve">Senate Standing Committee </w:t>
      </w:r>
      <w:r>
        <w:t xml:space="preserve">for the Scrutiny of Delegated Legislation </w:t>
      </w:r>
      <w:r w:rsidRPr="00FD274F">
        <w:t>(</w:t>
      </w:r>
      <w:r>
        <w:t>SDLC</w:t>
      </w:r>
      <w:r w:rsidRPr="00FD274F">
        <w:t>) requirements</w:t>
      </w:r>
      <w:bookmarkEnd w:id="209"/>
    </w:p>
    <w:p w14:paraId="6A3081A1" w14:textId="056B8773" w:rsidR="00A83991" w:rsidRPr="00D12368" w:rsidRDefault="00A83991" w:rsidP="00A83991">
      <w:pPr>
        <w:pStyle w:val="BodyNum"/>
      </w:pPr>
      <w:bookmarkStart w:id="210" w:name="_Ref367446522"/>
      <w:bookmarkStart w:id="211" w:name="_Ref36029834"/>
      <w:r>
        <w:t xml:space="preserve">The SDLC </w:t>
      </w:r>
      <w:r w:rsidRPr="00FD274F">
        <w:t xml:space="preserve">reviews each disallowable </w:t>
      </w:r>
      <w:r>
        <w:t xml:space="preserve">legislative </w:t>
      </w:r>
      <w:r w:rsidRPr="00FD274F">
        <w:t>instrument</w:t>
      </w:r>
      <w:r>
        <w:t xml:space="preserve">, or legislative instrument that is subject to disapproval, affirmative resolution or exempt from disallowance, </w:t>
      </w:r>
      <w:r w:rsidRPr="00FD274F">
        <w:t>that is tabled in the Parliament</w:t>
      </w:r>
      <w:r>
        <w:t>. The instruments are reviewed</w:t>
      </w:r>
      <w:r w:rsidRPr="00FD274F">
        <w:t xml:space="preserve"> against a set of </w:t>
      </w:r>
      <w:r>
        <w:t xml:space="preserve">technical </w:t>
      </w:r>
      <w:r w:rsidRPr="00FD274F">
        <w:t>scrutiny principles that focus on individual rights and liberties and standards of parliamentary propriety.</w:t>
      </w:r>
      <w:bookmarkEnd w:id="210"/>
      <w:r>
        <w:t xml:space="preserve"> The SDLC publishes </w:t>
      </w:r>
      <w:r w:rsidRPr="00B4479C">
        <w:t xml:space="preserve">a </w:t>
      </w:r>
      <w:hyperlink r:id="rId446" w:history="1">
        <w:r w:rsidRPr="007C54F0">
          <w:rPr>
            <w:rStyle w:val="Hyperlink"/>
          </w:rPr>
          <w:t>consolidated set of guidelines setting out these scrutiny principles</w:t>
        </w:r>
      </w:hyperlink>
      <w:r w:rsidRPr="00B4479C">
        <w:t>. Each of the scrutiny pr</w:t>
      </w:r>
      <w:r>
        <w:t xml:space="preserve">inciples contains information to assist agencies to prepare </w:t>
      </w:r>
      <w:r>
        <w:lastRenderedPageBreak/>
        <w:t>an explanatory statement which meets the requirements of the SDLC. One of the scrutiny principles deals specifically with the adequacy of explanatory materials.</w:t>
      </w:r>
      <w:bookmarkEnd w:id="211"/>
    </w:p>
    <w:p w14:paraId="61E9F838" w14:textId="2F0E93D4" w:rsidR="00A83991" w:rsidRPr="00B4479C" w:rsidRDefault="00A83991" w:rsidP="00A83991">
      <w:pPr>
        <w:pStyle w:val="BodyNum"/>
      </w:pPr>
      <w:bookmarkStart w:id="212" w:name="_Ref444788679"/>
      <w:r w:rsidRPr="00B4479C">
        <w:t xml:space="preserve">The SDLC has long emphasised the importance of explanatory statements as a point of access to understanding the law, and, if needed, as extrinsic materials to assist with interpretation. The SDLC assesses whether the explanatory materials for a legislative instrument provide sufficient information to gain a clear understanding of the instrument. </w:t>
      </w:r>
      <w:bookmarkStart w:id="213" w:name="_Hlk183786669"/>
      <w:r w:rsidRPr="00B4479C">
        <w:t xml:space="preserve">The </w:t>
      </w:r>
      <w:r>
        <w:t>guideline</w:t>
      </w:r>
      <w:r w:rsidRPr="00B4479C">
        <w:t xml:space="preserve"> for the scrutiny principle dealing with the adequacy of explanatory materials says that an explanatory statement should typically:</w:t>
      </w:r>
      <w:bookmarkEnd w:id="212"/>
    </w:p>
    <w:bookmarkEnd w:id="213"/>
    <w:p w14:paraId="67E46A69" w14:textId="13119414" w:rsidR="00A83991" w:rsidRDefault="00A83991" w:rsidP="00A83991">
      <w:pPr>
        <w:pStyle w:val="BodyPara"/>
      </w:pPr>
      <w:r>
        <w:t xml:space="preserve">describe </w:t>
      </w:r>
      <w:r w:rsidRPr="00FD274F">
        <w:t xml:space="preserve">the </w:t>
      </w:r>
      <w:r>
        <w:t xml:space="preserve">purpose and operation of </w:t>
      </w:r>
      <w:r w:rsidRPr="00FD274F">
        <w:t>the instrum</w:t>
      </w:r>
      <w:r w:rsidRPr="00277499">
        <w:t xml:space="preserve">ent (see also </w:t>
      </w:r>
      <w:hyperlink r:id="rId447" w:history="1">
        <w:hyperlink r:id="rId448" w:history="1">
          <w:hyperlink r:id="rId449" w:history="1">
            <w:hyperlink r:id="rId450" w:history="1">
              <w:r w:rsidRPr="00277499">
                <w:rPr>
                  <w:rStyle w:val="Hyperlink"/>
                </w:rPr>
                <w:t>LA</w:t>
              </w:r>
            </w:hyperlink>
            <w:r w:rsidRPr="00277499">
              <w:rPr>
                <w:rStyle w:val="Hyperlink"/>
              </w:rPr>
              <w:t xml:space="preserve"> </w:t>
            </w:r>
          </w:hyperlink>
        </w:hyperlink>
      </w:hyperlink>
      <w:r w:rsidRPr="00277499">
        <w:t>s 15J(2)(b));</w:t>
      </w:r>
    </w:p>
    <w:p w14:paraId="40D337D4" w14:textId="170569EF" w:rsidR="00A83991" w:rsidRDefault="00A83991" w:rsidP="00A83991">
      <w:pPr>
        <w:pStyle w:val="BodyPara"/>
      </w:pPr>
      <w:r w:rsidRPr="00FD274F">
        <w:t>provide a detailed provision</w:t>
      </w:r>
      <w:r>
        <w:noBreakHyphen/>
      </w:r>
      <w:r w:rsidRPr="00FD274F">
        <w:t>by</w:t>
      </w:r>
      <w:r>
        <w:noBreakHyphen/>
      </w:r>
      <w:r w:rsidRPr="00FD274F">
        <w:t xml:space="preserve">provision </w:t>
      </w:r>
      <w:r>
        <w:t xml:space="preserve">explanation </w:t>
      </w:r>
      <w:r w:rsidRPr="00FD274F">
        <w:t>of the instrument</w:t>
      </w:r>
      <w:r>
        <w:t>, with sufficient detail to understand how each section will function and which does so not by simply repeating the text of the provisions;</w:t>
      </w:r>
    </w:p>
    <w:p w14:paraId="02119942" w14:textId="666834B7" w:rsidR="00A83991" w:rsidRDefault="00A83991" w:rsidP="00A83991">
      <w:pPr>
        <w:pStyle w:val="BodyPara"/>
      </w:pPr>
      <w:r w:rsidRPr="00FD274F">
        <w:t xml:space="preserve">state the </w:t>
      </w:r>
      <w:r>
        <w:t xml:space="preserve">specific provisions that provide the legal </w:t>
      </w:r>
      <w:r w:rsidRPr="00FD274F">
        <w:t>authority for making the instrument;</w:t>
      </w:r>
    </w:p>
    <w:p w14:paraId="78313943" w14:textId="274B1B4E" w:rsidR="00A83991" w:rsidRPr="00277499" w:rsidRDefault="00A83991" w:rsidP="00A83991">
      <w:pPr>
        <w:pStyle w:val="BodyPara"/>
      </w:pPr>
      <w:r w:rsidRPr="0015100D">
        <w:t xml:space="preserve">where </w:t>
      </w:r>
      <w:r>
        <w:t xml:space="preserve">the </w:t>
      </w:r>
      <w:r w:rsidRPr="0015100D">
        <w:t xml:space="preserve">instrument has been made in contemplation of commencement of its enabling provision, </w:t>
      </w:r>
      <w:r>
        <w:t xml:space="preserve">state </w:t>
      </w:r>
      <w:r w:rsidRPr="0015100D">
        <w:t>that the instrument relies on s</w:t>
      </w:r>
      <w:r w:rsidRPr="00277499">
        <w:t xml:space="preserve">ection 4 of the </w:t>
      </w:r>
      <w:hyperlink r:id="rId451" w:history="1">
        <w:r w:rsidRPr="00FD6A45">
          <w:rPr>
            <w:rStyle w:val="Hyperlink"/>
            <w:i/>
          </w:rPr>
          <w:t>Acts Interpretation Act 1901</w:t>
        </w:r>
      </w:hyperlink>
      <w:r w:rsidRPr="00277499">
        <w:t>;</w:t>
      </w:r>
    </w:p>
    <w:p w14:paraId="136EB9B4" w14:textId="0541F47C" w:rsidR="00A83991" w:rsidRPr="0015100D" w:rsidRDefault="00A83991" w:rsidP="00A83991">
      <w:pPr>
        <w:pStyle w:val="BodyPara"/>
      </w:pPr>
      <w:r>
        <w:t xml:space="preserve">where the </w:t>
      </w:r>
      <w:r w:rsidRPr="0015100D">
        <w:t xml:space="preserve">instrument repeals or amends another instrument, and there is no express power in the enabling legislation to do so, </w:t>
      </w:r>
      <w:r>
        <w:t xml:space="preserve">state that </w:t>
      </w:r>
      <w:r w:rsidRPr="0015100D">
        <w:t>the instrument relies on s</w:t>
      </w:r>
      <w:r w:rsidRPr="00277499">
        <w:t xml:space="preserve">ubsection 33(3) of the </w:t>
      </w:r>
      <w:hyperlink r:id="rId452" w:history="1">
        <w:r w:rsidRPr="00FD6A45">
          <w:rPr>
            <w:rStyle w:val="Hyperlink"/>
            <w:i/>
          </w:rPr>
          <w:t>Acts Interpretation Act 1901</w:t>
        </w:r>
      </w:hyperlink>
      <w:r w:rsidRPr="00277499">
        <w:t xml:space="preserve"> fo</w:t>
      </w:r>
      <w:r w:rsidRPr="0015100D">
        <w:t xml:space="preserve">r the power to amend, modify or repeal the instrument. </w:t>
      </w:r>
      <w:r>
        <w:t xml:space="preserve">The </w:t>
      </w:r>
      <w:r w:rsidRPr="0015100D">
        <w:t>SDLC has provided the following example of a form of words that may be included in an explanatory statement where relevant:</w:t>
      </w:r>
    </w:p>
    <w:p w14:paraId="19D6EA43" w14:textId="77777777" w:rsidR="00A83991" w:rsidRPr="0015100D" w:rsidRDefault="00A83991" w:rsidP="00A83991">
      <w:pPr>
        <w:pStyle w:val="notetext"/>
      </w:pPr>
      <w:r>
        <w:tab/>
      </w:r>
      <w:r w:rsidRPr="0015100D">
        <w:t xml:space="preserve">Under </w:t>
      </w:r>
      <w:r w:rsidRPr="00277499">
        <w:t>subsection 33(3) of the </w:t>
      </w:r>
      <w:r w:rsidRPr="00277499">
        <w:rPr>
          <w:i/>
        </w:rPr>
        <w:t>Acts Interpretation Act 1901</w:t>
      </w:r>
      <w:r w:rsidRPr="00277499">
        <w:t>, w</w:t>
      </w:r>
      <w:r w:rsidRPr="0015100D">
        <w:t>here an Act confers a power to make, grant or issue any instrument of a legislative or administrative character (including rules, regulations or by</w:t>
      </w:r>
      <w:r w:rsidRPr="0015100D">
        <w:noBreakHyphen/>
        <w:t>laws), the power shall be construed as including a power exercisable in the like manner and subject to the like conditions (if any) to repeal, rescind, revoke, amend, or vary any such instrument.</w:t>
      </w:r>
    </w:p>
    <w:p w14:paraId="64E5C4D5" w14:textId="77777777" w:rsidR="00A83991" w:rsidRPr="00FD274F" w:rsidRDefault="00A83991" w:rsidP="00A83991">
      <w:pPr>
        <w:pStyle w:val="BodyPara"/>
      </w:pPr>
      <w:r>
        <w:t>state whether there are any statutory preconditions which must be satisfied for the instrument to be lawfully made and, if so, whether they have been satisfied;</w:t>
      </w:r>
    </w:p>
    <w:p w14:paraId="5DBD1DEE" w14:textId="68CEA500" w:rsidR="00A83991" w:rsidRDefault="00A83991" w:rsidP="00A83991">
      <w:pPr>
        <w:pStyle w:val="BodyPara"/>
      </w:pPr>
      <w:r>
        <w:t xml:space="preserve">where the instrument is one that specifies grants and programs on which expenditure is authorised (usually made under the </w:t>
      </w:r>
      <w:hyperlink r:id="rId453" w:history="1">
        <w:r w:rsidRPr="007809FB">
          <w:rPr>
            <w:rStyle w:val="Hyperlink"/>
            <w:i/>
          </w:rPr>
          <w:t>Financial Framework (Supplementary Powers) Act 1997</w:t>
        </w:r>
      </w:hyperlink>
      <w:r>
        <w:t xml:space="preserve"> or the </w:t>
      </w:r>
      <w:hyperlink r:id="rId454" w:history="1">
        <w:r w:rsidRPr="007809FB">
          <w:rPr>
            <w:rStyle w:val="Hyperlink"/>
            <w:i/>
          </w:rPr>
          <w:t>Industry Research and Development Act 1986</w:t>
        </w:r>
      </w:hyperlink>
      <w:r w:rsidRPr="00277499">
        <w:t>), o</w:t>
      </w:r>
      <w:r>
        <w:t>r engages an express or implied constitutional principle or guarantee, explain why the instrument is constitutionally valid;</w:t>
      </w:r>
    </w:p>
    <w:p w14:paraId="3B322BA6" w14:textId="77777777" w:rsidR="00A83991" w:rsidRDefault="00A83991" w:rsidP="00A83991">
      <w:pPr>
        <w:pStyle w:val="BodyPara"/>
      </w:pPr>
      <w:r>
        <w:t>where the instrument is likely to engage an express or implied constitutional principle or guarantee, explain why the instrument does not breach the principle or guarantee;</w:t>
      </w:r>
    </w:p>
    <w:p w14:paraId="0EC14045" w14:textId="088BCA4B" w:rsidR="00A83991" w:rsidRPr="00277499" w:rsidRDefault="00A83991" w:rsidP="00A83991">
      <w:pPr>
        <w:pStyle w:val="BodyPara"/>
        <w:keepLines/>
        <w:widowControl w:val="0"/>
      </w:pPr>
      <w:r>
        <w:lastRenderedPageBreak/>
        <w:t xml:space="preserve">state whether any </w:t>
      </w:r>
      <w:r w:rsidRPr="00FD274F">
        <w:t xml:space="preserve">consultation </w:t>
      </w:r>
      <w:r>
        <w:t xml:space="preserve">occurred in relation to the specific instrument (and, if so, whether persons likely to be affected by the instrument and persons with expertise in relevant fields were consulted) or, if no consultation occurred, why no consultation occurred </w:t>
      </w:r>
      <w:r w:rsidRPr="00FD274F">
        <w:t>(se</w:t>
      </w:r>
      <w:r w:rsidRPr="00277499">
        <w:t xml:space="preserve">e also </w:t>
      </w:r>
      <w:hyperlink r:id="rId455" w:history="1">
        <w:hyperlink r:id="rId456" w:history="1">
          <w:hyperlink r:id="rId457" w:history="1">
            <w:r w:rsidRPr="00277499">
              <w:rPr>
                <w:rStyle w:val="Hyperlink"/>
              </w:rPr>
              <w:t>LA</w:t>
            </w:r>
          </w:hyperlink>
          <w:r w:rsidRPr="00277499">
            <w:rPr>
              <w:rStyle w:val="Hyperlink"/>
            </w:rPr>
            <w:t xml:space="preserve"> </w:t>
          </w:r>
        </w:hyperlink>
      </w:hyperlink>
      <w:r w:rsidRPr="00277499">
        <w:t>s 15J(2)(d) and (e) and s 17);</w:t>
      </w:r>
    </w:p>
    <w:p w14:paraId="26CB5D0D" w14:textId="0C2E9F90" w:rsidR="00A83991" w:rsidRDefault="00A83991" w:rsidP="00A83991">
      <w:pPr>
        <w:pStyle w:val="BodyPara"/>
      </w:pPr>
      <w:r>
        <w:t xml:space="preserve">contain a statement of compatibility with human rights prepared under </w:t>
      </w:r>
      <w:r w:rsidRPr="00277499">
        <w:t xml:space="preserve">subsection 9(1) of the </w:t>
      </w:r>
      <w:hyperlink r:id="rId458" w:history="1">
        <w:r w:rsidRPr="00277499">
          <w:rPr>
            <w:rStyle w:val="Hyperlink"/>
            <w:i/>
          </w:rPr>
          <w:t>Human Rights (Parliamentary Scrutiny) Act 2011</w:t>
        </w:r>
      </w:hyperlink>
      <w:r w:rsidRPr="00277499">
        <w:t xml:space="preserve"> (se</w:t>
      </w:r>
      <w:r>
        <w:t>e als</w:t>
      </w:r>
      <w:r w:rsidRPr="00277499">
        <w:t xml:space="preserve">o </w:t>
      </w:r>
      <w:hyperlink r:id="rId459" w:history="1">
        <w:hyperlink r:id="rId460" w:history="1">
          <w:hyperlink r:id="rId461" w:history="1">
            <w:hyperlink r:id="rId462" w:history="1">
              <w:r w:rsidRPr="00277499">
                <w:rPr>
                  <w:rStyle w:val="Hyperlink"/>
                </w:rPr>
                <w:t>LA</w:t>
              </w:r>
            </w:hyperlink>
            <w:r w:rsidRPr="00277499">
              <w:rPr>
                <w:rStyle w:val="Hyperlink"/>
              </w:rPr>
              <w:t xml:space="preserve"> </w:t>
            </w:r>
          </w:hyperlink>
        </w:hyperlink>
      </w:hyperlink>
      <w:r w:rsidRPr="00277499">
        <w:t>s 15J(2)(f)).</w:t>
      </w:r>
    </w:p>
    <w:p w14:paraId="62BD8839" w14:textId="77777777" w:rsidR="00A83991" w:rsidRPr="00331285" w:rsidRDefault="00A83991" w:rsidP="00A83991">
      <w:pPr>
        <w:pStyle w:val="BodyNum"/>
      </w:pPr>
      <w:bookmarkStart w:id="214" w:name="_Ref36030145"/>
      <w:r>
        <w:t>The checklist for the scrutiny principle covering adequacy of explanatory materials also identifies the following instrument-specific matters which should be covered by the explanatory statement where relevant:</w:t>
      </w:r>
      <w:bookmarkEnd w:id="214"/>
    </w:p>
    <w:p w14:paraId="1C1FDE02" w14:textId="77777777" w:rsidR="00A83991" w:rsidRDefault="00A83991" w:rsidP="00A83991">
      <w:pPr>
        <w:pStyle w:val="BodyPara"/>
      </w:pPr>
      <w:r>
        <w:t>where the instrument provides for the collection, use or disclosure of personal information, an explanation of the nature and scope of the provisions, why they are necessary and appropriate, and the safeguards in place to protect the personal information;</w:t>
      </w:r>
    </w:p>
    <w:p w14:paraId="0D94AA67" w14:textId="77777777" w:rsidR="00A83991" w:rsidRDefault="00A83991" w:rsidP="00A83991">
      <w:pPr>
        <w:pStyle w:val="BodyPara"/>
      </w:pPr>
      <w:r>
        <w:t xml:space="preserve">the availability or otherwise of independent review of discretionary decisions made under the instrument, explained by reference to the Administrative Review Council’s Guide </w:t>
      </w:r>
      <w:r w:rsidRPr="00477B7A">
        <w:rPr>
          <w:i/>
        </w:rPr>
        <w:t>What decisions should be subject to merits review?</w:t>
      </w:r>
      <w:r>
        <w:rPr>
          <w:rStyle w:val="FootnoteReference"/>
          <w:i/>
        </w:rPr>
        <w:footnoteReference w:id="30"/>
      </w:r>
      <w:r>
        <w:t>;</w:t>
      </w:r>
    </w:p>
    <w:p w14:paraId="1B59E353" w14:textId="77777777" w:rsidR="00A83991" w:rsidRDefault="00A83991" w:rsidP="00A83991">
      <w:pPr>
        <w:pStyle w:val="BodyPara"/>
      </w:pPr>
      <w:r>
        <w:t>details about any delegation of administrative functions or powers in the instrument, including the purpose, scope and necessity of the delegation, who will be exercising the powers and functions (including whether they possess appropriate qualifications and skills), and the limitations and safeguards in place;</w:t>
      </w:r>
    </w:p>
    <w:p w14:paraId="62729994" w14:textId="77777777" w:rsidR="00A83991" w:rsidRDefault="00A83991" w:rsidP="00A83991">
      <w:pPr>
        <w:pStyle w:val="BodyPara"/>
      </w:pPr>
      <w:r>
        <w:t>an explanation of any exemption from primary legislation or modification of the application of primary legislation made by the instrument, and additional details;</w:t>
      </w:r>
    </w:p>
    <w:p w14:paraId="617AA5F8" w14:textId="77777777" w:rsidR="00A83991" w:rsidRDefault="00A83991" w:rsidP="00A83991">
      <w:pPr>
        <w:pStyle w:val="BodyPara"/>
      </w:pPr>
      <w:r>
        <w:t>the basis for imposition of any fees or charges imposed by the instrument, and additional details;</w:t>
      </w:r>
    </w:p>
    <w:p w14:paraId="393E07D1" w14:textId="4A297EE9" w:rsidR="00A83991" w:rsidRPr="00FD274F" w:rsidRDefault="00A83991" w:rsidP="00A83991">
      <w:pPr>
        <w:pStyle w:val="BodyPara"/>
      </w:pPr>
      <w:r>
        <w:t xml:space="preserve">a description of </w:t>
      </w:r>
      <w:r w:rsidRPr="00FD274F">
        <w:t>any document incorporated by reference</w:t>
      </w:r>
      <w:r>
        <w:t xml:space="preserve">, including the manner in which it is incorporated (that is, whether as in force at a particular time or as in force from time to time), the legislative authority for incorporation as in force from time to time (if applicable), how the document may be obtained and where it may be freely accessed and used by the public </w:t>
      </w:r>
      <w:r w:rsidRPr="003E69AE">
        <w:t xml:space="preserve">(see also </w:t>
      </w:r>
      <w:hyperlink r:id="rId463" w:history="1">
        <w:hyperlink r:id="rId464" w:history="1">
          <w:hyperlink r:id="rId465" w:history="1">
            <w:r w:rsidRPr="003E69AE">
              <w:rPr>
                <w:rStyle w:val="Hyperlink"/>
              </w:rPr>
              <w:t>LA</w:t>
            </w:r>
          </w:hyperlink>
          <w:r w:rsidRPr="003E69AE">
            <w:rPr>
              <w:rStyle w:val="Hyperlink"/>
            </w:rPr>
            <w:t xml:space="preserve"> </w:t>
          </w:r>
        </w:hyperlink>
      </w:hyperlink>
      <w:r w:rsidRPr="003E69AE">
        <w:t>s 15J(2)(c));</w:t>
      </w:r>
    </w:p>
    <w:p w14:paraId="1BBEA5E9" w14:textId="77777777" w:rsidR="00A83991" w:rsidRDefault="00A83991" w:rsidP="00A83991">
      <w:pPr>
        <w:pStyle w:val="BodyPara"/>
      </w:pPr>
      <w:r>
        <w:t xml:space="preserve">where the instrument includes an offence which reverses the legal or evidential burden of proof, a justification for this reversal by reference to the </w:t>
      </w:r>
      <w:r w:rsidRPr="003E69AE">
        <w:lastRenderedPageBreak/>
        <w:t xml:space="preserve">AGD </w:t>
      </w:r>
      <w:r w:rsidRPr="003E69AE">
        <w:rPr>
          <w:i/>
        </w:rPr>
        <w:t>Guide to Framing Commonwealth Offences, Infringement Notices and Enforcement Powers</w:t>
      </w:r>
      <w:r>
        <w:rPr>
          <w:rStyle w:val="FootnoteReference"/>
          <w:i/>
        </w:rPr>
        <w:footnoteReference w:id="31"/>
      </w:r>
      <w:r w:rsidRPr="003E69AE">
        <w:t>;</w:t>
      </w:r>
    </w:p>
    <w:p w14:paraId="7BEF8BF8" w14:textId="7D944C34" w:rsidR="00A83991" w:rsidRPr="00FD274F" w:rsidRDefault="00A83991" w:rsidP="00A83991">
      <w:pPr>
        <w:pStyle w:val="BodyPara"/>
      </w:pPr>
      <w:r>
        <w:t>if the instrument commences retrospectively, a statement whether any person may be disadvantaged by the retrospectivity and, if so, what steps have been or will be taken to avoid such disadva</w:t>
      </w:r>
      <w:r w:rsidRPr="003E69AE">
        <w:t xml:space="preserve">ntage (see also </w:t>
      </w:r>
      <w:hyperlink r:id="rId466" w:history="1">
        <w:hyperlink r:id="rId467" w:history="1">
          <w:hyperlink r:id="rId468" w:history="1">
            <w:hyperlink r:id="rId469" w:history="1">
              <w:r w:rsidRPr="003E69AE">
                <w:rPr>
                  <w:rStyle w:val="Hyperlink"/>
                </w:rPr>
                <w:t>LA</w:t>
              </w:r>
            </w:hyperlink>
            <w:r w:rsidRPr="003E69AE">
              <w:rPr>
                <w:rStyle w:val="Hyperlink"/>
              </w:rPr>
              <w:t xml:space="preserve"> </w:t>
            </w:r>
          </w:hyperlink>
        </w:hyperlink>
      </w:hyperlink>
      <w:r w:rsidRPr="003E69AE">
        <w:t>s 12(2)).</w:t>
      </w:r>
    </w:p>
    <w:p w14:paraId="2FD9AF5E" w14:textId="77777777" w:rsidR="00A83991" w:rsidRPr="00FD274F" w:rsidRDefault="00A83991" w:rsidP="00A83991">
      <w:pPr>
        <w:pStyle w:val="BodyNum"/>
      </w:pPr>
      <w:r w:rsidRPr="00FD274F">
        <w:t xml:space="preserve">Agencies should respond quickly if </w:t>
      </w:r>
      <w:r>
        <w:t xml:space="preserve">the SDLC </w:t>
      </w:r>
      <w:r w:rsidRPr="00FD274F">
        <w:t>asks questions or expresses concern about a legislative instrument. Failure to do so may result in adverse parliamentary comment and possibly disallowance of the instrument. If the instrument was drafted by OPC, agencies should also contact their OPC drafter.</w:t>
      </w:r>
    </w:p>
    <w:p w14:paraId="4D296FCE" w14:textId="77777777" w:rsidR="00A83991" w:rsidRPr="00FD274F" w:rsidRDefault="00A83991" w:rsidP="00A83991">
      <w:pPr>
        <w:pStyle w:val="BodyNum"/>
      </w:pPr>
      <w:bookmarkStart w:id="215" w:name="_Ref36029839"/>
      <w:r w:rsidRPr="00FD274F">
        <w:t xml:space="preserve">Further information on issues and instruments of concern to </w:t>
      </w:r>
      <w:r>
        <w:t xml:space="preserve">the SDLC </w:t>
      </w:r>
      <w:r w:rsidRPr="00FD274F">
        <w:t xml:space="preserve">is available on the </w:t>
      </w:r>
      <w:r>
        <w:t xml:space="preserve">SDLC </w:t>
      </w:r>
      <w:r w:rsidRPr="00FD274F">
        <w:t>websi</w:t>
      </w:r>
      <w:r w:rsidRPr="003E69AE">
        <w:t>te</w:t>
      </w:r>
      <w:r w:rsidRPr="003E69AE">
        <w:rPr>
          <w:rStyle w:val="FootnoteReference"/>
        </w:rPr>
        <w:footnoteReference w:id="32"/>
      </w:r>
      <w:r w:rsidRPr="003E69AE">
        <w:t>.</w:t>
      </w:r>
      <w:bookmarkEnd w:id="215"/>
    </w:p>
    <w:p w14:paraId="49B316B0" w14:textId="77777777" w:rsidR="00A83991" w:rsidRPr="00FD274F" w:rsidRDefault="00A83991" w:rsidP="00A83991">
      <w:pPr>
        <w:pStyle w:val="Head4"/>
      </w:pPr>
      <w:bookmarkStart w:id="216" w:name="_Toc223687809"/>
      <w:r w:rsidRPr="00FD274F">
        <w:t>Parliamentary Joint Committee on Human Rights requirements</w:t>
      </w:r>
      <w:bookmarkEnd w:id="216"/>
    </w:p>
    <w:p w14:paraId="767A4A81" w14:textId="503DA19F" w:rsidR="00A83991" w:rsidRPr="00FD274F" w:rsidRDefault="00A83991" w:rsidP="00A83991">
      <w:pPr>
        <w:pStyle w:val="BodyNum"/>
      </w:pPr>
      <w:bookmarkStart w:id="217" w:name="_Ref367446541"/>
      <w:r w:rsidRPr="00FD274F">
        <w:t xml:space="preserve">The Parliamentary Joint Committee on Human Rights reviews each legislative instrument that is tabled in the Parliament for human rights compatibility in accordance with the </w:t>
      </w:r>
      <w:hyperlink r:id="rId470" w:history="1">
        <w:r w:rsidRPr="003E69AE">
          <w:rPr>
            <w:rStyle w:val="Hyperlink"/>
            <w:i/>
          </w:rPr>
          <w:t>Human Rights (Parliamentary Scrutiny) Act 2011</w:t>
        </w:r>
      </w:hyperlink>
      <w:r w:rsidRPr="003E69AE">
        <w:t>.</w:t>
      </w:r>
      <w:bookmarkEnd w:id="217"/>
    </w:p>
    <w:p w14:paraId="4C893EA2" w14:textId="77777777" w:rsidR="00A83991" w:rsidRPr="00FD274F" w:rsidRDefault="00A83991" w:rsidP="00A83991">
      <w:pPr>
        <w:pStyle w:val="BodyNum"/>
      </w:pPr>
      <w:r w:rsidRPr="00FD274F">
        <w:t>The committee views statements of compatibility as essential to the consideration of human rights in the legislative process, and expects statements to set out the necessary information in a way that allows the committee to undertake its scrutiny task efficiently. The committee expects statements of compatibility to be able to be read as stand</w:t>
      </w:r>
      <w:r>
        <w:noBreakHyphen/>
      </w:r>
      <w:r w:rsidRPr="00FD274F">
        <w:t>alone documents.</w:t>
      </w:r>
    </w:p>
    <w:p w14:paraId="4834ABC9" w14:textId="77777777" w:rsidR="00A83991" w:rsidRPr="00FD274F" w:rsidRDefault="00A83991" w:rsidP="00A83991">
      <w:pPr>
        <w:pStyle w:val="BodyNum"/>
      </w:pPr>
      <w:r w:rsidRPr="00FD274F">
        <w:t>If the rule</w:t>
      </w:r>
      <w:r>
        <w:noBreakHyphen/>
      </w:r>
      <w:r w:rsidRPr="00FD274F">
        <w:t>maker considers that no rights are engaged, the committee expects that reasons should be given, if possible, to support that conclusion. This is particularly important where such a conclusion may not be self</w:t>
      </w:r>
      <w:r>
        <w:noBreakHyphen/>
      </w:r>
      <w:r w:rsidRPr="00FD274F">
        <w:t>evident from the description</w:t>
      </w:r>
      <w:r>
        <w:t xml:space="preserve"> of the instrument’s objective.</w:t>
      </w:r>
    </w:p>
    <w:p w14:paraId="27AF1D2E" w14:textId="77777777" w:rsidR="00A83991" w:rsidRPr="00FD274F" w:rsidRDefault="00A83991" w:rsidP="00A83991">
      <w:pPr>
        <w:pStyle w:val="BodyNum"/>
      </w:pPr>
      <w:bookmarkStart w:id="218" w:name="_Ref369889299"/>
      <w:r w:rsidRPr="00FD274F">
        <w:t>If human rights are limited by a legislative instrument, the committee prefers statements of compatibility to follow the sequence of steps set out in the assessment tool and associated guidance developed by AG</w:t>
      </w:r>
      <w:r w:rsidRPr="003E69AE">
        <w:t>D</w:t>
      </w:r>
      <w:r w:rsidRPr="003E69AE">
        <w:rPr>
          <w:rStyle w:val="FootnoteReference"/>
        </w:rPr>
        <w:footnoteReference w:id="33"/>
      </w:r>
      <w:r w:rsidRPr="003E69AE">
        <w:t>. S</w:t>
      </w:r>
      <w:r w:rsidRPr="00FD274F">
        <w:t>tatements should provide information on:</w:t>
      </w:r>
      <w:bookmarkEnd w:id="218"/>
    </w:p>
    <w:p w14:paraId="03FF3B6A" w14:textId="77777777" w:rsidR="00A83991" w:rsidRPr="00FD274F" w:rsidRDefault="00A83991" w:rsidP="00A83991">
      <w:pPr>
        <w:pStyle w:val="BodyPara"/>
      </w:pPr>
      <w:r w:rsidRPr="00FD274F">
        <w:t>whether and how the limitation is aimed at achieving a legitimate objective; and</w:t>
      </w:r>
    </w:p>
    <w:p w14:paraId="719712D8" w14:textId="77777777" w:rsidR="00A83991" w:rsidRPr="00FD274F" w:rsidRDefault="00A83991" w:rsidP="00A83991">
      <w:pPr>
        <w:pStyle w:val="BodyPara"/>
      </w:pPr>
      <w:r w:rsidRPr="00FD274F">
        <w:t>whether and how there is a rational connection between the li</w:t>
      </w:r>
      <w:r>
        <w:t>mitation and the objective; and</w:t>
      </w:r>
    </w:p>
    <w:p w14:paraId="4BBAD14B" w14:textId="044677EE" w:rsidR="00A83991" w:rsidRPr="00FD274F" w:rsidRDefault="00A83991" w:rsidP="00A83991">
      <w:pPr>
        <w:pStyle w:val="BodyPara"/>
      </w:pPr>
      <w:r w:rsidRPr="00FD274F">
        <w:t>whether and how the limitation is reasonable, necessary and proportionate.</w:t>
      </w:r>
    </w:p>
    <w:p w14:paraId="58FC0894" w14:textId="77777777" w:rsidR="00A83991" w:rsidRPr="00FD274F" w:rsidRDefault="00A83991" w:rsidP="00A83991">
      <w:pPr>
        <w:pStyle w:val="BodyNum"/>
      </w:pPr>
      <w:r w:rsidRPr="00FD274F">
        <w:lastRenderedPageBreak/>
        <w:t>Further guidance on issues and instruments of concern to the committee is available on the committee’s webs</w:t>
      </w:r>
      <w:r w:rsidRPr="003E69AE">
        <w:t>ite</w:t>
      </w:r>
      <w:r w:rsidRPr="003E69AE">
        <w:rPr>
          <w:rStyle w:val="FootnoteReference"/>
        </w:rPr>
        <w:footnoteReference w:id="34"/>
      </w:r>
      <w:r w:rsidRPr="003E69AE">
        <w:t>.</w:t>
      </w:r>
    </w:p>
    <w:p w14:paraId="57E209E7" w14:textId="77777777" w:rsidR="00A83991" w:rsidRPr="00FD274F" w:rsidRDefault="00A83991" w:rsidP="00A83991">
      <w:pPr>
        <w:pStyle w:val="Head4"/>
      </w:pPr>
      <w:bookmarkStart w:id="219" w:name="_Toc223687810"/>
      <w:r w:rsidRPr="00FD274F">
        <w:t>Previous ministerial or parliamentary undertakings</w:t>
      </w:r>
      <w:bookmarkEnd w:id="219"/>
    </w:p>
    <w:p w14:paraId="15A2D197" w14:textId="77777777" w:rsidR="00A83991" w:rsidRPr="00FD274F" w:rsidRDefault="00A83991" w:rsidP="00A83991">
      <w:pPr>
        <w:pStyle w:val="BodyNum"/>
      </w:pPr>
      <w:bookmarkStart w:id="220" w:name="_Ref369786506"/>
      <w:r w:rsidRPr="00FD274F">
        <w:t>A Minister or rule</w:t>
      </w:r>
      <w:r>
        <w:noBreakHyphen/>
      </w:r>
      <w:r w:rsidRPr="00FD274F">
        <w:t>maker may, on occasion, give an undertaking to the Parliament or a committee of the Parliament to review or change how an instrument operates, or to change drafting, consultation or other practices before making a similar instrument. If such an undertaking is relevant to a new instrument, the undertaking should be acknowledged and its implementation discussed in the explanatory statement for the new instrument.</w:t>
      </w:r>
      <w:bookmarkEnd w:id="220"/>
    </w:p>
    <w:p w14:paraId="224F4C33" w14:textId="77777777" w:rsidR="00A83991" w:rsidRPr="00FD274F" w:rsidRDefault="00A83991" w:rsidP="00A83991">
      <w:pPr>
        <w:pStyle w:val="Head4"/>
      </w:pPr>
      <w:bookmarkStart w:id="221" w:name="_Toc223687811"/>
      <w:r w:rsidRPr="00FD274F">
        <w:t>If an instrument or provision is very similar in substance to one made recently</w:t>
      </w:r>
      <w:bookmarkEnd w:id="221"/>
    </w:p>
    <w:p w14:paraId="572AF8CC" w14:textId="6239BF16" w:rsidR="00A83991" w:rsidRPr="00B2122D" w:rsidRDefault="00A83991" w:rsidP="00A83991">
      <w:pPr>
        <w:pStyle w:val="BodyNum"/>
      </w:pPr>
      <w:bookmarkStart w:id="222" w:name="_Ref384355454"/>
      <w:r w:rsidRPr="00FD274F">
        <w:t>T</w:t>
      </w:r>
      <w:r w:rsidRPr="003E69AE">
        <w:t xml:space="preserve">he </w:t>
      </w:r>
      <w:hyperlink r:id="rId471" w:history="1">
        <w:r w:rsidRPr="003E69AE">
          <w:rPr>
            <w:rStyle w:val="Hyperlink"/>
          </w:rPr>
          <w:t>LA</w:t>
        </w:r>
      </w:hyperlink>
      <w:r w:rsidRPr="003E69AE">
        <w:t xml:space="preserve"> im</w:t>
      </w:r>
      <w:r w:rsidRPr="00FD274F">
        <w:t>poses significant restrictions on remaking an instrument or provision before, and for a period after, tabling. Consequently, if an instrument or provision is being remade while restrictions apply or shortly after they end, the explanatory statement should acknowledge the restrictions and explain why they do not apply (se</w:t>
      </w:r>
      <w:r w:rsidRPr="00B2122D">
        <w:t xml:space="preserve">e paragraphs </w:t>
      </w:r>
      <w:r w:rsidRPr="003E69AE">
        <w:fldChar w:fldCharType="begin"/>
      </w:r>
      <w:r w:rsidRPr="00B2122D">
        <w:instrText xml:space="preserve"> REF _Ref383697445 \r \h </w:instrText>
      </w:r>
      <w:r>
        <w:rPr>
          <w:highlight w:val="yellow"/>
        </w:rPr>
        <w:instrText xml:space="preserve"> \* MERGEFORMAT </w:instrText>
      </w:r>
      <w:r w:rsidRPr="003E69AE">
        <w:fldChar w:fldCharType="separate"/>
      </w:r>
      <w:r w:rsidR="00AB105F">
        <w:t>343</w:t>
      </w:r>
      <w:r w:rsidRPr="003E69AE">
        <w:fldChar w:fldCharType="end"/>
      </w:r>
      <w:r w:rsidRPr="00B2122D">
        <w:t xml:space="preserve"> to </w:t>
      </w:r>
      <w:r w:rsidRPr="003E69AE">
        <w:fldChar w:fldCharType="begin"/>
      </w:r>
      <w:r w:rsidRPr="00B2122D">
        <w:instrText xml:space="preserve"> REF _Ref384355195 \r \h </w:instrText>
      </w:r>
      <w:r>
        <w:rPr>
          <w:highlight w:val="yellow"/>
        </w:rPr>
        <w:instrText xml:space="preserve"> \* MERGEFORMAT </w:instrText>
      </w:r>
      <w:r w:rsidRPr="003E69AE">
        <w:fldChar w:fldCharType="separate"/>
      </w:r>
      <w:r w:rsidR="00AB105F">
        <w:t>351</w:t>
      </w:r>
      <w:r w:rsidRPr="003E69AE">
        <w:fldChar w:fldCharType="end"/>
      </w:r>
      <w:r w:rsidRPr="00B2122D">
        <w:t xml:space="preserve"> for more detail).</w:t>
      </w:r>
      <w:bookmarkEnd w:id="222"/>
    </w:p>
    <w:p w14:paraId="269793C3" w14:textId="77777777" w:rsidR="00A83991" w:rsidRPr="00FD274F" w:rsidRDefault="00A83991" w:rsidP="00A83991">
      <w:pPr>
        <w:pStyle w:val="Head3"/>
      </w:pPr>
      <w:bookmarkStart w:id="223" w:name="_Toc223687812"/>
      <w:r w:rsidRPr="00FD274F">
        <w:t>Consequences of failure to provide explanatory statements on time</w:t>
      </w:r>
      <w:bookmarkEnd w:id="223"/>
    </w:p>
    <w:p w14:paraId="200C57AA" w14:textId="40EBDCD3" w:rsidR="00A83991" w:rsidRPr="00EC7C33" w:rsidRDefault="00A83991" w:rsidP="00A83991">
      <w:pPr>
        <w:pStyle w:val="BodyNum"/>
      </w:pPr>
      <w:bookmarkStart w:id="224" w:name="_Ref29483756"/>
      <w:bookmarkStart w:id="225" w:name="_Ref367446337"/>
      <w:r w:rsidRPr="00FD274F">
        <w:t xml:space="preserve">An explanatory statement for a legislative instrument must be lodged with OPC for registration at the same time as, or as soon as practicable after, the legislative instrument that it explains </w:t>
      </w:r>
      <w:r w:rsidRPr="00EC7C33">
        <w:t>(</w:t>
      </w:r>
      <w:hyperlink r:id="rId472" w:history="1">
        <w:hyperlink r:id="rId473" w:history="1">
          <w:hyperlink r:id="rId474" w:history="1">
            <w:r w:rsidRPr="00EC7C33">
              <w:rPr>
                <w:rStyle w:val="Hyperlink"/>
              </w:rPr>
              <w:t>LA</w:t>
            </w:r>
          </w:hyperlink>
          <w:r w:rsidRPr="00EC7C33">
            <w:rPr>
              <w:rStyle w:val="Hyperlink"/>
            </w:rPr>
            <w:t xml:space="preserve"> </w:t>
          </w:r>
        </w:hyperlink>
      </w:hyperlink>
      <w:r w:rsidRPr="00EC7C33">
        <w:t>s 15G(4)(a)). A</w:t>
      </w:r>
      <w:r w:rsidRPr="00FD274F">
        <w:t>lthough a failure to lodge the explanatory statement as required does not affect the validity or enforceability of the registered instrume</w:t>
      </w:r>
      <w:r w:rsidRPr="00EC7C33">
        <w:t>nt (</w:t>
      </w:r>
      <w:hyperlink r:id="rId475" w:history="1">
        <w:hyperlink r:id="rId476" w:history="1">
          <w:hyperlink r:id="rId477" w:history="1">
            <w:r w:rsidRPr="00EC7C33">
              <w:rPr>
                <w:rStyle w:val="Hyperlink"/>
              </w:rPr>
              <w:t>LA</w:t>
            </w:r>
          </w:hyperlink>
          <w:r w:rsidRPr="00EC7C33">
            <w:rPr>
              <w:rStyle w:val="Hyperlink"/>
            </w:rPr>
            <w:t xml:space="preserve"> </w:t>
          </w:r>
        </w:hyperlink>
      </w:hyperlink>
      <w:r w:rsidRPr="00EC7C33">
        <w:t>s 15K(2)), the rule</w:t>
      </w:r>
      <w:r w:rsidRPr="00EC7C33">
        <w:noBreakHyphen/>
        <w:t>maker:</w:t>
      </w:r>
      <w:bookmarkEnd w:id="224"/>
    </w:p>
    <w:p w14:paraId="148BD49A" w14:textId="77777777" w:rsidR="00A83991" w:rsidRPr="00FD274F" w:rsidRDefault="00A83991" w:rsidP="00A83991">
      <w:pPr>
        <w:pStyle w:val="BodyPara"/>
      </w:pPr>
      <w:r w:rsidRPr="00FD274F">
        <w:t>remains under a statutory obligation to lodge the explanatory statement with OPC for registration</w:t>
      </w:r>
      <w:bookmarkEnd w:id="225"/>
      <w:r>
        <w:t>; and</w:t>
      </w:r>
    </w:p>
    <w:p w14:paraId="5367C221" w14:textId="53084BC2" w:rsidR="00A83991" w:rsidRPr="00FD274F" w:rsidRDefault="00A83991" w:rsidP="00A83991">
      <w:pPr>
        <w:pStyle w:val="BodyPara"/>
      </w:pPr>
      <w:r w:rsidRPr="00FD274F">
        <w:t>must arrange for a written explanation to be tabled in the Parliament if the explanatory statement for an instrument is not lodged before the instrument is delivered by OPC for t</w:t>
      </w:r>
      <w:r w:rsidRPr="00EC7C33">
        <w:t>abling (</w:t>
      </w:r>
      <w:hyperlink r:id="rId478" w:history="1">
        <w:hyperlink r:id="rId479" w:history="1">
          <w:hyperlink r:id="rId480" w:history="1">
            <w:r w:rsidRPr="00EC7C33">
              <w:rPr>
                <w:rStyle w:val="Hyperlink"/>
              </w:rPr>
              <w:t>LA</w:t>
            </w:r>
          </w:hyperlink>
          <w:r w:rsidRPr="00EC7C33">
            <w:rPr>
              <w:rStyle w:val="Hyperlink"/>
            </w:rPr>
            <w:t xml:space="preserve"> </w:t>
          </w:r>
        </w:hyperlink>
      </w:hyperlink>
      <w:r w:rsidRPr="00EC7C33">
        <w:t>s 39(3)); a</w:t>
      </w:r>
      <w:r>
        <w:t>nd</w:t>
      </w:r>
    </w:p>
    <w:p w14:paraId="4E8F4FF1" w14:textId="77777777" w:rsidR="00A83991" w:rsidRPr="00FD274F" w:rsidRDefault="00A83991" w:rsidP="00A83991">
      <w:pPr>
        <w:pStyle w:val="BodyPara"/>
      </w:pPr>
      <w:r w:rsidRPr="00FD274F">
        <w:t>should expect adverse comment from relevant parliamentary committees if this happens.</w:t>
      </w:r>
    </w:p>
    <w:p w14:paraId="6AFAB63A" w14:textId="77777777" w:rsidR="00A83991" w:rsidRPr="00FD274F" w:rsidRDefault="00A83991" w:rsidP="00A83991">
      <w:pPr>
        <w:pStyle w:val="Head3"/>
      </w:pPr>
      <w:bookmarkStart w:id="226" w:name="_Toc223687813"/>
      <w:r w:rsidRPr="00FD274F">
        <w:t>If there is a significant error or omission in an explanatory statement</w:t>
      </w:r>
      <w:bookmarkEnd w:id="226"/>
    </w:p>
    <w:p w14:paraId="2F2DBB91" w14:textId="77777777" w:rsidR="00A83991" w:rsidRPr="00FD274F" w:rsidRDefault="00A83991" w:rsidP="00A83991">
      <w:pPr>
        <w:pStyle w:val="BodyNum"/>
      </w:pPr>
      <w:bookmarkStart w:id="227" w:name="_Ref29483854"/>
      <w:bookmarkStart w:id="228" w:name="_Ref378065259"/>
      <w:r w:rsidRPr="00FD274F">
        <w:t>If there is a significant error or omission in the initial explanatory statement provided for an instrument, there are things an agency or rule</w:t>
      </w:r>
      <w:r>
        <w:noBreakHyphen/>
      </w:r>
      <w:r w:rsidRPr="00FD274F">
        <w:t>maker can do to address this.</w:t>
      </w:r>
      <w:bookmarkEnd w:id="227"/>
    </w:p>
    <w:p w14:paraId="0881841E" w14:textId="77777777" w:rsidR="00A83991" w:rsidRPr="00FD274F" w:rsidRDefault="00A83991" w:rsidP="00A83991">
      <w:pPr>
        <w:pStyle w:val="BodyNum"/>
      </w:pPr>
      <w:r>
        <w:t>I</w:t>
      </w:r>
      <w:r w:rsidRPr="00FD274F">
        <w:t>t may be appropriate for a supplementary or replacement explanatory statement to be lodged and delivered to the Parliament</w:t>
      </w:r>
      <w:r>
        <w:t>, even if the instrument is no longer open to disallowance</w:t>
      </w:r>
      <w:r w:rsidRPr="00FD274F">
        <w:t>. As part of this, the agency will need to:</w:t>
      </w:r>
    </w:p>
    <w:p w14:paraId="6BB62F97" w14:textId="77777777" w:rsidR="00A83991" w:rsidRPr="00FD274F" w:rsidRDefault="00A83991" w:rsidP="00A83991">
      <w:pPr>
        <w:pStyle w:val="BodyPara"/>
      </w:pPr>
      <w:r w:rsidRPr="00FD274F">
        <w:t>consider which form of statement is most appropriate (a supplementary statement may suffice if the issue is a minor omission); and</w:t>
      </w:r>
    </w:p>
    <w:p w14:paraId="474C92A4" w14:textId="77777777" w:rsidR="00A83991" w:rsidRPr="00FD274F" w:rsidRDefault="00A83991" w:rsidP="00A83991">
      <w:pPr>
        <w:pStyle w:val="BodyPara"/>
      </w:pPr>
      <w:r w:rsidRPr="00FD274F">
        <w:lastRenderedPageBreak/>
        <w:t>get the rule</w:t>
      </w:r>
      <w:r>
        <w:noBreakHyphen/>
      </w:r>
      <w:r w:rsidRPr="00FD274F">
        <w:t xml:space="preserve">maker’s approval </w:t>
      </w:r>
      <w:r>
        <w:t xml:space="preserve">for </w:t>
      </w:r>
      <w:r w:rsidRPr="00FD274F">
        <w:t xml:space="preserve">the supplementary or </w:t>
      </w:r>
      <w:r>
        <w:t>replacement statement; and</w:t>
      </w:r>
    </w:p>
    <w:p w14:paraId="5FA26EE0" w14:textId="03C6FA4E" w:rsidR="00A83991" w:rsidRPr="00EC7C33" w:rsidRDefault="00A83991" w:rsidP="00A83991">
      <w:pPr>
        <w:pStyle w:val="BodyPara"/>
      </w:pPr>
      <w:r w:rsidRPr="00FD274F">
        <w:t xml:space="preserve">lodge the </w:t>
      </w:r>
      <w:r>
        <w:t>supplementary or replacement</w:t>
      </w:r>
      <w:r w:rsidRPr="00FD274F">
        <w:t xml:space="preserve"> statement online with OPC, so that OPC can register and deliver </w:t>
      </w:r>
      <w:r>
        <w:t>it</w:t>
      </w:r>
      <w:r w:rsidRPr="00FD274F">
        <w:t xml:space="preserve"> for tabling in accordance with s</w:t>
      </w:r>
      <w:r w:rsidRPr="00EC7C33">
        <w:t xml:space="preserve">ection 39 of the </w:t>
      </w:r>
      <w:hyperlink r:id="rId481" w:history="1">
        <w:hyperlink r:id="rId482" w:history="1">
          <w:hyperlink r:id="rId483" w:history="1">
            <w:r w:rsidRPr="00EC7C33">
              <w:rPr>
                <w:rStyle w:val="Hyperlink"/>
              </w:rPr>
              <w:t>LA</w:t>
            </w:r>
          </w:hyperlink>
        </w:hyperlink>
      </w:hyperlink>
      <w:r w:rsidRPr="00EC7C33">
        <w:t>.</w:t>
      </w:r>
    </w:p>
    <w:p w14:paraId="75846448" w14:textId="77777777" w:rsidR="00A83991" w:rsidRDefault="00A83991" w:rsidP="00A83991">
      <w:pPr>
        <w:pStyle w:val="BodyNum"/>
      </w:pPr>
      <w:bookmarkStart w:id="229" w:name="_Ref29483856"/>
      <w:r>
        <w:t>I</w:t>
      </w:r>
      <w:r w:rsidRPr="00FD274F">
        <w:t>f there are special requirements for a statement to be tabled by a particular date to ensure that an instrument is not disallowed</w:t>
      </w:r>
      <w:r>
        <w:t>, a</w:t>
      </w:r>
      <w:r w:rsidRPr="00FD274F">
        <w:t xml:space="preserve">gencies </w:t>
      </w:r>
      <w:r>
        <w:t>are advised to contact OPC</w:t>
      </w:r>
      <w:r w:rsidRPr="00FD274F">
        <w:t>. Under no circumstances should agencies attempt to lodge statements directly with the Table Offices or scrutiny bodies.</w:t>
      </w:r>
      <w:bookmarkEnd w:id="229"/>
    </w:p>
    <w:p w14:paraId="73082759" w14:textId="77777777" w:rsidR="00A83991" w:rsidRDefault="00A83991" w:rsidP="00A83991">
      <w:pPr>
        <w:pStyle w:val="Head3"/>
      </w:pPr>
      <w:bookmarkStart w:id="230" w:name="_Toc223687814"/>
      <w:r>
        <w:t>Supporting material</w:t>
      </w:r>
      <w:bookmarkEnd w:id="230"/>
    </w:p>
    <w:p w14:paraId="1ADA71A7" w14:textId="77777777" w:rsidR="00A83991" w:rsidRPr="00FD274F" w:rsidRDefault="00A83991" w:rsidP="00A83991">
      <w:pPr>
        <w:pStyle w:val="BodyNum"/>
      </w:pPr>
      <w:r>
        <w:t>Any</w:t>
      </w:r>
      <w:r w:rsidRPr="00FD274F">
        <w:t xml:space="preserve"> supporting material </w:t>
      </w:r>
      <w:r>
        <w:t xml:space="preserve">that should be made available with an instrument should </w:t>
      </w:r>
      <w:r w:rsidRPr="00FD274F">
        <w:t>also be attached (uploaded) to the online lodgement form. As with instruments</w:t>
      </w:r>
      <w:r>
        <w:t xml:space="preserve"> and explanatory statements</w:t>
      </w:r>
      <w:r w:rsidRPr="00FD274F">
        <w:t>, these documents:</w:t>
      </w:r>
    </w:p>
    <w:p w14:paraId="4946D1EF" w14:textId="73475819" w:rsidR="00A83991" w:rsidRDefault="00A83991" w:rsidP="00A83991">
      <w:pPr>
        <w:pStyle w:val="BodyPara"/>
      </w:pPr>
      <w:r w:rsidRPr="00FD274F">
        <w:t xml:space="preserve">must be in </w:t>
      </w:r>
      <w:r w:rsidR="00B51B63" w:rsidRPr="00E8679D">
        <w:t>RTF, DOC or DOCX format</w:t>
      </w:r>
      <w:r>
        <w:t>,</w:t>
      </w:r>
      <w:r w:rsidRPr="00FD274F">
        <w:t xml:space="preserve"> unless the First Parliamentary Counsel has agreed to some other for</w:t>
      </w:r>
      <w:r w:rsidRPr="00EC7C33">
        <w:t xml:space="preserve">mat (see </w:t>
      </w:r>
      <w:hyperlink r:id="rId484" w:history="1">
        <w:r w:rsidR="00B51B63" w:rsidRPr="00001937">
          <w:rPr>
            <w:rStyle w:val="Hyperlink"/>
          </w:rPr>
          <w:t>LR</w:t>
        </w:r>
      </w:hyperlink>
      <w:r w:rsidRPr="00EC7C33">
        <w:t xml:space="preserve"> s </w:t>
      </w:r>
      <w:r w:rsidR="00B51B63">
        <w:t>6</w:t>
      </w:r>
      <w:r w:rsidRPr="00EC7C33">
        <w:t>(3)); a</w:t>
      </w:r>
      <w:r>
        <w:t>nd</w:t>
      </w:r>
    </w:p>
    <w:p w14:paraId="3CF0957E" w14:textId="52DB4385" w:rsidR="00A83991" w:rsidRPr="00FD274F" w:rsidRDefault="00A83991" w:rsidP="00A83991">
      <w:pPr>
        <w:pStyle w:val="noteToPara"/>
        <w:ind w:left="1429"/>
      </w:pPr>
      <w:r w:rsidRPr="00FD274F">
        <w:t>Note:</w:t>
      </w:r>
      <w:r w:rsidRPr="00FD274F">
        <w:tab/>
      </w:r>
      <w:r>
        <w:t xml:space="preserve">Our preferred format is </w:t>
      </w:r>
      <w:r w:rsidR="0032115E">
        <w:t>DOCX</w:t>
      </w:r>
      <w:r>
        <w:t>.</w:t>
      </w:r>
    </w:p>
    <w:p w14:paraId="74A3CA2D" w14:textId="407B202F" w:rsidR="00A83991" w:rsidRPr="00FD274F" w:rsidRDefault="00A83991" w:rsidP="00A83991">
      <w:pPr>
        <w:pStyle w:val="BodyPara"/>
      </w:pPr>
      <w:r w:rsidRPr="00FD274F">
        <w:t>must not contain dynamic content that interfere</w:t>
      </w:r>
      <w:r w:rsidR="00CF347B">
        <w:t>s</w:t>
      </w:r>
      <w:r w:rsidRPr="00FD274F">
        <w:t xml:space="preserve"> with the </w:t>
      </w:r>
      <w:r w:rsidR="00B51B63">
        <w:t>accuracy</w:t>
      </w:r>
      <w:r w:rsidR="00B51B63" w:rsidRPr="00FD274F">
        <w:t xml:space="preserve"> </w:t>
      </w:r>
      <w:r w:rsidRPr="00FD274F">
        <w:t>of the documen</w:t>
      </w:r>
      <w:r w:rsidRPr="00EC7C33">
        <w:t xml:space="preserve">t (see </w:t>
      </w:r>
      <w:hyperlink r:id="rId485" w:history="1">
        <w:r w:rsidR="00CF347B" w:rsidRPr="00001937">
          <w:rPr>
            <w:rStyle w:val="Hyperlink"/>
          </w:rPr>
          <w:t>LR</w:t>
        </w:r>
      </w:hyperlink>
      <w:r w:rsidRPr="00EC7C33">
        <w:t xml:space="preserve"> s </w:t>
      </w:r>
      <w:r w:rsidR="00CF347B">
        <w:t>6</w:t>
      </w:r>
      <w:r w:rsidRPr="00EC7C33">
        <w:t>(</w:t>
      </w:r>
      <w:r w:rsidR="00CF347B">
        <w:t>5</w:t>
      </w:r>
      <w:r w:rsidRPr="00EC7C33">
        <w:t>)).</w:t>
      </w:r>
    </w:p>
    <w:bookmarkEnd w:id="228"/>
    <w:p w14:paraId="52BF9293" w14:textId="77777777" w:rsidR="0057232B" w:rsidRDefault="0057232B" w:rsidP="00A83991">
      <w:pPr>
        <w:pStyle w:val="Head2"/>
        <w:sectPr w:rsidR="0057232B" w:rsidSect="008123DC">
          <w:headerReference w:type="default" r:id="rId486"/>
          <w:footerReference w:type="default" r:id="rId487"/>
          <w:pgSz w:w="11907" w:h="16839" w:code="9"/>
          <w:pgMar w:top="1440" w:right="1440" w:bottom="1418" w:left="1440" w:header="720" w:footer="720" w:gutter="0"/>
          <w:cols w:sep="1" w:space="567"/>
          <w:docGrid w:linePitch="360"/>
        </w:sectPr>
      </w:pPr>
    </w:p>
    <w:p w14:paraId="16D5EC0B" w14:textId="3F0E96EE" w:rsidR="00A83991" w:rsidRPr="00FD274F" w:rsidRDefault="00A83991" w:rsidP="00A83991">
      <w:pPr>
        <w:pStyle w:val="Head2"/>
      </w:pPr>
      <w:bookmarkStart w:id="231" w:name="_Toc223687815"/>
      <w:r w:rsidRPr="00FD274F">
        <w:lastRenderedPageBreak/>
        <w:t xml:space="preserve">Chapter </w:t>
      </w:r>
      <w:bookmarkStart w:id="232" w:name="Chapter9"/>
      <w:bookmarkEnd w:id="232"/>
      <w:r w:rsidRPr="00FD274F">
        <w:t>9—Parliamentary scrutiny (disallowance) processes</w:t>
      </w:r>
      <w:bookmarkEnd w:id="231"/>
    </w:p>
    <w:p w14:paraId="27CD20CA" w14:textId="77777777" w:rsidR="00A83991" w:rsidRPr="00FD274F" w:rsidRDefault="00A83991" w:rsidP="00A83991">
      <w:pPr>
        <w:pStyle w:val="SundryBoxHeadBold"/>
      </w:pPr>
      <w:r w:rsidRPr="00FD274F">
        <w:t>Main points</w:t>
      </w:r>
    </w:p>
    <w:p w14:paraId="036FA11B" w14:textId="77777777" w:rsidR="00A83991" w:rsidRDefault="00A83991" w:rsidP="00A83991">
      <w:pPr>
        <w:pStyle w:val="SundryBoxBullet"/>
      </w:pPr>
      <w:r w:rsidRPr="00FD274F">
        <w:t>•</w:t>
      </w:r>
      <w:r w:rsidRPr="00FD274F">
        <w:tab/>
        <w:t>All legislative instruments that are registered must be tabled in each House of the Parliament and, unless an exemption applies, they may be disallowed by either House.</w:t>
      </w:r>
    </w:p>
    <w:p w14:paraId="6C84335E" w14:textId="77777777" w:rsidR="00A83991" w:rsidRPr="00FD274F" w:rsidRDefault="00A83991" w:rsidP="00A83991">
      <w:pPr>
        <w:pStyle w:val="SundryBoxBullet"/>
      </w:pPr>
      <w:r w:rsidRPr="00FD274F">
        <w:t>•</w:t>
      </w:r>
      <w:r w:rsidRPr="00FD274F">
        <w:tab/>
      </w:r>
      <w:r>
        <w:t>If a disallowable legislative instrument is rectified, it must be re</w:t>
      </w:r>
      <w:r>
        <w:noBreakHyphen/>
        <w:t>tabled in each House of the Parliament and may be subject to a new or extended disallowance period.</w:t>
      </w:r>
    </w:p>
    <w:p w14:paraId="26B37D95" w14:textId="77777777" w:rsidR="00A83991" w:rsidRPr="00FD274F" w:rsidRDefault="00A83991" w:rsidP="00A83991">
      <w:pPr>
        <w:pStyle w:val="SundryBoxBullet"/>
      </w:pPr>
      <w:r w:rsidRPr="00FD274F">
        <w:t>•</w:t>
      </w:r>
      <w:r w:rsidRPr="00FD274F">
        <w:tab/>
        <w:t>OPC is responsible for delivering legislative instruments and their explanatory statements to the Parliament for tabling.</w:t>
      </w:r>
    </w:p>
    <w:p w14:paraId="4EE58E47" w14:textId="77777777" w:rsidR="00A83991" w:rsidRPr="00FD274F" w:rsidRDefault="00A83991" w:rsidP="00A83991">
      <w:pPr>
        <w:pStyle w:val="SundryBoxBullet"/>
      </w:pPr>
      <w:r w:rsidRPr="00FD274F">
        <w:t>•</w:t>
      </w:r>
      <w:r w:rsidRPr="00FD274F">
        <w:tab/>
        <w:t>The Parliamentary Table Offices are responsible for tabling legislative instruments and explanatory statements.</w:t>
      </w:r>
    </w:p>
    <w:p w14:paraId="579008C4" w14:textId="77777777" w:rsidR="00A83991" w:rsidRPr="00FD274F" w:rsidRDefault="00A83991" w:rsidP="00A83991">
      <w:pPr>
        <w:pStyle w:val="SundryBoxBullet"/>
      </w:pPr>
      <w:r w:rsidRPr="00FD274F">
        <w:t>•</w:t>
      </w:r>
      <w:r w:rsidRPr="00FD274F">
        <w:tab/>
        <w:t>The parliamentary sitting schedule determines when a legislative instrument can be tabled and how long it is open to disallowance (if applicable).</w:t>
      </w:r>
    </w:p>
    <w:p w14:paraId="4BAD3246" w14:textId="77777777" w:rsidR="00A83991" w:rsidRPr="00FD274F" w:rsidRDefault="00A83991" w:rsidP="00A83991">
      <w:pPr>
        <w:pStyle w:val="SundryBoxBullet"/>
      </w:pPr>
      <w:r w:rsidRPr="00FD274F">
        <w:t>•</w:t>
      </w:r>
      <w:r w:rsidRPr="00FD274F">
        <w:tab/>
        <w:t xml:space="preserve">If </w:t>
      </w:r>
      <w:r>
        <w:t xml:space="preserve">a </w:t>
      </w:r>
      <w:r w:rsidRPr="00FD274F">
        <w:t xml:space="preserve">notice of motion to disallow is given but is not dealt with within 15 sitting days of </w:t>
      </w:r>
      <w:r>
        <w:t>the giving of that notice</w:t>
      </w:r>
      <w:r w:rsidRPr="00FD274F">
        <w:t>, the legislative instrument is automatically disallowed.</w:t>
      </w:r>
    </w:p>
    <w:p w14:paraId="4E6E96EC" w14:textId="77777777" w:rsidR="00A83991" w:rsidRPr="00FD274F" w:rsidRDefault="00A83991" w:rsidP="00A83991">
      <w:pPr>
        <w:pStyle w:val="SundryBoxBullet"/>
      </w:pPr>
      <w:r w:rsidRPr="00FD274F">
        <w:t>•</w:t>
      </w:r>
      <w:r w:rsidRPr="00FD274F">
        <w:tab/>
        <w:t xml:space="preserve">If a legislative instrument is disallowed, or is not tabled within 6 sitting days of registration, it </w:t>
      </w:r>
      <w:r>
        <w:t>is repealed</w:t>
      </w:r>
      <w:r w:rsidRPr="00FD274F">
        <w:t xml:space="preserve"> immediately and any amendment or repeal made by it is undone.</w:t>
      </w:r>
    </w:p>
    <w:p w14:paraId="03A0C05E" w14:textId="77777777" w:rsidR="00A83991" w:rsidRDefault="00A83991" w:rsidP="00A83991">
      <w:pPr>
        <w:pStyle w:val="SundryBoxBullet"/>
      </w:pPr>
      <w:r w:rsidRPr="00FD274F">
        <w:t>•</w:t>
      </w:r>
      <w:r w:rsidRPr="00FD274F">
        <w:tab/>
        <w:t>A legislative instrument that has been registered recently, that is open to disallowance, or that has been disallowed in the last 6 months, generally cannot be remade.</w:t>
      </w:r>
    </w:p>
    <w:p w14:paraId="49008773" w14:textId="0E910463" w:rsidR="00A83991" w:rsidRPr="00FD274F" w:rsidRDefault="00A83991" w:rsidP="00A83991">
      <w:pPr>
        <w:pStyle w:val="Head3"/>
      </w:pPr>
      <w:bookmarkStart w:id="233" w:name="_Toc223687816"/>
      <w:r w:rsidRPr="00FD274F">
        <w:t>Background</w:t>
      </w:r>
      <w:bookmarkEnd w:id="233"/>
    </w:p>
    <w:p w14:paraId="3459348C" w14:textId="77777777" w:rsidR="00A83991" w:rsidRPr="00FD274F" w:rsidRDefault="00A83991" w:rsidP="00A83991">
      <w:pPr>
        <w:pStyle w:val="BodyNum"/>
      </w:pPr>
      <w:r w:rsidRPr="00FD274F">
        <w:t xml:space="preserve">Until 2005, the process for deciding which instruments should be subject to parliamentary scrutiny and disallowance was largely ad hoc. An instrument was disallowable only if its enabling legislation declared it to be a statutory rule or otherwise disallowable, and a variety of disallowance periods and regimes applied. Individual agencies were responsible for delivering instruments </w:t>
      </w:r>
      <w:r>
        <w:t>for tabling if and as required.</w:t>
      </w:r>
    </w:p>
    <w:p w14:paraId="5D41BCAB" w14:textId="4E1868C2" w:rsidR="00A83991" w:rsidRPr="00FD274F" w:rsidRDefault="00A83991" w:rsidP="00A83991">
      <w:pPr>
        <w:pStyle w:val="BodyNum"/>
      </w:pPr>
      <w:r w:rsidRPr="00EC7C33">
        <w:t xml:space="preserve">Part 2 of Chapter 3 of the </w:t>
      </w:r>
      <w:hyperlink r:id="rId488" w:history="1">
        <w:hyperlink r:id="rId489" w:history="1">
          <w:hyperlink r:id="rId490" w:history="1">
            <w:hyperlink r:id="rId491" w:history="1">
              <w:r w:rsidRPr="00EC7C33">
                <w:rPr>
                  <w:rStyle w:val="Hyperlink"/>
                </w:rPr>
                <w:t>LA</w:t>
              </w:r>
            </w:hyperlink>
            <w:r w:rsidRPr="00EC7C33">
              <w:rPr>
                <w:rStyle w:val="Hyperlink"/>
              </w:rPr>
              <w:t xml:space="preserve"> </w:t>
            </w:r>
          </w:hyperlink>
        </w:hyperlink>
      </w:hyperlink>
      <w:r w:rsidRPr="00EC7C33">
        <w:t>e</w:t>
      </w:r>
      <w:r w:rsidRPr="00FD274F">
        <w:t>stablishes, with some exceptions, a single regime for parliamentary scrutiny and disallowance of legislative instruments. In particular:</w:t>
      </w:r>
    </w:p>
    <w:p w14:paraId="3DEFD5D8" w14:textId="70E32BDE" w:rsidR="00A83991" w:rsidRPr="00FD274F" w:rsidRDefault="00A83991" w:rsidP="00A83991">
      <w:pPr>
        <w:pStyle w:val="BodyPara"/>
      </w:pPr>
      <w:r w:rsidRPr="00FD274F">
        <w:t>all legislative instruments must be tabled in each House of the Parliament within 6 sitting days of registration to remain in ef</w:t>
      </w:r>
      <w:r w:rsidRPr="00EC7C33">
        <w:t>fect (</w:t>
      </w:r>
      <w:hyperlink r:id="rId492" w:history="1">
        <w:hyperlink r:id="rId493" w:history="1">
          <w:hyperlink r:id="rId494" w:history="1">
            <w:r w:rsidRPr="00EC7C33">
              <w:rPr>
                <w:rStyle w:val="Hyperlink"/>
              </w:rPr>
              <w:t>LA</w:t>
            </w:r>
          </w:hyperlink>
          <w:r w:rsidRPr="00EC7C33">
            <w:rPr>
              <w:rStyle w:val="Hyperlink"/>
            </w:rPr>
            <w:t xml:space="preserve"> </w:t>
          </w:r>
        </w:hyperlink>
      </w:hyperlink>
      <w:r w:rsidRPr="00EC7C33">
        <w:t>s 38); an</w:t>
      </w:r>
      <w:r w:rsidRPr="00FD274F">
        <w:t>d</w:t>
      </w:r>
    </w:p>
    <w:p w14:paraId="34EBA49F" w14:textId="05A1E14F" w:rsidR="00A83991" w:rsidRPr="00EC7C33" w:rsidRDefault="00A83991" w:rsidP="00A83991">
      <w:pPr>
        <w:pStyle w:val="BodyPara"/>
        <w:rPr>
          <w:spacing w:val="-2"/>
        </w:rPr>
      </w:pPr>
      <w:r w:rsidRPr="00FD274F">
        <w:rPr>
          <w:spacing w:val="-2"/>
        </w:rPr>
        <w:t xml:space="preserve">all legislative instruments are subject to disallowance by either House for a period of </w:t>
      </w:r>
      <w:r>
        <w:rPr>
          <w:spacing w:val="-2"/>
        </w:rPr>
        <w:t xml:space="preserve">at least </w:t>
      </w:r>
      <w:r w:rsidRPr="00FD274F">
        <w:rPr>
          <w:spacing w:val="-2"/>
        </w:rPr>
        <w:t>15 sitt</w:t>
      </w:r>
      <w:r w:rsidRPr="00EC7C33">
        <w:rPr>
          <w:spacing w:val="-2"/>
        </w:rPr>
        <w:t>ing days (</w:t>
      </w:r>
      <w:hyperlink r:id="rId495" w:history="1">
        <w:hyperlink r:id="rId496" w:history="1">
          <w:hyperlink r:id="rId497" w:history="1">
            <w:r w:rsidRPr="00EC7C33">
              <w:rPr>
                <w:rStyle w:val="Hyperlink"/>
              </w:rPr>
              <w:t>LA</w:t>
            </w:r>
          </w:hyperlink>
          <w:r w:rsidRPr="00EC7C33">
            <w:rPr>
              <w:rStyle w:val="Hyperlink"/>
            </w:rPr>
            <w:t xml:space="preserve"> </w:t>
          </w:r>
        </w:hyperlink>
      </w:hyperlink>
      <w:r w:rsidRPr="00EC7C33">
        <w:rPr>
          <w:spacing w:val="-2"/>
        </w:rPr>
        <w:t>s 42), u</w:t>
      </w:r>
      <w:r w:rsidRPr="00FD274F">
        <w:rPr>
          <w:spacing w:val="-2"/>
        </w:rPr>
        <w:t>nless an exemption applies (</w:t>
      </w:r>
      <w:hyperlink r:id="rId498" w:history="1">
        <w:hyperlink r:id="rId499" w:history="1">
          <w:hyperlink r:id="rId500" w:history="1">
            <w:r w:rsidRPr="00EC7C33">
              <w:rPr>
                <w:rStyle w:val="Hyperlink"/>
              </w:rPr>
              <w:t>LA</w:t>
            </w:r>
          </w:hyperlink>
          <w:r w:rsidRPr="00EC7C33">
            <w:rPr>
              <w:rStyle w:val="Hyperlink"/>
            </w:rPr>
            <w:t xml:space="preserve"> </w:t>
          </w:r>
        </w:hyperlink>
      </w:hyperlink>
      <w:r w:rsidRPr="00EC7C33">
        <w:rPr>
          <w:spacing w:val="-2"/>
        </w:rPr>
        <w:t>s</w:t>
      </w:r>
      <w:r w:rsidRPr="00EC7C33">
        <w:t> </w:t>
      </w:r>
      <w:r w:rsidRPr="00EC7C33">
        <w:rPr>
          <w:spacing w:val="-2"/>
        </w:rPr>
        <w:t>44); and</w:t>
      </w:r>
    </w:p>
    <w:p w14:paraId="4F1749D8" w14:textId="2637DD76" w:rsidR="00A83991" w:rsidRPr="00FD274F" w:rsidRDefault="00A83991" w:rsidP="00A83991">
      <w:pPr>
        <w:pStyle w:val="BodyPara"/>
      </w:pPr>
      <w:r w:rsidRPr="00FD274F">
        <w:lastRenderedPageBreak/>
        <w:t>a legislative instrument generally cannot be remade pending tabling or for a period after tabli</w:t>
      </w:r>
      <w:r w:rsidRPr="00EC7C33">
        <w:t>ng (</w:t>
      </w:r>
      <w:hyperlink r:id="rId501" w:history="1">
        <w:hyperlink r:id="rId502" w:history="1">
          <w:hyperlink r:id="rId503" w:history="1">
            <w:r w:rsidRPr="00EC7C33">
              <w:rPr>
                <w:rStyle w:val="Hyperlink"/>
              </w:rPr>
              <w:t>LA</w:t>
            </w:r>
          </w:hyperlink>
          <w:r w:rsidRPr="00EC7C33">
            <w:rPr>
              <w:rStyle w:val="Hyperlink"/>
            </w:rPr>
            <w:t xml:space="preserve"> </w:t>
          </w:r>
        </w:hyperlink>
      </w:hyperlink>
      <w:r w:rsidRPr="00EC7C33">
        <w:t>s 46), w</w:t>
      </w:r>
      <w:r w:rsidRPr="00FD274F">
        <w:t>hile open to disallowanc</w:t>
      </w:r>
      <w:r w:rsidRPr="00EC7C33">
        <w:t>e (</w:t>
      </w:r>
      <w:hyperlink r:id="rId504" w:history="1">
        <w:hyperlink r:id="rId505" w:history="1">
          <w:hyperlink r:id="rId506" w:history="1">
            <w:r w:rsidRPr="00EC7C33">
              <w:rPr>
                <w:rStyle w:val="Hyperlink"/>
              </w:rPr>
              <w:t>LA</w:t>
            </w:r>
          </w:hyperlink>
          <w:r w:rsidRPr="00EC7C33">
            <w:rPr>
              <w:rStyle w:val="Hyperlink"/>
            </w:rPr>
            <w:t xml:space="preserve"> </w:t>
          </w:r>
        </w:hyperlink>
      </w:hyperlink>
      <w:r w:rsidRPr="00EC7C33">
        <w:t>s 47)</w:t>
      </w:r>
      <w:r w:rsidRPr="00FD274F">
        <w:t xml:space="preserve"> or, if the instrument is disallowed, for 6 months after disallow</w:t>
      </w:r>
      <w:r w:rsidRPr="00EC7C33">
        <w:t>ance (</w:t>
      </w:r>
      <w:hyperlink r:id="rId507" w:history="1">
        <w:hyperlink r:id="rId508" w:history="1">
          <w:hyperlink r:id="rId509" w:history="1">
            <w:r w:rsidRPr="00EC7C33">
              <w:rPr>
                <w:rStyle w:val="Hyperlink"/>
              </w:rPr>
              <w:t>LA</w:t>
            </w:r>
          </w:hyperlink>
          <w:r w:rsidRPr="00EC7C33">
            <w:rPr>
              <w:rStyle w:val="Hyperlink"/>
            </w:rPr>
            <w:t xml:space="preserve"> </w:t>
          </w:r>
        </w:hyperlink>
      </w:hyperlink>
      <w:r w:rsidRPr="00EC7C33">
        <w:t>s 48).</w:t>
      </w:r>
    </w:p>
    <w:p w14:paraId="4B78B464" w14:textId="1FC1D45C" w:rsidR="00A83991" w:rsidRPr="00EC7C33" w:rsidRDefault="00A83991" w:rsidP="00A83991">
      <w:pPr>
        <w:pStyle w:val="BodyNum"/>
        <w:keepNext/>
        <w:keepLines/>
      </w:pPr>
      <w:bookmarkStart w:id="234" w:name="_Ref440451882"/>
      <w:r w:rsidRPr="00FD274F">
        <w:t xml:space="preserve">The Parliament’s sitting schedule is normally released at the start of each Parliament and each year, but extra sittings may be scheduled as needed. The Houses may sit on different days, and a </w:t>
      </w:r>
      <w:r w:rsidRPr="00FD274F">
        <w:rPr>
          <w:b/>
          <w:i/>
        </w:rPr>
        <w:t>sitting day</w:t>
      </w:r>
      <w:r w:rsidRPr="00FD274F">
        <w:t xml:space="preserve"> does not necessarily correspond to a calendar day</w:t>
      </w:r>
      <w:r>
        <w:t xml:space="preserve"> </w:t>
      </w:r>
      <w:r w:rsidRPr="00EC7C33">
        <w:t xml:space="preserve">(see </w:t>
      </w:r>
      <w:hyperlink r:id="rId510" w:history="1">
        <w:hyperlink r:id="rId511" w:history="1">
          <w:r w:rsidRPr="00EC7C33">
            <w:rPr>
              <w:rStyle w:val="Hyperlink"/>
              <w:i/>
            </w:rPr>
            <w:t>Acts Interpretation Act 1901</w:t>
          </w:r>
        </w:hyperlink>
      </w:hyperlink>
      <w:r w:rsidRPr="00EC7C33">
        <w:t xml:space="preserve"> s 2M). For example:</w:t>
      </w:r>
      <w:bookmarkEnd w:id="234"/>
    </w:p>
    <w:p w14:paraId="70AD40C2" w14:textId="77777777" w:rsidR="00A83991" w:rsidRPr="00FD274F" w:rsidRDefault="00A83991" w:rsidP="00A83991">
      <w:pPr>
        <w:pStyle w:val="BodyPara"/>
      </w:pPr>
      <w:r w:rsidRPr="00FD274F">
        <w:t>a sitting day may extend beyond a calenda</w:t>
      </w:r>
      <w:r>
        <w:t>r day if a House sits late; and</w:t>
      </w:r>
    </w:p>
    <w:p w14:paraId="419A49EA" w14:textId="77777777" w:rsidR="00A83991" w:rsidRPr="00CA2E52" w:rsidRDefault="00A83991" w:rsidP="00A83991">
      <w:pPr>
        <w:pStyle w:val="BodyPara"/>
      </w:pPr>
      <w:r w:rsidRPr="00CA2E52">
        <w:t xml:space="preserve">a sitting </w:t>
      </w:r>
      <w:r>
        <w:t xml:space="preserve">without adjournment </w:t>
      </w:r>
      <w:r w:rsidRPr="00CA2E52">
        <w:t>that is suspended and resumes on a later day onl</w:t>
      </w:r>
      <w:r>
        <w:t>y counts as one sitting day.</w:t>
      </w:r>
    </w:p>
    <w:p w14:paraId="57125E2A" w14:textId="177971C3" w:rsidR="00A83991" w:rsidRPr="00FD274F" w:rsidRDefault="00A83991" w:rsidP="00A83991">
      <w:pPr>
        <w:pStyle w:val="BodyNum"/>
      </w:pPr>
      <w:r w:rsidRPr="00FD274F">
        <w:t>For the purpose</w:t>
      </w:r>
      <w:r w:rsidRPr="00EC7C33">
        <w:t xml:space="preserve">s of Part 2 of Chapter 3 of the </w:t>
      </w:r>
      <w:hyperlink r:id="rId512" w:history="1">
        <w:hyperlink r:id="rId513" w:history="1">
          <w:hyperlink r:id="rId514" w:history="1">
            <w:r w:rsidRPr="00EC7C33">
              <w:rPr>
                <w:rStyle w:val="Hyperlink"/>
              </w:rPr>
              <w:t>LA</w:t>
            </w:r>
          </w:hyperlink>
        </w:hyperlink>
      </w:hyperlink>
      <w:r w:rsidRPr="00EC7C33">
        <w:t>, 15</w:t>
      </w:r>
      <w:r w:rsidRPr="00FD274F">
        <w:t xml:space="preserve"> sitting days of a House of the Parliament can equate to several months and is calculated from the first sitting day of a House after the sitting day on which the instrument is tabled. Similarly, the 6</w:t>
      </w:r>
      <w:r>
        <w:noBreakHyphen/>
      </w:r>
      <w:r w:rsidRPr="00FD274F">
        <w:t>sitting day deadline for the tabling of an instrument is calculated from the first sitting day of a House after the day of registration.</w:t>
      </w:r>
    </w:p>
    <w:p w14:paraId="76B34806" w14:textId="77777777" w:rsidR="00A83991" w:rsidRPr="00FD274F" w:rsidRDefault="00A83991" w:rsidP="00A83991">
      <w:pPr>
        <w:pStyle w:val="Head4"/>
      </w:pPr>
      <w:bookmarkStart w:id="235" w:name="_Toc223687817"/>
      <w:r w:rsidRPr="00FD274F">
        <w:t>If an enabling Act has special requirements for tabling or disallowance</w:t>
      </w:r>
      <w:bookmarkEnd w:id="235"/>
    </w:p>
    <w:p w14:paraId="56DEF50E" w14:textId="3364B86B" w:rsidR="00A83991" w:rsidRPr="00FD274F" w:rsidRDefault="00A83991" w:rsidP="00A83991">
      <w:pPr>
        <w:pStyle w:val="BodyNum"/>
      </w:pPr>
      <w:r w:rsidRPr="00FD274F">
        <w:t xml:space="preserve">An instrument’s enabling legislation sometimes includes provisions for the tabling or disallowance of instruments that duplicate or differ from the standard regime established by the </w:t>
      </w:r>
      <w:hyperlink r:id="rId515" w:history="1">
        <w:hyperlink r:id="rId516" w:history="1">
          <w:hyperlink r:id="rId517" w:history="1">
            <w:r w:rsidRPr="00EC7C33">
              <w:rPr>
                <w:rStyle w:val="Hyperlink"/>
              </w:rPr>
              <w:t>LA</w:t>
            </w:r>
          </w:hyperlink>
        </w:hyperlink>
      </w:hyperlink>
      <w:r w:rsidRPr="00EC7C33">
        <w:t>.</w:t>
      </w:r>
      <w:r w:rsidRPr="00FD274F">
        <w:t xml:space="preserve"> The </w:t>
      </w:r>
      <w:hyperlink r:id="rId518" w:history="1">
        <w:hyperlink r:id="rId519" w:history="1">
          <w:hyperlink r:id="rId520" w:history="1">
            <w:r w:rsidRPr="00EC7C33">
              <w:rPr>
                <w:rStyle w:val="Hyperlink"/>
              </w:rPr>
              <w:t>LA</w:t>
            </w:r>
          </w:hyperlink>
        </w:hyperlink>
      </w:hyperlink>
      <w:r w:rsidRPr="00EC7C33">
        <w:t xml:space="preserve"> wi</w:t>
      </w:r>
      <w:r w:rsidRPr="00FD274F">
        <w:t>ll generally displace such special provisions, unless they:</w:t>
      </w:r>
    </w:p>
    <w:p w14:paraId="426C0310" w14:textId="12CD6B8A" w:rsidR="00A83991" w:rsidRPr="00FD274F" w:rsidRDefault="00A83991" w:rsidP="00A83991">
      <w:pPr>
        <w:pStyle w:val="BodyPara"/>
      </w:pPr>
      <w:r w:rsidRPr="00FD274F">
        <w:t xml:space="preserve">are preserved by regulations made under </w:t>
      </w:r>
      <w:r w:rsidRPr="00EC7C33">
        <w:t xml:space="preserve">subsection 57(5) of the </w:t>
      </w:r>
      <w:hyperlink r:id="rId521" w:history="1">
        <w:hyperlink r:id="rId522" w:history="1">
          <w:hyperlink r:id="rId523" w:history="1">
            <w:r w:rsidRPr="00EC7C33">
              <w:rPr>
                <w:rStyle w:val="Hyperlink"/>
              </w:rPr>
              <w:t>LA</w:t>
            </w:r>
          </w:hyperlink>
        </w:hyperlink>
      </w:hyperlink>
      <w:r w:rsidRPr="00EC7C33">
        <w:t>;</w:t>
      </w:r>
      <w:r w:rsidRPr="00FD274F">
        <w:t xml:space="preserve"> </w:t>
      </w:r>
      <w:r>
        <w:t>or</w:t>
      </w:r>
    </w:p>
    <w:p w14:paraId="44BE42A5" w14:textId="2EA147ED" w:rsidR="00A83991" w:rsidRPr="00FD274F" w:rsidRDefault="00A83991" w:rsidP="00A83991">
      <w:pPr>
        <w:pStyle w:val="BodyPara"/>
      </w:pPr>
      <w:r w:rsidRPr="00FD274F">
        <w:t xml:space="preserve">were made after the </w:t>
      </w:r>
      <w:hyperlink r:id="rId524" w:history="1">
        <w:r w:rsidRPr="00EC7C33">
          <w:rPr>
            <w:rStyle w:val="Hyperlink"/>
          </w:rPr>
          <w:t>LA</w:t>
        </w:r>
      </w:hyperlink>
      <w:r w:rsidRPr="00FD274F">
        <w:t xml:space="preserve"> commenced on 1 January 2005.</w:t>
      </w:r>
    </w:p>
    <w:p w14:paraId="520F98DE" w14:textId="4F37E0E5" w:rsidR="00A83991" w:rsidRPr="00FD274F" w:rsidRDefault="00A83991" w:rsidP="00A83991">
      <w:pPr>
        <w:pStyle w:val="BodyNum"/>
      </w:pPr>
      <w:r w:rsidRPr="00FD274F">
        <w:t xml:space="preserve">If a special regime for tabling or disallowance applies, agencies should flag this as a special requirement when lodging the instrument for registration, and make their own calculations as to deadlines. Agencies should also consider adopting </w:t>
      </w:r>
      <w:r w:rsidRPr="00EC7C33">
        <w:t xml:space="preserve">the </w:t>
      </w:r>
      <w:hyperlink r:id="rId525" w:history="1">
        <w:r w:rsidRPr="00EC7C33">
          <w:rPr>
            <w:rStyle w:val="Hyperlink"/>
          </w:rPr>
          <w:t>LA</w:t>
        </w:r>
      </w:hyperlink>
      <w:r w:rsidRPr="00EC7C33">
        <w:t xml:space="preserve"> s</w:t>
      </w:r>
      <w:r w:rsidRPr="00FD274F">
        <w:t xml:space="preserve">tandard to avoid making the scrutiny process more complex than it needs to </w:t>
      </w:r>
      <w:r w:rsidRPr="00EC7C33">
        <w:t>be</w:t>
      </w:r>
      <w:r w:rsidRPr="00EC7C33">
        <w:rPr>
          <w:rStyle w:val="FootnoteReference"/>
        </w:rPr>
        <w:footnoteReference w:id="35"/>
      </w:r>
      <w:r w:rsidRPr="00EC7C33">
        <w:t>.</w:t>
      </w:r>
    </w:p>
    <w:p w14:paraId="3B687030" w14:textId="77777777" w:rsidR="00A83991" w:rsidRPr="00FD274F" w:rsidRDefault="00A83991" w:rsidP="00A83991">
      <w:pPr>
        <w:pStyle w:val="Head3"/>
      </w:pPr>
      <w:bookmarkStart w:id="236" w:name="_Toc223687818"/>
      <w:r>
        <w:t xml:space="preserve">Responsibility </w:t>
      </w:r>
      <w:r w:rsidRPr="00FD274F">
        <w:t>for delivering instruments for tabling</w:t>
      </w:r>
      <w:bookmarkEnd w:id="236"/>
    </w:p>
    <w:p w14:paraId="30A4BEB9" w14:textId="6E771D31" w:rsidR="00A83991" w:rsidRPr="00FD274F" w:rsidRDefault="00A83991" w:rsidP="00A83991">
      <w:pPr>
        <w:pStyle w:val="BodyNum"/>
      </w:pPr>
      <w:r w:rsidRPr="00FD274F">
        <w:t>OPC is responsible for delivering registered instruments for tabling (</w:t>
      </w:r>
      <w:hyperlink r:id="rId526" w:history="1">
        <w:hyperlink r:id="rId527" w:history="1">
          <w:hyperlink r:id="rId528" w:history="1">
            <w:hyperlink r:id="rId529" w:history="1">
              <w:r w:rsidRPr="00EC7C33">
                <w:rPr>
                  <w:rStyle w:val="Hyperlink"/>
                </w:rPr>
                <w:t>LA</w:t>
              </w:r>
            </w:hyperlink>
            <w:r w:rsidRPr="00EC7C33">
              <w:rPr>
                <w:rStyle w:val="Hyperlink"/>
              </w:rPr>
              <w:t xml:space="preserve"> </w:t>
            </w:r>
          </w:hyperlink>
        </w:hyperlink>
      </w:hyperlink>
      <w:r w:rsidRPr="00EC7C33">
        <w:t>s 38(1)),</w:t>
      </w:r>
      <w:r w:rsidRPr="00FD274F">
        <w:t xml:space="preserve"> and generally does so as soon as practicable after they are registered whether or not the Parliament is sitting. As part of this process, OPC:</w:t>
      </w:r>
    </w:p>
    <w:p w14:paraId="3B359E84" w14:textId="5EF3C8F9" w:rsidR="00A83991" w:rsidRPr="00FD274F" w:rsidRDefault="00A83991" w:rsidP="00A83991">
      <w:pPr>
        <w:pStyle w:val="BodyPara"/>
      </w:pPr>
      <w:r>
        <w:t>delivers</w:t>
      </w:r>
      <w:r w:rsidRPr="00FD274F">
        <w:t xml:space="preserve"> </w:t>
      </w:r>
      <w:r>
        <w:t>hard copies of each instrument and its explanatory statement, including any supplementary materials such as a</w:t>
      </w:r>
      <w:r w:rsidR="00F4097B">
        <w:t>n Impact Analysis</w:t>
      </w:r>
      <w:r>
        <w:t>, to the Table Offices</w:t>
      </w:r>
      <w:r w:rsidRPr="00FD274F">
        <w:t>; and</w:t>
      </w:r>
    </w:p>
    <w:p w14:paraId="130F0998" w14:textId="77777777" w:rsidR="00A83991" w:rsidRPr="00FD274F" w:rsidRDefault="00A83991" w:rsidP="00A83991">
      <w:pPr>
        <w:pStyle w:val="BodyPara"/>
      </w:pPr>
      <w:r w:rsidRPr="00FD274F">
        <w:t>works wi</w:t>
      </w:r>
      <w:r>
        <w:t>th the T</w:t>
      </w:r>
      <w:r w:rsidRPr="00FD274F">
        <w:t xml:space="preserve">able </w:t>
      </w:r>
      <w:r>
        <w:t>O</w:t>
      </w:r>
      <w:r w:rsidRPr="00FD274F">
        <w:t>ffices to ensure that instruments are tabled before the relevant deadline</w:t>
      </w:r>
      <w:r>
        <w:t>.</w:t>
      </w:r>
    </w:p>
    <w:p w14:paraId="42EFC550" w14:textId="5023B0DF" w:rsidR="00A83991" w:rsidRDefault="00A83991" w:rsidP="00A83991">
      <w:pPr>
        <w:pStyle w:val="BodyNum"/>
      </w:pPr>
      <w:r>
        <w:lastRenderedPageBreak/>
        <w:t>OPC is also responsible for delivering rectified disallowable legislative instruments for re</w:t>
      </w:r>
      <w:r>
        <w:noBreakHyphen/>
        <w:t xml:space="preserve">tabling </w:t>
      </w:r>
      <w:r w:rsidRPr="00FD274F">
        <w:t>(</w:t>
      </w:r>
      <w:r>
        <w:t>s</w:t>
      </w:r>
      <w:r w:rsidRPr="007809FB">
        <w:t xml:space="preserve">ee paragraph </w:t>
      </w:r>
      <w:r w:rsidRPr="007809FB">
        <w:fldChar w:fldCharType="begin"/>
      </w:r>
      <w:r w:rsidRPr="007809FB">
        <w:instrText xml:space="preserve"> REF _Ref2948989 \r \h </w:instrText>
      </w:r>
      <w:r>
        <w:rPr>
          <w:highlight w:val="yellow"/>
        </w:rPr>
        <w:instrText xml:space="preserve"> \* MERGEFORMAT </w:instrText>
      </w:r>
      <w:r w:rsidRPr="007809FB">
        <w:fldChar w:fldCharType="separate"/>
      </w:r>
      <w:r w:rsidR="00AB105F">
        <w:t>231</w:t>
      </w:r>
      <w:r w:rsidRPr="007809FB">
        <w:fldChar w:fldCharType="end"/>
      </w:r>
      <w:r w:rsidRPr="007809FB">
        <w:t xml:space="preserve"> a</w:t>
      </w:r>
      <w:r>
        <w:t xml:space="preserve">nd </w:t>
      </w:r>
      <w:hyperlink r:id="rId530" w:history="1">
        <w:hyperlink r:id="rId531" w:history="1">
          <w:hyperlink r:id="rId532" w:history="1">
            <w:hyperlink r:id="rId533" w:history="1">
              <w:r w:rsidRPr="00EC7C33">
                <w:rPr>
                  <w:rStyle w:val="Hyperlink"/>
                </w:rPr>
                <w:t>LA</w:t>
              </w:r>
            </w:hyperlink>
            <w:r w:rsidRPr="00EC7C33">
              <w:rPr>
                <w:rStyle w:val="Hyperlink"/>
              </w:rPr>
              <w:t xml:space="preserve"> </w:t>
            </w:r>
          </w:hyperlink>
        </w:hyperlink>
      </w:hyperlink>
      <w:r w:rsidRPr="00EC7C33">
        <w:t>s 15DA(2)).</w:t>
      </w:r>
    </w:p>
    <w:p w14:paraId="037177A4" w14:textId="77777777" w:rsidR="00A83991" w:rsidRDefault="00A83991" w:rsidP="00A83991">
      <w:pPr>
        <w:pStyle w:val="BodyNum"/>
      </w:pPr>
      <w:r>
        <w:t>If an agency wants registered documents tabled urgently, or has some other specific tabling requirement, the agency should go through its normal parliamentary liaison channels to make an arrangement with the Table Offices and relevant scrutiny bodies.</w:t>
      </w:r>
    </w:p>
    <w:p w14:paraId="33077F6F" w14:textId="77777777" w:rsidR="00A83991" w:rsidRDefault="00A83991" w:rsidP="00A83991">
      <w:pPr>
        <w:pStyle w:val="BodyNum"/>
      </w:pPr>
      <w:r>
        <w:t>For urgent tabling, please note that:</w:t>
      </w:r>
    </w:p>
    <w:p w14:paraId="41B08949" w14:textId="77777777" w:rsidR="00A83991" w:rsidRDefault="00A83991" w:rsidP="00B25E03">
      <w:pPr>
        <w:pStyle w:val="BodyPara"/>
      </w:pPr>
      <w:r>
        <w:t>OPC will work to prepare registered documents and reports for delivery to the table offices as soon as practicable but, particularly for larger documents, consideration for processing time should be taken into account; and</w:t>
      </w:r>
    </w:p>
    <w:p w14:paraId="2C8F85B2" w14:textId="77777777" w:rsidR="00A83991" w:rsidRDefault="00A83991" w:rsidP="00B25E03">
      <w:pPr>
        <w:pStyle w:val="BodyPara"/>
      </w:pPr>
      <w:r>
        <w:t>while agencies are required to negotiate any special arrangements with the Table Offices, OPC is still responsible for the delivery of registered documents for tabling.</w:t>
      </w:r>
    </w:p>
    <w:p w14:paraId="1908BEC8" w14:textId="16520672" w:rsidR="00A83991" w:rsidRPr="00FD274F" w:rsidRDefault="00A83991" w:rsidP="00A83991">
      <w:pPr>
        <w:pStyle w:val="BodyNum"/>
      </w:pPr>
      <w:r w:rsidRPr="00FD274F">
        <w:t xml:space="preserve">There are strict deadlines for tabling instruments. If a registered instrument is not tabled in a House of the Parliament within 6 sitting days after the day of registration, it </w:t>
      </w:r>
      <w:r>
        <w:t>is repealed</w:t>
      </w:r>
      <w:r w:rsidRPr="00FD274F">
        <w:t xml:space="preserve"> immediately after the 6th da</w:t>
      </w:r>
      <w:r w:rsidRPr="00EC7C33">
        <w:t>y (</w:t>
      </w:r>
      <w:hyperlink r:id="rId534" w:history="1">
        <w:hyperlink r:id="rId535" w:history="1">
          <w:hyperlink r:id="rId536" w:history="1">
            <w:hyperlink r:id="rId537" w:history="1">
              <w:r w:rsidRPr="00EC7C33">
                <w:rPr>
                  <w:rStyle w:val="Hyperlink"/>
                </w:rPr>
                <w:t>LA</w:t>
              </w:r>
            </w:hyperlink>
            <w:r w:rsidRPr="00EC7C33">
              <w:rPr>
                <w:rStyle w:val="Hyperlink"/>
              </w:rPr>
              <w:t xml:space="preserve"> </w:t>
            </w:r>
          </w:hyperlink>
        </w:hyperlink>
      </w:hyperlink>
      <w:r w:rsidRPr="00EC7C33">
        <w:t>s 38(3)).</w:t>
      </w:r>
    </w:p>
    <w:p w14:paraId="7F8BAC36" w14:textId="77777777" w:rsidR="00A83991" w:rsidRPr="00FD274F" w:rsidRDefault="00A83991" w:rsidP="00A83991">
      <w:pPr>
        <w:pStyle w:val="BodyNum"/>
      </w:pPr>
      <w:r w:rsidRPr="00FD274F">
        <w:t>OPC monitors tabling processes and routinely records relevant dates in the Register for the information of agency staff and external stakeholders. Tabling information can also be obtained from the Journals of the Senat</w:t>
      </w:r>
      <w:r w:rsidRPr="00EC7C33">
        <w:t>e</w:t>
      </w:r>
      <w:r w:rsidRPr="00EC7C33">
        <w:rPr>
          <w:rStyle w:val="FootnoteReference"/>
        </w:rPr>
        <w:footnoteReference w:id="36"/>
      </w:r>
      <w:r w:rsidRPr="00EC7C33">
        <w:t xml:space="preserve"> a</w:t>
      </w:r>
      <w:r w:rsidRPr="00FD274F">
        <w:t>nd the Votes and Proceedings of the House of Representative</w:t>
      </w:r>
      <w:r w:rsidRPr="00EC7C33">
        <w:t>s</w:t>
      </w:r>
      <w:r w:rsidRPr="00EC7C33">
        <w:rPr>
          <w:rStyle w:val="FootnoteReference"/>
        </w:rPr>
        <w:footnoteReference w:id="37"/>
      </w:r>
      <w:r w:rsidRPr="00EC7C33">
        <w:t>.</w:t>
      </w:r>
    </w:p>
    <w:p w14:paraId="2C5A7E3E" w14:textId="77777777" w:rsidR="00A83991" w:rsidRPr="00FD274F" w:rsidRDefault="00A83991" w:rsidP="00A83991">
      <w:pPr>
        <w:pStyle w:val="Head4"/>
      </w:pPr>
      <w:bookmarkStart w:id="237" w:name="_Toc223687819"/>
      <w:r w:rsidRPr="00FD274F">
        <w:t>If either House requires more information</w:t>
      </w:r>
      <w:bookmarkEnd w:id="237"/>
    </w:p>
    <w:p w14:paraId="26A9D649" w14:textId="77777777" w:rsidR="00A83991" w:rsidRPr="00FD274F" w:rsidRDefault="00A83991" w:rsidP="00A83991">
      <w:pPr>
        <w:pStyle w:val="BodyNum"/>
      </w:pPr>
      <w:bookmarkStart w:id="238" w:name="_Ref435530013"/>
      <w:r w:rsidRPr="00FD274F">
        <w:t>If a House of the Parliament requires more information about an instrument, the matter would normally be raised directly with the responsible Minister. A prompt response is usually enough to resolve factual questions associated with vague or incomplete explanatory material, or access to material incorporated by reference.</w:t>
      </w:r>
      <w:bookmarkEnd w:id="238"/>
    </w:p>
    <w:p w14:paraId="5C8E661D" w14:textId="5D49FDD6" w:rsidR="00A83991" w:rsidRPr="00FD274F" w:rsidRDefault="00A83991" w:rsidP="00A83991">
      <w:pPr>
        <w:pStyle w:val="BodyNum"/>
      </w:pPr>
      <w:r w:rsidRPr="00FD274F">
        <w:t xml:space="preserve"> </w:t>
      </w:r>
      <w:bookmarkStart w:id="239" w:name="_Ref435530018"/>
      <w:r w:rsidRPr="00FD274F">
        <w:t xml:space="preserve">If the matter is not dealt with to the satisfaction of a House, that House may escalate </w:t>
      </w:r>
      <w:r>
        <w:t>the matter</w:t>
      </w:r>
      <w:r w:rsidRPr="00FD274F">
        <w:t xml:space="preserve"> </w:t>
      </w:r>
      <w:r w:rsidR="008E78A8">
        <w:t>(</w:t>
      </w:r>
      <w:r w:rsidRPr="00FD274F">
        <w:t>for example, by giving notice of motion to disallow the instrument</w:t>
      </w:r>
      <w:r w:rsidR="008E78A8">
        <w:t>)</w:t>
      </w:r>
      <w:r w:rsidRPr="00FD274F">
        <w:t>. Less commonly, a House may also choose:</w:t>
      </w:r>
      <w:bookmarkEnd w:id="239"/>
    </w:p>
    <w:p w14:paraId="5DF05E32" w14:textId="4A53F843" w:rsidR="00A83991" w:rsidRPr="00FD274F" w:rsidRDefault="00A83991" w:rsidP="00A83991">
      <w:pPr>
        <w:pStyle w:val="BodyPara"/>
      </w:pPr>
      <w:r w:rsidRPr="00FD274F">
        <w:t>to formally require documents incorporated by reference in a disallowable legislative instrument to be made available for inspe</w:t>
      </w:r>
      <w:r w:rsidRPr="00EC7C33">
        <w:t>ction (</w:t>
      </w:r>
      <w:hyperlink r:id="rId538" w:history="1">
        <w:hyperlink r:id="rId539" w:history="1">
          <w:hyperlink r:id="rId540" w:history="1">
            <w:hyperlink r:id="rId541" w:history="1">
              <w:r w:rsidRPr="00EC7C33">
                <w:rPr>
                  <w:rStyle w:val="Hyperlink"/>
                </w:rPr>
                <w:t>LA</w:t>
              </w:r>
            </w:hyperlink>
            <w:r w:rsidRPr="00EC7C33">
              <w:rPr>
                <w:rStyle w:val="Hyperlink"/>
              </w:rPr>
              <w:t xml:space="preserve"> </w:t>
            </w:r>
          </w:hyperlink>
        </w:hyperlink>
      </w:hyperlink>
      <w:r w:rsidRPr="00EC7C33">
        <w:t>s 41);</w:t>
      </w:r>
      <w:r w:rsidRPr="00FD274F">
        <w:t xml:space="preserve"> or</w:t>
      </w:r>
    </w:p>
    <w:p w14:paraId="695A8113" w14:textId="77777777" w:rsidR="00A83991" w:rsidRPr="00FD274F" w:rsidRDefault="00A83991" w:rsidP="00A83991">
      <w:pPr>
        <w:pStyle w:val="BodyPara"/>
      </w:pPr>
      <w:r w:rsidRPr="00FD274F">
        <w:t>to refer a matter to a committee for investigation; or</w:t>
      </w:r>
    </w:p>
    <w:p w14:paraId="501698BB" w14:textId="77777777" w:rsidR="00A83991" w:rsidRPr="00FD274F" w:rsidRDefault="00A83991" w:rsidP="00A83991">
      <w:pPr>
        <w:pStyle w:val="BodyPara"/>
      </w:pPr>
      <w:r w:rsidRPr="00FD274F">
        <w:t>to call witnesses to answer questions at hearings, which may be open or broadcast to the public.</w:t>
      </w:r>
    </w:p>
    <w:p w14:paraId="0DEE2E2E" w14:textId="77777777" w:rsidR="00A83991" w:rsidRPr="00FD274F" w:rsidRDefault="00A83991" w:rsidP="00A83991">
      <w:pPr>
        <w:pStyle w:val="Head4"/>
      </w:pPr>
      <w:bookmarkStart w:id="240" w:name="_Toc223687820"/>
      <w:r w:rsidRPr="00FD274F">
        <w:lastRenderedPageBreak/>
        <w:t>If extra documents need to be tabled or made available</w:t>
      </w:r>
      <w:bookmarkEnd w:id="240"/>
    </w:p>
    <w:p w14:paraId="056E51F0" w14:textId="1AB4B861" w:rsidR="00A83991" w:rsidRDefault="00A83991" w:rsidP="00A83991">
      <w:pPr>
        <w:pStyle w:val="BodyNum"/>
      </w:pPr>
      <w:bookmarkStart w:id="241" w:name="_Ref384719737"/>
      <w:r w:rsidRPr="00FD274F">
        <w:t>If a replacement or supplementary explanatory statement is issued, it needs to meet certain requirements and should be lodged promptly with OPC for registration and delivery for tabling (see paragra</w:t>
      </w:r>
      <w:r w:rsidRPr="00F431F8">
        <w:t xml:space="preserve">phs </w:t>
      </w:r>
      <w:r w:rsidRPr="00EC7C33">
        <w:fldChar w:fldCharType="begin"/>
      </w:r>
      <w:r w:rsidRPr="00F431F8">
        <w:instrText xml:space="preserve"> REF _Ref29483854 \r \h </w:instrText>
      </w:r>
      <w:r>
        <w:rPr>
          <w:highlight w:val="yellow"/>
        </w:rPr>
        <w:instrText xml:space="preserve"> \* MERGEFORMAT </w:instrText>
      </w:r>
      <w:r w:rsidRPr="00EC7C33">
        <w:fldChar w:fldCharType="separate"/>
      </w:r>
      <w:r w:rsidR="00AB105F">
        <w:t>306</w:t>
      </w:r>
      <w:r w:rsidRPr="00EC7C33">
        <w:fldChar w:fldCharType="end"/>
      </w:r>
      <w:r w:rsidRPr="00F431F8">
        <w:t xml:space="preserve"> to </w:t>
      </w:r>
      <w:r w:rsidRPr="00EC7C33">
        <w:fldChar w:fldCharType="begin"/>
      </w:r>
      <w:r w:rsidRPr="00F431F8">
        <w:instrText xml:space="preserve"> REF _Ref29483856 \r \h </w:instrText>
      </w:r>
      <w:r>
        <w:rPr>
          <w:highlight w:val="yellow"/>
        </w:rPr>
        <w:instrText xml:space="preserve"> \* MERGEFORMAT </w:instrText>
      </w:r>
      <w:r w:rsidRPr="00EC7C33">
        <w:fldChar w:fldCharType="separate"/>
      </w:r>
      <w:r w:rsidR="00AB105F">
        <w:t>308</w:t>
      </w:r>
      <w:r w:rsidRPr="00EC7C33">
        <w:fldChar w:fldCharType="end"/>
      </w:r>
      <w:r w:rsidRPr="00EC7C33">
        <w:rPr>
          <w:b/>
          <w:bCs/>
          <w:lang w:val="en-US"/>
        </w:rPr>
        <w:fldChar w:fldCharType="begin"/>
      </w:r>
      <w:r w:rsidRPr="00EC7C33">
        <w:rPr>
          <w:b/>
          <w:bCs/>
          <w:lang w:val="en-US"/>
        </w:rPr>
        <w:instrText xml:space="preserve"> Error! Reference source not found. </w:instrText>
      </w:r>
      <w:r w:rsidRPr="00EC7C33">
        <w:rPr>
          <w:b/>
          <w:bCs/>
          <w:lang w:val="en-US"/>
        </w:rPr>
        <w:fldChar w:fldCharType="end"/>
      </w:r>
      <w:r w:rsidRPr="00F431F8">
        <w:t>).</w:t>
      </w:r>
      <w:bookmarkEnd w:id="241"/>
    </w:p>
    <w:p w14:paraId="744A12A4" w14:textId="3D744643" w:rsidR="00A83991" w:rsidRPr="00FD274F" w:rsidRDefault="00A83991" w:rsidP="00A83991">
      <w:pPr>
        <w:pStyle w:val="BodyNum"/>
      </w:pPr>
      <w:r w:rsidRPr="00FD274F">
        <w:t xml:space="preserve">Other documents cannot be lodged for tabling through OPC. The relevant agency should prepare and lodge these for tabling in accordance with the current </w:t>
      </w:r>
      <w:r w:rsidR="00083133">
        <w:t xml:space="preserve">Tabling </w:t>
      </w:r>
      <w:r w:rsidRPr="00FD274F">
        <w:t>Guidelines</w:t>
      </w:r>
      <w:r w:rsidRPr="00FD274F">
        <w:rPr>
          <w:rStyle w:val="FootnoteReference"/>
        </w:rPr>
        <w:footnoteReference w:id="38"/>
      </w:r>
      <w:r w:rsidRPr="00FD274F">
        <w:t>. It may also be appropriate to provide additional courtesy copies to relevant scrutiny bodies.</w:t>
      </w:r>
    </w:p>
    <w:p w14:paraId="58BA0F18" w14:textId="77777777" w:rsidR="00A83991" w:rsidRPr="00FD274F" w:rsidRDefault="00A83991" w:rsidP="00A83991">
      <w:pPr>
        <w:pStyle w:val="Head3"/>
      </w:pPr>
      <w:bookmarkStart w:id="242" w:name="_Toc223687821"/>
      <w:r>
        <w:t>Disallowance</w:t>
      </w:r>
      <w:bookmarkEnd w:id="242"/>
    </w:p>
    <w:p w14:paraId="74E1ECBF" w14:textId="68B10FC6" w:rsidR="00A83991" w:rsidRPr="00FD274F" w:rsidRDefault="00A83991" w:rsidP="00A83991">
      <w:pPr>
        <w:pStyle w:val="BodyNum"/>
      </w:pPr>
      <w:r w:rsidRPr="00FD274F">
        <w:t xml:space="preserve">Under </w:t>
      </w:r>
      <w:r w:rsidRPr="00EC7C33">
        <w:t xml:space="preserve">the </w:t>
      </w:r>
      <w:hyperlink r:id="rId542" w:history="1">
        <w:r w:rsidRPr="00EC7C33">
          <w:rPr>
            <w:rStyle w:val="Hyperlink"/>
          </w:rPr>
          <w:t>LA</w:t>
        </w:r>
      </w:hyperlink>
      <w:r w:rsidRPr="00EC7C33">
        <w:t>, all</w:t>
      </w:r>
      <w:r w:rsidRPr="00FD274F">
        <w:t xml:space="preserve"> new legislative instruments are subject to disallowance by either House of the Parliament for a set period, unless they are explicitly exempted from disallowance. Exemptions may be set out in se</w:t>
      </w:r>
      <w:r w:rsidRPr="00EC7C33">
        <w:t xml:space="preserve">ction 44 of the </w:t>
      </w:r>
      <w:hyperlink r:id="rId543" w:history="1">
        <w:hyperlink r:id="rId544" w:history="1">
          <w:hyperlink r:id="rId545" w:history="1">
            <w:r w:rsidRPr="00EC7C33">
              <w:rPr>
                <w:rStyle w:val="Hyperlink"/>
              </w:rPr>
              <w:t>LA</w:t>
            </w:r>
          </w:hyperlink>
        </w:hyperlink>
      </w:hyperlink>
      <w:r w:rsidRPr="00EC7C33">
        <w:t>, s</w:t>
      </w:r>
      <w:r w:rsidRPr="00FD274F">
        <w:t>ecti</w:t>
      </w:r>
      <w:r w:rsidRPr="00EC7C33">
        <w:t xml:space="preserve">ons 9 and 10 of </w:t>
      </w:r>
      <w:hyperlink r:id="rId546" w:history="1">
        <w:hyperlink r:id="rId547" w:history="1">
          <w:hyperlink r:id="rId548" w:history="1">
            <w:r w:rsidRPr="00EC7C33">
              <w:rPr>
                <w:rStyle w:val="Hyperlink"/>
              </w:rPr>
              <w:t>LEOMR</w:t>
            </w:r>
          </w:hyperlink>
        </w:hyperlink>
      </w:hyperlink>
      <w:r w:rsidRPr="00EC7C33">
        <w:t>, or the</w:t>
      </w:r>
      <w:r>
        <w:t xml:space="preserve"> enabling legislation.</w:t>
      </w:r>
    </w:p>
    <w:p w14:paraId="1A446435" w14:textId="7D5E70B3" w:rsidR="00A83991" w:rsidRPr="00FD274F" w:rsidRDefault="00A83991" w:rsidP="00A83991">
      <w:pPr>
        <w:pStyle w:val="BodyNum"/>
      </w:pPr>
      <w:r w:rsidRPr="00FD274F">
        <w:t xml:space="preserve">Tabling and disallowance requirements that were in force before 1 January 2005 have been, in almost all cases, superseded by </w:t>
      </w:r>
      <w:r>
        <w:t xml:space="preserve">the operation of </w:t>
      </w:r>
      <w:r w:rsidRPr="00FD274F">
        <w:t>s</w:t>
      </w:r>
      <w:r w:rsidRPr="00EC7C33">
        <w:t xml:space="preserve">ection 57 of the </w:t>
      </w:r>
      <w:hyperlink r:id="rId549" w:history="1">
        <w:hyperlink r:id="rId550" w:history="1">
          <w:hyperlink r:id="rId551" w:history="1">
            <w:r w:rsidRPr="00EC7C33">
              <w:rPr>
                <w:rStyle w:val="Hyperlink"/>
              </w:rPr>
              <w:t>LA</w:t>
            </w:r>
          </w:hyperlink>
        </w:hyperlink>
      </w:hyperlink>
      <w:r w:rsidRPr="00EC7C33">
        <w:t>.</w:t>
      </w:r>
      <w:r w:rsidRPr="00FD274F">
        <w:t xml:space="preserve"> However, earlier provisions continue to apply if those provisions:</w:t>
      </w:r>
    </w:p>
    <w:p w14:paraId="4CC512CE" w14:textId="1B646CC9" w:rsidR="00A83991" w:rsidRPr="00FD274F" w:rsidRDefault="00A83991" w:rsidP="00A83991">
      <w:pPr>
        <w:pStyle w:val="BodyPara"/>
      </w:pPr>
      <w:r w:rsidRPr="00FD274F">
        <w:t>are preserved by regulations made under subse</w:t>
      </w:r>
      <w:r w:rsidRPr="00EC7C33">
        <w:t xml:space="preserve">ction 57(5) of the </w:t>
      </w:r>
      <w:hyperlink r:id="rId552" w:history="1">
        <w:r w:rsidRPr="00EC7C33">
          <w:rPr>
            <w:rStyle w:val="Hyperlink"/>
          </w:rPr>
          <w:t>LA</w:t>
        </w:r>
      </w:hyperlink>
      <w:r w:rsidRPr="00EC7C33">
        <w:t>; o</w:t>
      </w:r>
      <w:r w:rsidRPr="00FD274F">
        <w:t>r</w:t>
      </w:r>
    </w:p>
    <w:p w14:paraId="3F6F429A" w14:textId="77777777" w:rsidR="00A83991" w:rsidRPr="00FD274F" w:rsidRDefault="00A83991" w:rsidP="00A83991">
      <w:pPr>
        <w:pStyle w:val="BodyPara"/>
      </w:pPr>
      <w:r w:rsidRPr="00FD274F">
        <w:t>require things to be done before, or at the same time as, a legislative instrument is tabled (e.g. to prepare a report and table it with an instrument).</w:t>
      </w:r>
    </w:p>
    <w:p w14:paraId="2A5AD8A7" w14:textId="77777777" w:rsidR="00A83991" w:rsidRPr="00FD274F" w:rsidRDefault="00A83991" w:rsidP="00A83991">
      <w:pPr>
        <w:pStyle w:val="Head4"/>
      </w:pPr>
      <w:bookmarkStart w:id="243" w:name="_Toc223687822"/>
      <w:r w:rsidRPr="00FD274F">
        <w:t>What instruments are exempt from disallowance</w:t>
      </w:r>
      <w:bookmarkEnd w:id="243"/>
    </w:p>
    <w:p w14:paraId="7A3635D0" w14:textId="45FA5DD5" w:rsidR="00A83991" w:rsidRPr="00FD274F" w:rsidRDefault="00A83991" w:rsidP="00A83991">
      <w:pPr>
        <w:pStyle w:val="BodyNum"/>
      </w:pPr>
      <w:r w:rsidRPr="00FD274F">
        <w:t>When an instrument is lodged for registration, the lodging agency is asked to certify a range of information</w:t>
      </w:r>
      <w:r w:rsidR="00D465E5">
        <w:t>,</w:t>
      </w:r>
      <w:r w:rsidRPr="00FD274F">
        <w:t xml:space="preserve"> including whether an exemption from disallowance applies and, if so, what legisl</w:t>
      </w:r>
      <w:r>
        <w:t>ation authorises the exemption.</w:t>
      </w:r>
    </w:p>
    <w:p w14:paraId="0CBB60C8" w14:textId="44A68972" w:rsidR="00A83991" w:rsidRPr="00FD274F" w:rsidRDefault="00A83991" w:rsidP="00A83991">
      <w:pPr>
        <w:pStyle w:val="BodyNum"/>
      </w:pPr>
      <w:r w:rsidRPr="00FD274F">
        <w:t>Most exemptions are straightforward and nominate a specific enabling provision such as instruments made unde</w:t>
      </w:r>
      <w:r w:rsidRPr="007809FB">
        <w:t xml:space="preserve">r section 123 of the </w:t>
      </w:r>
      <w:r w:rsidR="00822C5D">
        <w:rPr>
          <w:i/>
        </w:rPr>
        <w:t>Example</w:t>
      </w:r>
      <w:r w:rsidRPr="007809FB">
        <w:rPr>
          <w:i/>
        </w:rPr>
        <w:t xml:space="preserve"> Act 20</w:t>
      </w:r>
      <w:r w:rsidR="00822C5D">
        <w:rPr>
          <w:i/>
        </w:rPr>
        <w:t>24</w:t>
      </w:r>
      <w:r w:rsidRPr="007809FB">
        <w:t>. H</w:t>
      </w:r>
      <w:r w:rsidRPr="00FD274F">
        <w:t>owever, other exemptions are more generic and some can be difficult to apply, particularly if they refer t</w:t>
      </w:r>
      <w:r>
        <w:t>o the purpose of an instrument.</w:t>
      </w:r>
    </w:p>
    <w:p w14:paraId="0B7C81A5" w14:textId="77777777" w:rsidR="00A83991" w:rsidRPr="00FD274F" w:rsidRDefault="00A83991" w:rsidP="00A83991">
      <w:pPr>
        <w:pStyle w:val="BodyNum"/>
      </w:pPr>
      <w:r w:rsidRPr="00FD274F">
        <w:t>If there is any doubt about whether an instrument is exempt, the rule</w:t>
      </w:r>
      <w:r>
        <w:noBreakHyphen/>
      </w:r>
      <w:r w:rsidRPr="00FD274F">
        <w:t>making agency should get legal advice and consider the potential risks to government policy if an instrument is listed as not subject to disallowance. There could be significant consequences if, for example, an agency claims an instrument is exempt but</w:t>
      </w:r>
      <w:r>
        <w:t xml:space="preserve"> the Parliament does not agree.</w:t>
      </w:r>
    </w:p>
    <w:p w14:paraId="42865821" w14:textId="0EC24C10" w:rsidR="00A83991" w:rsidRPr="00FD274F" w:rsidRDefault="00A83991" w:rsidP="00A83991">
      <w:pPr>
        <w:pStyle w:val="BodyNum"/>
      </w:pPr>
      <w:r w:rsidRPr="00FD274F">
        <w:t xml:space="preserve">If a new exemption may be appropriate </w:t>
      </w:r>
      <w:r w:rsidR="00B60DF0">
        <w:t>(</w:t>
      </w:r>
      <w:r w:rsidRPr="00FD274F">
        <w:t>for example, because a new class of instrument is being created</w:t>
      </w:r>
      <w:r w:rsidR="00B60DF0">
        <w:t>)</w:t>
      </w:r>
      <w:r w:rsidRPr="00FD274F">
        <w:t xml:space="preserve">, the proposal should be discussed in the first instance with AGD </w:t>
      </w:r>
      <w:r w:rsidR="00E277CA" w:rsidRPr="00F409B4">
        <w:t>(</w:t>
      </w:r>
      <w:r w:rsidR="00E277CA">
        <w:t xml:space="preserve">email </w:t>
      </w:r>
      <w:hyperlink r:id="rId553" w:history="1">
        <w:r w:rsidR="00E277CA" w:rsidRPr="00C24A30">
          <w:rPr>
            <w:rStyle w:val="Hyperlink"/>
          </w:rPr>
          <w:t>adminlaw@ag.gov.au</w:t>
        </w:r>
      </w:hyperlink>
      <w:r w:rsidR="00E277CA" w:rsidRPr="00FD274F">
        <w:rPr>
          <w:rStyle w:val="Hyperlink"/>
        </w:rPr>
        <w:t xml:space="preserve"> </w:t>
      </w:r>
      <w:r w:rsidR="00E277CA" w:rsidRPr="00FD274F">
        <w:t xml:space="preserve">or </w:t>
      </w:r>
      <w:r w:rsidR="00E277CA">
        <w:t xml:space="preserve">call the AGD Switchboard on </w:t>
      </w:r>
      <w:r w:rsidR="00E277CA" w:rsidRPr="00E277CA">
        <w:t>(02) 6141 6666</w:t>
      </w:r>
      <w:r w:rsidR="00E277CA">
        <w:t xml:space="preserve"> and ask to be redirected to the Administrative Law Section</w:t>
      </w:r>
      <w:r w:rsidR="00E277CA" w:rsidRPr="00F409B4">
        <w:t>)</w:t>
      </w:r>
      <w:r w:rsidRPr="00FD274F">
        <w:t>. The formal policy approval of the responsible Minister and the Attorney</w:t>
      </w:r>
      <w:r>
        <w:noBreakHyphen/>
      </w:r>
      <w:r w:rsidRPr="00FD274F">
        <w:t>General is required for new exemptions.</w:t>
      </w:r>
    </w:p>
    <w:p w14:paraId="36EFC4E1" w14:textId="77777777" w:rsidR="00A83991" w:rsidRPr="00FD274F" w:rsidRDefault="00A83991" w:rsidP="00A83991">
      <w:pPr>
        <w:pStyle w:val="Head4"/>
      </w:pPr>
      <w:bookmarkStart w:id="244" w:name="_Toc223687823"/>
      <w:r w:rsidRPr="00FD274F">
        <w:lastRenderedPageBreak/>
        <w:t>When instruments are open to disallowance</w:t>
      </w:r>
      <w:bookmarkEnd w:id="244"/>
    </w:p>
    <w:p w14:paraId="2760ABE1" w14:textId="77777777" w:rsidR="00A83991" w:rsidRPr="00FD274F" w:rsidRDefault="00A83991" w:rsidP="00A83991">
      <w:pPr>
        <w:pStyle w:val="BodyNum"/>
      </w:pPr>
      <w:r w:rsidRPr="00FD274F">
        <w:t xml:space="preserve">Unless exempt from disallowance or subject to a special disallowance regime, legislative instruments are open to disallowance in whole or in part for </w:t>
      </w:r>
      <w:r>
        <w:t xml:space="preserve">at least </w:t>
      </w:r>
      <w:r w:rsidRPr="00FD274F">
        <w:t>15 sitting days. This timeframe needs to be calcu</w:t>
      </w:r>
      <w:r>
        <w:t>lated separately for each House</w:t>
      </w:r>
      <w:r w:rsidRPr="00FD274F">
        <w:t xml:space="preserve"> from the first sitting day after th</w:t>
      </w:r>
      <w:r>
        <w:t>e day the instrument is tabled.</w:t>
      </w:r>
    </w:p>
    <w:p w14:paraId="42AE9CCC" w14:textId="1A61A766" w:rsidR="00A83991" w:rsidRDefault="00A83991" w:rsidP="00A83991">
      <w:pPr>
        <w:pStyle w:val="BodyNum"/>
      </w:pPr>
      <w:r w:rsidRPr="00FD274F">
        <w:t>If an election is called, the disallowance “clock” for each House generally stops and then resumes once the House starts sitting again. However, the clock must be re</w:t>
      </w:r>
      <w:r>
        <w:noBreakHyphen/>
      </w:r>
      <w:r w:rsidRPr="00FD274F">
        <w:t>started if notice of motion to disallow an instrument has been given but not resolved. An affected instrument is again open to disallowance for the full disallowance period of 15 sitting days once sittings res</w:t>
      </w:r>
      <w:r w:rsidRPr="00EC7C33">
        <w:t>ume (</w:t>
      </w:r>
      <w:hyperlink r:id="rId554" w:history="1">
        <w:hyperlink r:id="rId555" w:history="1">
          <w:hyperlink r:id="rId556" w:history="1">
            <w:hyperlink r:id="rId557" w:history="1">
              <w:r w:rsidRPr="00EC7C33">
                <w:rPr>
                  <w:rStyle w:val="Hyperlink"/>
                </w:rPr>
                <w:t>LA</w:t>
              </w:r>
            </w:hyperlink>
            <w:r w:rsidRPr="00EC7C33">
              <w:rPr>
                <w:rStyle w:val="Hyperlink"/>
              </w:rPr>
              <w:t xml:space="preserve"> </w:t>
            </w:r>
          </w:hyperlink>
        </w:hyperlink>
      </w:hyperlink>
      <w:r w:rsidRPr="00EC7C33">
        <w:t>s 42(3)).</w:t>
      </w:r>
    </w:p>
    <w:p w14:paraId="3FC21194" w14:textId="56C8BC5F" w:rsidR="00A83991" w:rsidRPr="00FD274F" w:rsidRDefault="00A83991" w:rsidP="00A83991">
      <w:pPr>
        <w:pStyle w:val="BodyNum"/>
      </w:pPr>
      <w:r>
        <w:t>If a disallowable legislative instrument is rectified, the instrument must be re</w:t>
      </w:r>
      <w:r>
        <w:noBreakHyphen/>
        <w:t>tabled</w:t>
      </w:r>
      <w:r w:rsidR="0012581B">
        <w:t>,</w:t>
      </w:r>
      <w:r>
        <w:t xml:space="preserve"> which may extend an existing, or start a new, disallowance period </w:t>
      </w:r>
      <w:r w:rsidRPr="00FD274F">
        <w:t>(</w:t>
      </w:r>
      <w:r>
        <w:t>see p</w:t>
      </w:r>
      <w:r w:rsidRPr="007809FB">
        <w:t xml:space="preserve">aragraphs </w:t>
      </w:r>
      <w:r w:rsidRPr="007809FB">
        <w:fldChar w:fldCharType="begin"/>
      </w:r>
      <w:r w:rsidRPr="007809FB">
        <w:instrText xml:space="preserve"> REF _Ref2948989 \r \h </w:instrText>
      </w:r>
      <w:r>
        <w:rPr>
          <w:highlight w:val="yellow"/>
        </w:rPr>
        <w:instrText xml:space="preserve"> \* MERGEFORMAT </w:instrText>
      </w:r>
      <w:r w:rsidRPr="007809FB">
        <w:fldChar w:fldCharType="separate"/>
      </w:r>
      <w:r w:rsidR="00AB105F">
        <w:t>231</w:t>
      </w:r>
      <w:r w:rsidRPr="007809FB">
        <w:fldChar w:fldCharType="end"/>
      </w:r>
      <w:r w:rsidRPr="007809FB">
        <w:t xml:space="preserve"> to </w:t>
      </w:r>
      <w:r w:rsidRPr="007809FB">
        <w:fldChar w:fldCharType="begin"/>
      </w:r>
      <w:r w:rsidRPr="007809FB">
        <w:instrText xml:space="preserve"> REF _Ref2949476 \r \h </w:instrText>
      </w:r>
      <w:r>
        <w:rPr>
          <w:highlight w:val="yellow"/>
        </w:rPr>
        <w:instrText xml:space="preserve"> \* MERGEFORMAT </w:instrText>
      </w:r>
      <w:r w:rsidRPr="007809FB">
        <w:fldChar w:fldCharType="separate"/>
      </w:r>
      <w:r w:rsidR="00AB105F">
        <w:t>233</w:t>
      </w:r>
      <w:r w:rsidRPr="007809FB">
        <w:fldChar w:fldCharType="end"/>
      </w:r>
      <w:r>
        <w:t xml:space="preserve"> an</w:t>
      </w:r>
      <w:r w:rsidRPr="00DF0780">
        <w:t xml:space="preserve">d </w:t>
      </w:r>
      <w:hyperlink r:id="rId558" w:history="1">
        <w:hyperlink r:id="rId559" w:history="1">
          <w:hyperlink r:id="rId560" w:history="1">
            <w:hyperlink r:id="rId561" w:history="1">
              <w:r w:rsidRPr="00DF0780">
                <w:rPr>
                  <w:rStyle w:val="Hyperlink"/>
                </w:rPr>
                <w:t>LA</w:t>
              </w:r>
            </w:hyperlink>
            <w:r w:rsidRPr="00DF0780">
              <w:rPr>
                <w:rStyle w:val="Hyperlink"/>
              </w:rPr>
              <w:t xml:space="preserve"> </w:t>
            </w:r>
          </w:hyperlink>
        </w:hyperlink>
      </w:hyperlink>
      <w:r w:rsidRPr="00DF0780">
        <w:t>s 15DA)</w:t>
      </w:r>
      <w:r>
        <w:t>.</w:t>
      </w:r>
    </w:p>
    <w:p w14:paraId="132941F2" w14:textId="77777777" w:rsidR="00A83991" w:rsidRPr="00FD274F" w:rsidRDefault="00A83991" w:rsidP="00A83991">
      <w:pPr>
        <w:pStyle w:val="Head4"/>
      </w:pPr>
      <w:bookmarkStart w:id="245" w:name="_Toc223687824"/>
      <w:r w:rsidRPr="00FD274F">
        <w:t>How notice of motion to disallow may be resolved</w:t>
      </w:r>
      <w:bookmarkEnd w:id="245"/>
    </w:p>
    <w:p w14:paraId="30D398F6" w14:textId="77777777" w:rsidR="00A83991" w:rsidRPr="00FD274F" w:rsidRDefault="00A83991" w:rsidP="00A83991">
      <w:pPr>
        <w:pStyle w:val="BodyNum"/>
      </w:pPr>
      <w:r w:rsidRPr="00FD274F">
        <w:t>If a Senator or Member gives notice of motion to disallow an instrument, or a provision of an instrument, the standing orders of both Houses do not allow the motion to be moved on the same day. However, if a matter is controversial, a House may grant leave or suspend standing orders so that the motion is moved, debated and voted on immediately.</w:t>
      </w:r>
    </w:p>
    <w:p w14:paraId="409FEA1D" w14:textId="77777777" w:rsidR="00A83991" w:rsidRPr="00FD274F" w:rsidRDefault="00A83991" w:rsidP="00A83991">
      <w:pPr>
        <w:pStyle w:val="BodyNum"/>
      </w:pPr>
      <w:r w:rsidRPr="00FD274F">
        <w:t>A notice of motion may be withdrawn. Once the motion is moved, it may be withdrawn or put to a vote by the House on the day specified in the motion. In the Senate, standing orders require the Senator who initiated the motion to give notice of intention to withdraw it, and permit another Senator to take over the motion even if the initial period for giving notice has elapsed. The House of Representatives does not have a similar procedure.</w:t>
      </w:r>
    </w:p>
    <w:p w14:paraId="51E51EB8" w14:textId="2E65C1AA" w:rsidR="00A83991" w:rsidRPr="00DF0780" w:rsidRDefault="00A83991" w:rsidP="00A83991">
      <w:pPr>
        <w:pStyle w:val="BodyNum"/>
      </w:pPr>
      <w:r w:rsidRPr="00FD274F">
        <w:t xml:space="preserve">If a disallowance motion is not withdrawn, put to a vote or otherwise disposed of within 15 sitting days after the sitting day that the notice of motion is given, the relevant instrument or provision is taken to have been disallowed at the end of that period </w:t>
      </w:r>
      <w:r w:rsidRPr="00DF0780">
        <w:t>(</w:t>
      </w:r>
      <w:hyperlink r:id="rId562" w:history="1">
        <w:hyperlink r:id="rId563" w:history="1">
          <w:hyperlink r:id="rId564" w:history="1">
            <w:r w:rsidRPr="00DF0780">
              <w:rPr>
                <w:rStyle w:val="Hyperlink"/>
              </w:rPr>
              <w:t>LA</w:t>
            </w:r>
          </w:hyperlink>
        </w:hyperlink>
      </w:hyperlink>
      <w:r w:rsidRPr="00DF0780">
        <w:rPr>
          <w:rStyle w:val="Hyperlink"/>
        </w:rPr>
        <w:t xml:space="preserve"> </w:t>
      </w:r>
      <w:r w:rsidRPr="00DF0780">
        <w:t>s 42(2)).</w:t>
      </w:r>
    </w:p>
    <w:p w14:paraId="5DD85DEC" w14:textId="77777777" w:rsidR="00A83991" w:rsidRPr="00FD274F" w:rsidRDefault="00A83991" w:rsidP="00A83991">
      <w:pPr>
        <w:pStyle w:val="Head4"/>
      </w:pPr>
      <w:bookmarkStart w:id="246" w:name="_Toc223687825"/>
      <w:r w:rsidRPr="00FD274F">
        <w:t>If notice of motion to disallow has been given</w:t>
      </w:r>
      <w:bookmarkEnd w:id="246"/>
    </w:p>
    <w:p w14:paraId="509801D9" w14:textId="5AD0E2DD" w:rsidR="00A83991" w:rsidRDefault="00A83991" w:rsidP="00A83991">
      <w:pPr>
        <w:pStyle w:val="BodyNum"/>
      </w:pPr>
      <w:bookmarkStart w:id="247" w:name="_Ref422756800"/>
      <w:r w:rsidRPr="00FD274F">
        <w:t xml:space="preserve">OPC monitors parliamentary proceedings and, if notice of motion to disallow is given, will update the Register and alert the lodging agency as necessary. </w:t>
      </w:r>
      <w:r>
        <w:t>Agencies can also track the progress of disallowance motions via the SDLC’s Disallowance Al</w:t>
      </w:r>
      <w:r w:rsidRPr="00DF0780">
        <w:t>ert</w:t>
      </w:r>
      <w:r w:rsidRPr="00DF0780">
        <w:rPr>
          <w:rStyle w:val="FootnoteReference"/>
        </w:rPr>
        <w:footnoteReference w:id="39"/>
      </w:r>
      <w:r w:rsidRPr="00DF0780">
        <w:t>. I</w:t>
      </w:r>
      <w:r w:rsidRPr="00FD274F">
        <w:t>t is important to take such matters seriously.</w:t>
      </w:r>
    </w:p>
    <w:p w14:paraId="728BB6DF" w14:textId="77777777" w:rsidR="00A83991" w:rsidRPr="00FD274F" w:rsidRDefault="00A83991" w:rsidP="00A83991">
      <w:pPr>
        <w:pStyle w:val="BodyNum"/>
        <w:keepNext/>
      </w:pPr>
      <w:r w:rsidRPr="00FD274F">
        <w:t>Consequently, if a House has not yet voted on a disallowance motion, the responsible Minister should be briefed quickly on the issues and options. It may be possible for the responsible Minister to resolve the situation</w:t>
      </w:r>
      <w:r>
        <w:t xml:space="preserve"> </w:t>
      </w:r>
      <w:r w:rsidRPr="00FD274F">
        <w:t>by:</w:t>
      </w:r>
    </w:p>
    <w:p w14:paraId="74F38F6E" w14:textId="15887241" w:rsidR="00A83991" w:rsidRPr="00FD274F" w:rsidRDefault="00A83991" w:rsidP="00A83991">
      <w:pPr>
        <w:pStyle w:val="BodyPara"/>
      </w:pPr>
      <w:r w:rsidRPr="00FD274F">
        <w:t>responding with and, if appropriate, tabling additional information such as a replacement or supplementary explanatory statemen</w:t>
      </w:r>
      <w:r w:rsidRPr="00F431F8">
        <w:t xml:space="preserve">t (see paragraph </w:t>
      </w:r>
      <w:r w:rsidRPr="00DF0780">
        <w:fldChar w:fldCharType="begin"/>
      </w:r>
      <w:r w:rsidRPr="00F431F8">
        <w:instrText xml:space="preserve"> REF _Ref384719737 \r \h </w:instrText>
      </w:r>
      <w:r>
        <w:rPr>
          <w:highlight w:val="yellow"/>
        </w:rPr>
        <w:instrText xml:space="preserve"> \* MERGEFORMAT </w:instrText>
      </w:r>
      <w:r w:rsidRPr="00DF0780">
        <w:fldChar w:fldCharType="separate"/>
      </w:r>
      <w:r w:rsidR="00AB105F">
        <w:t>324</w:t>
      </w:r>
      <w:r w:rsidRPr="00DF0780">
        <w:fldChar w:fldCharType="end"/>
      </w:r>
      <w:r w:rsidRPr="00F431F8">
        <w:t>);</w:t>
      </w:r>
      <w:r>
        <w:t xml:space="preserve"> or</w:t>
      </w:r>
    </w:p>
    <w:p w14:paraId="3ED26A12" w14:textId="77777777" w:rsidR="00A83991" w:rsidRPr="00FD274F" w:rsidRDefault="00A83991" w:rsidP="00A83991">
      <w:pPr>
        <w:pStyle w:val="BodyPara"/>
      </w:pPr>
      <w:r w:rsidRPr="00FD274F">
        <w:lastRenderedPageBreak/>
        <w:t>giving an undertaking to review or change how an instrument operates, or to change drafting, consultation or other practices.</w:t>
      </w:r>
    </w:p>
    <w:p w14:paraId="293BF8CD" w14:textId="77777777" w:rsidR="00A83991" w:rsidRPr="00FD274F" w:rsidRDefault="00A83991" w:rsidP="00A83991">
      <w:pPr>
        <w:pStyle w:val="BodyNum"/>
      </w:pPr>
      <w:r>
        <w:t>I</w:t>
      </w:r>
      <w:r w:rsidRPr="00FD274F">
        <w:t>f an undertaking is given, agencies should ensure that it is implemented and provide feedback to this effect through, for example, subsequent explanatory statements if relevant. Prompt action should be taken because scrutiny bodies often include details of both new and outstanding undertakings in their peri</w:t>
      </w:r>
      <w:r>
        <w:t>odic reports to the Parliament.</w:t>
      </w:r>
    </w:p>
    <w:p w14:paraId="7CC49627" w14:textId="03A84854" w:rsidR="00A83991" w:rsidRPr="00FD274F" w:rsidRDefault="00A83991" w:rsidP="00A83991">
      <w:pPr>
        <w:pStyle w:val="BodyNum"/>
      </w:pPr>
      <w:r w:rsidRPr="00FD274F">
        <w:t>Agencies should also prepare for the possibility of disallowance</w:t>
      </w:r>
      <w:r w:rsidR="00B9391E">
        <w:t>,</w:t>
      </w:r>
      <w:r w:rsidRPr="00FD274F">
        <w:t xml:space="preserve"> as swift action may be required. For example, it may be necessary to do some or all of the following:</w:t>
      </w:r>
    </w:p>
    <w:p w14:paraId="1CC15387" w14:textId="77777777" w:rsidR="00A83991" w:rsidRPr="00FD274F" w:rsidRDefault="00A83991" w:rsidP="00A83991">
      <w:pPr>
        <w:pStyle w:val="BodyPara"/>
      </w:pPr>
      <w:r w:rsidRPr="00FD274F">
        <w:t>notify people who rely on the instrument for authority to act (particularly if it is a matter that could go to court or involves public money);</w:t>
      </w:r>
    </w:p>
    <w:p w14:paraId="3FAE112C" w14:textId="77777777" w:rsidR="00A83991" w:rsidRPr="00FD274F" w:rsidRDefault="00A83991" w:rsidP="00A83991">
      <w:pPr>
        <w:pStyle w:val="BodyPara"/>
      </w:pPr>
      <w:r w:rsidRPr="00FD274F">
        <w:t>get legal advice on other legislation that may be revived or amended as a result of the disallowance;</w:t>
      </w:r>
    </w:p>
    <w:p w14:paraId="13D5A87E" w14:textId="2403EC07" w:rsidR="00A83991" w:rsidRPr="00FD274F" w:rsidRDefault="00A83991" w:rsidP="00A83991">
      <w:pPr>
        <w:pStyle w:val="BodyPara"/>
      </w:pPr>
      <w:r w:rsidRPr="00FD274F">
        <w:t xml:space="preserve">prepare one or more compilations to reflect the revised text of the instrument and any other affected legislation </w:t>
      </w:r>
      <w:r w:rsidRPr="00F431F8">
        <w:t xml:space="preserve">(see </w:t>
      </w:r>
      <w:hyperlink w:anchor="Chapter5" w:history="1">
        <w:r w:rsidRPr="00F431F8">
          <w:rPr>
            <w:rStyle w:val="Hyperlink"/>
          </w:rPr>
          <w:t>Chapter 5</w:t>
        </w:r>
      </w:hyperlink>
      <w:r w:rsidRPr="00F431F8">
        <w:t>).</w:t>
      </w:r>
    </w:p>
    <w:p w14:paraId="06ADA5A5" w14:textId="77777777" w:rsidR="00A83991" w:rsidRPr="00FD274F" w:rsidRDefault="00A83991" w:rsidP="00A83991">
      <w:pPr>
        <w:pStyle w:val="Head4"/>
      </w:pPr>
      <w:bookmarkStart w:id="248" w:name="_Toc223687826"/>
      <w:r w:rsidRPr="00FD274F">
        <w:t xml:space="preserve">If notice of motion to disallow has </w:t>
      </w:r>
      <w:r>
        <w:t>passed</w:t>
      </w:r>
      <w:bookmarkEnd w:id="248"/>
    </w:p>
    <w:p w14:paraId="4EB86370" w14:textId="77777777" w:rsidR="00A83991" w:rsidRPr="00FD274F" w:rsidRDefault="00A83991" w:rsidP="00A83991">
      <w:pPr>
        <w:pStyle w:val="BodyNum"/>
      </w:pPr>
      <w:r w:rsidRPr="00FD274F">
        <w:t>If a notice of motion is passed, or taken to have passed, the effect of disallowance is:</w:t>
      </w:r>
      <w:bookmarkEnd w:id="247"/>
    </w:p>
    <w:p w14:paraId="12CB97E2" w14:textId="710C87E6" w:rsidR="00A83991" w:rsidRPr="00715EC3" w:rsidRDefault="00A83991" w:rsidP="00A83991">
      <w:pPr>
        <w:pStyle w:val="BodyPara"/>
      </w:pPr>
      <w:r w:rsidRPr="00FD274F">
        <w:t xml:space="preserve">to repeal the instrument or provision immediately, that is, from the day and time of disallowance </w:t>
      </w:r>
      <w:r w:rsidRPr="00DF0780">
        <w:t>(</w:t>
      </w:r>
      <w:hyperlink r:id="rId565" w:history="1">
        <w:hyperlink r:id="rId566" w:history="1">
          <w:hyperlink r:id="rId567" w:history="1">
            <w:hyperlink r:id="rId568" w:history="1">
              <w:r w:rsidRPr="00DF0780">
                <w:rPr>
                  <w:rStyle w:val="Hyperlink"/>
                </w:rPr>
                <w:t>LA</w:t>
              </w:r>
            </w:hyperlink>
            <w:r w:rsidRPr="00DF0780">
              <w:rPr>
                <w:rStyle w:val="Hyperlink"/>
              </w:rPr>
              <w:t xml:space="preserve"> </w:t>
            </w:r>
          </w:hyperlink>
        </w:hyperlink>
      </w:hyperlink>
      <w:r w:rsidRPr="00DF0780">
        <w:t>s 42(1) and (2)); an</w:t>
      </w:r>
      <w:r>
        <w:t>d</w:t>
      </w:r>
    </w:p>
    <w:p w14:paraId="278E6490" w14:textId="2DF0F6F4" w:rsidR="00A83991" w:rsidRDefault="00A83991" w:rsidP="00A83991">
      <w:pPr>
        <w:pStyle w:val="BodyPara"/>
      </w:pPr>
      <w:r w:rsidRPr="00FD274F">
        <w:t xml:space="preserve">to revive any instrument, law or provision repealed by the instrument or provision unless the repealed instrument or provision had </w:t>
      </w:r>
      <w:proofErr w:type="spellStart"/>
      <w:r w:rsidRPr="00FD274F">
        <w:t>sunsetted</w:t>
      </w:r>
      <w:proofErr w:type="spellEnd"/>
      <w:r w:rsidRPr="00FD274F">
        <w:t xml:space="preserve"> under </w:t>
      </w:r>
      <w:r w:rsidRPr="00DF0780">
        <w:t xml:space="preserve">Part 4 of Chapter 3 of the </w:t>
      </w:r>
      <w:hyperlink r:id="rId569" w:history="1">
        <w:hyperlink r:id="rId570" w:history="1">
          <w:hyperlink r:id="rId571" w:history="1">
            <w:hyperlink r:id="rId572" w:history="1">
              <w:r w:rsidRPr="00DF0780">
                <w:rPr>
                  <w:rStyle w:val="Hyperlink"/>
                </w:rPr>
                <w:t>LA</w:t>
              </w:r>
            </w:hyperlink>
            <w:r w:rsidRPr="00DF0780">
              <w:rPr>
                <w:rStyle w:val="Hyperlink"/>
              </w:rPr>
              <w:t xml:space="preserve"> </w:t>
            </w:r>
          </w:hyperlink>
        </w:hyperlink>
      </w:hyperlink>
      <w:r w:rsidRPr="00DF0780">
        <w:t>(s 45(2) and (3)); and</w:t>
      </w:r>
    </w:p>
    <w:p w14:paraId="1CB4A947" w14:textId="4FCF7432" w:rsidR="00A83991" w:rsidRPr="00715EC3" w:rsidRDefault="00A83991" w:rsidP="00A83991">
      <w:pPr>
        <w:pStyle w:val="BodyPara"/>
      </w:pPr>
      <w:r>
        <w:t xml:space="preserve">to undo the effects of a disallowed amending instrument or provision </w:t>
      </w:r>
      <w:r w:rsidRPr="00FD274F">
        <w:t>immediately, that is, from the day and time of disallowance</w:t>
      </w:r>
      <w:r>
        <w:t>. This will also require a compilation to be prepared to show the effect of the disallowance (</w:t>
      </w:r>
      <w:hyperlink r:id="rId573" w:history="1">
        <w:r w:rsidRPr="00DF0780">
          <w:rPr>
            <w:rStyle w:val="Hyperlink"/>
          </w:rPr>
          <w:t>LA</w:t>
        </w:r>
      </w:hyperlink>
      <w:r>
        <w:rPr>
          <w:rStyle w:val="Hyperlink"/>
        </w:rPr>
        <w:t xml:space="preserve"> </w:t>
      </w:r>
      <w:r w:rsidRPr="00DF0780">
        <w:t>s </w:t>
      </w:r>
      <w:r>
        <w:t>15Q</w:t>
      </w:r>
      <w:r w:rsidRPr="00DF0780">
        <w:t>(1)</w:t>
      </w:r>
      <w:r>
        <w:t>(b))</w:t>
      </w:r>
      <w:r w:rsidR="00351D36">
        <w:t>; and</w:t>
      </w:r>
    </w:p>
    <w:p w14:paraId="59CECEC6" w14:textId="444B5B71" w:rsidR="00A83991" w:rsidRPr="00FD274F" w:rsidRDefault="00A83991" w:rsidP="00A83991">
      <w:pPr>
        <w:pStyle w:val="BodyPara"/>
      </w:pPr>
      <w:r w:rsidRPr="00FD274F">
        <w:t>to extend the restrictions on remaking the disallowed instrument or provision for 6 months after the day of disallowanc</w:t>
      </w:r>
      <w:r w:rsidRPr="00DF0780">
        <w:t>e (</w:t>
      </w:r>
      <w:hyperlink r:id="rId574" w:history="1">
        <w:hyperlink r:id="rId575" w:history="1">
          <w:hyperlink r:id="rId576" w:history="1">
            <w:hyperlink r:id="rId577" w:history="1">
              <w:r w:rsidRPr="00DF0780">
                <w:rPr>
                  <w:rStyle w:val="Hyperlink"/>
                </w:rPr>
                <w:t>LA</w:t>
              </w:r>
            </w:hyperlink>
            <w:r w:rsidRPr="00DF0780">
              <w:rPr>
                <w:rStyle w:val="Hyperlink"/>
              </w:rPr>
              <w:t xml:space="preserve"> </w:t>
            </w:r>
          </w:hyperlink>
        </w:hyperlink>
      </w:hyperlink>
      <w:r w:rsidRPr="00DF0780">
        <w:t>s 48).</w:t>
      </w:r>
    </w:p>
    <w:p w14:paraId="6DDF74CB" w14:textId="77777777" w:rsidR="00A83991" w:rsidRPr="00FD274F" w:rsidRDefault="00A83991" w:rsidP="00A83991">
      <w:pPr>
        <w:pStyle w:val="Head3"/>
      </w:pPr>
      <w:bookmarkStart w:id="249" w:name="_Toc223687827"/>
      <w:r w:rsidRPr="00FD274F">
        <w:t>Restrictions on remaking instruments before and after tabling</w:t>
      </w:r>
      <w:bookmarkEnd w:id="249"/>
    </w:p>
    <w:p w14:paraId="30907B0B" w14:textId="77777777" w:rsidR="00A83991" w:rsidRPr="00FD274F" w:rsidRDefault="00A83991" w:rsidP="00A83991">
      <w:pPr>
        <w:pStyle w:val="BodyNum"/>
      </w:pPr>
      <w:bookmarkStart w:id="250" w:name="_Ref383697445"/>
      <w:r w:rsidRPr="00FD274F">
        <w:t>Sometimes problems are identified with the text of an instrument soon after it has been lodged for registration. If so, the instrument may be amended or repealed, but a second instrument that is the same in substance as the first instrument cannot be made before the first instrument is tabled, and for a period after its tabling, without the Parliament’s approval.</w:t>
      </w:r>
      <w:bookmarkEnd w:id="250"/>
    </w:p>
    <w:p w14:paraId="31CD3308" w14:textId="21A6C3C6" w:rsidR="00A83991" w:rsidRPr="00FD274F" w:rsidRDefault="00A83991" w:rsidP="00A83991">
      <w:pPr>
        <w:pStyle w:val="BodyNum"/>
      </w:pPr>
      <w:r w:rsidRPr="00FD274F">
        <w:t xml:space="preserve">Irrespective of whether a legislative instrument is disallowable, once it has been registered a second instrument that is the same in substance as the first instrument cannot be made </w:t>
      </w:r>
      <w:bookmarkStart w:id="251" w:name="_Ref367446655"/>
      <w:r w:rsidRPr="00FD274F">
        <w:t xml:space="preserve">for a period of 7 calendar days from the following </w:t>
      </w:r>
      <w:r w:rsidRPr="00DF0780">
        <w:t>(</w:t>
      </w:r>
      <w:hyperlink r:id="rId578" w:history="1">
        <w:hyperlink r:id="rId579" w:history="1">
          <w:hyperlink r:id="rId580" w:history="1">
            <w:hyperlink r:id="rId581" w:history="1">
              <w:r w:rsidRPr="00DF0780">
                <w:rPr>
                  <w:rStyle w:val="Hyperlink"/>
                </w:rPr>
                <w:t>LA</w:t>
              </w:r>
            </w:hyperlink>
            <w:r w:rsidRPr="00DF0780">
              <w:rPr>
                <w:rStyle w:val="Hyperlink"/>
              </w:rPr>
              <w:t xml:space="preserve"> </w:t>
            </w:r>
          </w:hyperlink>
        </w:hyperlink>
      </w:hyperlink>
      <w:r w:rsidRPr="00DF0780">
        <w:t>s 46)</w:t>
      </w:r>
      <w:r w:rsidRPr="00FD274F">
        <w:t>:</w:t>
      </w:r>
      <w:bookmarkEnd w:id="251"/>
    </w:p>
    <w:p w14:paraId="282B922C" w14:textId="77777777" w:rsidR="00A83991" w:rsidRPr="00FD274F" w:rsidRDefault="00A83991" w:rsidP="00A83991">
      <w:pPr>
        <w:pStyle w:val="BodyPara"/>
      </w:pPr>
      <w:r w:rsidRPr="00FD274F">
        <w:lastRenderedPageBreak/>
        <w:t>if it was tabled on the same day in both Houses—the day of tabling;</w:t>
      </w:r>
    </w:p>
    <w:p w14:paraId="2A937AC7" w14:textId="77777777" w:rsidR="00A83991" w:rsidRPr="00FD274F" w:rsidRDefault="00A83991" w:rsidP="00A83991">
      <w:pPr>
        <w:pStyle w:val="BodyPara"/>
      </w:pPr>
      <w:r w:rsidRPr="00FD274F">
        <w:t xml:space="preserve">if it was tabled on different days in both </w:t>
      </w:r>
      <w:r>
        <w:t>Houses—the later of those days;</w:t>
      </w:r>
    </w:p>
    <w:p w14:paraId="76D9E122" w14:textId="39B566E7" w:rsidR="00A83991" w:rsidRPr="00FD274F" w:rsidRDefault="00A83991" w:rsidP="00A83991">
      <w:pPr>
        <w:pStyle w:val="BodyPara"/>
      </w:pPr>
      <w:r w:rsidRPr="00FD274F">
        <w:t xml:space="preserve">if it was not tabled in both Houses—the last day when the instrument could have been tabled under </w:t>
      </w:r>
      <w:r w:rsidRPr="00DF0780">
        <w:t xml:space="preserve">section 38 of the </w:t>
      </w:r>
      <w:hyperlink r:id="rId582" w:history="1">
        <w:hyperlink r:id="rId583" w:history="1">
          <w:hyperlink r:id="rId584" w:history="1">
            <w:r w:rsidRPr="00DF0780">
              <w:rPr>
                <w:rStyle w:val="Hyperlink"/>
              </w:rPr>
              <w:t>LA</w:t>
            </w:r>
          </w:hyperlink>
        </w:hyperlink>
      </w:hyperlink>
      <w:r w:rsidRPr="00DF0780">
        <w:rPr>
          <w:rStyle w:val="Hyperlink"/>
        </w:rPr>
        <w:t>.</w:t>
      </w:r>
    </w:p>
    <w:p w14:paraId="1F9EC213" w14:textId="4AEA1EC6" w:rsidR="00A83991" w:rsidRPr="00FD274F" w:rsidRDefault="00A83991" w:rsidP="00A83991">
      <w:pPr>
        <w:pStyle w:val="BodyNum"/>
        <w:keepLines/>
      </w:pPr>
      <w:r w:rsidRPr="00FD274F">
        <w:t>If a legislative instrument is disallowable, longer timeframes may apply. If notice of a motion to disallow is given, an instrument, or a provision of the instrument, that is the same in substance as the original instrument or provision cannot be made while the original instrument or provision can be disallowe</w:t>
      </w:r>
      <w:r w:rsidRPr="00DF0780">
        <w:t>d (</w:t>
      </w:r>
      <w:hyperlink r:id="rId585" w:history="1">
        <w:hyperlink r:id="rId586" w:history="1">
          <w:hyperlink r:id="rId587" w:history="1">
            <w:hyperlink r:id="rId588" w:history="1">
              <w:r w:rsidRPr="00DF0780">
                <w:rPr>
                  <w:rStyle w:val="Hyperlink"/>
                </w:rPr>
                <w:t>LA</w:t>
              </w:r>
            </w:hyperlink>
            <w:r w:rsidRPr="00DF0780">
              <w:rPr>
                <w:rStyle w:val="Hyperlink"/>
              </w:rPr>
              <w:t xml:space="preserve"> </w:t>
            </w:r>
          </w:hyperlink>
        </w:hyperlink>
      </w:hyperlink>
      <w:r w:rsidRPr="00DF0780">
        <w:t>s 47).</w:t>
      </w:r>
      <w:r w:rsidRPr="00FD274F">
        <w:t xml:space="preserve"> If the original instrument or provision is disallowed, an instrument or provision the same in substance cannot be made for 6 months after the day of disallo</w:t>
      </w:r>
      <w:r w:rsidRPr="00DF0780">
        <w:t>wance (</w:t>
      </w:r>
      <w:hyperlink r:id="rId589" w:history="1">
        <w:hyperlink r:id="rId590" w:history="1">
          <w:hyperlink r:id="rId591" w:history="1">
            <w:hyperlink r:id="rId592" w:history="1">
              <w:r w:rsidRPr="00DF0780">
                <w:rPr>
                  <w:rStyle w:val="Hyperlink"/>
                </w:rPr>
                <w:t>LA</w:t>
              </w:r>
            </w:hyperlink>
            <w:r w:rsidRPr="00DF0780">
              <w:rPr>
                <w:rStyle w:val="Hyperlink"/>
              </w:rPr>
              <w:t xml:space="preserve"> </w:t>
            </w:r>
          </w:hyperlink>
        </w:hyperlink>
      </w:hyperlink>
      <w:r w:rsidRPr="00DF0780">
        <w:t>s 48).</w:t>
      </w:r>
    </w:p>
    <w:p w14:paraId="28881BF6" w14:textId="148E1C61" w:rsidR="00A83991" w:rsidRPr="00FD274F" w:rsidRDefault="00A83991" w:rsidP="00A83991">
      <w:pPr>
        <w:pStyle w:val="BodyNum"/>
      </w:pPr>
      <w:r w:rsidRPr="00FD274F">
        <w:t>It is important to note that the restrictions on remaking are broadly expressed and focus on whether an instrument or provision is “the same in substance” as an earlier instrument or provision. This usually requires an assessment of whether it has “in large measure, though not in all details, the same effect” as an earlier instrument or provision</w:t>
      </w:r>
      <w:r w:rsidRPr="00FD274F">
        <w:rPr>
          <w:rStyle w:val="FootnoteReference"/>
        </w:rPr>
        <w:footnoteReference w:id="40"/>
      </w:r>
      <w:r w:rsidRPr="00FD274F">
        <w:t>.</w:t>
      </w:r>
    </w:p>
    <w:p w14:paraId="08A563AB" w14:textId="32706900" w:rsidR="00A83991" w:rsidRPr="00FD274F" w:rsidRDefault="00A83991" w:rsidP="00A83991">
      <w:pPr>
        <w:pStyle w:val="BodyNum"/>
      </w:pPr>
      <w:r w:rsidRPr="00FD274F">
        <w:t xml:space="preserve">It is also important to comply with the restrictions on remaking. An instrument or provision that is remade in breach of these restrictions has no effect, and can never take effect even if it is registered and </w:t>
      </w:r>
      <w:r w:rsidRPr="00DF0780">
        <w:t>tabled (</w:t>
      </w:r>
      <w:hyperlink r:id="rId593" w:history="1">
        <w:hyperlink r:id="rId594" w:history="1">
          <w:hyperlink r:id="rId595" w:history="1">
            <w:r w:rsidRPr="00DF0780">
              <w:rPr>
                <w:rStyle w:val="Hyperlink"/>
              </w:rPr>
              <w:t>LA</w:t>
            </w:r>
          </w:hyperlink>
          <w:r w:rsidRPr="00DF0780">
            <w:rPr>
              <w:rStyle w:val="Hyperlink"/>
            </w:rPr>
            <w:t xml:space="preserve"> </w:t>
          </w:r>
        </w:hyperlink>
      </w:hyperlink>
      <w:r w:rsidRPr="00DF0780">
        <w:t>s 46(3), s 47(3) and s 48(4)).</w:t>
      </w:r>
    </w:p>
    <w:p w14:paraId="4BED4C8B" w14:textId="77777777" w:rsidR="00A83991" w:rsidRPr="00FD274F" w:rsidRDefault="00A83991" w:rsidP="00A83991">
      <w:pPr>
        <w:pStyle w:val="BodyNum"/>
      </w:pPr>
      <w:r w:rsidRPr="00FD274F">
        <w:t>Consequently, if there is a compelling need to remake an instrument or provision before these restrictions end, there are only two practical options for resolving the situation:</w:t>
      </w:r>
    </w:p>
    <w:p w14:paraId="699E5DE4" w14:textId="77777777" w:rsidR="00A83991" w:rsidRPr="00FD274F" w:rsidRDefault="00A83991" w:rsidP="00A83991">
      <w:pPr>
        <w:pStyle w:val="BodyPara"/>
      </w:pPr>
      <w:r w:rsidRPr="00FD274F">
        <w:t>remake the instrument or provision with changes, so that it is not the same in substance as the earlier instrument or provision, or</w:t>
      </w:r>
    </w:p>
    <w:p w14:paraId="7B84D528" w14:textId="70934EA6" w:rsidR="00A83991" w:rsidRPr="00FD274F" w:rsidRDefault="00A83991" w:rsidP="00A83991">
      <w:pPr>
        <w:pStyle w:val="BodyPara"/>
      </w:pPr>
      <w:r w:rsidRPr="00FD274F">
        <w:t xml:space="preserve">seek a resolution by the Parliament approving the remaking of the instrument or provision </w:t>
      </w:r>
      <w:r w:rsidRPr="00DF0780">
        <w:t xml:space="preserve">(see </w:t>
      </w:r>
      <w:hyperlink r:id="rId596" w:history="1">
        <w:hyperlink r:id="rId597" w:history="1">
          <w:hyperlink r:id="rId598" w:history="1">
            <w:hyperlink r:id="rId599" w:history="1">
              <w:r w:rsidRPr="00DF0780">
                <w:rPr>
                  <w:rStyle w:val="Hyperlink"/>
                </w:rPr>
                <w:t>LA</w:t>
              </w:r>
            </w:hyperlink>
            <w:r w:rsidRPr="00DF0780">
              <w:rPr>
                <w:rStyle w:val="Hyperlink"/>
              </w:rPr>
              <w:t xml:space="preserve"> </w:t>
            </w:r>
          </w:hyperlink>
        </w:hyperlink>
      </w:hyperlink>
      <w:r w:rsidRPr="00DF0780">
        <w:t>s 46(1) and s 48(2)).</w:t>
      </w:r>
    </w:p>
    <w:p w14:paraId="31F25DDD" w14:textId="77777777" w:rsidR="00A83991" w:rsidRPr="00FD274F" w:rsidRDefault="00A83991" w:rsidP="00A83991">
      <w:pPr>
        <w:pStyle w:val="BodyNum"/>
      </w:pPr>
      <w:bookmarkStart w:id="252" w:name="_Ref384353833"/>
      <w:r w:rsidRPr="00FD274F">
        <w:t xml:space="preserve">In either case, agencies are strongly advised to obtain legal advice on whether the proposed new instrument or provision is the same in substance as the earlier one. Also, </w:t>
      </w:r>
      <w:r>
        <w:t xml:space="preserve">agencies are advised </w:t>
      </w:r>
      <w:r w:rsidRPr="00FD274F">
        <w:t>to consider the possibility that the Parliament may disallow the new instrument or provision based on a broader view of the concept than that adopted by the courts to date.</w:t>
      </w:r>
    </w:p>
    <w:p w14:paraId="3A07A45A" w14:textId="77777777" w:rsidR="00A83991" w:rsidRPr="00FD274F" w:rsidRDefault="00A83991" w:rsidP="00A83991">
      <w:pPr>
        <w:pStyle w:val="BodyNum"/>
      </w:pPr>
      <w:r w:rsidRPr="00FD274F">
        <w:t>If a Parliamentary resolution for remaking is obtained and an instrument or provision is remade, the resolution date and other details should be noted in the explanatory statement. This will ensure that the details are readily available if the validity of remaking is questioned at any point in the future.</w:t>
      </w:r>
      <w:bookmarkEnd w:id="252"/>
    </w:p>
    <w:p w14:paraId="5238EBF5" w14:textId="77777777" w:rsidR="00A83991" w:rsidRPr="00FD274F" w:rsidRDefault="00A83991" w:rsidP="00A83991">
      <w:pPr>
        <w:pStyle w:val="BodyNum"/>
      </w:pPr>
      <w:bookmarkStart w:id="253" w:name="_Ref384355195"/>
      <w:r w:rsidRPr="00FD274F">
        <w:t>Similarly, if a decision is taken to remake an instrument or provision shortly after the restrictions have ended, the relevant date calculations should be included in the explanatory statement. This is particularly important if the new instrument is disallowable or the earlier instrument was disallowed.</w:t>
      </w:r>
      <w:bookmarkEnd w:id="253"/>
    </w:p>
    <w:p w14:paraId="053975B2" w14:textId="77777777" w:rsidR="0057232B" w:rsidRDefault="0057232B" w:rsidP="00A83991">
      <w:pPr>
        <w:pStyle w:val="Head2"/>
        <w:sectPr w:rsidR="0057232B" w:rsidSect="00004B84">
          <w:headerReference w:type="default" r:id="rId600"/>
          <w:footerReference w:type="default" r:id="rId601"/>
          <w:pgSz w:w="11907" w:h="16839" w:code="9"/>
          <w:pgMar w:top="1440" w:right="1440" w:bottom="1418" w:left="1440" w:header="720" w:footer="720" w:gutter="0"/>
          <w:pgNumType w:start="75"/>
          <w:cols w:sep="1" w:space="567"/>
          <w:docGrid w:linePitch="360"/>
        </w:sectPr>
      </w:pPr>
      <w:bookmarkStart w:id="254" w:name="Chapter10"/>
    </w:p>
    <w:p w14:paraId="421CB35D" w14:textId="1A66F450" w:rsidR="00A83991" w:rsidRPr="00FD274F" w:rsidRDefault="00A83991" w:rsidP="00A83991">
      <w:pPr>
        <w:pStyle w:val="Head2"/>
      </w:pPr>
      <w:bookmarkStart w:id="255" w:name="_Toc223687828"/>
      <w:r w:rsidRPr="00FD274F">
        <w:lastRenderedPageBreak/>
        <w:t>Chapter 10—Sunsetting</w:t>
      </w:r>
      <w:bookmarkEnd w:id="255"/>
    </w:p>
    <w:bookmarkEnd w:id="254"/>
    <w:p w14:paraId="6219CC20" w14:textId="77777777" w:rsidR="00A83991" w:rsidRPr="00FD274F" w:rsidRDefault="00A83991" w:rsidP="00A83991">
      <w:pPr>
        <w:pStyle w:val="SundryBoxHeadBold"/>
      </w:pPr>
      <w:r w:rsidRPr="00FD274F">
        <w:t>Main points</w:t>
      </w:r>
    </w:p>
    <w:p w14:paraId="12B8E38F" w14:textId="6DB72717" w:rsidR="00A83991" w:rsidRPr="00FD274F" w:rsidRDefault="00A83991" w:rsidP="00A83991">
      <w:pPr>
        <w:pStyle w:val="SundryBoxBullet"/>
      </w:pPr>
      <w:r w:rsidRPr="00FD274F">
        <w:t>•</w:t>
      </w:r>
      <w:r w:rsidRPr="00FD274F">
        <w:tab/>
        <w:t>Many legislative instruments are auto</w:t>
      </w:r>
      <w:r w:rsidRPr="00474C8A">
        <w:t xml:space="preserve">matically repealed after 10 years—this process is known as sunsetting and is governed by Part 4 of Chapter 3 of the </w:t>
      </w:r>
      <w:hyperlink r:id="rId602" w:history="1">
        <w:r w:rsidRPr="00474C8A">
          <w:rPr>
            <w:rStyle w:val="Hyperlink"/>
          </w:rPr>
          <w:t>LA</w:t>
        </w:r>
      </w:hyperlink>
      <w:r w:rsidRPr="00474C8A">
        <w:t>.</w:t>
      </w:r>
    </w:p>
    <w:p w14:paraId="48F90152" w14:textId="58D159B4" w:rsidR="000A2D2D" w:rsidRDefault="000A2D2D" w:rsidP="000A2D2D">
      <w:pPr>
        <w:pStyle w:val="SundryBoxBullet"/>
      </w:pPr>
      <w:r w:rsidRPr="00FD274F">
        <w:t>•</w:t>
      </w:r>
      <w:r w:rsidRPr="00FD274F">
        <w:tab/>
      </w:r>
      <w:r>
        <w:rPr>
          <w:rFonts w:eastAsia="Times New Roman"/>
        </w:rPr>
        <w:t>Early action on sunsetting is required to achieve a smooth process and ensure instruments are remade in good time.</w:t>
      </w:r>
    </w:p>
    <w:p w14:paraId="19A88290" w14:textId="77777777" w:rsidR="00A83991" w:rsidRPr="00FD274F" w:rsidRDefault="00A83991" w:rsidP="00A83991">
      <w:pPr>
        <w:pStyle w:val="SundryBoxBullet"/>
      </w:pPr>
      <w:r w:rsidRPr="00FD274F">
        <w:t>•</w:t>
      </w:r>
      <w:r w:rsidRPr="00FD274F">
        <w:tab/>
        <w:t>Sunset dates can only be deferred or rolled over in limited circumstances, and this requires the consent of the Attorney</w:t>
      </w:r>
      <w:r>
        <w:noBreakHyphen/>
      </w:r>
      <w:r w:rsidRPr="00FD274F">
        <w:t>General, the Parliament or both.</w:t>
      </w:r>
    </w:p>
    <w:p w14:paraId="70A5872E" w14:textId="77777777" w:rsidR="00A83991" w:rsidRPr="00FD274F" w:rsidRDefault="00A83991" w:rsidP="00A83991">
      <w:pPr>
        <w:pStyle w:val="SundryBoxBullet"/>
      </w:pPr>
      <w:r w:rsidRPr="00FD274F">
        <w:t>•</w:t>
      </w:r>
      <w:r w:rsidRPr="00FD274F">
        <w:tab/>
        <w:t>In many cases, a replacement instrument will need to be made and registered before an instrument sunsets to ensure continuity of the law.</w:t>
      </w:r>
    </w:p>
    <w:p w14:paraId="193FEABF" w14:textId="77777777" w:rsidR="00A83991" w:rsidRPr="00FD274F" w:rsidRDefault="00A83991" w:rsidP="00A83991">
      <w:pPr>
        <w:pStyle w:val="Head3"/>
      </w:pPr>
      <w:bookmarkStart w:id="256" w:name="_Toc223687829"/>
      <w:r w:rsidRPr="00FD274F">
        <w:t>Background</w:t>
      </w:r>
      <w:bookmarkEnd w:id="256"/>
    </w:p>
    <w:p w14:paraId="441D5EC1" w14:textId="5652AC1D" w:rsidR="00A83991" w:rsidRPr="00FD274F" w:rsidRDefault="00A83991" w:rsidP="00A83991">
      <w:pPr>
        <w:pStyle w:val="BodyNum"/>
      </w:pPr>
      <w:r w:rsidRPr="00FD274F">
        <w:t xml:space="preserve">This chapter describes the framework for sunsetting established by </w:t>
      </w:r>
      <w:r w:rsidRPr="00474C8A">
        <w:t xml:space="preserve">the </w:t>
      </w:r>
      <w:hyperlink r:id="rId603" w:history="1">
        <w:r w:rsidRPr="00474C8A">
          <w:rPr>
            <w:rStyle w:val="Hyperlink"/>
          </w:rPr>
          <w:t>LA</w:t>
        </w:r>
      </w:hyperlink>
      <w:r w:rsidRPr="00474C8A">
        <w:t>,</w:t>
      </w:r>
      <w:r w:rsidRPr="00FD274F">
        <w:t xml:space="preserve"> and highlights key considerations in the drafting and registration of instruments. It shou</w:t>
      </w:r>
      <w:r>
        <w:t>ld be read in conjunction with:</w:t>
      </w:r>
    </w:p>
    <w:p w14:paraId="35C8E2E3" w14:textId="77777777" w:rsidR="00A83991" w:rsidRDefault="00A83991" w:rsidP="00A83991">
      <w:pPr>
        <w:pStyle w:val="BodyPara"/>
      </w:pPr>
      <w:r w:rsidRPr="00FD274F">
        <w:t>the A</w:t>
      </w:r>
      <w:r w:rsidRPr="00474C8A">
        <w:t>GD Guide to Managing Sunsetting of Legislative Instruments</w:t>
      </w:r>
      <w:r w:rsidRPr="00474C8A">
        <w:rPr>
          <w:rStyle w:val="FootnoteReference"/>
        </w:rPr>
        <w:footnoteReference w:id="41"/>
      </w:r>
      <w:r w:rsidRPr="00474C8A">
        <w:t>; a</w:t>
      </w:r>
      <w:r w:rsidRPr="00FD274F">
        <w:t>nd</w:t>
      </w:r>
    </w:p>
    <w:p w14:paraId="76B4F0F5" w14:textId="77777777" w:rsidR="00A83991" w:rsidRPr="00FD274F" w:rsidRDefault="00A83991" w:rsidP="00A83991">
      <w:pPr>
        <w:pStyle w:val="BodyPara"/>
      </w:pPr>
      <w:r w:rsidRPr="00474C8A">
        <w:t>the Sunsetting Checklist in Appendix A of this Handbook;</w:t>
      </w:r>
      <w:r>
        <w:t xml:space="preserve"> and</w:t>
      </w:r>
    </w:p>
    <w:p w14:paraId="168CE6AF" w14:textId="77777777" w:rsidR="00A83991" w:rsidRPr="00FD274F" w:rsidRDefault="00A83991" w:rsidP="00A83991">
      <w:pPr>
        <w:pStyle w:val="BodyPara"/>
      </w:pPr>
      <w:r w:rsidRPr="00FD274F">
        <w:t>the Austra</w:t>
      </w:r>
      <w:r w:rsidRPr="00474C8A">
        <w:t>lian Government’s deregulation policies.</w:t>
      </w:r>
    </w:p>
    <w:p w14:paraId="367A8ED5" w14:textId="77777777" w:rsidR="00A83991" w:rsidRPr="00FD274F" w:rsidRDefault="00A83991" w:rsidP="00A83991">
      <w:pPr>
        <w:pStyle w:val="BodyNum"/>
      </w:pPr>
      <w:r w:rsidRPr="00FD274F">
        <w:t xml:space="preserve">The automatic repeal or sunsetting of older legislative instruments presents a unique opportunity for the Australian Government to reduce red tape, deliver clearer laws, and align existing legislation </w:t>
      </w:r>
      <w:r>
        <w:t>with current government policy.</w:t>
      </w:r>
    </w:p>
    <w:p w14:paraId="16C65141" w14:textId="11859AAB" w:rsidR="00A83991" w:rsidRPr="00FD274F" w:rsidRDefault="00A83991" w:rsidP="00A83991">
      <w:pPr>
        <w:pStyle w:val="BodyNum"/>
      </w:pPr>
      <w:r w:rsidRPr="00FD274F">
        <w:t xml:space="preserve">Sunsetting may, at first, require some agencies to change the way they manage their legislation but it is an important process. Its purpose is to “ensure that legislative instruments are kept </w:t>
      </w:r>
      <w:r w:rsidR="00A35420">
        <w:t>up to date</w:t>
      </w:r>
      <w:r w:rsidRPr="00FD274F">
        <w:t xml:space="preserve"> and only remain in force for </w:t>
      </w:r>
      <w:r w:rsidR="00A35420">
        <w:t>so</w:t>
      </w:r>
      <w:r w:rsidRPr="00FD274F">
        <w:t xml:space="preserve"> long as they are needed</w:t>
      </w:r>
      <w:r w:rsidRPr="00474C8A">
        <w:t>” (</w:t>
      </w:r>
      <w:hyperlink r:id="rId604" w:history="1">
        <w:hyperlink r:id="rId605" w:history="1">
          <w:hyperlink r:id="rId606" w:history="1">
            <w:hyperlink r:id="rId607" w:history="1">
              <w:r w:rsidRPr="00474C8A">
                <w:rPr>
                  <w:rStyle w:val="Hyperlink"/>
                </w:rPr>
                <w:t>LA</w:t>
              </w:r>
            </w:hyperlink>
            <w:r w:rsidRPr="00474C8A">
              <w:rPr>
                <w:rStyle w:val="Hyperlink"/>
              </w:rPr>
              <w:t xml:space="preserve"> </w:t>
            </w:r>
          </w:hyperlink>
        </w:hyperlink>
      </w:hyperlink>
      <w:r w:rsidRPr="00474C8A">
        <w:t>s 49).</w:t>
      </w:r>
    </w:p>
    <w:p w14:paraId="5127F637" w14:textId="02FB1B9C" w:rsidR="00A83991" w:rsidRPr="00FD274F" w:rsidRDefault="00A83991" w:rsidP="00A83991">
      <w:pPr>
        <w:pStyle w:val="BodyNum"/>
      </w:pPr>
      <w:r w:rsidRPr="00FD274F">
        <w:t>As a general guide, agencies should plan ahead and</w:t>
      </w:r>
      <w:r>
        <w:t>,</w:t>
      </w:r>
      <w:r w:rsidRPr="00FD274F">
        <w:t xml:space="preserve"> if appropriate</w:t>
      </w:r>
      <w:r>
        <w:t>,</w:t>
      </w:r>
      <w:r w:rsidRPr="00FD274F">
        <w:t xml:space="preserve"> negotiate minor changes to sunset dates. If an instrument is no longer required, it should be repealed (see </w:t>
      </w:r>
      <w:r w:rsidRPr="00307FAD">
        <w:t xml:space="preserve">paragraph </w:t>
      </w:r>
      <w:r w:rsidRPr="00474C8A">
        <w:fldChar w:fldCharType="begin"/>
      </w:r>
      <w:r w:rsidRPr="00307FAD">
        <w:instrText xml:space="preserve"> REF _Ref367446866 \w \h  \* MERGEFORMAT </w:instrText>
      </w:r>
      <w:r w:rsidRPr="00474C8A">
        <w:fldChar w:fldCharType="separate"/>
      </w:r>
      <w:r w:rsidR="00AB105F">
        <w:t>245</w:t>
      </w:r>
      <w:r w:rsidRPr="00474C8A">
        <w:fldChar w:fldCharType="end"/>
      </w:r>
      <w:r w:rsidRPr="00307FAD">
        <w:t>). Othe</w:t>
      </w:r>
      <w:r w:rsidRPr="00FD274F">
        <w:t xml:space="preserve">rwise the instrument should be reviewed </w:t>
      </w:r>
      <w:r w:rsidRPr="00E10ECD">
        <w:t xml:space="preserve">(see paragraph </w:t>
      </w:r>
      <w:r w:rsidRPr="00474C8A">
        <w:fldChar w:fldCharType="begin"/>
      </w:r>
      <w:r w:rsidRPr="00E10ECD">
        <w:instrText xml:space="preserve"> REF _Ref378066686 \r \h </w:instrText>
      </w:r>
      <w:r>
        <w:rPr>
          <w:highlight w:val="yellow"/>
        </w:rPr>
        <w:instrText xml:space="preserve"> \* MERGEFORMAT </w:instrText>
      </w:r>
      <w:r w:rsidRPr="00474C8A">
        <w:fldChar w:fldCharType="separate"/>
      </w:r>
      <w:r w:rsidR="00AB105F">
        <w:t>374</w:t>
      </w:r>
      <w:r w:rsidRPr="00474C8A">
        <w:fldChar w:fldCharType="end"/>
      </w:r>
      <w:r w:rsidRPr="00E10ECD">
        <w:t>). If</w:t>
      </w:r>
      <w:r w:rsidRPr="00FD274F">
        <w:t xml:space="preserve"> the review establishes that the instrument is still required, the instrument should be:</w:t>
      </w:r>
    </w:p>
    <w:p w14:paraId="051D8063" w14:textId="56F67799" w:rsidR="00A83991" w:rsidRPr="00FD274F" w:rsidRDefault="00A83991" w:rsidP="00A83991">
      <w:pPr>
        <w:pStyle w:val="BodyPara"/>
      </w:pPr>
      <w:r>
        <w:t>replaced</w:t>
      </w:r>
      <w:r w:rsidRPr="00FD274F">
        <w:t xml:space="preserve"> and reg</w:t>
      </w:r>
      <w:r>
        <w:t>istered before the instrument’s scheduled sunsetting date</w:t>
      </w:r>
      <w:r w:rsidR="009F1D0E">
        <w:t>,</w:t>
      </w:r>
      <w:r w:rsidRPr="00FD274F">
        <w:t xml:space="preserve"> to ensure continuity of the </w:t>
      </w:r>
      <w:r w:rsidRPr="00E10ECD">
        <w:t xml:space="preserve">law (see paragraph </w:t>
      </w:r>
      <w:r w:rsidRPr="00474C8A">
        <w:fldChar w:fldCharType="begin"/>
      </w:r>
      <w:r w:rsidRPr="00E10ECD">
        <w:instrText xml:space="preserve"> REF _Ref435534951 \r \h </w:instrText>
      </w:r>
      <w:r>
        <w:rPr>
          <w:highlight w:val="yellow"/>
        </w:rPr>
        <w:instrText xml:space="preserve"> \* MERGEFORMAT </w:instrText>
      </w:r>
      <w:r w:rsidRPr="00474C8A">
        <w:fldChar w:fldCharType="separate"/>
      </w:r>
      <w:r w:rsidR="00AB105F">
        <w:t>394</w:t>
      </w:r>
      <w:r w:rsidRPr="00474C8A">
        <w:fldChar w:fldCharType="end"/>
      </w:r>
      <w:r w:rsidRPr="00E10ECD">
        <w:t>);</w:t>
      </w:r>
      <w:r w:rsidRPr="00FD274F">
        <w:t xml:space="preserve"> or</w:t>
      </w:r>
    </w:p>
    <w:p w14:paraId="57D318BA" w14:textId="50185778" w:rsidR="00A83991" w:rsidRPr="00FD274F" w:rsidRDefault="00A83991" w:rsidP="00A83991">
      <w:pPr>
        <w:pStyle w:val="BodyPara"/>
      </w:pPr>
      <w:r w:rsidRPr="00FD274F">
        <w:t xml:space="preserve">rolled over (if appropriate, see </w:t>
      </w:r>
      <w:r w:rsidRPr="00E10ECD">
        <w:t xml:space="preserve">paragraph </w:t>
      </w:r>
      <w:r w:rsidRPr="00474C8A">
        <w:fldChar w:fldCharType="begin"/>
      </w:r>
      <w:r w:rsidRPr="00E10ECD">
        <w:instrText xml:space="preserve"> REF _Ref367447300 \r \h </w:instrText>
      </w:r>
      <w:r>
        <w:rPr>
          <w:highlight w:val="yellow"/>
        </w:rPr>
        <w:instrText xml:space="preserve"> \* MERGEFORMAT </w:instrText>
      </w:r>
      <w:r w:rsidRPr="00474C8A">
        <w:fldChar w:fldCharType="separate"/>
      </w:r>
      <w:r w:rsidR="00AB105F">
        <w:t>385</w:t>
      </w:r>
      <w:r w:rsidRPr="00474C8A">
        <w:fldChar w:fldCharType="end"/>
      </w:r>
      <w:r w:rsidRPr="00E10ECD">
        <w:t>).</w:t>
      </w:r>
    </w:p>
    <w:p w14:paraId="58686B57" w14:textId="0E747541" w:rsidR="00A83991" w:rsidRPr="00FD274F" w:rsidRDefault="00A83991" w:rsidP="00A83991">
      <w:pPr>
        <w:pStyle w:val="BodyNum"/>
        <w:keepLines/>
      </w:pPr>
      <w:r w:rsidRPr="00FD274F">
        <w:lastRenderedPageBreak/>
        <w:t>Agencies should prepare for sunsetting well in advance of an instrument’s sunset date</w:t>
      </w:r>
      <w:r w:rsidR="00E271E4">
        <w:t>,</w:t>
      </w:r>
      <w:r w:rsidRPr="00FD274F">
        <w:t xml:space="preserve"> as the process of reviewing an instrument, and acting on review recommendations, can be lengthy. The process may also attract significant Parliamentary and public scrutiny, even</w:t>
      </w:r>
      <w:r>
        <w:t xml:space="preserve"> if no changes are recommended.</w:t>
      </w:r>
    </w:p>
    <w:p w14:paraId="38EAC54B" w14:textId="304CF72D" w:rsidR="00A83991" w:rsidRPr="00FD274F" w:rsidRDefault="00A83991" w:rsidP="00A83991">
      <w:pPr>
        <w:pStyle w:val="BodyNum"/>
      </w:pPr>
      <w:r w:rsidRPr="00FD274F">
        <w:t xml:space="preserve">For further guidance on preparation for sunsetting and the risks of inaction, see the </w:t>
      </w:r>
      <w:r w:rsidRPr="00474C8A">
        <w:t>AGD Guide to Managing Sunsetting of Legislative Instruments</w:t>
      </w:r>
      <w:r w:rsidRPr="00474C8A">
        <w:rPr>
          <w:rStyle w:val="FootnoteReference"/>
        </w:rPr>
        <w:footnoteReference w:id="42"/>
      </w:r>
      <w:r w:rsidRPr="00474C8A">
        <w:t xml:space="preserve"> o</w:t>
      </w:r>
      <w:r w:rsidRPr="00FD274F">
        <w:t>r contact AGD (</w:t>
      </w:r>
      <w:r w:rsidR="00E277CA">
        <w:t xml:space="preserve">email </w:t>
      </w:r>
      <w:hyperlink r:id="rId608" w:history="1">
        <w:r w:rsidRPr="00FD274F">
          <w:rPr>
            <w:rStyle w:val="Hyperlink"/>
          </w:rPr>
          <w:t>sunsetting@ag.gov.au</w:t>
        </w:r>
      </w:hyperlink>
      <w:r w:rsidRPr="00FD274F">
        <w:t xml:space="preserve"> or </w:t>
      </w:r>
      <w:r w:rsidR="00E277CA">
        <w:t xml:space="preserve">call the AGD Switchboard on </w:t>
      </w:r>
      <w:r w:rsidR="00E277CA" w:rsidRPr="00E277CA">
        <w:t>(02) 6141 6666</w:t>
      </w:r>
      <w:r w:rsidR="00E277CA">
        <w:t xml:space="preserve"> and ask to be redirected to the Administrative Law Section</w:t>
      </w:r>
      <w:r w:rsidR="00E277CA" w:rsidRPr="00F409B4">
        <w:t>)</w:t>
      </w:r>
      <w:r>
        <w:t>.</w:t>
      </w:r>
    </w:p>
    <w:p w14:paraId="219F9C2C" w14:textId="77777777" w:rsidR="00A83991" w:rsidRPr="00FD274F" w:rsidRDefault="00A83991" w:rsidP="00A83991">
      <w:pPr>
        <w:pStyle w:val="Head3"/>
      </w:pPr>
      <w:bookmarkStart w:id="257" w:name="_Toc223687830"/>
      <w:r w:rsidRPr="00FD274F">
        <w:t>How sunsetting works</w:t>
      </w:r>
      <w:bookmarkEnd w:id="257"/>
    </w:p>
    <w:p w14:paraId="03371A3B" w14:textId="3D693336" w:rsidR="00A83991" w:rsidRPr="00FD274F" w:rsidRDefault="00A83991" w:rsidP="00A83991">
      <w:pPr>
        <w:pStyle w:val="BodyNum"/>
      </w:pPr>
      <w:r w:rsidRPr="00C55DA3">
        <w:t xml:space="preserve">Part 4 of Chapter 3 of the </w:t>
      </w:r>
      <w:hyperlink r:id="rId609" w:history="1">
        <w:hyperlink r:id="rId610" w:history="1">
          <w:hyperlink r:id="rId611" w:history="1">
            <w:r w:rsidRPr="00C55DA3">
              <w:rPr>
                <w:rStyle w:val="Hyperlink"/>
              </w:rPr>
              <w:t>LA</w:t>
            </w:r>
          </w:hyperlink>
          <w:r w:rsidRPr="00C55DA3">
            <w:rPr>
              <w:rStyle w:val="Hyperlink"/>
            </w:rPr>
            <w:t xml:space="preserve"> </w:t>
          </w:r>
        </w:hyperlink>
      </w:hyperlink>
      <w:r w:rsidRPr="00C55DA3">
        <w:t>pr</w:t>
      </w:r>
      <w:r w:rsidRPr="00FD274F">
        <w:t>ovides for:</w:t>
      </w:r>
    </w:p>
    <w:p w14:paraId="73F5FF87" w14:textId="77777777" w:rsidR="00A83991" w:rsidRPr="00FD274F" w:rsidRDefault="00A83991" w:rsidP="00A83991">
      <w:pPr>
        <w:pStyle w:val="BodyPara"/>
      </w:pPr>
      <w:r w:rsidRPr="00FD274F">
        <w:t>regulations and other legislative instruments to sunset on predictable dates, either 1 April or 1 October each year</w:t>
      </w:r>
      <w:r>
        <w:t>; and</w:t>
      </w:r>
    </w:p>
    <w:p w14:paraId="3F58E3CB" w14:textId="77777777" w:rsidR="00A83991" w:rsidRPr="00FD274F" w:rsidRDefault="00A83991" w:rsidP="00A83991">
      <w:pPr>
        <w:pStyle w:val="BodyPara"/>
      </w:pPr>
      <w:r w:rsidRPr="00FD274F">
        <w:t>a list of sunsetting instruments to be tabled 18 months before each sunset date.</w:t>
      </w:r>
    </w:p>
    <w:p w14:paraId="5027B5FE" w14:textId="7B99C931" w:rsidR="00A83991" w:rsidRPr="00FD274F" w:rsidRDefault="00A83991" w:rsidP="00A83991">
      <w:pPr>
        <w:pStyle w:val="BodyNum"/>
      </w:pPr>
      <w:r w:rsidRPr="00FD274F">
        <w:t xml:space="preserve">Although </w:t>
      </w:r>
      <w:r>
        <w:t>there are mechanisms for postponing an instrument’s scheduled sunsetting date, or permanently exempting it from sunsetting, these options are only available</w:t>
      </w:r>
      <w:r w:rsidRPr="00FD274F">
        <w:t xml:space="preserve"> in limited circumstances. Further guidance on such matters is pr</w:t>
      </w:r>
      <w:r w:rsidRPr="008C5E45">
        <w:t xml:space="preserve">ovided in paragraphs </w:t>
      </w:r>
      <w:r w:rsidRPr="00C55DA3">
        <w:fldChar w:fldCharType="begin"/>
      </w:r>
      <w:r w:rsidRPr="008C5E45">
        <w:instrText xml:space="preserve"> REF _Ref384723553 \r \h </w:instrText>
      </w:r>
      <w:r>
        <w:rPr>
          <w:highlight w:val="yellow"/>
        </w:rPr>
        <w:instrText xml:space="preserve"> \* MERGEFORMAT </w:instrText>
      </w:r>
      <w:r w:rsidRPr="00C55DA3">
        <w:fldChar w:fldCharType="separate"/>
      </w:r>
      <w:r w:rsidR="00AB105F">
        <w:t>361</w:t>
      </w:r>
      <w:r w:rsidRPr="00C55DA3">
        <w:fldChar w:fldCharType="end"/>
      </w:r>
      <w:r w:rsidRPr="008C5E45">
        <w:t xml:space="preserve">, </w:t>
      </w:r>
      <w:r w:rsidRPr="00C55DA3">
        <w:fldChar w:fldCharType="begin"/>
      </w:r>
      <w:r w:rsidRPr="008C5E45">
        <w:instrText xml:space="preserve"> REF _Ref384350103 \r \h </w:instrText>
      </w:r>
      <w:r>
        <w:rPr>
          <w:highlight w:val="yellow"/>
        </w:rPr>
        <w:instrText xml:space="preserve"> \* MERGEFORMAT </w:instrText>
      </w:r>
      <w:r w:rsidRPr="00C55DA3">
        <w:fldChar w:fldCharType="separate"/>
      </w:r>
      <w:r w:rsidR="00AB105F">
        <w:t>377</w:t>
      </w:r>
      <w:r w:rsidRPr="00C55DA3">
        <w:fldChar w:fldCharType="end"/>
      </w:r>
      <w:r w:rsidRPr="008C5E45">
        <w:t xml:space="preserve"> and </w:t>
      </w:r>
      <w:r w:rsidRPr="00C55DA3">
        <w:fldChar w:fldCharType="begin"/>
      </w:r>
      <w:r w:rsidRPr="008C5E45">
        <w:instrText xml:space="preserve"> REF _Ref367447300 \r \h </w:instrText>
      </w:r>
      <w:r>
        <w:rPr>
          <w:highlight w:val="yellow"/>
        </w:rPr>
        <w:instrText xml:space="preserve"> \* MERGEFORMAT </w:instrText>
      </w:r>
      <w:r w:rsidRPr="00C55DA3">
        <w:fldChar w:fldCharType="separate"/>
      </w:r>
      <w:r w:rsidR="00AB105F">
        <w:t>385</w:t>
      </w:r>
      <w:r w:rsidRPr="00C55DA3">
        <w:fldChar w:fldCharType="end"/>
      </w:r>
      <w:r w:rsidRPr="008C5E45">
        <w:t>.</w:t>
      </w:r>
    </w:p>
    <w:p w14:paraId="1E7DA38C" w14:textId="490CB0B3" w:rsidR="00A83991" w:rsidRPr="00FD274F" w:rsidRDefault="00A83991" w:rsidP="00A83991">
      <w:pPr>
        <w:pStyle w:val="BodyNum"/>
      </w:pPr>
      <w:r w:rsidRPr="00FD274F">
        <w:t xml:space="preserve">Even if a legislative instrument is exempt from sunsetting, it may still need to be reviewed periodically to comply with specific statutory obligations in the enabling legislation and with the Australian Government’s </w:t>
      </w:r>
      <w:r w:rsidR="002756C1">
        <w:t>Impact Analysis Framework</w:t>
      </w:r>
      <w:r w:rsidRPr="00FD274F">
        <w:t xml:space="preserve">. For more information, please contact </w:t>
      </w:r>
      <w:proofErr w:type="spellStart"/>
      <w:r w:rsidR="00741192">
        <w:t>OIA</w:t>
      </w:r>
      <w:proofErr w:type="spellEnd"/>
      <w:r w:rsidR="00741192" w:rsidRPr="00FD274F">
        <w:t xml:space="preserve"> </w:t>
      </w:r>
      <w:r w:rsidRPr="00FD274F">
        <w:t>(</w:t>
      </w:r>
      <w:hyperlink r:id="rId612" w:history="1">
        <w:r w:rsidRPr="00FD274F">
          <w:rPr>
            <w:rStyle w:val="Hyperlink"/>
          </w:rPr>
          <w:t>helpdesk</w:t>
        </w:r>
        <w:r>
          <w:rPr>
            <w:rStyle w:val="Hyperlink"/>
          </w:rPr>
          <w:noBreakHyphen/>
        </w:r>
        <w:r w:rsidR="00741192">
          <w:rPr>
            <w:rStyle w:val="Hyperlink"/>
          </w:rPr>
          <w:t>OIA</w:t>
        </w:r>
        <w:r w:rsidRPr="00FD274F">
          <w:rPr>
            <w:rStyle w:val="Hyperlink"/>
          </w:rPr>
          <w:t>@pmc.gov.au</w:t>
        </w:r>
      </w:hyperlink>
      <w:r w:rsidRPr="00FD274F">
        <w:rPr>
          <w:rStyle w:val="Hyperlink"/>
        </w:rPr>
        <w:t xml:space="preserve"> </w:t>
      </w:r>
      <w:r w:rsidRPr="00FD274F">
        <w:t>or (02) 6271 6270).</w:t>
      </w:r>
    </w:p>
    <w:p w14:paraId="54F7F645" w14:textId="77777777" w:rsidR="00A83991" w:rsidRPr="00FD274F" w:rsidRDefault="00A83991" w:rsidP="00A83991">
      <w:pPr>
        <w:pStyle w:val="Head4"/>
      </w:pPr>
      <w:bookmarkStart w:id="258" w:name="_Toc223687831"/>
      <w:r w:rsidRPr="00FD274F">
        <w:t>What instruments are exempt from sunsetting</w:t>
      </w:r>
      <w:bookmarkEnd w:id="258"/>
    </w:p>
    <w:p w14:paraId="47AF88B0" w14:textId="32E5F28C" w:rsidR="00A83991" w:rsidRPr="00FD274F" w:rsidRDefault="00A83991" w:rsidP="00A83991">
      <w:pPr>
        <w:pStyle w:val="BodyNum"/>
      </w:pPr>
      <w:bookmarkStart w:id="259" w:name="_Ref384723553"/>
      <w:r w:rsidRPr="00FD274F">
        <w:t>Under th</w:t>
      </w:r>
      <w:r w:rsidRPr="00C55DA3">
        <w:t xml:space="preserve">e </w:t>
      </w:r>
      <w:hyperlink r:id="rId613" w:history="1">
        <w:r w:rsidRPr="00C55DA3">
          <w:rPr>
            <w:rStyle w:val="Hyperlink"/>
          </w:rPr>
          <w:t>LA</w:t>
        </w:r>
      </w:hyperlink>
      <w:r w:rsidRPr="00C55DA3">
        <w:t>,</w:t>
      </w:r>
      <w:r w:rsidRPr="00FD274F">
        <w:t xml:space="preserve"> all legislative instruments are subject to sunsetting unless they are exempt from sunsetting. Exemptions may be set out in se</w:t>
      </w:r>
      <w:r w:rsidRPr="00C55DA3">
        <w:t xml:space="preserve">ction 54 of the </w:t>
      </w:r>
      <w:hyperlink r:id="rId614" w:history="1">
        <w:hyperlink r:id="rId615" w:history="1">
          <w:hyperlink r:id="rId616" w:history="1">
            <w:r w:rsidRPr="00C55DA3">
              <w:rPr>
                <w:rStyle w:val="Hyperlink"/>
              </w:rPr>
              <w:t>LA</w:t>
            </w:r>
          </w:hyperlink>
        </w:hyperlink>
      </w:hyperlink>
      <w:r w:rsidRPr="00C55DA3">
        <w:t>,</w:t>
      </w:r>
      <w:r w:rsidRPr="00FD274F">
        <w:t xml:space="preserve"> sectio</w:t>
      </w:r>
      <w:r w:rsidRPr="00C55DA3">
        <w:t xml:space="preserve">ns 11 and 12 of </w:t>
      </w:r>
      <w:hyperlink r:id="rId617" w:history="1">
        <w:hyperlink r:id="rId618" w:history="1">
          <w:hyperlink r:id="rId619" w:history="1">
            <w:r w:rsidRPr="00C55DA3">
              <w:rPr>
                <w:rStyle w:val="Hyperlink"/>
              </w:rPr>
              <w:t>LEOMR</w:t>
            </w:r>
          </w:hyperlink>
        </w:hyperlink>
      </w:hyperlink>
      <w:r w:rsidRPr="00C55DA3">
        <w:t xml:space="preserve"> or, in v</w:t>
      </w:r>
      <w:r>
        <w:t xml:space="preserve">ery limited cases, </w:t>
      </w:r>
      <w:r w:rsidRPr="00FD274F">
        <w:t>the enabling legislation.</w:t>
      </w:r>
      <w:bookmarkEnd w:id="259"/>
    </w:p>
    <w:p w14:paraId="341B96B0" w14:textId="77777777" w:rsidR="00A83991" w:rsidRPr="00FD274F" w:rsidRDefault="00A83991" w:rsidP="00A83991">
      <w:pPr>
        <w:pStyle w:val="BodyNum"/>
      </w:pPr>
      <w:r w:rsidRPr="00FD274F">
        <w:t>When an instrument is lodged for registration, the lodging agency is asked to certify a range of information including whether an exemption from sunsetting applies and, if so, what legisl</w:t>
      </w:r>
      <w:r>
        <w:t>ation authorises the exemption.</w:t>
      </w:r>
    </w:p>
    <w:p w14:paraId="2170B41B" w14:textId="57780693" w:rsidR="00A83991" w:rsidRPr="00FD274F" w:rsidRDefault="00A83991" w:rsidP="00A83991">
      <w:pPr>
        <w:pStyle w:val="BodyNum"/>
      </w:pPr>
      <w:r w:rsidRPr="00FD274F">
        <w:t xml:space="preserve">Most exemptions are straightforward and nominate a specific enabling provision such as instruments </w:t>
      </w:r>
      <w:r w:rsidRPr="007809FB">
        <w:t xml:space="preserve">made under section 123 of the </w:t>
      </w:r>
      <w:r w:rsidR="00611E3A">
        <w:rPr>
          <w:i/>
        </w:rPr>
        <w:t>Example</w:t>
      </w:r>
      <w:r w:rsidR="00611E3A" w:rsidRPr="007809FB">
        <w:rPr>
          <w:i/>
        </w:rPr>
        <w:t xml:space="preserve"> </w:t>
      </w:r>
      <w:r w:rsidRPr="007809FB">
        <w:rPr>
          <w:i/>
        </w:rPr>
        <w:t>Act 20</w:t>
      </w:r>
      <w:r w:rsidR="00611E3A">
        <w:rPr>
          <w:i/>
        </w:rPr>
        <w:t>2</w:t>
      </w:r>
      <w:r w:rsidR="005B7B00">
        <w:rPr>
          <w:i/>
        </w:rPr>
        <w:t>4</w:t>
      </w:r>
      <w:r w:rsidRPr="007809FB">
        <w:t>. Ho</w:t>
      </w:r>
      <w:r w:rsidRPr="00FD274F">
        <w:t>wever, other exemptions are more generic and some can be difficult to apply, particularly if they refer t</w:t>
      </w:r>
      <w:r>
        <w:t>o the purpose of an instrument.</w:t>
      </w:r>
    </w:p>
    <w:p w14:paraId="7BBA454C" w14:textId="77777777" w:rsidR="00A83991" w:rsidRPr="00FD274F" w:rsidRDefault="00A83991" w:rsidP="00A83991">
      <w:pPr>
        <w:pStyle w:val="BodyNum"/>
      </w:pPr>
      <w:r w:rsidRPr="00FD274F">
        <w:t>If there is any doubt about whether an instrument is exempt from sunsetting, the rule</w:t>
      </w:r>
      <w:r>
        <w:noBreakHyphen/>
      </w:r>
      <w:r w:rsidRPr="00FD274F">
        <w:t xml:space="preserve">making agency should seek legal advice and consider the potential risks to government policy if the instrument is not listed for sunsetting. There will be significant legal and other consequences if, for example, an agency claims that an instrument is exempt but a court later finds that the instrument was not exempt and has </w:t>
      </w:r>
      <w:proofErr w:type="spellStart"/>
      <w:r w:rsidRPr="00FD274F">
        <w:t>sunsetted</w:t>
      </w:r>
      <w:proofErr w:type="spellEnd"/>
      <w:r w:rsidRPr="00FD274F">
        <w:t>.</w:t>
      </w:r>
    </w:p>
    <w:p w14:paraId="34017E7A" w14:textId="66225584" w:rsidR="00A83991" w:rsidRPr="00FD274F" w:rsidRDefault="00A83991" w:rsidP="00A83991">
      <w:pPr>
        <w:pStyle w:val="BodyNum"/>
      </w:pPr>
      <w:r w:rsidRPr="00FD274F">
        <w:lastRenderedPageBreak/>
        <w:t>The formal policy approval of both the responsible Minister and the Attorney</w:t>
      </w:r>
      <w:r>
        <w:noBreakHyphen/>
      </w:r>
      <w:r w:rsidRPr="00FD274F">
        <w:t xml:space="preserve">General is required to create a new exemption from sunsetting. Proposals for a new exemption should be discussed in the first instance with AGD </w:t>
      </w:r>
      <w:r w:rsidR="00E277CA" w:rsidRPr="00F409B4">
        <w:t>(</w:t>
      </w:r>
      <w:r w:rsidR="00E277CA">
        <w:t xml:space="preserve">email </w:t>
      </w:r>
      <w:hyperlink r:id="rId620" w:history="1">
        <w:r w:rsidR="00E277CA" w:rsidRPr="00C24A30">
          <w:rPr>
            <w:rStyle w:val="Hyperlink"/>
          </w:rPr>
          <w:t>adminlaw@ag.gov.au</w:t>
        </w:r>
      </w:hyperlink>
      <w:r w:rsidR="00E277CA" w:rsidRPr="00FD274F">
        <w:rPr>
          <w:rStyle w:val="Hyperlink"/>
        </w:rPr>
        <w:t xml:space="preserve"> </w:t>
      </w:r>
      <w:r w:rsidR="00E277CA" w:rsidRPr="00FD274F">
        <w:t xml:space="preserve">or </w:t>
      </w:r>
      <w:r w:rsidR="00E277CA">
        <w:t xml:space="preserve">call the AGD Switchboard on </w:t>
      </w:r>
      <w:r w:rsidR="00E277CA" w:rsidRPr="00E277CA">
        <w:t>(02) 6141 6666</w:t>
      </w:r>
      <w:r w:rsidR="00E277CA">
        <w:t xml:space="preserve"> and ask to be redirected to the Administrative Law Section</w:t>
      </w:r>
      <w:r w:rsidR="00E277CA" w:rsidRPr="00F409B4">
        <w:t>)</w:t>
      </w:r>
      <w:r w:rsidRPr="00FD274F">
        <w:t>.</w:t>
      </w:r>
    </w:p>
    <w:p w14:paraId="385DF08D" w14:textId="77777777" w:rsidR="00A83991" w:rsidRPr="00FD274F" w:rsidRDefault="00A83991" w:rsidP="00A83991">
      <w:pPr>
        <w:pStyle w:val="Head4"/>
      </w:pPr>
      <w:bookmarkStart w:id="260" w:name="_Toc223687832"/>
      <w:r w:rsidRPr="00FD274F">
        <w:t>When instruments sunset</w:t>
      </w:r>
      <w:bookmarkEnd w:id="260"/>
    </w:p>
    <w:p w14:paraId="06E23016" w14:textId="2C146D01" w:rsidR="00A83991" w:rsidRPr="00FD274F" w:rsidRDefault="00A83991" w:rsidP="00A83991">
      <w:pPr>
        <w:pStyle w:val="BodyNum"/>
      </w:pPr>
      <w:r w:rsidRPr="00FD274F">
        <w:t xml:space="preserve">All legislative instruments sunset on the first 1 April or 1 October falling on or after the 10th anniversary of their </w:t>
      </w:r>
      <w:r w:rsidRPr="00C55DA3">
        <w:t>registration (</w:t>
      </w:r>
      <w:hyperlink r:id="rId621" w:history="1">
        <w:hyperlink r:id="rId622" w:history="1">
          <w:hyperlink r:id="rId623" w:history="1">
            <w:r w:rsidRPr="00C55DA3">
              <w:rPr>
                <w:rStyle w:val="Hyperlink"/>
              </w:rPr>
              <w:t>LA</w:t>
            </w:r>
          </w:hyperlink>
          <w:r w:rsidRPr="00C55DA3">
            <w:rPr>
              <w:rStyle w:val="Hyperlink"/>
            </w:rPr>
            <w:t xml:space="preserve"> </w:t>
          </w:r>
        </w:hyperlink>
      </w:hyperlink>
      <w:r w:rsidRPr="00C55DA3">
        <w:t>s 50(1)), unl</w:t>
      </w:r>
      <w:r w:rsidRPr="00FD274F">
        <w:t>ess their enabling legislation provides otherwise. To illustrate:</w:t>
      </w:r>
      <w:r w:rsidRPr="00FD274F">
        <w:br/>
      </w: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384"/>
        <w:gridCol w:w="3846"/>
      </w:tblGrid>
      <w:tr w:rsidR="00A83991" w:rsidRPr="00FD274F" w14:paraId="4565907F" w14:textId="77777777" w:rsidTr="00A83991">
        <w:trPr>
          <w:tblHeader/>
        </w:trPr>
        <w:tc>
          <w:tcPr>
            <w:tcW w:w="3384" w:type="dxa"/>
            <w:tcBorders>
              <w:top w:val="single" w:sz="12" w:space="0" w:color="auto"/>
              <w:bottom w:val="single" w:sz="12" w:space="0" w:color="auto"/>
            </w:tcBorders>
          </w:tcPr>
          <w:p w14:paraId="2E5B6DD2" w14:textId="77777777" w:rsidR="00A83991" w:rsidRPr="00FD274F" w:rsidRDefault="00A83991" w:rsidP="00A83991">
            <w:pPr>
              <w:pStyle w:val="TableHeading"/>
              <w:keepLines/>
            </w:pPr>
            <w:r w:rsidRPr="00FD274F">
              <w:t>Date of registration</w:t>
            </w:r>
          </w:p>
        </w:tc>
        <w:tc>
          <w:tcPr>
            <w:tcW w:w="3846" w:type="dxa"/>
            <w:tcBorders>
              <w:top w:val="single" w:sz="12" w:space="0" w:color="auto"/>
              <w:bottom w:val="single" w:sz="12" w:space="0" w:color="auto"/>
            </w:tcBorders>
          </w:tcPr>
          <w:p w14:paraId="0490E31D" w14:textId="77777777" w:rsidR="00A83991" w:rsidRPr="00FD274F" w:rsidRDefault="00A83991" w:rsidP="00A83991">
            <w:pPr>
              <w:pStyle w:val="TableHeading"/>
              <w:keepLines/>
            </w:pPr>
            <w:r>
              <w:t>Default sunsetting date</w:t>
            </w:r>
          </w:p>
        </w:tc>
      </w:tr>
      <w:tr w:rsidR="00A83991" w:rsidRPr="00FD274F" w14:paraId="70A48727" w14:textId="77777777" w:rsidTr="00A83991">
        <w:tc>
          <w:tcPr>
            <w:tcW w:w="3384" w:type="dxa"/>
            <w:tcBorders>
              <w:top w:val="single" w:sz="12" w:space="0" w:color="auto"/>
            </w:tcBorders>
          </w:tcPr>
          <w:p w14:paraId="6465447B" w14:textId="77777777" w:rsidR="00A83991" w:rsidRPr="00FD274F" w:rsidRDefault="00A83991" w:rsidP="00A83991">
            <w:pPr>
              <w:pStyle w:val="Tabletext"/>
              <w:keepNext/>
              <w:keepLines/>
            </w:pPr>
            <w:r w:rsidRPr="00FD274F">
              <w:t>31 March 20</w:t>
            </w:r>
            <w:r>
              <w:t>1</w:t>
            </w:r>
            <w:r w:rsidRPr="00FD274F">
              <w:t>5</w:t>
            </w:r>
          </w:p>
        </w:tc>
        <w:tc>
          <w:tcPr>
            <w:tcW w:w="3846" w:type="dxa"/>
            <w:tcBorders>
              <w:top w:val="single" w:sz="12" w:space="0" w:color="auto"/>
            </w:tcBorders>
          </w:tcPr>
          <w:p w14:paraId="1C01158D" w14:textId="77777777" w:rsidR="00A83991" w:rsidRPr="00FD274F" w:rsidRDefault="00A83991" w:rsidP="00A83991">
            <w:pPr>
              <w:pStyle w:val="Tabletext"/>
              <w:keepNext/>
              <w:keepLines/>
            </w:pPr>
            <w:r w:rsidRPr="00FD274F">
              <w:t>1 April 20</w:t>
            </w:r>
            <w:r>
              <w:t>2</w:t>
            </w:r>
            <w:r w:rsidRPr="00FD274F">
              <w:t>5</w:t>
            </w:r>
          </w:p>
        </w:tc>
      </w:tr>
      <w:tr w:rsidR="00A83991" w:rsidRPr="00FD274F" w14:paraId="6C583F49" w14:textId="77777777" w:rsidTr="00A83991">
        <w:tc>
          <w:tcPr>
            <w:tcW w:w="3384" w:type="dxa"/>
            <w:tcBorders>
              <w:bottom w:val="single" w:sz="4" w:space="0" w:color="auto"/>
            </w:tcBorders>
          </w:tcPr>
          <w:p w14:paraId="72E1E790" w14:textId="77777777" w:rsidR="00A83991" w:rsidRPr="00FD274F" w:rsidRDefault="00A83991" w:rsidP="00A83991">
            <w:pPr>
              <w:pStyle w:val="Tabletext"/>
              <w:keepNext/>
              <w:keepLines/>
            </w:pPr>
            <w:r w:rsidRPr="00FD274F">
              <w:t>1 April 20</w:t>
            </w:r>
            <w:r>
              <w:t>1</w:t>
            </w:r>
            <w:r w:rsidRPr="00FD274F">
              <w:t>5</w:t>
            </w:r>
          </w:p>
        </w:tc>
        <w:tc>
          <w:tcPr>
            <w:tcW w:w="3846" w:type="dxa"/>
            <w:tcBorders>
              <w:bottom w:val="single" w:sz="4" w:space="0" w:color="auto"/>
            </w:tcBorders>
          </w:tcPr>
          <w:p w14:paraId="5F7D7E04" w14:textId="77777777" w:rsidR="00A83991" w:rsidRPr="00FD274F" w:rsidRDefault="00A83991" w:rsidP="00A83991">
            <w:pPr>
              <w:pStyle w:val="Tabletext"/>
              <w:keepNext/>
              <w:keepLines/>
            </w:pPr>
            <w:r w:rsidRPr="00FD274F">
              <w:t>1 April 20</w:t>
            </w:r>
            <w:r>
              <w:t>2</w:t>
            </w:r>
            <w:r w:rsidRPr="00FD274F">
              <w:t>5</w:t>
            </w:r>
          </w:p>
        </w:tc>
      </w:tr>
      <w:tr w:rsidR="00A83991" w:rsidRPr="00FD274F" w14:paraId="2558C208" w14:textId="77777777" w:rsidTr="00A83991">
        <w:tc>
          <w:tcPr>
            <w:tcW w:w="3384" w:type="dxa"/>
            <w:tcBorders>
              <w:bottom w:val="single" w:sz="12" w:space="0" w:color="auto"/>
            </w:tcBorders>
          </w:tcPr>
          <w:p w14:paraId="1080B993" w14:textId="77777777" w:rsidR="00A83991" w:rsidRPr="00FD274F" w:rsidRDefault="00A83991" w:rsidP="00A83991">
            <w:pPr>
              <w:pStyle w:val="Tabletext"/>
              <w:keepNext/>
              <w:keepLines/>
            </w:pPr>
            <w:r w:rsidRPr="00FD274F">
              <w:t>2 April 20</w:t>
            </w:r>
            <w:r>
              <w:t>1</w:t>
            </w:r>
            <w:r w:rsidRPr="00FD274F">
              <w:t>5</w:t>
            </w:r>
          </w:p>
        </w:tc>
        <w:tc>
          <w:tcPr>
            <w:tcW w:w="3846" w:type="dxa"/>
            <w:tcBorders>
              <w:bottom w:val="single" w:sz="12" w:space="0" w:color="auto"/>
            </w:tcBorders>
          </w:tcPr>
          <w:p w14:paraId="355BFF2A" w14:textId="77777777" w:rsidR="00A83991" w:rsidRPr="00FD274F" w:rsidRDefault="00A83991" w:rsidP="00A83991">
            <w:pPr>
              <w:pStyle w:val="Tabletext"/>
              <w:keepNext/>
              <w:keepLines/>
            </w:pPr>
            <w:r w:rsidRPr="00FD274F">
              <w:t>1 October 20</w:t>
            </w:r>
            <w:r>
              <w:t>2</w:t>
            </w:r>
            <w:r w:rsidRPr="00FD274F">
              <w:t>5</w:t>
            </w:r>
          </w:p>
        </w:tc>
      </w:tr>
    </w:tbl>
    <w:p w14:paraId="5918633A" w14:textId="77777777" w:rsidR="00A83991" w:rsidRPr="00FD274F" w:rsidRDefault="00A83991" w:rsidP="00A83991">
      <w:pPr>
        <w:pStyle w:val="Head4"/>
      </w:pPr>
      <w:bookmarkStart w:id="261" w:name="_Toc223687833"/>
      <w:r>
        <w:t>A</w:t>
      </w:r>
      <w:r w:rsidRPr="00FD274F">
        <w:t>dvance notice of sunsetting</w:t>
      </w:r>
      <w:bookmarkEnd w:id="261"/>
    </w:p>
    <w:p w14:paraId="17A39C5D" w14:textId="168E38D4" w:rsidR="00A83991" w:rsidRPr="00FD274F" w:rsidRDefault="00A83991" w:rsidP="00A83991">
      <w:pPr>
        <w:pStyle w:val="BodyNum"/>
      </w:pPr>
      <w:r w:rsidRPr="00FD274F">
        <w:t>The Attorney</w:t>
      </w:r>
      <w:r>
        <w:noBreakHyphen/>
      </w:r>
      <w:r w:rsidRPr="00FD274F">
        <w:t xml:space="preserve">General is required to table a list of all the instruments due to sunset on a given sunset date. The list </w:t>
      </w:r>
      <w:r w:rsidRPr="00C55DA3">
        <w:t>must be tabled in each House of the Parliament on the first sitting day within 18 months before that date (</w:t>
      </w:r>
      <w:hyperlink r:id="rId624" w:history="1">
        <w:hyperlink r:id="rId625" w:history="1">
          <w:hyperlink r:id="rId626" w:history="1">
            <w:hyperlink r:id="rId627" w:history="1">
              <w:r w:rsidRPr="00C55DA3">
                <w:rPr>
                  <w:rStyle w:val="Hyperlink"/>
                </w:rPr>
                <w:t>LA</w:t>
              </w:r>
            </w:hyperlink>
            <w:r w:rsidRPr="00C55DA3">
              <w:rPr>
                <w:rStyle w:val="Hyperlink"/>
              </w:rPr>
              <w:t xml:space="preserve"> </w:t>
            </w:r>
          </w:hyperlink>
        </w:hyperlink>
      </w:hyperlink>
      <w:r w:rsidRPr="00C55DA3">
        <w:t>s 52). Th</w:t>
      </w:r>
      <w:r w:rsidRPr="00FD274F">
        <w:t xml:space="preserve">e exact date of tabling will vary, but some of </w:t>
      </w:r>
      <w:r>
        <w:t>the key dates are as follows:</w:t>
      </w:r>
      <w:r>
        <w:br/>
      </w:r>
    </w:p>
    <w:tbl>
      <w:tblPr>
        <w:tblW w:w="723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384"/>
        <w:gridCol w:w="3846"/>
      </w:tblGrid>
      <w:tr w:rsidR="00A83991" w:rsidRPr="00FD274F" w14:paraId="152264E1" w14:textId="77777777" w:rsidTr="00A83991">
        <w:trPr>
          <w:tblHeader/>
        </w:trPr>
        <w:tc>
          <w:tcPr>
            <w:tcW w:w="3384" w:type="dxa"/>
            <w:tcBorders>
              <w:top w:val="single" w:sz="12" w:space="0" w:color="auto"/>
              <w:bottom w:val="single" w:sz="12" w:space="0" w:color="auto"/>
            </w:tcBorders>
          </w:tcPr>
          <w:p w14:paraId="7AB24BA9" w14:textId="77777777" w:rsidR="00A83991" w:rsidRPr="00FD274F" w:rsidRDefault="00A83991" w:rsidP="00A83991">
            <w:pPr>
              <w:pStyle w:val="TableHeading"/>
            </w:pPr>
            <w:r w:rsidRPr="00FD274F">
              <w:t>Sunsetting date</w:t>
            </w:r>
          </w:p>
        </w:tc>
        <w:tc>
          <w:tcPr>
            <w:tcW w:w="3846" w:type="dxa"/>
            <w:tcBorders>
              <w:top w:val="single" w:sz="12" w:space="0" w:color="auto"/>
              <w:bottom w:val="single" w:sz="12" w:space="0" w:color="auto"/>
            </w:tcBorders>
          </w:tcPr>
          <w:p w14:paraId="250D9539" w14:textId="77777777" w:rsidR="00A83991" w:rsidRPr="00FD274F" w:rsidRDefault="00A83991" w:rsidP="00A83991">
            <w:pPr>
              <w:pStyle w:val="TableHeading"/>
            </w:pPr>
            <w:r w:rsidRPr="00FD274F">
              <w:t>List tabling date</w:t>
            </w:r>
          </w:p>
        </w:tc>
      </w:tr>
      <w:tr w:rsidR="00A83991" w:rsidRPr="00FD274F" w14:paraId="3C9A9EEE" w14:textId="77777777" w:rsidTr="00A83991">
        <w:tc>
          <w:tcPr>
            <w:tcW w:w="3384" w:type="dxa"/>
            <w:tcBorders>
              <w:top w:val="single" w:sz="12" w:space="0" w:color="auto"/>
            </w:tcBorders>
          </w:tcPr>
          <w:p w14:paraId="6384D5EA" w14:textId="77777777" w:rsidR="00A83991" w:rsidRPr="00FD274F" w:rsidRDefault="00A83991" w:rsidP="00A83991">
            <w:pPr>
              <w:pStyle w:val="Tabletext"/>
            </w:pPr>
            <w:r w:rsidRPr="00FD274F">
              <w:t>1 October 20</w:t>
            </w:r>
            <w:r>
              <w:t>2</w:t>
            </w:r>
            <w:r w:rsidRPr="00FD274F">
              <w:t>7</w:t>
            </w:r>
          </w:p>
        </w:tc>
        <w:tc>
          <w:tcPr>
            <w:tcW w:w="3846" w:type="dxa"/>
            <w:tcBorders>
              <w:top w:val="single" w:sz="12" w:space="0" w:color="auto"/>
            </w:tcBorders>
          </w:tcPr>
          <w:p w14:paraId="7A0F6B77" w14:textId="77777777" w:rsidR="00A83991" w:rsidRPr="00FD274F" w:rsidRDefault="00A83991" w:rsidP="00A83991">
            <w:pPr>
              <w:pStyle w:val="Tabletext"/>
            </w:pPr>
            <w:r w:rsidRPr="00FD274F">
              <w:t>First sitting day on or after 1 April 20</w:t>
            </w:r>
            <w:r>
              <w:t>2</w:t>
            </w:r>
            <w:r w:rsidRPr="00FD274F">
              <w:t>6</w:t>
            </w:r>
          </w:p>
        </w:tc>
      </w:tr>
      <w:tr w:rsidR="00A83991" w:rsidRPr="00FD274F" w14:paraId="1B188F94" w14:textId="77777777" w:rsidTr="00A83991">
        <w:tc>
          <w:tcPr>
            <w:tcW w:w="3384" w:type="dxa"/>
            <w:tcBorders>
              <w:bottom w:val="single" w:sz="4" w:space="0" w:color="auto"/>
            </w:tcBorders>
          </w:tcPr>
          <w:p w14:paraId="12CFDD1E" w14:textId="77777777" w:rsidR="00A83991" w:rsidRPr="00FD274F" w:rsidRDefault="00A83991" w:rsidP="00A83991">
            <w:pPr>
              <w:pStyle w:val="Tabletext"/>
            </w:pPr>
            <w:r w:rsidRPr="00FD274F">
              <w:t>1 April 20</w:t>
            </w:r>
            <w:r>
              <w:t>2</w:t>
            </w:r>
            <w:r w:rsidRPr="00FD274F">
              <w:t>8</w:t>
            </w:r>
          </w:p>
        </w:tc>
        <w:tc>
          <w:tcPr>
            <w:tcW w:w="3846" w:type="dxa"/>
            <w:tcBorders>
              <w:bottom w:val="single" w:sz="4" w:space="0" w:color="auto"/>
            </w:tcBorders>
          </w:tcPr>
          <w:p w14:paraId="4B627468" w14:textId="77777777" w:rsidR="00A83991" w:rsidRPr="00FD274F" w:rsidRDefault="00A83991" w:rsidP="00A83991">
            <w:pPr>
              <w:pStyle w:val="Tabletext"/>
            </w:pPr>
            <w:r w:rsidRPr="00FD274F">
              <w:t>First sitting day on or after 1 October 20</w:t>
            </w:r>
            <w:r>
              <w:t>2</w:t>
            </w:r>
            <w:r w:rsidRPr="00FD274F">
              <w:t>6</w:t>
            </w:r>
          </w:p>
        </w:tc>
      </w:tr>
      <w:tr w:rsidR="00A83991" w:rsidRPr="00FD274F" w14:paraId="7EF06AC1" w14:textId="77777777" w:rsidTr="00A83991">
        <w:tc>
          <w:tcPr>
            <w:tcW w:w="3384" w:type="dxa"/>
            <w:tcBorders>
              <w:bottom w:val="single" w:sz="12" w:space="0" w:color="auto"/>
            </w:tcBorders>
          </w:tcPr>
          <w:p w14:paraId="1848D36B" w14:textId="77777777" w:rsidR="00A83991" w:rsidRPr="00FD274F" w:rsidRDefault="00A83991" w:rsidP="00A83991">
            <w:pPr>
              <w:pStyle w:val="Tabletext"/>
            </w:pPr>
            <w:r w:rsidRPr="00FD274F">
              <w:t>1 October 20</w:t>
            </w:r>
            <w:r>
              <w:t>2</w:t>
            </w:r>
            <w:r w:rsidRPr="00FD274F">
              <w:t>8</w:t>
            </w:r>
          </w:p>
        </w:tc>
        <w:tc>
          <w:tcPr>
            <w:tcW w:w="3846" w:type="dxa"/>
            <w:tcBorders>
              <w:bottom w:val="single" w:sz="12" w:space="0" w:color="auto"/>
            </w:tcBorders>
          </w:tcPr>
          <w:p w14:paraId="3CE3819E" w14:textId="77777777" w:rsidR="00A83991" w:rsidRPr="00FD274F" w:rsidRDefault="00A83991" w:rsidP="00A83991">
            <w:pPr>
              <w:pStyle w:val="Tabletext"/>
            </w:pPr>
            <w:r w:rsidRPr="00FD274F">
              <w:t>First sitting day on or after 1 April 20</w:t>
            </w:r>
            <w:r>
              <w:t>2</w:t>
            </w:r>
            <w:r w:rsidRPr="00FD274F">
              <w:t>7</w:t>
            </w:r>
          </w:p>
        </w:tc>
      </w:tr>
    </w:tbl>
    <w:p w14:paraId="683C5E94" w14:textId="131BCC4D" w:rsidR="00A83991" w:rsidRDefault="00A83991" w:rsidP="00A83991">
      <w:pPr>
        <w:pStyle w:val="BodyNum"/>
        <w:keepLines/>
      </w:pPr>
      <w:r w:rsidRPr="00FD274F">
        <w:t>Tabled lists are available on the Register</w:t>
      </w:r>
      <w:r w:rsidRPr="00FD274F">
        <w:rPr>
          <w:rStyle w:val="FootnoteReference"/>
        </w:rPr>
        <w:footnoteReference w:id="43"/>
      </w:r>
      <w:r w:rsidRPr="00FD274F">
        <w:t>. Newly tabled lists are available on the website as soon as possible after tabling in accordance with the current Guidelines for the Presentation of Documents to the Parliamen</w:t>
      </w:r>
      <w:r w:rsidRPr="00FD274F">
        <w:rPr>
          <w:color w:val="000000" w:themeColor="text1"/>
        </w:rPr>
        <w:t>t</w:t>
      </w:r>
      <w:r w:rsidRPr="00FD274F">
        <w:rPr>
          <w:rStyle w:val="FootnoteReference"/>
          <w:color w:val="000000" w:themeColor="text1"/>
        </w:rPr>
        <w:footnoteReference w:id="44"/>
      </w:r>
      <w:r w:rsidRPr="00FD274F">
        <w:rPr>
          <w:color w:val="000000" w:themeColor="text1"/>
        </w:rPr>
        <w:t>. I</w:t>
      </w:r>
      <w:r w:rsidRPr="00FD274F">
        <w:t xml:space="preserve">n accordance </w:t>
      </w:r>
      <w:r w:rsidRPr="00C55DA3">
        <w:t>with subsection 52(3)</w:t>
      </w:r>
      <w:r w:rsidRPr="00FD274F">
        <w:t xml:space="preserve"> of the </w:t>
      </w:r>
      <w:hyperlink r:id="rId628" w:history="1">
        <w:r w:rsidRPr="00FD274F">
          <w:rPr>
            <w:rStyle w:val="Hyperlink"/>
          </w:rPr>
          <w:t>LA</w:t>
        </w:r>
      </w:hyperlink>
      <w:r w:rsidRPr="00FD274F">
        <w:rPr>
          <w:rStyle w:val="Hyperlink"/>
        </w:rPr>
        <w:t>,</w:t>
      </w:r>
      <w:r w:rsidRPr="00FD274F">
        <w:t xml:space="preserve"> OPC also provides the tabled list to each Departmental Secretary for distribution to each rule</w:t>
      </w:r>
      <w:r>
        <w:noBreakHyphen/>
      </w:r>
      <w:r w:rsidRPr="00FD274F">
        <w:t>maker within the portfolio as soon as practicable after the list is tabled.</w:t>
      </w:r>
    </w:p>
    <w:p w14:paraId="6F054654" w14:textId="77777777" w:rsidR="00A83991" w:rsidRPr="00FD274F" w:rsidRDefault="00A83991" w:rsidP="00A83991">
      <w:pPr>
        <w:pStyle w:val="BodyNum"/>
      </w:pPr>
      <w:r>
        <w:t>OPC also provides a list of instruments due to sunset in 6 and 12 months to all agency Legislation Liaison Officers. This list is not tabled in each House of the Parliament but is provided for information only. This is so agencies can take into account any changes that have occurred since lists of instruments due to sunset in 18 months were tabled in each House of Parliament and to assist agencies in managing their sunsetting instruments to ensure the timely remaking or repeal of sunsetting instruments.</w:t>
      </w:r>
    </w:p>
    <w:p w14:paraId="3867FA4E" w14:textId="4507D25B" w:rsidR="00A83991" w:rsidRPr="00FD274F" w:rsidRDefault="00A83991" w:rsidP="00A83991">
      <w:pPr>
        <w:pStyle w:val="BodyNum"/>
      </w:pPr>
      <w:r w:rsidRPr="00FD274F">
        <w:t>Up</w:t>
      </w:r>
      <w:r>
        <w:noBreakHyphen/>
      </w:r>
      <w:r w:rsidRPr="00FD274F">
        <w:t>to</w:t>
      </w:r>
      <w:r>
        <w:noBreakHyphen/>
      </w:r>
      <w:r w:rsidRPr="00FD274F">
        <w:t>date information on all t</w:t>
      </w:r>
      <w:r w:rsidRPr="00FD274F">
        <w:rPr>
          <w:szCs w:val="24"/>
        </w:rPr>
        <w:t>he instruments due to sunset within 18 months</w:t>
      </w:r>
      <w:r w:rsidRPr="00FD274F">
        <w:rPr>
          <w:rStyle w:val="FootnoteReference"/>
          <w:szCs w:val="24"/>
        </w:rPr>
        <w:footnoteReference w:id="45"/>
      </w:r>
      <w:r w:rsidRPr="00FD274F">
        <w:rPr>
          <w:szCs w:val="24"/>
        </w:rPr>
        <w:t xml:space="preserve"> and details of a particular instrument’s current sunset date can be obtained from the Register website. Agency</w:t>
      </w:r>
      <w:r>
        <w:rPr>
          <w:szCs w:val="24"/>
        </w:rPr>
        <w:noBreakHyphen/>
      </w:r>
      <w:r w:rsidRPr="00FD274F">
        <w:rPr>
          <w:szCs w:val="24"/>
        </w:rPr>
        <w:t xml:space="preserve">specific reports on instruments that are not yet repealed can also be </w:t>
      </w:r>
      <w:r w:rsidRPr="00FD274F">
        <w:rPr>
          <w:szCs w:val="24"/>
        </w:rPr>
        <w:lastRenderedPageBreak/>
        <w:t xml:space="preserve">accessed, customised and downloaded to Microsoft Excel through the secure </w:t>
      </w:r>
      <w:r w:rsidRPr="00F6707A">
        <w:rPr>
          <w:szCs w:val="24"/>
        </w:rPr>
        <w:t>lodgement facility</w:t>
      </w:r>
      <w:r w:rsidRPr="00FD274F">
        <w:rPr>
          <w:szCs w:val="24"/>
        </w:rPr>
        <w:t xml:space="preserve"> </w:t>
      </w:r>
      <w:hyperlink r:id="rId629" w:history="1">
        <w:r w:rsidRPr="00FD274F">
          <w:rPr>
            <w:rStyle w:val="Hyperlink"/>
            <w:szCs w:val="24"/>
            <w:lang w:eastAsia="en-US"/>
          </w:rPr>
          <w:t>https://lodge.legislation.gov.au</w:t>
        </w:r>
      </w:hyperlink>
      <w:r>
        <w:rPr>
          <w:color w:val="1F497D"/>
          <w:szCs w:val="24"/>
          <w:lang w:eastAsia="en-US"/>
        </w:rPr>
        <w:t>.</w:t>
      </w:r>
    </w:p>
    <w:p w14:paraId="07FA4A7F" w14:textId="77777777" w:rsidR="00A83991" w:rsidRPr="00FD274F" w:rsidRDefault="00A83991" w:rsidP="00A83991">
      <w:pPr>
        <w:pStyle w:val="Head3"/>
      </w:pPr>
      <w:bookmarkStart w:id="262" w:name="_Toc223687834"/>
      <w:r w:rsidRPr="00FD274F">
        <w:t>What to do about sunsetting</w:t>
      </w:r>
      <w:bookmarkEnd w:id="262"/>
    </w:p>
    <w:p w14:paraId="445EA1DD" w14:textId="0A8C49E9" w:rsidR="00CA3224" w:rsidRDefault="00CA3224" w:rsidP="00041596">
      <w:pPr>
        <w:pStyle w:val="BodyNum"/>
      </w:pPr>
      <w:r>
        <w:t xml:space="preserve">It is essential to be actively managing sunsetting instruments early. For information in relation to timeframes to appropriately manage sunsetting instruments, see </w:t>
      </w:r>
      <w:hyperlink r:id="rId630" w:history="1">
        <w:r>
          <w:rPr>
            <w:rStyle w:val="Hyperlink"/>
          </w:rPr>
          <w:t>Instrument Drafting Guidance Note No. 1.4 Timeframes for the development of instruments (opc.gov.au)</w:t>
        </w:r>
      </w:hyperlink>
      <w:r>
        <w:t>.</w:t>
      </w:r>
      <w:r w:rsidR="00041596">
        <w:t xml:space="preserve"> </w:t>
      </w:r>
      <w:r>
        <w:t>Early action is essential</w:t>
      </w:r>
      <w:r w:rsidR="00041596">
        <w:t>,</w:t>
      </w:r>
      <w:r>
        <w:t xml:space="preserve"> particularly if:</w:t>
      </w:r>
    </w:p>
    <w:p w14:paraId="6D1D8702" w14:textId="77777777" w:rsidR="00A83991" w:rsidRPr="00FD274F" w:rsidRDefault="00A83991" w:rsidP="00A83991">
      <w:pPr>
        <w:pStyle w:val="BodyPara"/>
      </w:pPr>
      <w:r w:rsidRPr="00FD274F">
        <w:t>a change in sunset date may be appropriate e.g. to facilitate a thematic rev</w:t>
      </w:r>
      <w:r>
        <w:t>iew of multiple instruments; or</w:t>
      </w:r>
    </w:p>
    <w:p w14:paraId="20D140A1" w14:textId="77777777" w:rsidR="00A83991" w:rsidRPr="00FD274F" w:rsidRDefault="00A83991" w:rsidP="00A83991">
      <w:pPr>
        <w:pStyle w:val="BodyPara"/>
      </w:pPr>
      <w:r w:rsidRPr="00FD274F">
        <w:t>an instrument’s inclusion in a tabled sunsetting list is likely to cause significant parl</w:t>
      </w:r>
      <w:r>
        <w:t>iamentary or public concern; or</w:t>
      </w:r>
    </w:p>
    <w:p w14:paraId="16A91F5B" w14:textId="77777777" w:rsidR="00A83991" w:rsidRPr="00FD274F" w:rsidRDefault="00A83991" w:rsidP="00A83991">
      <w:pPr>
        <w:pStyle w:val="BodyPara"/>
      </w:pPr>
      <w:r w:rsidRPr="00FD274F">
        <w:t>a parliamentary rollover or significant policy ch</w:t>
      </w:r>
      <w:r>
        <w:t>ange is likely to be sought; or</w:t>
      </w:r>
    </w:p>
    <w:p w14:paraId="7124A8BE" w14:textId="77777777" w:rsidR="00A83991" w:rsidRPr="00FD274F" w:rsidRDefault="00A83991" w:rsidP="00A83991">
      <w:pPr>
        <w:pStyle w:val="BodyPara"/>
      </w:pPr>
      <w:r w:rsidRPr="00FD274F">
        <w:t>an agency is responsible for a large number of sunsetting instruments.</w:t>
      </w:r>
    </w:p>
    <w:p w14:paraId="6FBE5ECC" w14:textId="158A1AA4" w:rsidR="00AC3C54" w:rsidRDefault="00AC3C54" w:rsidP="00A83991">
      <w:pPr>
        <w:pStyle w:val="BodyNum"/>
      </w:pPr>
      <w:r>
        <w:t>Best practice is for agencies to review all instruments 5 years after they have been made to ensure sufficient time to deal with sunsetting instruments.</w:t>
      </w:r>
    </w:p>
    <w:p w14:paraId="266A7431" w14:textId="02F53D7E" w:rsidR="00A83991" w:rsidRPr="00FD274F" w:rsidRDefault="00A83991" w:rsidP="00A83991">
      <w:pPr>
        <w:pStyle w:val="BodyNum"/>
      </w:pPr>
      <w:r w:rsidRPr="00FD274F">
        <w:t>Many instruments are “one</w:t>
      </w:r>
      <w:r>
        <w:noBreakHyphen/>
      </w:r>
      <w:r w:rsidRPr="00FD274F">
        <w:t>off” instruments that have been created for a particular event or period, or for the sole purpose of doing something to another instrument (e.g. commencing, amending or repealing the other instrument). These instruments are usually easy to identify and may be subject to automatic repeal. If not, they should be repealed once they have done their job. For further guidance on repeal proce</w:t>
      </w:r>
      <w:r w:rsidRPr="008C5E45">
        <w:t xml:space="preserve">sses, see paragraph </w:t>
      </w:r>
      <w:r w:rsidRPr="00C55DA3">
        <w:fldChar w:fldCharType="begin"/>
      </w:r>
      <w:r w:rsidRPr="008C5E45">
        <w:instrText xml:space="preserve"> REF _Ref367446866 \r \h  \* MERGEFORMAT </w:instrText>
      </w:r>
      <w:r w:rsidRPr="00C55DA3">
        <w:fldChar w:fldCharType="separate"/>
      </w:r>
      <w:r w:rsidR="00AB105F">
        <w:t>245</w:t>
      </w:r>
      <w:r w:rsidRPr="00C55DA3">
        <w:fldChar w:fldCharType="end"/>
      </w:r>
      <w:r w:rsidRPr="008C5E45">
        <w:t>.</w:t>
      </w:r>
    </w:p>
    <w:p w14:paraId="5CF83651" w14:textId="3392535A" w:rsidR="00A83991" w:rsidRPr="00FD274F" w:rsidRDefault="00A83991" w:rsidP="00A83991">
      <w:pPr>
        <w:pStyle w:val="BodyNum"/>
        <w:keepLines/>
      </w:pPr>
      <w:bookmarkStart w:id="263" w:name="_Ref378066686"/>
      <w:r w:rsidRPr="00FD274F">
        <w:t>If an instrument is still required, or if there is doubt about whether it is still required, the rule</w:t>
      </w:r>
      <w:r>
        <w:noBreakHyphen/>
      </w:r>
      <w:r w:rsidRPr="00FD274F">
        <w:t>making agency should undertake a more in</w:t>
      </w:r>
      <w:r>
        <w:noBreakHyphen/>
      </w:r>
      <w:r w:rsidRPr="00FD274F">
        <w:t xml:space="preserve">depth review of whether the instrument is “fit for purpose”. For further guidance on how to prepare for and review sunsetting instruments, </w:t>
      </w:r>
      <w:r>
        <w:t xml:space="preserve">see the Sunsetting Checklist in Appendix A of this Handbook, </w:t>
      </w:r>
      <w:r w:rsidRPr="00FD274F">
        <w:t>the AGD Guide to Managing Sunsetting of Legislative Instruments</w:t>
      </w:r>
      <w:r w:rsidRPr="00FD274F">
        <w:rPr>
          <w:rStyle w:val="FootnoteReference"/>
        </w:rPr>
        <w:footnoteReference w:id="46"/>
      </w:r>
      <w:r w:rsidRPr="00FD274F">
        <w:t xml:space="preserve"> or contact AGD </w:t>
      </w:r>
      <w:r w:rsidR="00013F97" w:rsidRPr="00FD274F">
        <w:t>(</w:t>
      </w:r>
      <w:r w:rsidR="00013F97">
        <w:t xml:space="preserve">email </w:t>
      </w:r>
      <w:hyperlink r:id="rId631" w:history="1">
        <w:r w:rsidR="00013F97" w:rsidRPr="00FD274F">
          <w:rPr>
            <w:rStyle w:val="Hyperlink"/>
          </w:rPr>
          <w:t>sunsetting@ag.gov.au</w:t>
        </w:r>
      </w:hyperlink>
      <w:r w:rsidR="00013F97" w:rsidRPr="00FD274F">
        <w:t xml:space="preserve"> or </w:t>
      </w:r>
      <w:r w:rsidR="00013F97">
        <w:t xml:space="preserve">call the AGD Switchboard on </w:t>
      </w:r>
      <w:r w:rsidR="00013F97" w:rsidRPr="00E277CA">
        <w:t>(02) 6141 6666</w:t>
      </w:r>
      <w:r w:rsidR="00013F97">
        <w:t xml:space="preserve"> and ask to be redirected to the Administrative Law Section</w:t>
      </w:r>
      <w:r w:rsidR="00013F97" w:rsidRPr="00F409B4">
        <w:t>)</w:t>
      </w:r>
      <w:r w:rsidRPr="00FD274F">
        <w:t>.</w:t>
      </w:r>
      <w:bookmarkEnd w:id="263"/>
    </w:p>
    <w:p w14:paraId="3948BC4F" w14:textId="0676EB4D" w:rsidR="00A83991" w:rsidRPr="00FD274F" w:rsidRDefault="00A83991" w:rsidP="00A83991">
      <w:pPr>
        <w:pStyle w:val="BodyNum"/>
      </w:pPr>
      <w:r w:rsidRPr="00FD274F">
        <w:t xml:space="preserve">Agencies planning reviews should also have regard to the Australian Government’s </w:t>
      </w:r>
      <w:r w:rsidR="00E50844">
        <w:t>Impact Analysis Framework</w:t>
      </w:r>
      <w:r w:rsidRPr="00FD274F">
        <w:t xml:space="preserve">. For further guidance, please contact </w:t>
      </w:r>
      <w:proofErr w:type="spellStart"/>
      <w:r w:rsidR="00741192">
        <w:t>OIA</w:t>
      </w:r>
      <w:proofErr w:type="spellEnd"/>
      <w:r w:rsidRPr="00FD274F">
        <w:t xml:space="preserve"> (</w:t>
      </w:r>
      <w:hyperlink r:id="rId632" w:history="1">
        <w:r w:rsidRPr="00FD274F">
          <w:rPr>
            <w:rStyle w:val="Hyperlink"/>
          </w:rPr>
          <w:t>helpdesk</w:t>
        </w:r>
        <w:r>
          <w:rPr>
            <w:rStyle w:val="Hyperlink"/>
          </w:rPr>
          <w:noBreakHyphen/>
        </w:r>
        <w:r w:rsidR="00741192">
          <w:rPr>
            <w:rStyle w:val="Hyperlink"/>
          </w:rPr>
          <w:t>OIA</w:t>
        </w:r>
        <w:r w:rsidRPr="00FD274F">
          <w:rPr>
            <w:rStyle w:val="Hyperlink"/>
          </w:rPr>
          <w:t>@pmc.gov.au</w:t>
        </w:r>
      </w:hyperlink>
      <w:r w:rsidRPr="00FD274F">
        <w:rPr>
          <w:rStyle w:val="Hyperlink"/>
        </w:rPr>
        <w:t xml:space="preserve"> </w:t>
      </w:r>
      <w:r w:rsidRPr="00FD274F">
        <w:t>or (02) 6271 6270).</w:t>
      </w:r>
    </w:p>
    <w:p w14:paraId="366CF858" w14:textId="5800D58D" w:rsidR="00A83991" w:rsidRPr="008C5E45" w:rsidRDefault="00A83991" w:rsidP="00A83991">
      <w:pPr>
        <w:pStyle w:val="BodyNum"/>
      </w:pPr>
      <w:r w:rsidRPr="00FD274F">
        <w:t xml:space="preserve">An instrument that is “fit for purpose” can be considered for a parliamentary rollover </w:t>
      </w:r>
      <w:r w:rsidRPr="008C5E45">
        <w:t xml:space="preserve">(see paragraphs </w:t>
      </w:r>
      <w:r w:rsidRPr="00C55DA3">
        <w:fldChar w:fldCharType="begin"/>
      </w:r>
      <w:r w:rsidRPr="008C5E45">
        <w:instrText xml:space="preserve"> REF _Ref367447300 \r \h </w:instrText>
      </w:r>
      <w:r>
        <w:rPr>
          <w:highlight w:val="yellow"/>
        </w:rPr>
        <w:instrText xml:space="preserve"> \* MERGEFORMAT </w:instrText>
      </w:r>
      <w:r w:rsidRPr="00C55DA3">
        <w:fldChar w:fldCharType="separate"/>
      </w:r>
      <w:r w:rsidR="00AB105F">
        <w:t>385</w:t>
      </w:r>
      <w:r w:rsidRPr="00C55DA3">
        <w:fldChar w:fldCharType="end"/>
      </w:r>
      <w:r w:rsidRPr="008C5E45">
        <w:t xml:space="preserve"> to </w:t>
      </w:r>
      <w:r w:rsidRPr="00C55DA3">
        <w:fldChar w:fldCharType="begin"/>
      </w:r>
      <w:r w:rsidRPr="008C5E45">
        <w:instrText xml:space="preserve"> REF _Ref29484918 \r \h </w:instrText>
      </w:r>
      <w:r>
        <w:rPr>
          <w:highlight w:val="yellow"/>
        </w:rPr>
        <w:instrText xml:space="preserve"> \* MERGEFORMAT </w:instrText>
      </w:r>
      <w:r w:rsidRPr="00C55DA3">
        <w:fldChar w:fldCharType="separate"/>
      </w:r>
      <w:r w:rsidR="00AB105F">
        <w:t>392</w:t>
      </w:r>
      <w:r w:rsidRPr="00C55DA3">
        <w:fldChar w:fldCharType="end"/>
      </w:r>
      <w:r w:rsidRPr="008C5E45">
        <w:t>).</w:t>
      </w:r>
      <w:r w:rsidRPr="00FD274F">
        <w:t xml:space="preserve"> Otherwise, the instrument should be remade (</w:t>
      </w:r>
      <w:r w:rsidRPr="008C5E45">
        <w:t xml:space="preserve">see paragraphs </w:t>
      </w:r>
      <w:r w:rsidRPr="00C55DA3">
        <w:fldChar w:fldCharType="begin"/>
      </w:r>
      <w:r w:rsidRPr="008C5E45">
        <w:instrText xml:space="preserve"> REF _Ref29484941 \r \h </w:instrText>
      </w:r>
      <w:r>
        <w:rPr>
          <w:highlight w:val="yellow"/>
        </w:rPr>
        <w:instrText xml:space="preserve"> \* MERGEFORMAT </w:instrText>
      </w:r>
      <w:r w:rsidRPr="00C55DA3">
        <w:fldChar w:fldCharType="separate"/>
      </w:r>
      <w:r w:rsidR="00AB105F">
        <w:t>393</w:t>
      </w:r>
      <w:r w:rsidRPr="00C55DA3">
        <w:fldChar w:fldCharType="end"/>
      </w:r>
      <w:r w:rsidRPr="008C5E45">
        <w:t xml:space="preserve"> to </w:t>
      </w:r>
      <w:r w:rsidRPr="00C55DA3">
        <w:fldChar w:fldCharType="begin"/>
      </w:r>
      <w:r w:rsidRPr="008C5E45">
        <w:instrText xml:space="preserve"> REF _Ref378080360 \r \h </w:instrText>
      </w:r>
      <w:r>
        <w:rPr>
          <w:highlight w:val="yellow"/>
        </w:rPr>
        <w:instrText xml:space="preserve"> \* MERGEFORMAT </w:instrText>
      </w:r>
      <w:r w:rsidRPr="00C55DA3">
        <w:fldChar w:fldCharType="separate"/>
      </w:r>
      <w:r w:rsidR="00AB105F">
        <w:t>406</w:t>
      </w:r>
      <w:r w:rsidRPr="00C55DA3">
        <w:fldChar w:fldCharType="end"/>
      </w:r>
      <w:r w:rsidRPr="008C5E45">
        <w:t>).</w:t>
      </w:r>
    </w:p>
    <w:p w14:paraId="0D80130D" w14:textId="77777777" w:rsidR="00A83991" w:rsidRPr="00FD274F" w:rsidRDefault="00A83991" w:rsidP="00A83991">
      <w:pPr>
        <w:pStyle w:val="Head3"/>
      </w:pPr>
      <w:bookmarkStart w:id="264" w:name="_Toc223687835"/>
      <w:r w:rsidRPr="00FD274F">
        <w:lastRenderedPageBreak/>
        <w:t>Scope to negotiate minor changes in sunset date</w:t>
      </w:r>
      <w:bookmarkEnd w:id="264"/>
    </w:p>
    <w:p w14:paraId="05678D5A" w14:textId="47EA1527" w:rsidR="00A83991" w:rsidRPr="00FD274F" w:rsidRDefault="00A83991" w:rsidP="00A83991">
      <w:pPr>
        <w:pStyle w:val="BodyNum"/>
      </w:pPr>
      <w:bookmarkStart w:id="265" w:name="_Ref384350103"/>
      <w:r w:rsidRPr="00FD274F">
        <w:t>Th</w:t>
      </w:r>
      <w:r w:rsidRPr="00C55DA3">
        <w:t xml:space="preserve">e </w:t>
      </w:r>
      <w:hyperlink r:id="rId633" w:history="1">
        <w:r w:rsidRPr="00C55DA3">
          <w:rPr>
            <w:rStyle w:val="Hyperlink"/>
          </w:rPr>
          <w:t>LA</w:t>
        </w:r>
      </w:hyperlink>
      <w:r w:rsidRPr="00C55DA3">
        <w:t xml:space="preserve"> re</w:t>
      </w:r>
      <w:r w:rsidRPr="00FD274F">
        <w:t>cognises that minor changes to default sunset dates may be appropriate in certain circumstances. It authorises the Attorney</w:t>
      </w:r>
      <w:r>
        <w:noBreakHyphen/>
      </w:r>
      <w:r w:rsidRPr="00FD274F">
        <w:t>General to:</w:t>
      </w:r>
      <w:bookmarkEnd w:id="265"/>
    </w:p>
    <w:p w14:paraId="70A66EF0" w14:textId="77777777" w:rsidR="00A83991" w:rsidRPr="00FD274F" w:rsidRDefault="00A83991" w:rsidP="00A83991">
      <w:pPr>
        <w:pStyle w:val="BodyPara"/>
      </w:pPr>
      <w:r w:rsidRPr="00FD274F">
        <w:t xml:space="preserve">align the sunset dates for related instruments to </w:t>
      </w:r>
      <w:r>
        <w:t>facilitate thematic review; and</w:t>
      </w:r>
    </w:p>
    <w:p w14:paraId="3BFAE4B3" w14:textId="77777777" w:rsidR="00A83991" w:rsidRPr="00FD274F" w:rsidRDefault="00A83991" w:rsidP="00A83991">
      <w:pPr>
        <w:pStyle w:val="BodyPara"/>
      </w:pPr>
      <w:r w:rsidRPr="00FD274F">
        <w:t xml:space="preserve">defer sunsetting by up to </w:t>
      </w:r>
      <w:r>
        <w:t>24</w:t>
      </w:r>
      <w:r w:rsidRPr="00FD274F">
        <w:t xml:space="preserve"> months if statutory conditions are met.</w:t>
      </w:r>
    </w:p>
    <w:p w14:paraId="23247614" w14:textId="77777777" w:rsidR="00A83991" w:rsidRPr="00FD274F" w:rsidRDefault="00A83991" w:rsidP="00A83991">
      <w:pPr>
        <w:pStyle w:val="Head4"/>
      </w:pPr>
      <w:bookmarkStart w:id="266" w:name="_Toc223687836"/>
      <w:r w:rsidRPr="00FD274F">
        <w:t>Declaration of thematic review under section 51A of the LA</w:t>
      </w:r>
      <w:bookmarkEnd w:id="266"/>
    </w:p>
    <w:p w14:paraId="48D2A8F1" w14:textId="77777777" w:rsidR="00A83991" w:rsidRPr="00FD274F" w:rsidRDefault="00A83991" w:rsidP="00A83991">
      <w:pPr>
        <w:pStyle w:val="BodyNum"/>
      </w:pPr>
      <w:r>
        <w:t>I</w:t>
      </w:r>
      <w:r w:rsidRPr="00FD274F">
        <w:t>t is possible to align the sunset dates for a group of instruments to facilitate a thematic review. This process may involve bringing forward some dates, and pushing others back by up to 5 years. It is not limited to instruments made under a single Act or administered by a single portfolio—instruments can be grouped on some other basis, such as a particular treaty or industry.</w:t>
      </w:r>
    </w:p>
    <w:p w14:paraId="54A810EC" w14:textId="770F10A5" w:rsidR="00A83991" w:rsidRPr="00FD274F" w:rsidRDefault="00A83991" w:rsidP="00A83991">
      <w:pPr>
        <w:pStyle w:val="BodyNum"/>
      </w:pPr>
      <w:r w:rsidRPr="00FD274F">
        <w:t>Safeguards have been enacted to ensure that this mechanism is used to support and not undermine the purpose of sunsetting. Among other thi</w:t>
      </w:r>
      <w:r w:rsidRPr="00C55DA3">
        <w:t xml:space="preserve">ngs, the </w:t>
      </w:r>
      <w:hyperlink r:id="rId634" w:history="1">
        <w:r w:rsidRPr="00C55DA3">
          <w:rPr>
            <w:rStyle w:val="Hyperlink"/>
          </w:rPr>
          <w:t>LA</w:t>
        </w:r>
      </w:hyperlink>
      <w:r w:rsidRPr="00C55DA3">
        <w:t xml:space="preserve"> requ</w:t>
      </w:r>
      <w:r w:rsidRPr="00FD274F">
        <w:t>ires:</w:t>
      </w:r>
    </w:p>
    <w:p w14:paraId="4E9E12BD" w14:textId="6FF06E90" w:rsidR="00A83991" w:rsidRPr="00DD1ADC" w:rsidRDefault="00A83991" w:rsidP="00A83991">
      <w:pPr>
        <w:pStyle w:val="BodyPara"/>
      </w:pPr>
      <w:r w:rsidRPr="00FD274F">
        <w:t>the responsible rule</w:t>
      </w:r>
      <w:r>
        <w:noBreakHyphen/>
      </w:r>
      <w:r w:rsidRPr="00FD274F">
        <w:t>maker to apply to the Attorney</w:t>
      </w:r>
      <w:r>
        <w:noBreakHyphen/>
      </w:r>
      <w:r w:rsidRPr="00FD274F">
        <w:t>General (</w:t>
      </w:r>
      <w:hyperlink r:id="rId635" w:history="1">
        <w:hyperlink r:id="rId636" w:history="1">
          <w:hyperlink r:id="rId637" w:history="1">
            <w:hyperlink r:id="rId638" w:history="1">
              <w:r w:rsidRPr="00DD1ADC">
                <w:rPr>
                  <w:rStyle w:val="Hyperlink"/>
                </w:rPr>
                <w:t>LA</w:t>
              </w:r>
            </w:hyperlink>
            <w:r w:rsidRPr="00DD1ADC">
              <w:rPr>
                <w:rStyle w:val="Hyperlink"/>
              </w:rPr>
              <w:t xml:space="preserve"> </w:t>
            </w:r>
          </w:hyperlink>
        </w:hyperlink>
      </w:hyperlink>
      <w:r w:rsidRPr="00DD1ADC">
        <w:t>s 51A(1)); and</w:t>
      </w:r>
    </w:p>
    <w:p w14:paraId="2141B0CF" w14:textId="5BE6F810" w:rsidR="00A83991" w:rsidRDefault="00A83991" w:rsidP="00A83991">
      <w:pPr>
        <w:pStyle w:val="BodyPara"/>
      </w:pPr>
      <w:r w:rsidRPr="00FD274F">
        <w:t>the Attorney</w:t>
      </w:r>
      <w:r>
        <w:noBreakHyphen/>
      </w:r>
      <w:r w:rsidRPr="00FD274F">
        <w:t>General to be satisfied that all the instruments to be reviewed are or will be subject to a single revi</w:t>
      </w:r>
      <w:r w:rsidRPr="00DD1ADC">
        <w:t>ew (</w:t>
      </w:r>
      <w:hyperlink r:id="rId639" w:history="1">
        <w:hyperlink r:id="rId640" w:history="1">
          <w:hyperlink r:id="rId641" w:history="1">
            <w:hyperlink r:id="rId642" w:history="1">
              <w:r w:rsidRPr="00DD1ADC">
                <w:rPr>
                  <w:rStyle w:val="Hyperlink"/>
                </w:rPr>
                <w:t>LA</w:t>
              </w:r>
            </w:hyperlink>
            <w:r w:rsidRPr="00DD1ADC">
              <w:rPr>
                <w:rStyle w:val="Hyperlink"/>
              </w:rPr>
              <w:t xml:space="preserve"> </w:t>
            </w:r>
          </w:hyperlink>
        </w:hyperlink>
      </w:hyperlink>
      <w:r w:rsidRPr="00DD1ADC">
        <w:t>s 51A(1)(a)(ii)); a</w:t>
      </w:r>
      <w:r>
        <w:t>nd</w:t>
      </w:r>
    </w:p>
    <w:p w14:paraId="7028A7FF" w14:textId="49DC4AE0" w:rsidR="00A83991" w:rsidRPr="00FD274F" w:rsidRDefault="00A83991" w:rsidP="00A83991">
      <w:pPr>
        <w:pStyle w:val="BodyPara"/>
      </w:pPr>
      <w:r w:rsidRPr="00FD274F">
        <w:t>the Attorney</w:t>
      </w:r>
      <w:r>
        <w:noBreakHyphen/>
      </w:r>
      <w:r w:rsidRPr="00FD274F">
        <w:t>General to be satisfied</w:t>
      </w:r>
      <w:r>
        <w:t xml:space="preserve"> that</w:t>
      </w:r>
      <w:r w:rsidRPr="00FD274F">
        <w:t xml:space="preserve"> </w:t>
      </w:r>
      <w:r w:rsidRPr="00297797">
        <w:t xml:space="preserve">the making of the declaration will facilitate the undertaking of the review </w:t>
      </w:r>
      <w:r>
        <w:t>or</w:t>
      </w:r>
      <w:r w:rsidRPr="00297797">
        <w:t xml:space="preserve"> the implementation of </w:t>
      </w:r>
      <w:r>
        <w:t>the</w:t>
      </w:r>
      <w:r w:rsidRPr="00297797">
        <w:t xml:space="preserve"> findings </w:t>
      </w:r>
      <w:r>
        <w:t>of a completed revi</w:t>
      </w:r>
      <w:r w:rsidRPr="00DD1ADC">
        <w:t>ew (</w:t>
      </w:r>
      <w:hyperlink r:id="rId643" w:history="1">
        <w:hyperlink r:id="rId644" w:history="1">
          <w:hyperlink r:id="rId645" w:history="1">
            <w:hyperlink r:id="rId646" w:history="1">
              <w:r w:rsidRPr="00DD1ADC">
                <w:rPr>
                  <w:rStyle w:val="Hyperlink"/>
                </w:rPr>
                <w:t>LA</w:t>
              </w:r>
            </w:hyperlink>
            <w:r w:rsidRPr="00DD1ADC">
              <w:rPr>
                <w:rStyle w:val="Hyperlink"/>
              </w:rPr>
              <w:t xml:space="preserve"> </w:t>
            </w:r>
          </w:hyperlink>
        </w:hyperlink>
      </w:hyperlink>
      <w:r w:rsidRPr="00DD1ADC">
        <w:t>s 51A(1)(b)); a</w:t>
      </w:r>
      <w:r>
        <w:t>nd</w:t>
      </w:r>
    </w:p>
    <w:p w14:paraId="62C1E7AE" w14:textId="5208D6DF" w:rsidR="00A83991" w:rsidRDefault="00A83991" w:rsidP="00A83991">
      <w:pPr>
        <w:pStyle w:val="BodyPara"/>
      </w:pPr>
      <w:r w:rsidRPr="00FD274F">
        <w:t>the Attorney</w:t>
      </w:r>
      <w:r>
        <w:noBreakHyphen/>
      </w:r>
      <w:r w:rsidRPr="00FD274F">
        <w:t>General to make a declaration—this declaration is a legislative instrument that must be registere</w:t>
      </w:r>
      <w:r w:rsidRPr="00DD1ADC">
        <w:t>d (</w:t>
      </w:r>
      <w:hyperlink r:id="rId647" w:history="1">
        <w:r w:rsidR="00EE1543" w:rsidRPr="00DD1ADC">
          <w:rPr>
            <w:rStyle w:val="Hyperlink"/>
          </w:rPr>
          <w:t>LA</w:t>
        </w:r>
      </w:hyperlink>
      <w:hyperlink r:id="rId648" w:history="1">
        <w:r w:rsidR="00A73959" w:rsidRPr="00BD6320">
          <w:t xml:space="preserve"> </w:t>
        </w:r>
      </w:hyperlink>
      <w:r w:rsidRPr="00DD1ADC">
        <w:t>s 51A(1)) an</w:t>
      </w:r>
      <w:r>
        <w:t>d is subject to disallowance.</w:t>
      </w:r>
    </w:p>
    <w:p w14:paraId="43E1FCC4" w14:textId="77777777" w:rsidR="00A83991" w:rsidRPr="00FD274F" w:rsidRDefault="00A83991" w:rsidP="00A83991">
      <w:pPr>
        <w:pStyle w:val="BodyNum"/>
        <w:keepLines/>
      </w:pPr>
      <w:r w:rsidRPr="00FD274F">
        <w:t xml:space="preserve">A declaration of thematic review cannot revive an instrument that has already </w:t>
      </w:r>
      <w:proofErr w:type="spellStart"/>
      <w:r w:rsidRPr="00FD274F">
        <w:t>sunsetted</w:t>
      </w:r>
      <w:proofErr w:type="spellEnd"/>
      <w:r w:rsidRPr="00FD274F">
        <w:t>. Also, if a declaration is disallowed, any instrument named in the declaration that has passed its previous sunset date is repe</w:t>
      </w:r>
      <w:r>
        <w:t>aled</w:t>
      </w:r>
      <w:r w:rsidRPr="00FD274F">
        <w:t>. Consequently, any application for a declaration should be made well in advance of the earliest sunset date.</w:t>
      </w:r>
    </w:p>
    <w:p w14:paraId="4FAABD06" w14:textId="73EDC0C0" w:rsidR="00A83991" w:rsidRPr="00FD274F" w:rsidRDefault="00A83991" w:rsidP="00A83991">
      <w:pPr>
        <w:pStyle w:val="BodyNum"/>
      </w:pPr>
      <w:r w:rsidRPr="00FD274F">
        <w:t>For practical guidance on and assistance wi</w:t>
      </w:r>
      <w:r w:rsidRPr="00DD1ADC">
        <w:t>th section 51A applica</w:t>
      </w:r>
      <w:r w:rsidRPr="00FD274F">
        <w:t>tions, see the AGD Guide to Managing Sunsetting of Legislative Instruments</w:t>
      </w:r>
      <w:r w:rsidRPr="00FD274F">
        <w:rPr>
          <w:rStyle w:val="FootnoteReference"/>
        </w:rPr>
        <w:footnoteReference w:id="47"/>
      </w:r>
      <w:r w:rsidRPr="00FD274F">
        <w:rPr>
          <w:i/>
        </w:rPr>
        <w:t xml:space="preserve"> </w:t>
      </w:r>
      <w:r w:rsidRPr="00FD274F">
        <w:t xml:space="preserve">or contact AGD </w:t>
      </w:r>
      <w:r w:rsidR="00013F97" w:rsidRPr="00FD274F">
        <w:t>(</w:t>
      </w:r>
      <w:r w:rsidR="00013F97">
        <w:t xml:space="preserve">email </w:t>
      </w:r>
      <w:hyperlink r:id="rId649" w:history="1">
        <w:r w:rsidR="00013F97" w:rsidRPr="00FD274F">
          <w:rPr>
            <w:rStyle w:val="Hyperlink"/>
          </w:rPr>
          <w:t>sunsetting@ag.gov.au</w:t>
        </w:r>
      </w:hyperlink>
      <w:r w:rsidR="00013F97" w:rsidRPr="00FD274F">
        <w:t xml:space="preserve"> or </w:t>
      </w:r>
      <w:r w:rsidR="00013F97">
        <w:t xml:space="preserve">call the AGD Switchboard on </w:t>
      </w:r>
      <w:r w:rsidR="00013F97" w:rsidRPr="00E277CA">
        <w:t>(02) 6141 6666</w:t>
      </w:r>
      <w:r w:rsidR="00013F97">
        <w:t xml:space="preserve"> and ask to be redirected to the Administrative Law Section</w:t>
      </w:r>
      <w:r w:rsidR="00013F97" w:rsidRPr="00F409B4">
        <w:t>)</w:t>
      </w:r>
      <w:r w:rsidRPr="00FD274F">
        <w:t>.</w:t>
      </w:r>
    </w:p>
    <w:p w14:paraId="64227681" w14:textId="77777777" w:rsidR="00A83991" w:rsidRPr="00FD274F" w:rsidRDefault="00A83991" w:rsidP="00A83991">
      <w:pPr>
        <w:pStyle w:val="Head4"/>
      </w:pPr>
      <w:bookmarkStart w:id="267" w:name="_Toc223687837"/>
      <w:r w:rsidRPr="00FD274F">
        <w:lastRenderedPageBreak/>
        <w:t>Attorney</w:t>
      </w:r>
      <w:r>
        <w:noBreakHyphen/>
      </w:r>
      <w:r w:rsidRPr="00FD274F">
        <w:t>General’s certificate under section 51 of the LA</w:t>
      </w:r>
      <w:bookmarkEnd w:id="267"/>
    </w:p>
    <w:p w14:paraId="19291F36" w14:textId="158BDC38" w:rsidR="00A83991" w:rsidRPr="00DA4D19" w:rsidRDefault="00A83991" w:rsidP="00A83991">
      <w:pPr>
        <w:pStyle w:val="BodyNum"/>
        <w:keepNext/>
      </w:pPr>
      <w:bookmarkStart w:id="268" w:name="_Ref367446626"/>
      <w:r w:rsidRPr="00DA4D19">
        <w:t>If the Attorney</w:t>
      </w:r>
      <w:r>
        <w:noBreakHyphen/>
      </w:r>
      <w:r w:rsidRPr="00DA4D19">
        <w:t>General is satisfied that the statutory conditi</w:t>
      </w:r>
      <w:r w:rsidRPr="00DD1ADC">
        <w:t xml:space="preserve">ons in section 51 of the </w:t>
      </w:r>
      <w:hyperlink r:id="rId650" w:history="1">
        <w:hyperlink r:id="rId651" w:history="1">
          <w:hyperlink r:id="rId652" w:history="1">
            <w:r w:rsidRPr="00DD1ADC">
              <w:rPr>
                <w:rStyle w:val="Hyperlink"/>
              </w:rPr>
              <w:t>LA</w:t>
            </w:r>
          </w:hyperlink>
          <w:r w:rsidRPr="00DD1ADC">
            <w:rPr>
              <w:rStyle w:val="Hyperlink"/>
            </w:rPr>
            <w:t xml:space="preserve"> </w:t>
          </w:r>
        </w:hyperlink>
      </w:hyperlink>
      <w:r w:rsidRPr="00DD1ADC">
        <w:t>are met,</w:t>
      </w:r>
      <w:r w:rsidRPr="00DA4D19">
        <w:t xml:space="preserve"> an instrument’s sunset date can be deferred for either 6, 12, 18 or 24 months by means of a certificate made under that section. In terms of process</w:t>
      </w:r>
      <w:r w:rsidRPr="00DD1ADC">
        <w:t xml:space="preserve">, the </w:t>
      </w:r>
      <w:hyperlink r:id="rId653" w:history="1">
        <w:r w:rsidRPr="00DD1ADC">
          <w:rPr>
            <w:rStyle w:val="Hyperlink"/>
          </w:rPr>
          <w:t>LA</w:t>
        </w:r>
      </w:hyperlink>
      <w:r w:rsidRPr="00DD1ADC">
        <w:t xml:space="preserve"> r</w:t>
      </w:r>
      <w:r w:rsidRPr="00DA4D19">
        <w:t>equires:</w:t>
      </w:r>
      <w:bookmarkEnd w:id="268"/>
    </w:p>
    <w:p w14:paraId="599F271E" w14:textId="77777777" w:rsidR="00A83991" w:rsidRPr="00DA4D19" w:rsidRDefault="00A83991" w:rsidP="00A83991">
      <w:pPr>
        <w:pStyle w:val="BodyPara"/>
      </w:pPr>
      <w:r w:rsidRPr="00DA4D19">
        <w:t>the responsible rule</w:t>
      </w:r>
      <w:r>
        <w:noBreakHyphen/>
      </w:r>
      <w:r w:rsidRPr="00DA4D19">
        <w:t>maker to apply to the Attorney</w:t>
      </w:r>
      <w:r>
        <w:noBreakHyphen/>
      </w:r>
      <w:r w:rsidRPr="00DA4D19">
        <w:t>General in writing; and</w:t>
      </w:r>
    </w:p>
    <w:p w14:paraId="49AC9532" w14:textId="77777777" w:rsidR="00A83991" w:rsidRPr="00DA4D19" w:rsidRDefault="00A83991" w:rsidP="00A83991">
      <w:pPr>
        <w:pStyle w:val="BodyPara"/>
      </w:pPr>
      <w:r w:rsidRPr="00DA4D19">
        <w:t>the Attorney</w:t>
      </w:r>
      <w:r>
        <w:noBreakHyphen/>
      </w:r>
      <w:r w:rsidRPr="00DA4D19">
        <w:t>General to be satisfied that the instrument meet</w:t>
      </w:r>
      <w:r>
        <w:t>s the statutory conditions; and</w:t>
      </w:r>
    </w:p>
    <w:p w14:paraId="7CE47D32" w14:textId="14F0DBE1" w:rsidR="00A83991" w:rsidRDefault="00A83991" w:rsidP="00A83991">
      <w:pPr>
        <w:pStyle w:val="BodyPara"/>
      </w:pPr>
      <w:r w:rsidRPr="00D65BA8">
        <w:t>the Attorney</w:t>
      </w:r>
      <w:r>
        <w:noBreakHyphen/>
      </w:r>
      <w:r w:rsidRPr="00D65BA8">
        <w:t>General to make a certificate that must be regi</w:t>
      </w:r>
      <w:r w:rsidRPr="00DD1ADC">
        <w:t>stered (</w:t>
      </w:r>
      <w:hyperlink r:id="rId654" w:history="1">
        <w:hyperlink r:id="rId655" w:history="1">
          <w:hyperlink r:id="rId656" w:history="1">
            <w:r w:rsidRPr="00DD1ADC">
              <w:rPr>
                <w:rStyle w:val="Hyperlink"/>
              </w:rPr>
              <w:t>LA</w:t>
            </w:r>
          </w:hyperlink>
          <w:r w:rsidRPr="00DD1ADC">
            <w:rPr>
              <w:rStyle w:val="Hyperlink"/>
            </w:rPr>
            <w:t xml:space="preserve"> </w:t>
          </w:r>
        </w:hyperlink>
      </w:hyperlink>
      <w:r w:rsidRPr="00DD1ADC">
        <w:t>s 51(</w:t>
      </w:r>
      <w:r w:rsidRPr="00D65BA8">
        <w:t xml:space="preserve">3))—a certificate </w:t>
      </w:r>
      <w:r>
        <w:t xml:space="preserve">of deferral for </w:t>
      </w:r>
      <w:r w:rsidRPr="00D65BA8">
        <w:t>6 or 12 month</w:t>
      </w:r>
      <w:r>
        <w:t>s</w:t>
      </w:r>
      <w:r w:rsidRPr="00D65BA8">
        <w:t xml:space="preserve"> is exempt from disallowance </w:t>
      </w:r>
      <w:r w:rsidRPr="00DD1ADC">
        <w:t>(</w:t>
      </w:r>
      <w:hyperlink r:id="rId657" w:history="1">
        <w:hyperlink r:id="rId658" w:history="1">
          <w:hyperlink r:id="rId659" w:history="1">
            <w:r w:rsidRPr="00DD1ADC">
              <w:rPr>
                <w:rStyle w:val="Hyperlink"/>
              </w:rPr>
              <w:t>LA</w:t>
            </w:r>
          </w:hyperlink>
          <w:r w:rsidRPr="00DD1ADC">
            <w:rPr>
              <w:rStyle w:val="Hyperlink"/>
            </w:rPr>
            <w:t xml:space="preserve"> </w:t>
          </w:r>
        </w:hyperlink>
      </w:hyperlink>
      <w:r w:rsidRPr="00DD1ADC">
        <w:t>s 51(4)); an</w:t>
      </w:r>
      <w:r>
        <w:t>d</w:t>
      </w:r>
    </w:p>
    <w:p w14:paraId="64A3E5CA" w14:textId="77777777" w:rsidR="00A83991" w:rsidRPr="00D65BA8" w:rsidRDefault="00A83991" w:rsidP="00A83991">
      <w:pPr>
        <w:pStyle w:val="BodyPara"/>
      </w:pPr>
      <w:r>
        <w:t>t</w:t>
      </w:r>
      <w:r w:rsidRPr="00202588">
        <w:t xml:space="preserve">he explanatory statement for </w:t>
      </w:r>
      <w:r>
        <w:t>the</w:t>
      </w:r>
      <w:r w:rsidRPr="00202588">
        <w:t xml:space="preserve"> certificate</w:t>
      </w:r>
      <w:r>
        <w:t xml:space="preserve"> </w:t>
      </w:r>
      <w:r w:rsidRPr="00202588">
        <w:t>must include a statement of reasons for the issue of the certificate.</w:t>
      </w:r>
    </w:p>
    <w:p w14:paraId="7EB375AF" w14:textId="77777777" w:rsidR="00A83991" w:rsidRPr="00FD274F" w:rsidRDefault="00A83991" w:rsidP="00A83991">
      <w:pPr>
        <w:pStyle w:val="BodyNum"/>
      </w:pPr>
      <w:r w:rsidRPr="00FB5D3D">
        <w:t xml:space="preserve">A certificate cannot revive an instrument that has already </w:t>
      </w:r>
      <w:proofErr w:type="spellStart"/>
      <w:r w:rsidRPr="00FB5D3D">
        <w:t>sunsetted</w:t>
      </w:r>
      <w:proofErr w:type="spellEnd"/>
      <w:r w:rsidRPr="00FB5D3D">
        <w:t>, so it must be</w:t>
      </w:r>
      <w:r w:rsidRPr="00FD274F">
        <w:t xml:space="preserve"> prepared, signed, and registered before the releva</w:t>
      </w:r>
      <w:r>
        <w:t>nt sunset date to be effective.</w:t>
      </w:r>
    </w:p>
    <w:p w14:paraId="45B6ABB7" w14:textId="064005ED" w:rsidR="00A83991" w:rsidRPr="00FD274F" w:rsidRDefault="00A83991" w:rsidP="00A83991">
      <w:pPr>
        <w:pStyle w:val="BodyNum"/>
      </w:pPr>
      <w:r w:rsidRPr="00FD274F">
        <w:t xml:space="preserve">For practical guidance on and assistance with applications for </w:t>
      </w:r>
      <w:r w:rsidRPr="00DD1ADC">
        <w:t>section 51 certific</w:t>
      </w:r>
      <w:r w:rsidRPr="00FD274F">
        <w:t>ates, see the AGD Guide to Managing Sunsetting Instruments</w:t>
      </w:r>
      <w:r w:rsidRPr="00FD274F">
        <w:rPr>
          <w:rStyle w:val="FootnoteReference"/>
        </w:rPr>
        <w:footnoteReference w:id="48"/>
      </w:r>
      <w:r w:rsidRPr="00FD274F">
        <w:t xml:space="preserve"> or contact AGD </w:t>
      </w:r>
      <w:r w:rsidR="00013F97" w:rsidRPr="00FD274F">
        <w:t>(</w:t>
      </w:r>
      <w:r w:rsidR="00013F97">
        <w:t xml:space="preserve">email </w:t>
      </w:r>
      <w:hyperlink r:id="rId660" w:history="1">
        <w:r w:rsidR="00013F97" w:rsidRPr="00FD274F">
          <w:rPr>
            <w:rStyle w:val="Hyperlink"/>
          </w:rPr>
          <w:t>sunsetting@ag.gov.au</w:t>
        </w:r>
      </w:hyperlink>
      <w:r w:rsidR="00013F97" w:rsidRPr="00FD274F">
        <w:t xml:space="preserve"> or </w:t>
      </w:r>
      <w:r w:rsidR="00013F97">
        <w:t xml:space="preserve">call the AGD Switchboard on </w:t>
      </w:r>
      <w:r w:rsidR="00013F97" w:rsidRPr="00E277CA">
        <w:t>(02) 6141 6666</w:t>
      </w:r>
      <w:r w:rsidR="00013F97">
        <w:t xml:space="preserve"> and ask to be redirected to the Administrative Law Section</w:t>
      </w:r>
      <w:r w:rsidR="00013F97" w:rsidRPr="00F409B4">
        <w:t>)</w:t>
      </w:r>
      <w:r>
        <w:t>.</w:t>
      </w:r>
    </w:p>
    <w:p w14:paraId="0BE6701D" w14:textId="77777777" w:rsidR="00A83991" w:rsidRPr="00FD274F" w:rsidRDefault="00A83991" w:rsidP="00A83991">
      <w:pPr>
        <w:pStyle w:val="Head3"/>
      </w:pPr>
      <w:bookmarkStart w:id="269" w:name="_Toc223687838"/>
      <w:r w:rsidRPr="00FD274F">
        <w:t xml:space="preserve">Parliamentary </w:t>
      </w:r>
      <w:r>
        <w:t>“</w:t>
      </w:r>
      <w:r w:rsidRPr="00FD274F">
        <w:t>rollovers</w:t>
      </w:r>
      <w:r>
        <w:t>”</w:t>
      </w:r>
      <w:bookmarkEnd w:id="269"/>
    </w:p>
    <w:p w14:paraId="2267B9D7" w14:textId="4FFB010F" w:rsidR="00A83991" w:rsidRPr="00DD1ADC" w:rsidRDefault="00A83991" w:rsidP="00A83991">
      <w:pPr>
        <w:pStyle w:val="BodyNum"/>
      </w:pPr>
      <w:bookmarkStart w:id="270" w:name="_Ref367447300"/>
      <w:r w:rsidRPr="00FB5D3D">
        <w:t>If an instrument is mentione</w:t>
      </w:r>
      <w:r w:rsidRPr="00DD1ADC">
        <w:t>d in a section 51 deferral certif</w:t>
      </w:r>
      <w:r w:rsidRPr="00FB5D3D">
        <w:t>icate laid before a House of the Parliament in accordance with se</w:t>
      </w:r>
      <w:r w:rsidRPr="00DD1ADC">
        <w:t xml:space="preserve">ction 38 of the </w:t>
      </w:r>
      <w:hyperlink r:id="rId661" w:history="1">
        <w:r w:rsidRPr="00DD1ADC">
          <w:rPr>
            <w:rStyle w:val="Hyperlink"/>
          </w:rPr>
          <w:t>LA</w:t>
        </w:r>
      </w:hyperlink>
      <w:r w:rsidRPr="00DD1ADC">
        <w:rPr>
          <w:rStyle w:val="Hyperlink"/>
        </w:rPr>
        <w:t xml:space="preserve"> </w:t>
      </w:r>
      <w:r w:rsidRPr="00DD1ADC">
        <w:t>or i</w:t>
      </w:r>
      <w:r w:rsidRPr="00FB5D3D">
        <w:t xml:space="preserve">n a </w:t>
      </w:r>
      <w:r>
        <w:t xml:space="preserve">sunsetting </w:t>
      </w:r>
      <w:r w:rsidRPr="00FB5D3D">
        <w:t xml:space="preserve">list laid before a House of the Parliament under </w:t>
      </w:r>
      <w:r w:rsidRPr="00DD1ADC">
        <w:t>section 52,</w:t>
      </w:r>
      <w:r w:rsidRPr="00DD1ADC">
        <w:rPr>
          <w:rStyle w:val="Hyperlink"/>
        </w:rPr>
        <w:t xml:space="preserve"> </w:t>
      </w:r>
      <w:r w:rsidRPr="00DD1ADC">
        <w:t>eit</w:t>
      </w:r>
      <w:r w:rsidRPr="00FB5D3D">
        <w:t xml:space="preserve">her House of the Parliament may pass a resolution at any time before </w:t>
      </w:r>
      <w:r>
        <w:t>the repeal</w:t>
      </w:r>
      <w:r w:rsidRPr="00FB5D3D">
        <w:t xml:space="preserve"> day</w:t>
      </w:r>
      <w:r>
        <w:t xml:space="preserve"> that the instrument should continue in for</w:t>
      </w:r>
      <w:r w:rsidRPr="00DD1ADC">
        <w:t>ce (</w:t>
      </w:r>
      <w:hyperlink r:id="rId662" w:history="1">
        <w:hyperlink r:id="rId663" w:history="1">
          <w:hyperlink r:id="rId664" w:history="1">
            <w:r w:rsidRPr="00DD1ADC">
              <w:rPr>
                <w:rStyle w:val="Hyperlink"/>
              </w:rPr>
              <w:t>LA</w:t>
            </w:r>
          </w:hyperlink>
          <w:r w:rsidRPr="00DD1ADC">
            <w:rPr>
              <w:rStyle w:val="Hyperlink"/>
            </w:rPr>
            <w:t xml:space="preserve"> </w:t>
          </w:r>
        </w:hyperlink>
      </w:hyperlink>
      <w:r w:rsidRPr="00DD1ADC">
        <w:t>s 53(1)).</w:t>
      </w:r>
      <w:bookmarkEnd w:id="270"/>
    </w:p>
    <w:p w14:paraId="00513484" w14:textId="77777777" w:rsidR="00A83991" w:rsidRPr="00FD274F" w:rsidRDefault="00A83991" w:rsidP="00A83991">
      <w:pPr>
        <w:pStyle w:val="BodyNum"/>
      </w:pPr>
      <w:r w:rsidRPr="00FD274F">
        <w:t xml:space="preserve">If </w:t>
      </w:r>
      <w:r>
        <w:t xml:space="preserve">a </w:t>
      </w:r>
      <w:r w:rsidRPr="00FD274F">
        <w:t>resolution is passed, the instrument’s sunset date is deferred for 10 years. There is no requirement to remake, register or table an instrument that has been rolled over and, having already been the subject of parliamentary scrutiny, the instrument is not subject to further scrutiny in the form of disallowance.</w:t>
      </w:r>
    </w:p>
    <w:p w14:paraId="46586366" w14:textId="7C5B6C78" w:rsidR="00A83991" w:rsidRPr="00FD274F" w:rsidRDefault="00A83991" w:rsidP="00A83991">
      <w:pPr>
        <w:pStyle w:val="BodyNum"/>
        <w:keepLines/>
      </w:pPr>
      <w:r w:rsidRPr="00FD274F">
        <w:t xml:space="preserve">If the vote </w:t>
      </w:r>
      <w:r>
        <w:t xml:space="preserve">on the proposed </w:t>
      </w:r>
      <w:r w:rsidR="006644F3">
        <w:t>rollover</w:t>
      </w:r>
      <w:r>
        <w:t xml:space="preserve"> </w:t>
      </w:r>
      <w:r w:rsidRPr="00FD274F">
        <w:t xml:space="preserve">is in the negative, or if no vote is taken </w:t>
      </w:r>
      <w:r>
        <w:t>prior to the instrument’s scheduled sunsetting date</w:t>
      </w:r>
      <w:r w:rsidRPr="00FD274F">
        <w:t>, nothing changes and urgent action is required to prepare, make and register a replacement instrument before the existing instrument sunsets. As part of that process, changes to the substance of the instrument may be desirable or important (particularly if the replacement will be subject to disallowance).</w:t>
      </w:r>
    </w:p>
    <w:p w14:paraId="47EA29C8" w14:textId="77777777" w:rsidR="00A83991" w:rsidRPr="00FD274F" w:rsidRDefault="00A83991" w:rsidP="00A83991">
      <w:pPr>
        <w:pStyle w:val="Head4"/>
      </w:pPr>
      <w:bookmarkStart w:id="271" w:name="_Toc223687839"/>
      <w:r w:rsidRPr="00FD274F">
        <w:lastRenderedPageBreak/>
        <w:t>If notice of private rollover motion is given</w:t>
      </w:r>
      <w:bookmarkEnd w:id="271"/>
    </w:p>
    <w:p w14:paraId="7D51AAD4" w14:textId="77777777" w:rsidR="00A83991" w:rsidRPr="00FD274F" w:rsidRDefault="00A83991" w:rsidP="00A83991">
      <w:pPr>
        <w:pStyle w:val="BodyNum"/>
      </w:pPr>
      <w:r w:rsidRPr="00FD274F">
        <w:t>OPC monitors parliamentary proceedings and will notify agencies as soon as practicable if an instrument is subject to a motion for a rollover by a Private Member.</w:t>
      </w:r>
    </w:p>
    <w:p w14:paraId="41138AAA" w14:textId="77777777" w:rsidR="00A83991" w:rsidRPr="00FD274F" w:rsidRDefault="00A83991" w:rsidP="00A83991">
      <w:pPr>
        <w:pStyle w:val="Head4"/>
      </w:pPr>
      <w:bookmarkStart w:id="272" w:name="_Toc223687840"/>
      <w:r w:rsidRPr="00FD274F">
        <w:t>When government rollover motion may be appropriate</w:t>
      </w:r>
      <w:bookmarkEnd w:id="272"/>
    </w:p>
    <w:p w14:paraId="25BB7B25" w14:textId="74F7A55C" w:rsidR="00A83991" w:rsidRPr="00FD274F" w:rsidRDefault="00A83991" w:rsidP="00A83991">
      <w:pPr>
        <w:pStyle w:val="BodyNum"/>
        <w:keepLines/>
      </w:pPr>
      <w:r w:rsidRPr="00FD274F">
        <w:t xml:space="preserve">Only Senators and Members </w:t>
      </w:r>
      <w:r>
        <w:t xml:space="preserve">of Parliament </w:t>
      </w:r>
      <w:r w:rsidRPr="00FD274F">
        <w:t>can move for a rollover un</w:t>
      </w:r>
      <w:r w:rsidRPr="00DD1ADC">
        <w:t xml:space="preserve">der section 53 of the </w:t>
      </w:r>
      <w:hyperlink r:id="rId665" w:history="1">
        <w:hyperlink r:id="rId666" w:history="1">
          <w:hyperlink r:id="rId667" w:history="1">
            <w:r w:rsidRPr="00DD1ADC">
              <w:rPr>
                <w:rStyle w:val="Hyperlink"/>
              </w:rPr>
              <w:t>LA</w:t>
            </w:r>
          </w:hyperlink>
        </w:hyperlink>
      </w:hyperlink>
      <w:r w:rsidRPr="00DD1ADC">
        <w:t>. Conseq</w:t>
      </w:r>
      <w:r w:rsidRPr="00FD274F">
        <w:t>uently, unless the rule</w:t>
      </w:r>
      <w:r>
        <w:noBreakHyphen/>
      </w:r>
      <w:r w:rsidRPr="00FD274F">
        <w:t>maker is a Minister, it will be necessary for the rule</w:t>
      </w:r>
      <w:r>
        <w:noBreakHyphen/>
      </w:r>
      <w:r w:rsidRPr="00FD274F">
        <w:t xml:space="preserve">maker </w:t>
      </w:r>
      <w:r>
        <w:t xml:space="preserve">(for example, the Secretary of a Department or statutory body) </w:t>
      </w:r>
      <w:r w:rsidRPr="00FD274F">
        <w:t>to make the case for a rollover to the responsible Minister. This should be done well in advance of the deadline for rollover motions, because:</w:t>
      </w:r>
    </w:p>
    <w:p w14:paraId="246FF6B0" w14:textId="2274E4C8" w:rsidR="00A83991" w:rsidRPr="00FD274F" w:rsidRDefault="00A83991" w:rsidP="00A83991">
      <w:pPr>
        <w:pStyle w:val="BodyPara"/>
      </w:pPr>
      <w:r w:rsidRPr="00FD274F">
        <w:t>consultation with government and other stakeholders may be necessary or desirable (s</w:t>
      </w:r>
      <w:r w:rsidRPr="00FA2355">
        <w:t xml:space="preserve">ee paragraph </w:t>
      </w:r>
      <w:r w:rsidRPr="00DD1ADC">
        <w:fldChar w:fldCharType="begin"/>
      </w:r>
      <w:r w:rsidRPr="00FA2355">
        <w:instrText xml:space="preserve"> REF _Ref453330210 \r \h </w:instrText>
      </w:r>
      <w:r>
        <w:rPr>
          <w:highlight w:val="yellow"/>
        </w:rPr>
        <w:instrText xml:space="preserve"> \* MERGEFORMAT </w:instrText>
      </w:r>
      <w:r w:rsidRPr="00DD1ADC">
        <w:fldChar w:fldCharType="separate"/>
      </w:r>
      <w:r w:rsidR="00AB105F">
        <w:t>390</w:t>
      </w:r>
      <w:r w:rsidRPr="00DD1ADC">
        <w:fldChar w:fldCharType="end"/>
      </w:r>
      <w:r w:rsidRPr="00FA2355">
        <w:t>); a</w:t>
      </w:r>
      <w:r w:rsidRPr="00FD274F">
        <w:t>nd</w:t>
      </w:r>
    </w:p>
    <w:p w14:paraId="765772E9" w14:textId="77777777" w:rsidR="00A83991" w:rsidRPr="00FD274F" w:rsidRDefault="00A83991" w:rsidP="00A83991">
      <w:pPr>
        <w:pStyle w:val="BodyPara"/>
      </w:pPr>
      <w:r w:rsidRPr="00FD274F">
        <w:t>both the parliamentary sitting schedule and order of business can be subject to change without notice.</w:t>
      </w:r>
    </w:p>
    <w:p w14:paraId="13E03E99" w14:textId="77777777" w:rsidR="00A83991" w:rsidRPr="00FD274F" w:rsidRDefault="00A83991" w:rsidP="00A83991">
      <w:pPr>
        <w:pStyle w:val="BodyNum"/>
      </w:pPr>
      <w:bookmarkStart w:id="273" w:name="_Ref453330210"/>
      <w:bookmarkStart w:id="274" w:name="_Ref378080485"/>
      <w:r w:rsidRPr="00FD274F">
        <w:t>Agencies considering a rollover motion should consult AGD before proceeding to ensure that current policy and process requirements have been met. Agencies should also recognise that a rollover may not reduce overall workload compared with re</w:t>
      </w:r>
      <w:r>
        <w:t>placing</w:t>
      </w:r>
      <w:r w:rsidRPr="00FD274F">
        <w:t xml:space="preserve"> an instrument. There could be significant workload and other consequences if, for example:</w:t>
      </w:r>
      <w:bookmarkEnd w:id="273"/>
    </w:p>
    <w:p w14:paraId="1CCE2111" w14:textId="77777777" w:rsidR="00A83991" w:rsidRPr="00FD274F" w:rsidRDefault="00A83991" w:rsidP="00A83991">
      <w:pPr>
        <w:pStyle w:val="BodyPara"/>
      </w:pPr>
      <w:r w:rsidRPr="00FD274F">
        <w:t>a motion is controversia</w:t>
      </w:r>
      <w:r>
        <w:t>l and referred to committee; or</w:t>
      </w:r>
    </w:p>
    <w:p w14:paraId="2AD74678" w14:textId="77777777" w:rsidR="00A83991" w:rsidRPr="00FD274F" w:rsidRDefault="00A83991" w:rsidP="00A83991">
      <w:pPr>
        <w:pStyle w:val="BodyPara"/>
      </w:pPr>
      <w:r w:rsidRPr="00FD274F">
        <w:t>public uncertainty about the instrument generates campaign correspondence; or</w:t>
      </w:r>
    </w:p>
    <w:p w14:paraId="1FB73367" w14:textId="77777777" w:rsidR="00A83991" w:rsidRPr="00FD274F" w:rsidRDefault="00A83991" w:rsidP="00A83991">
      <w:pPr>
        <w:pStyle w:val="BodyPara"/>
      </w:pPr>
      <w:r w:rsidRPr="00FD274F">
        <w:t xml:space="preserve">a motion is unsuccessful and the instrument has to be </w:t>
      </w:r>
      <w:r>
        <w:t>replaced within short timeframes.</w:t>
      </w:r>
    </w:p>
    <w:p w14:paraId="523BA6AC" w14:textId="47291D32" w:rsidR="00A83991" w:rsidRPr="00FD274F" w:rsidRDefault="00A83991" w:rsidP="00A83991">
      <w:pPr>
        <w:pStyle w:val="BodyNum"/>
      </w:pPr>
      <w:r w:rsidRPr="00FD274F">
        <w:t>For further guidance on this matter, see the AGD Guide to Managing Sunsetting Instruments</w:t>
      </w:r>
      <w:r w:rsidRPr="00FD274F">
        <w:rPr>
          <w:rStyle w:val="FootnoteReference"/>
        </w:rPr>
        <w:footnoteReference w:id="49"/>
      </w:r>
      <w:r w:rsidRPr="00FD274F">
        <w:t xml:space="preserve"> or contact AGD </w:t>
      </w:r>
      <w:r w:rsidR="00013F97" w:rsidRPr="00FD274F">
        <w:t>(</w:t>
      </w:r>
      <w:r w:rsidR="00013F97">
        <w:t xml:space="preserve">email </w:t>
      </w:r>
      <w:hyperlink r:id="rId668" w:history="1">
        <w:r w:rsidR="00013F97" w:rsidRPr="00FD274F">
          <w:rPr>
            <w:rStyle w:val="Hyperlink"/>
          </w:rPr>
          <w:t>sunsetting@ag.gov.au</w:t>
        </w:r>
      </w:hyperlink>
      <w:r w:rsidR="00013F97" w:rsidRPr="00FD274F">
        <w:t xml:space="preserve"> or </w:t>
      </w:r>
      <w:r w:rsidR="00013F97">
        <w:t xml:space="preserve">call the AGD Switchboard on </w:t>
      </w:r>
      <w:r w:rsidR="00013F97" w:rsidRPr="00E277CA">
        <w:t>(02) 6141 6666</w:t>
      </w:r>
      <w:r w:rsidR="00013F97">
        <w:t xml:space="preserve"> and ask to be redirected to the Administrative Law Section</w:t>
      </w:r>
      <w:r w:rsidR="00013F97" w:rsidRPr="00F409B4">
        <w:t>)</w:t>
      </w:r>
      <w:r w:rsidRPr="00FD274F">
        <w:t>.</w:t>
      </w:r>
      <w:bookmarkEnd w:id="274"/>
    </w:p>
    <w:p w14:paraId="5575ED6C" w14:textId="77777777" w:rsidR="00A83991" w:rsidRPr="00FD274F" w:rsidRDefault="00A83991" w:rsidP="00A83991">
      <w:pPr>
        <w:pStyle w:val="Head4"/>
      </w:pPr>
      <w:bookmarkStart w:id="275" w:name="_Toc223687841"/>
      <w:r w:rsidRPr="00FD274F">
        <w:t>Tabling of documents for rollover purposes</w:t>
      </w:r>
      <w:bookmarkEnd w:id="275"/>
    </w:p>
    <w:p w14:paraId="28223961" w14:textId="35687391" w:rsidR="00A83991" w:rsidRPr="00FD274F" w:rsidRDefault="00A83991" w:rsidP="00A83991">
      <w:pPr>
        <w:pStyle w:val="BodyNum"/>
      </w:pPr>
      <w:bookmarkStart w:id="276" w:name="_Ref29484918"/>
      <w:bookmarkStart w:id="277" w:name="_Ref378080491"/>
      <w:r w:rsidRPr="00FD274F">
        <w:t xml:space="preserve">If a document needs to be tabled in anticipation or support of a rollover motion, it cannot be lodged for tabling through OPC. The relevant agency will need to prepare and lodge it in accordance with the current </w:t>
      </w:r>
      <w:r w:rsidR="00D62C49">
        <w:t xml:space="preserve">Tabling </w:t>
      </w:r>
      <w:r w:rsidRPr="00FD274F">
        <w:t>Guidelines</w:t>
      </w:r>
      <w:r w:rsidRPr="00FD274F">
        <w:rPr>
          <w:rStyle w:val="FootnoteReference"/>
        </w:rPr>
        <w:footnoteReference w:id="50"/>
      </w:r>
      <w:r w:rsidRPr="00FD274F">
        <w:t>. It may also be appropriate to provide additional courtesy copies to relevant scrutiny bodies.</w:t>
      </w:r>
      <w:bookmarkEnd w:id="276"/>
    </w:p>
    <w:p w14:paraId="43FFFC5B" w14:textId="77777777" w:rsidR="00A83991" w:rsidRPr="00FD274F" w:rsidRDefault="00A83991" w:rsidP="00A83991">
      <w:pPr>
        <w:pStyle w:val="Head3"/>
      </w:pPr>
      <w:bookmarkStart w:id="278" w:name="_Toc223687842"/>
      <w:bookmarkEnd w:id="277"/>
      <w:r w:rsidRPr="00FD274F">
        <w:lastRenderedPageBreak/>
        <w:t>Re</w:t>
      </w:r>
      <w:r>
        <w:t>placement</w:t>
      </w:r>
      <w:r w:rsidRPr="00FD274F">
        <w:t xml:space="preserve"> of sunsetting instruments (if required)</w:t>
      </w:r>
      <w:bookmarkEnd w:id="278"/>
    </w:p>
    <w:p w14:paraId="4E80F8CA" w14:textId="77777777" w:rsidR="00A83991" w:rsidRPr="00FD274F" w:rsidRDefault="00A83991" w:rsidP="00A83991">
      <w:pPr>
        <w:pStyle w:val="BodyNum"/>
      </w:pPr>
      <w:bookmarkStart w:id="279" w:name="_Ref29484941"/>
      <w:bookmarkStart w:id="280" w:name="_Ref367447316"/>
      <w:r w:rsidRPr="00FD274F">
        <w:t>A rule</w:t>
      </w:r>
      <w:r>
        <w:noBreakHyphen/>
      </w:r>
      <w:r w:rsidRPr="00FD274F">
        <w:t xml:space="preserve">maker who is authorised to make a particular instrument can repeal and remake it, no matter who originally made it. Merely amending an instrument does not </w:t>
      </w:r>
      <w:r>
        <w:t>reset its sunsetting “clock”.</w:t>
      </w:r>
      <w:bookmarkEnd w:id="279"/>
    </w:p>
    <w:p w14:paraId="44D52D08" w14:textId="52088C94" w:rsidR="00A83991" w:rsidRPr="00FD274F" w:rsidRDefault="00A83991" w:rsidP="00A83991">
      <w:pPr>
        <w:pStyle w:val="BodyNum"/>
      </w:pPr>
      <w:bookmarkStart w:id="281" w:name="_Ref435534951"/>
      <w:r w:rsidRPr="00FD274F">
        <w:t>To ensure continuity of the law, a new (replacement) instrument must be made and registered before any existing instrument sunsets. Failure to get a replacement instrument made and registered by the sunset date can have significant legal and other conseque</w:t>
      </w:r>
      <w:r w:rsidRPr="00FA2355">
        <w:t xml:space="preserve">nces (see paragraphs </w:t>
      </w:r>
      <w:r w:rsidRPr="00FD6A45">
        <w:rPr>
          <w:highlight w:val="yellow"/>
        </w:rPr>
        <w:fldChar w:fldCharType="begin"/>
      </w:r>
      <w:r w:rsidRPr="00FA2355">
        <w:instrText xml:space="preserve"> REF _Ref444692813 \r \h  \* MERGEFORMAT </w:instrText>
      </w:r>
      <w:r w:rsidRPr="00FD6A45">
        <w:rPr>
          <w:highlight w:val="yellow"/>
        </w:rPr>
      </w:r>
      <w:r w:rsidRPr="00FD6A45">
        <w:rPr>
          <w:highlight w:val="yellow"/>
        </w:rPr>
        <w:fldChar w:fldCharType="separate"/>
      </w:r>
      <w:r w:rsidR="00AB105F">
        <w:t>73</w:t>
      </w:r>
      <w:r w:rsidRPr="00FD6A45">
        <w:rPr>
          <w:highlight w:val="yellow"/>
        </w:rPr>
        <w:fldChar w:fldCharType="end"/>
      </w:r>
      <w:r w:rsidRPr="00FA2355">
        <w:t xml:space="preserve"> </w:t>
      </w:r>
      <w:r>
        <w:t>to</w:t>
      </w:r>
      <w:r w:rsidRPr="00FA2355">
        <w:t xml:space="preserve"> </w:t>
      </w:r>
      <w:r>
        <w:fldChar w:fldCharType="begin"/>
      </w:r>
      <w:r>
        <w:instrText xml:space="preserve"> REF _Ref112918881 \r \h </w:instrText>
      </w:r>
      <w:r>
        <w:fldChar w:fldCharType="separate"/>
      </w:r>
      <w:r w:rsidR="00AB105F">
        <w:t>78</w:t>
      </w:r>
      <w:r>
        <w:fldChar w:fldCharType="end"/>
      </w:r>
      <w:r w:rsidRPr="00FD274F">
        <w:t>).</w:t>
      </w:r>
      <w:bookmarkEnd w:id="281"/>
    </w:p>
    <w:p w14:paraId="412D68F8" w14:textId="77777777" w:rsidR="00A83991" w:rsidRPr="00FD274F" w:rsidRDefault="00A83991" w:rsidP="00A83991">
      <w:pPr>
        <w:pStyle w:val="BodyNum"/>
      </w:pPr>
      <w:r w:rsidRPr="00FD274F">
        <w:t xml:space="preserve">In the case of disallowable instruments, a much earlier date of registration is recommended to reduce the potential risks and consequences of disallowance. Disallowance of a replacement instrument or provision may temporarily revive a previous instrument, but cannot prevent that instrument sunsetting or revive an instrument that has already </w:t>
      </w:r>
      <w:proofErr w:type="spellStart"/>
      <w:r w:rsidRPr="00FD274F">
        <w:t>sunsetted</w:t>
      </w:r>
      <w:proofErr w:type="spellEnd"/>
      <w:r w:rsidRPr="00FD274F">
        <w:t>.</w:t>
      </w:r>
    </w:p>
    <w:p w14:paraId="0620BC80" w14:textId="77777777" w:rsidR="00A83991" w:rsidRPr="00FD274F" w:rsidRDefault="00A83991" w:rsidP="00A83991">
      <w:pPr>
        <w:pStyle w:val="BodyNum"/>
      </w:pPr>
      <w:r w:rsidRPr="00FD274F">
        <w:t>It may be tempting for agencies to assume that the process of preparing a new instrument to replace a sunsetting instrument will not take very long because necessary provisions already exist. However, it is OPC’s experience that significant time and care is needed to ensure that:</w:t>
      </w:r>
    </w:p>
    <w:p w14:paraId="30EC3C23" w14:textId="3F3D127F" w:rsidR="00A83991" w:rsidRPr="00FD274F" w:rsidRDefault="00A83991" w:rsidP="00A83991">
      <w:pPr>
        <w:pStyle w:val="BodyPara"/>
      </w:pPr>
      <w:r w:rsidRPr="00FD274F">
        <w:t xml:space="preserve">the new instrument is legally effective, clear and intelligible to anticipated users </w:t>
      </w:r>
      <w:r w:rsidRPr="00FA2355">
        <w:t xml:space="preserve">(see paragraphs </w:t>
      </w:r>
      <w:r w:rsidRPr="00FD6A45">
        <w:rPr>
          <w:highlight w:val="yellow"/>
        </w:rPr>
        <w:fldChar w:fldCharType="begin"/>
      </w:r>
      <w:r w:rsidRPr="00FA2355">
        <w:instrText xml:space="preserve"> REF _Ref472357689 \r \h </w:instrText>
      </w:r>
      <w:r>
        <w:rPr>
          <w:highlight w:val="yellow"/>
        </w:rPr>
        <w:instrText xml:space="preserve"> \* MERGEFORMAT </w:instrText>
      </w:r>
      <w:r w:rsidRPr="00FD6A45">
        <w:rPr>
          <w:highlight w:val="yellow"/>
        </w:rPr>
      </w:r>
      <w:r w:rsidRPr="00FD6A45">
        <w:rPr>
          <w:highlight w:val="yellow"/>
        </w:rPr>
        <w:fldChar w:fldCharType="separate"/>
      </w:r>
      <w:r w:rsidR="00AB105F">
        <w:t>397</w:t>
      </w:r>
      <w:r w:rsidRPr="00FD6A45">
        <w:rPr>
          <w:highlight w:val="yellow"/>
        </w:rPr>
        <w:fldChar w:fldCharType="end"/>
      </w:r>
      <w:r w:rsidRPr="00FA2355">
        <w:t xml:space="preserve"> to </w:t>
      </w:r>
      <w:r w:rsidRPr="00FD6A45">
        <w:rPr>
          <w:highlight w:val="yellow"/>
        </w:rPr>
        <w:fldChar w:fldCharType="begin"/>
      </w:r>
      <w:r w:rsidRPr="00FA2355">
        <w:instrText xml:space="preserve"> REF _Ref378080360 \r \h </w:instrText>
      </w:r>
      <w:r>
        <w:rPr>
          <w:highlight w:val="yellow"/>
        </w:rPr>
        <w:instrText xml:space="preserve"> \* MERGEFORMAT </w:instrText>
      </w:r>
      <w:r w:rsidRPr="00FD6A45">
        <w:rPr>
          <w:highlight w:val="yellow"/>
        </w:rPr>
      </w:r>
      <w:r w:rsidRPr="00FD6A45">
        <w:rPr>
          <w:highlight w:val="yellow"/>
        </w:rPr>
        <w:fldChar w:fldCharType="separate"/>
      </w:r>
      <w:r w:rsidR="00AB105F">
        <w:t>406</w:t>
      </w:r>
      <w:r w:rsidRPr="00FD6A45">
        <w:rPr>
          <w:highlight w:val="yellow"/>
        </w:rPr>
        <w:fldChar w:fldCharType="end"/>
      </w:r>
      <w:r w:rsidRPr="00FA2355">
        <w:t>); a</w:t>
      </w:r>
      <w:r>
        <w:t>nd</w:t>
      </w:r>
    </w:p>
    <w:p w14:paraId="71CBE90C" w14:textId="0F08500E" w:rsidR="00A83991" w:rsidRPr="00FD274F" w:rsidRDefault="00A83991" w:rsidP="00A83991">
      <w:pPr>
        <w:pStyle w:val="BodyPara"/>
      </w:pPr>
      <w:r w:rsidRPr="00FD274F">
        <w:t xml:space="preserve">consultation, </w:t>
      </w:r>
      <w:r w:rsidR="005F1193">
        <w:t>policy</w:t>
      </w:r>
      <w:r w:rsidRPr="00FD274F">
        <w:t xml:space="preserve"> impact and other process requirements are met (see </w:t>
      </w:r>
      <w:hyperlink w:anchor="Chapter7" w:history="1">
        <w:r w:rsidRPr="00FA2355">
          <w:rPr>
            <w:rStyle w:val="Hyperlink"/>
          </w:rPr>
          <w:t>Chapter 7</w:t>
        </w:r>
      </w:hyperlink>
      <w:r w:rsidRPr="00FA2355">
        <w:t>); a</w:t>
      </w:r>
      <w:r>
        <w:t>nd</w:t>
      </w:r>
    </w:p>
    <w:p w14:paraId="36B86580" w14:textId="44979882" w:rsidR="00A83991" w:rsidRPr="00FD274F" w:rsidRDefault="00A83991" w:rsidP="00A83991">
      <w:pPr>
        <w:pStyle w:val="BodyPara"/>
      </w:pPr>
      <w:r w:rsidRPr="00FD274F">
        <w:t xml:space="preserve">the explanatory statement for the instrument meets current legislative and Parliamentary standards (see </w:t>
      </w:r>
      <w:hyperlink w:anchor="Chapter8" w:history="1">
        <w:r w:rsidRPr="00FA2355">
          <w:rPr>
            <w:rStyle w:val="Hyperlink"/>
          </w:rPr>
          <w:t>Chapter 8</w:t>
        </w:r>
      </w:hyperlink>
      <w:r w:rsidRPr="00FA2355">
        <w:t>)</w:t>
      </w:r>
      <w:bookmarkEnd w:id="280"/>
      <w:r w:rsidRPr="00FA2355">
        <w:t>.</w:t>
      </w:r>
    </w:p>
    <w:p w14:paraId="5B1AA7F4" w14:textId="77777777" w:rsidR="00A83991" w:rsidRPr="00FD274F" w:rsidRDefault="00A83991" w:rsidP="00A83991">
      <w:pPr>
        <w:pStyle w:val="Head4"/>
      </w:pPr>
      <w:bookmarkStart w:id="282" w:name="_Toc223687843"/>
      <w:r w:rsidRPr="00FD274F">
        <w:t>Drafting of replacement instruments</w:t>
      </w:r>
      <w:bookmarkEnd w:id="282"/>
    </w:p>
    <w:p w14:paraId="28AA2E48" w14:textId="203978F9" w:rsidR="00A83991" w:rsidRPr="00FD274F" w:rsidRDefault="00A83991" w:rsidP="00A83991">
      <w:pPr>
        <w:pStyle w:val="BodyNum"/>
      </w:pPr>
      <w:bookmarkStart w:id="283" w:name="_Ref472357689"/>
      <w:r w:rsidRPr="00FD274F">
        <w:t>If an agency intends to use OPC’s drafting services to draft a replacement for a particular instrument</w:t>
      </w:r>
      <w:r w:rsidR="00A732E3" w:rsidRPr="00FD274F">
        <w:rPr>
          <w:rStyle w:val="FootnoteReference"/>
          <w:color w:val="000000" w:themeColor="text1"/>
        </w:rPr>
        <w:footnoteReference w:id="51"/>
      </w:r>
      <w:r w:rsidRPr="00FD274F">
        <w:t xml:space="preserve">, OPC </w:t>
      </w:r>
      <w:r w:rsidR="00E16F8B">
        <w:t>requires</w:t>
      </w:r>
      <w:r w:rsidRPr="00FD274F">
        <w:t xml:space="preserve"> early instructions that:</w:t>
      </w:r>
      <w:bookmarkEnd w:id="283"/>
    </w:p>
    <w:p w14:paraId="23BE568D" w14:textId="77777777" w:rsidR="00A83991" w:rsidRPr="00FD274F" w:rsidRDefault="00A83991" w:rsidP="00A83991">
      <w:pPr>
        <w:pStyle w:val="BodyPara"/>
      </w:pPr>
      <w:r w:rsidRPr="00FD274F">
        <w:t>outline the preferred timing, including whether an exposure draft is required to assist consultation; and</w:t>
      </w:r>
    </w:p>
    <w:p w14:paraId="580B2342" w14:textId="77777777" w:rsidR="00A83991" w:rsidRPr="00FD274F" w:rsidRDefault="00A83991" w:rsidP="00A83991">
      <w:pPr>
        <w:pStyle w:val="BodyPara"/>
      </w:pPr>
      <w:r w:rsidRPr="00FD274F">
        <w:t>deal with any policy or other changes that are needed (such as deleti</w:t>
      </w:r>
      <w:r>
        <w:t>on of unwanted provisions); and</w:t>
      </w:r>
    </w:p>
    <w:p w14:paraId="3E54721E" w14:textId="77777777" w:rsidR="00A83991" w:rsidRPr="00FD274F" w:rsidRDefault="00A83991" w:rsidP="00A83991">
      <w:pPr>
        <w:pStyle w:val="BodyPara"/>
      </w:pPr>
      <w:r w:rsidRPr="00FD274F">
        <w:t>confirm that the rest of the instrument is to remain the same in substance—OPC will modernise it without detailed instructions, if and as needed, in consultation with the agency.</w:t>
      </w:r>
    </w:p>
    <w:p w14:paraId="5D8BDA2F" w14:textId="62C218EA" w:rsidR="00370A7B" w:rsidRDefault="00370A7B" w:rsidP="00A83991">
      <w:pPr>
        <w:pStyle w:val="BodyNum"/>
        <w:spacing w:before="200"/>
      </w:pPr>
      <w:r>
        <w:t>If an instrument is untied work, OPC may refuse to draft it if insufficient time has been left before sunsetting.</w:t>
      </w:r>
    </w:p>
    <w:p w14:paraId="48AACC41" w14:textId="2CA1FDA1" w:rsidR="00A83991" w:rsidRPr="00FD274F" w:rsidRDefault="00A83991" w:rsidP="00A83991">
      <w:pPr>
        <w:pStyle w:val="BodyNum"/>
        <w:spacing w:before="200"/>
      </w:pPr>
      <w:r w:rsidRPr="00FD274F">
        <w:lastRenderedPageBreak/>
        <w:t>Irrespective of who drafts it, a new instrument intended to replace a sunsetting instrument needs to contain the following to avoid confusion about what is intended and what is in force:</w:t>
      </w:r>
    </w:p>
    <w:p w14:paraId="5B6AADE8" w14:textId="77777777" w:rsidR="00A83991" w:rsidRPr="00FD274F" w:rsidRDefault="00A83991" w:rsidP="00A83991">
      <w:pPr>
        <w:pStyle w:val="BodyPara"/>
      </w:pPr>
      <w:r w:rsidRPr="00FD274F">
        <w:t>a new, unique name (e.g. the</w:t>
      </w:r>
      <w:r w:rsidRPr="00FD274F">
        <w:rPr>
          <w:i/>
        </w:rPr>
        <w:t xml:space="preserve"> Widgets Determination 20</w:t>
      </w:r>
      <w:r>
        <w:rPr>
          <w:i/>
        </w:rPr>
        <w:t>2</w:t>
      </w:r>
      <w:r w:rsidRPr="00FD274F">
        <w:rPr>
          <w:i/>
        </w:rPr>
        <w:t>7</w:t>
      </w:r>
      <w:r w:rsidRPr="00FD274F">
        <w:t xml:space="preserve"> whe</w:t>
      </w:r>
      <w:r>
        <w:t>re 2027 is the year of making);</w:t>
      </w:r>
    </w:p>
    <w:p w14:paraId="269E8462" w14:textId="77777777" w:rsidR="00A83991" w:rsidRPr="00FD274F" w:rsidRDefault="00A83991" w:rsidP="00A83991">
      <w:pPr>
        <w:pStyle w:val="BodyPara"/>
      </w:pPr>
      <w:r w:rsidRPr="00FD274F">
        <w:t>an express provision that states when the new instrument is to commence;</w:t>
      </w:r>
    </w:p>
    <w:p w14:paraId="2A497B0B" w14:textId="77777777" w:rsidR="00A83991" w:rsidRPr="00FD274F" w:rsidRDefault="00A83991" w:rsidP="00A83991">
      <w:pPr>
        <w:pStyle w:val="BodyPara"/>
      </w:pPr>
      <w:r w:rsidRPr="00FD274F">
        <w:t>an express provision that clearly identifies and repeals the sunsetting instrument or instruments (use of t</w:t>
      </w:r>
      <w:r>
        <w:t>he word “repeal” is important);</w:t>
      </w:r>
    </w:p>
    <w:p w14:paraId="60022DDC" w14:textId="77777777" w:rsidR="00A83991" w:rsidRPr="00FD274F" w:rsidRDefault="00A83991" w:rsidP="00A83991">
      <w:pPr>
        <w:pStyle w:val="BodyPara"/>
      </w:pPr>
      <w:r w:rsidRPr="00FD274F">
        <w:t>transitional provisions, if and as needed to transition things from being done under the sunsetting in</w:t>
      </w:r>
      <w:r>
        <w:t>strument to the new instrument.</w:t>
      </w:r>
    </w:p>
    <w:p w14:paraId="4EA63B18" w14:textId="77777777" w:rsidR="00A83991" w:rsidRPr="00FD274F" w:rsidRDefault="00A83991" w:rsidP="00A83991">
      <w:pPr>
        <w:pStyle w:val="BodyNum"/>
        <w:keepLines/>
        <w:spacing w:before="200"/>
      </w:pPr>
      <w:r w:rsidRPr="00FD274F">
        <w:t xml:space="preserve">Other changes may also be necessary to meet current drafting and publishing standards. </w:t>
      </w:r>
      <w:r>
        <w:t>The person drafting the instrument</w:t>
      </w:r>
      <w:r w:rsidRPr="00FD274F">
        <w:t xml:space="preserve"> </w:t>
      </w:r>
      <w:r>
        <w:t xml:space="preserve">should </w:t>
      </w:r>
      <w:r w:rsidRPr="00FD274F">
        <w:t>check that each provision in the new instrument is supported by a head of power in current law, and should consider carefully any legal opinions that go to the effect or validity of existing provisions. Care is also needed if a sunsetting instrument:</w:t>
      </w:r>
    </w:p>
    <w:p w14:paraId="5A35F051" w14:textId="77777777" w:rsidR="00A83991" w:rsidRPr="00FD274F" w:rsidRDefault="00A83991" w:rsidP="00A83991">
      <w:pPr>
        <w:pStyle w:val="BodyPara"/>
      </w:pPr>
      <w:r w:rsidRPr="00FD274F">
        <w:t>has enabled the making of another instrument that is still in force; or</w:t>
      </w:r>
    </w:p>
    <w:p w14:paraId="62514324" w14:textId="77777777" w:rsidR="00A83991" w:rsidRPr="00FD274F" w:rsidRDefault="00A83991" w:rsidP="00A83991">
      <w:pPr>
        <w:pStyle w:val="BodyPara"/>
      </w:pPr>
      <w:r w:rsidRPr="00FD274F">
        <w:t xml:space="preserve">incorporates documents other than Commonwealth Acts or disallowable legislative </w:t>
      </w:r>
      <w:r>
        <w:t>instruments by reference; or</w:t>
      </w:r>
    </w:p>
    <w:p w14:paraId="6289B59C" w14:textId="77777777" w:rsidR="00A83991" w:rsidRPr="00FD274F" w:rsidRDefault="00A83991" w:rsidP="00A83991">
      <w:pPr>
        <w:pStyle w:val="BodyPara"/>
      </w:pPr>
      <w:r w:rsidRPr="00FD274F">
        <w:t>is cited in other l</w:t>
      </w:r>
      <w:r>
        <w:t>egislation that is in force; or</w:t>
      </w:r>
    </w:p>
    <w:p w14:paraId="58091356" w14:textId="77777777" w:rsidR="00A83991" w:rsidRPr="00FD274F" w:rsidRDefault="00A83991" w:rsidP="00A83991">
      <w:pPr>
        <w:pStyle w:val="BodyPara"/>
      </w:pPr>
      <w:r w:rsidRPr="00FD274F">
        <w:t>deals with a criminal offence, civil penalty or related enforcement issue; or</w:t>
      </w:r>
    </w:p>
    <w:p w14:paraId="6F37B922" w14:textId="77777777" w:rsidR="00A83991" w:rsidRPr="00FD274F" w:rsidRDefault="00A83991" w:rsidP="00A83991">
      <w:pPr>
        <w:pStyle w:val="BodyPara"/>
      </w:pPr>
      <w:r w:rsidRPr="00FD274F">
        <w:t>contains gender</w:t>
      </w:r>
      <w:r>
        <w:noBreakHyphen/>
      </w:r>
      <w:r w:rsidRPr="00FD274F">
        <w:t>specific language.</w:t>
      </w:r>
    </w:p>
    <w:p w14:paraId="47C646F6" w14:textId="6FAAC25B" w:rsidR="00A83991" w:rsidRPr="00FD274F" w:rsidRDefault="00A83991" w:rsidP="00A83991">
      <w:pPr>
        <w:pStyle w:val="BodyNum"/>
      </w:pPr>
      <w:r w:rsidRPr="00FD274F">
        <w:t>Further information on drafting issues is provided i</w:t>
      </w:r>
      <w:r w:rsidRPr="007869D8">
        <w:t xml:space="preserve">n </w:t>
      </w:r>
      <w:hyperlink w:anchor="Chapter3" w:history="1">
        <w:r w:rsidRPr="007869D8">
          <w:rPr>
            <w:rStyle w:val="Hyperlink"/>
          </w:rPr>
          <w:t>Chapter 3</w:t>
        </w:r>
      </w:hyperlink>
      <w:r w:rsidRPr="00FD274F">
        <w:t>.</w:t>
      </w:r>
    </w:p>
    <w:p w14:paraId="1C9D1DB7" w14:textId="77777777" w:rsidR="00A83991" w:rsidRPr="00FD274F" w:rsidRDefault="00A83991" w:rsidP="00A83991">
      <w:pPr>
        <w:pStyle w:val="Head4"/>
      </w:pPr>
      <w:bookmarkStart w:id="284" w:name="_Toc223687844"/>
      <w:r w:rsidRPr="00FD274F">
        <w:t xml:space="preserve">Scope to </w:t>
      </w:r>
      <w:r>
        <w:t>remake</w:t>
      </w:r>
      <w:r w:rsidRPr="00FD274F">
        <w:t xml:space="preserve"> instruments in bulk by reference</w:t>
      </w:r>
      <w:bookmarkEnd w:id="284"/>
    </w:p>
    <w:p w14:paraId="5289C0DC" w14:textId="77777777" w:rsidR="00A83991" w:rsidRPr="00FD274F" w:rsidRDefault="00A83991" w:rsidP="00A83991">
      <w:pPr>
        <w:pStyle w:val="BodyNum"/>
      </w:pPr>
      <w:r w:rsidRPr="00FD274F">
        <w:t xml:space="preserve">It may be possible to remake instruments by reference, that is, without spelling out the full text of each replacement instrument. However, </w:t>
      </w:r>
      <w:r>
        <w:t xml:space="preserve">there is no known precedent for this and </w:t>
      </w:r>
      <w:r w:rsidRPr="00FD274F">
        <w:t>this approach has significant legal and practical limitations. It is only likely to be appropriate if the instruments to be remade:</w:t>
      </w:r>
    </w:p>
    <w:p w14:paraId="09B8876D" w14:textId="77777777" w:rsidR="00A83991" w:rsidRPr="00FD274F" w:rsidRDefault="00A83991" w:rsidP="00A83991">
      <w:pPr>
        <w:pStyle w:val="BodyPara"/>
      </w:pPr>
      <w:r w:rsidRPr="00FD274F">
        <w:t>are not likely to be of interest to the Parliament (e.g. because of their technical content); and</w:t>
      </w:r>
    </w:p>
    <w:p w14:paraId="0730095D" w14:textId="77777777" w:rsidR="00A83991" w:rsidRPr="00FD274F" w:rsidRDefault="00A83991" w:rsidP="00A83991">
      <w:pPr>
        <w:pStyle w:val="BodyPara"/>
      </w:pPr>
      <w:r w:rsidRPr="00FD274F">
        <w:t>are available on the Register “as amended” without a</w:t>
      </w:r>
      <w:r>
        <w:t>ny misdescribed amendments; and</w:t>
      </w:r>
    </w:p>
    <w:p w14:paraId="58E3E111" w14:textId="77777777" w:rsidR="00A83991" w:rsidRPr="00FD274F" w:rsidRDefault="00A83991" w:rsidP="00A83991">
      <w:pPr>
        <w:pStyle w:val="BodyPara"/>
      </w:pPr>
      <w:r w:rsidRPr="00FD274F">
        <w:t>do not need to be amended substantially as part of the remaking processes.</w:t>
      </w:r>
    </w:p>
    <w:p w14:paraId="393E306D" w14:textId="77777777" w:rsidR="00A83991" w:rsidRPr="00FD274F" w:rsidRDefault="00A83991" w:rsidP="00A83991">
      <w:pPr>
        <w:pStyle w:val="BodyNum"/>
      </w:pPr>
      <w:r w:rsidRPr="00FD274F">
        <w:lastRenderedPageBreak/>
        <w:t>It should be noted that it is generally not possible for a single rule</w:t>
      </w:r>
      <w:r>
        <w:noBreakHyphen/>
      </w:r>
      <w:r w:rsidRPr="00FD274F">
        <w:t>maker such as a Minister to make a single instrument that remakes every instrument in a portfolio. In the absence of statutory authority, a Minister cannot, for example:</w:t>
      </w:r>
    </w:p>
    <w:p w14:paraId="21D4AAFA" w14:textId="77777777" w:rsidR="00A83991" w:rsidRPr="00FD274F" w:rsidRDefault="00A83991" w:rsidP="00A83991">
      <w:pPr>
        <w:pStyle w:val="BodyPara"/>
      </w:pPr>
      <w:r w:rsidRPr="00FD274F">
        <w:t>amend, repeal, or repeal and re</w:t>
      </w:r>
      <w:r>
        <w:t>place</w:t>
      </w:r>
      <w:r w:rsidRPr="00FD274F">
        <w:t>, a regulation or other instrument made by the Governor</w:t>
      </w:r>
      <w:r>
        <w:noBreakHyphen/>
      </w:r>
      <w:r w:rsidRPr="00FD274F">
        <w:t>General or other rule</w:t>
      </w:r>
      <w:r>
        <w:noBreakHyphen/>
      </w:r>
      <w:r w:rsidRPr="00FD274F">
        <w:t>maker; or</w:t>
      </w:r>
    </w:p>
    <w:p w14:paraId="76B00971" w14:textId="77777777" w:rsidR="00A83991" w:rsidRPr="00FD274F" w:rsidRDefault="00A83991" w:rsidP="00A83991">
      <w:pPr>
        <w:pStyle w:val="BodyPara"/>
      </w:pPr>
      <w:r w:rsidRPr="00FD274F">
        <w:t>repeal and re</w:t>
      </w:r>
      <w:r>
        <w:t>place</w:t>
      </w:r>
      <w:r w:rsidRPr="00FD274F">
        <w:t xml:space="preserve"> one type of instrument (such as a guideline) using another type of instrument (such as a determination).</w:t>
      </w:r>
    </w:p>
    <w:p w14:paraId="5A671EF9" w14:textId="77777777" w:rsidR="00A83991" w:rsidRPr="00FD274F" w:rsidRDefault="00A83991" w:rsidP="00A83991">
      <w:pPr>
        <w:pStyle w:val="BodyNum"/>
      </w:pPr>
      <w:r w:rsidRPr="00FD274F">
        <w:t>Even with instruments of the same type, separate re</w:t>
      </w:r>
      <w:r>
        <w:t>placement</w:t>
      </w:r>
      <w:r w:rsidRPr="00FD274F">
        <w:t xml:space="preserve"> instruments may be required for disallowable and non</w:t>
      </w:r>
      <w:r>
        <w:noBreakHyphen/>
      </w:r>
      <w:r w:rsidRPr="00FD274F">
        <w:t>disallowable instruments to avoid making non</w:t>
      </w:r>
      <w:r>
        <w:noBreakHyphen/>
      </w:r>
      <w:r w:rsidRPr="00FD274F">
        <w:t>disallowable instr</w:t>
      </w:r>
      <w:r>
        <w:t>uments subject to disallowance.</w:t>
      </w:r>
    </w:p>
    <w:p w14:paraId="411C1817" w14:textId="77777777" w:rsidR="00A83991" w:rsidRPr="00FD274F" w:rsidRDefault="00A83991" w:rsidP="00A83991">
      <w:pPr>
        <w:pStyle w:val="BodyNum"/>
        <w:keepLines/>
      </w:pPr>
      <w:r w:rsidRPr="00FD274F">
        <w:t>Although it may be possible to remake instruments by reference with very minor changes, expert drafting will be required to minimise the risk of unintended consequences if anything more substantial is proposed. This may be particularly important if, for example, the instrument to be remade:</w:t>
      </w:r>
    </w:p>
    <w:p w14:paraId="6DD4F7D4" w14:textId="77777777" w:rsidR="00A83991" w:rsidRPr="00FD274F" w:rsidRDefault="00A83991" w:rsidP="00A83991">
      <w:pPr>
        <w:pStyle w:val="BodyPara"/>
      </w:pPr>
      <w:r w:rsidRPr="00FD274F">
        <w:t>contains saving or transitional provisions; or</w:t>
      </w:r>
    </w:p>
    <w:p w14:paraId="1E34792D" w14:textId="77777777" w:rsidR="00A83991" w:rsidRPr="00FD274F" w:rsidRDefault="00A83991" w:rsidP="00A83991">
      <w:pPr>
        <w:pStyle w:val="BodyPara"/>
      </w:pPr>
      <w:r w:rsidRPr="00FD274F">
        <w:t>has been amended but no up</w:t>
      </w:r>
      <w:r>
        <w:noBreakHyphen/>
      </w:r>
      <w:r w:rsidRPr="00FD274F">
        <w:t>to</w:t>
      </w:r>
      <w:r>
        <w:noBreakHyphen/>
      </w:r>
      <w:r w:rsidRPr="00FD274F">
        <w:t xml:space="preserve">date compilation has been registered </w:t>
      </w:r>
      <w:r>
        <w:t>showing the text as amended; or</w:t>
      </w:r>
    </w:p>
    <w:p w14:paraId="5E19823F" w14:textId="77777777" w:rsidR="00A83991" w:rsidRPr="00FD274F" w:rsidRDefault="00A83991" w:rsidP="00A83991">
      <w:pPr>
        <w:pStyle w:val="BodyPara"/>
      </w:pPr>
      <w:r w:rsidRPr="00FD274F">
        <w:t>needs to be amended retrospectively, with changes applied to the instrument before its date of remaking.</w:t>
      </w:r>
    </w:p>
    <w:p w14:paraId="13A68EFE" w14:textId="77777777" w:rsidR="00A83991" w:rsidRPr="00FD274F" w:rsidRDefault="00A83991" w:rsidP="00A83991">
      <w:pPr>
        <w:pStyle w:val="BodyNum"/>
      </w:pPr>
      <w:bookmarkStart w:id="285" w:name="_Ref378080360"/>
      <w:r w:rsidRPr="00FD274F">
        <w:t>Each re</w:t>
      </w:r>
      <w:r>
        <w:t>placement</w:t>
      </w:r>
      <w:r w:rsidRPr="00FD274F">
        <w:t xml:space="preserve"> instrument must be registered before the relevant sunset date with an explanatory statement that meets all of the requirements for explanatory statements. In addition, a compilation of </w:t>
      </w:r>
      <w:r>
        <w:t>any</w:t>
      </w:r>
      <w:r w:rsidRPr="00FD274F">
        <w:t xml:space="preserve"> instrument that has been amended </w:t>
      </w:r>
      <w:r>
        <w:t xml:space="preserve">by the replacement instrument </w:t>
      </w:r>
      <w:r w:rsidRPr="00FD274F">
        <w:t>will also need to be prepared and registered as soon as practicable after the instrument is remade.</w:t>
      </w:r>
      <w:bookmarkEnd w:id="285"/>
    </w:p>
    <w:p w14:paraId="77C87385" w14:textId="77777777" w:rsidR="00A83991" w:rsidRPr="00FD274F" w:rsidRDefault="00A83991" w:rsidP="00A83991">
      <w:pPr>
        <w:pStyle w:val="Head3"/>
      </w:pPr>
      <w:bookmarkStart w:id="286" w:name="_Toc223687845"/>
      <w:r w:rsidRPr="00FD274F">
        <w:t xml:space="preserve">If an instrument cannot be </w:t>
      </w:r>
      <w:r>
        <w:t>replaced</w:t>
      </w:r>
      <w:r w:rsidRPr="00FD274F">
        <w:t xml:space="preserve"> before it sunsets</w:t>
      </w:r>
      <w:bookmarkEnd w:id="286"/>
    </w:p>
    <w:p w14:paraId="6004BFEF" w14:textId="77777777" w:rsidR="00A83991" w:rsidRPr="00FD274F" w:rsidRDefault="00A83991" w:rsidP="00A83991">
      <w:pPr>
        <w:pStyle w:val="BodyNum"/>
      </w:pPr>
      <w:r w:rsidRPr="00FD274F">
        <w:t>If an instrument cannot be re</w:t>
      </w:r>
      <w:r>
        <w:t>placed</w:t>
      </w:r>
      <w:r w:rsidRPr="00FD274F">
        <w:t xml:space="preserve"> before it sunsets, there are only three options for ensuring or restoring continuity of the law.</w:t>
      </w:r>
    </w:p>
    <w:p w14:paraId="31440F2A" w14:textId="597349A2" w:rsidR="00A83991" w:rsidRPr="00FD274F" w:rsidRDefault="00A83991" w:rsidP="00A83991">
      <w:pPr>
        <w:pStyle w:val="BodyNum"/>
      </w:pPr>
      <w:r w:rsidRPr="00FD274F">
        <w:t>First, if an urgent and unavoidable issue emerges before the sunset date that prevents an instrument being remade, it may be possible to obtain a 6</w:t>
      </w:r>
      <w:r>
        <w:t>, 12, 18 or 24</w:t>
      </w:r>
      <w:r w:rsidRPr="00FD274F">
        <w:t xml:space="preserve"> month deferral of its sunset date by </w:t>
      </w:r>
      <w:r>
        <w:t xml:space="preserve">the issuing of </w:t>
      </w:r>
      <w:r w:rsidRPr="00FD274F">
        <w:t>an Attorney</w:t>
      </w:r>
      <w:r>
        <w:noBreakHyphen/>
      </w:r>
      <w:r w:rsidRPr="00FD274F">
        <w:t xml:space="preserve">General’s certificate under </w:t>
      </w:r>
      <w:r w:rsidRPr="00DD1ADC">
        <w:t xml:space="preserve">section 51 of the </w:t>
      </w:r>
      <w:hyperlink r:id="rId669" w:history="1">
        <w:hyperlink r:id="rId670" w:history="1">
          <w:hyperlink r:id="rId671" w:history="1">
            <w:r w:rsidRPr="00DD1ADC">
              <w:rPr>
                <w:rStyle w:val="Hyperlink"/>
              </w:rPr>
              <w:t>LA</w:t>
            </w:r>
          </w:hyperlink>
        </w:hyperlink>
      </w:hyperlink>
      <w:r w:rsidRPr="00DD1ADC">
        <w:t>.</w:t>
      </w:r>
      <w:r w:rsidRPr="00FD274F">
        <w:t xml:space="preserve"> For further guidance on section 51 certifica</w:t>
      </w:r>
      <w:r w:rsidRPr="007869D8">
        <w:t xml:space="preserve">tes, see paragraph </w:t>
      </w:r>
      <w:r w:rsidRPr="00FD6A45">
        <w:rPr>
          <w:highlight w:val="yellow"/>
        </w:rPr>
        <w:fldChar w:fldCharType="begin"/>
      </w:r>
      <w:r w:rsidRPr="007869D8">
        <w:instrText xml:space="preserve"> REF _Ref367446626 \r \h </w:instrText>
      </w:r>
      <w:r>
        <w:rPr>
          <w:highlight w:val="yellow"/>
        </w:rPr>
        <w:instrText xml:space="preserve"> \* MERGEFORMAT </w:instrText>
      </w:r>
      <w:r w:rsidRPr="00FD6A45">
        <w:rPr>
          <w:highlight w:val="yellow"/>
        </w:rPr>
      </w:r>
      <w:r w:rsidRPr="00FD6A45">
        <w:rPr>
          <w:highlight w:val="yellow"/>
        </w:rPr>
        <w:fldChar w:fldCharType="separate"/>
      </w:r>
      <w:r w:rsidR="00AB105F">
        <w:t>382</w:t>
      </w:r>
      <w:r w:rsidRPr="00FD6A45">
        <w:rPr>
          <w:highlight w:val="yellow"/>
        </w:rPr>
        <w:fldChar w:fldCharType="end"/>
      </w:r>
      <w:r w:rsidRPr="007869D8">
        <w:t>.</w:t>
      </w:r>
    </w:p>
    <w:p w14:paraId="1B0681D9" w14:textId="4BCCF1F4" w:rsidR="00A83991" w:rsidRPr="00FD274F" w:rsidRDefault="00A83991" w:rsidP="00A83991">
      <w:pPr>
        <w:pStyle w:val="BodyNum"/>
      </w:pPr>
      <w:r w:rsidRPr="00FD274F">
        <w:t xml:space="preserve">Second, if the original instrument has </w:t>
      </w:r>
      <w:proofErr w:type="spellStart"/>
      <w:r w:rsidRPr="00FD274F">
        <w:t>sunsetted</w:t>
      </w:r>
      <w:proofErr w:type="spellEnd"/>
      <w:r w:rsidRPr="00FD274F">
        <w:t>, a replacement instrument should be made as soon as practicable. It might be possible to backdate the commencement to the relevant sunset date</w:t>
      </w:r>
      <w:r w:rsidRPr="007869D8">
        <w:t>, bu</w:t>
      </w:r>
      <w:r w:rsidRPr="00FD274F">
        <w:t xml:space="preserve">t please seek legal advice before attempting </w:t>
      </w:r>
      <w:r>
        <w:t>to commence or apply an instrument retrospectively</w:t>
      </w:r>
      <w:r w:rsidRPr="00FD274F">
        <w:t xml:space="preserve"> </w:t>
      </w:r>
      <w:r w:rsidRPr="007869D8">
        <w:t xml:space="preserve">(see paragraph </w:t>
      </w:r>
      <w:r>
        <w:fldChar w:fldCharType="begin"/>
      </w:r>
      <w:r>
        <w:instrText xml:space="preserve"> REF _Ref112862478 \r \h </w:instrText>
      </w:r>
      <w:r>
        <w:fldChar w:fldCharType="separate"/>
      </w:r>
      <w:r w:rsidR="00AB105F">
        <w:t>74</w:t>
      </w:r>
      <w:r>
        <w:fldChar w:fldCharType="end"/>
      </w:r>
      <w:r w:rsidRPr="007869D8">
        <w:t>)</w:t>
      </w:r>
      <w:r w:rsidRPr="00FD274F">
        <w:t xml:space="preserve">. Note also that retrospectivity may attract adverse comment from bodies such as </w:t>
      </w:r>
      <w:r>
        <w:t>the SDLC</w:t>
      </w:r>
      <w:r w:rsidRPr="00FD274F">
        <w:rPr>
          <w:color w:val="000000" w:themeColor="text1"/>
        </w:rPr>
        <w:t>).</w:t>
      </w:r>
    </w:p>
    <w:p w14:paraId="63B00F29" w14:textId="77777777" w:rsidR="00A83991" w:rsidRPr="00FD274F" w:rsidRDefault="00A83991" w:rsidP="00A83991">
      <w:pPr>
        <w:pStyle w:val="BodyNum"/>
      </w:pPr>
      <w:r w:rsidRPr="00FD274F">
        <w:lastRenderedPageBreak/>
        <w:t>Finally, if a replacement instrument cannot be made retrospectively, an Act of the Parliament may be required to remedy the situation. However, this should only be considered if all other op</w:t>
      </w:r>
      <w:r w:rsidRPr="00FD274F">
        <w:rPr>
          <w:color w:val="000000" w:themeColor="text1"/>
        </w:rPr>
        <w:t>tions have been exhausted. For more information on what is involved, see the Legislation Handbook</w:t>
      </w:r>
      <w:r w:rsidRPr="00FD274F">
        <w:rPr>
          <w:rStyle w:val="FootnoteReference"/>
          <w:color w:val="000000" w:themeColor="text1"/>
        </w:rPr>
        <w:footnoteReference w:id="52"/>
      </w:r>
      <w:r w:rsidRPr="00FD274F">
        <w:rPr>
          <w:color w:val="000000" w:themeColor="text1"/>
        </w:rPr>
        <w:t>.</w:t>
      </w:r>
    </w:p>
    <w:p w14:paraId="744293F9" w14:textId="4AC2FE51" w:rsidR="00A83991" w:rsidRPr="00FD274F" w:rsidRDefault="00A83991" w:rsidP="00A83991">
      <w:pPr>
        <w:pStyle w:val="BodyNum"/>
      </w:pPr>
      <w:r w:rsidRPr="00FD274F">
        <w:t xml:space="preserve">For assistance with any of these options, please contact </w:t>
      </w:r>
      <w:r w:rsidRPr="00DD1ADC">
        <w:t xml:space="preserve">OPC by email at </w:t>
      </w:r>
      <w:hyperlink r:id="rId672" w:history="1">
        <w:r w:rsidRPr="00DD1ADC">
          <w:rPr>
            <w:rStyle w:val="Hyperlink"/>
          </w:rPr>
          <w:t>instrument.instructions@opc.gov.au</w:t>
        </w:r>
      </w:hyperlink>
      <w:r w:rsidRPr="00DD1ADC">
        <w:t xml:space="preserve"> o</w:t>
      </w:r>
      <w:r w:rsidRPr="00FD274F">
        <w:t xml:space="preserve">r contact </w:t>
      </w:r>
      <w:r w:rsidR="0083197E">
        <w:t>O</w:t>
      </w:r>
      <w:r w:rsidR="0083197E" w:rsidRPr="00961F7C">
        <w:t>PC’s</w:t>
      </w:r>
      <w:r w:rsidR="0083197E">
        <w:t xml:space="preserve"> </w:t>
      </w:r>
      <w:hyperlink r:id="rId673" w:history="1">
        <w:r w:rsidR="0083197E">
          <w:rPr>
            <w:rStyle w:val="Hyperlink"/>
          </w:rPr>
          <w:t>instrument client advisers</w:t>
        </w:r>
      </w:hyperlink>
      <w:r w:rsidRPr="00DD1ADC">
        <w:t>.</w:t>
      </w:r>
    </w:p>
    <w:p w14:paraId="527C402B" w14:textId="77777777" w:rsidR="0057232B" w:rsidRDefault="0057232B" w:rsidP="00A83991">
      <w:pPr>
        <w:pStyle w:val="Head2"/>
        <w:sectPr w:rsidR="0057232B" w:rsidSect="008123DC">
          <w:headerReference w:type="default" r:id="rId674"/>
          <w:footerReference w:type="default" r:id="rId675"/>
          <w:pgSz w:w="11907" w:h="16839" w:code="9"/>
          <w:pgMar w:top="1440" w:right="1440" w:bottom="1418" w:left="1440" w:header="720" w:footer="720" w:gutter="0"/>
          <w:cols w:sep="1" w:space="567"/>
          <w:docGrid w:linePitch="360"/>
        </w:sectPr>
      </w:pPr>
    </w:p>
    <w:p w14:paraId="3933AFDE" w14:textId="2246066E" w:rsidR="00A83991" w:rsidRDefault="00A83991" w:rsidP="00A83991">
      <w:pPr>
        <w:pStyle w:val="Head2"/>
      </w:pPr>
      <w:bookmarkStart w:id="287" w:name="_Toc223687846"/>
      <w:r>
        <w:lastRenderedPageBreak/>
        <w:t>Appendix A—Sunsetting Checklist</w:t>
      </w:r>
      <w:bookmarkEnd w:id="287"/>
    </w:p>
    <w:p w14:paraId="0EEEAD98" w14:textId="77777777" w:rsidR="00A83991" w:rsidRPr="00D67E97" w:rsidRDefault="00A83991" w:rsidP="00705A89">
      <w:pPr>
        <w:pStyle w:val="BodyNum"/>
        <w:numPr>
          <w:ilvl w:val="0"/>
          <w:numId w:val="5"/>
        </w:numPr>
        <w:ind w:left="709" w:hanging="709"/>
        <w:rPr>
          <w:sz w:val="28"/>
          <w:szCs w:val="26"/>
        </w:rPr>
      </w:pPr>
      <w:r w:rsidRPr="00D67E97">
        <w:rPr>
          <w:sz w:val="28"/>
          <w:szCs w:val="26"/>
        </w:rPr>
        <w:t>Does the instrument pass the fit</w:t>
      </w:r>
      <w:r>
        <w:rPr>
          <w:sz w:val="28"/>
          <w:szCs w:val="26"/>
        </w:rPr>
        <w:noBreakHyphen/>
      </w:r>
      <w:r w:rsidRPr="00D67E97">
        <w:rPr>
          <w:sz w:val="28"/>
          <w:szCs w:val="26"/>
        </w:rPr>
        <w:t>for</w:t>
      </w:r>
      <w:r>
        <w:rPr>
          <w:sz w:val="28"/>
          <w:szCs w:val="26"/>
        </w:rPr>
        <w:noBreakHyphen/>
      </w:r>
      <w:r w:rsidRPr="00D67E97">
        <w:rPr>
          <w:sz w:val="28"/>
          <w:szCs w:val="26"/>
        </w:rPr>
        <w:t>purpose test (see the AGD Guide to Managing Sunsetting of Legislative Instruments)?</w:t>
      </w:r>
    </w:p>
    <w:p w14:paraId="758660CE" w14:textId="77777777" w:rsidR="00A83991" w:rsidRPr="00D67E97" w:rsidRDefault="00A83991" w:rsidP="00705A89">
      <w:pPr>
        <w:pStyle w:val="BodyNum"/>
        <w:numPr>
          <w:ilvl w:val="0"/>
          <w:numId w:val="5"/>
        </w:numPr>
        <w:ind w:left="709" w:hanging="709"/>
        <w:rPr>
          <w:sz w:val="28"/>
          <w:szCs w:val="26"/>
        </w:rPr>
      </w:pPr>
      <w:r w:rsidRPr="00D67E97">
        <w:rPr>
          <w:sz w:val="28"/>
          <w:szCs w:val="26"/>
        </w:rPr>
        <w:t>Is the policy of each provision still necessary and appropriate?</w:t>
      </w:r>
    </w:p>
    <w:p w14:paraId="3F3CAEB4" w14:textId="77777777" w:rsidR="00A83991" w:rsidRPr="002940F0" w:rsidRDefault="00A83991" w:rsidP="00705A89">
      <w:pPr>
        <w:pStyle w:val="BodyNum"/>
        <w:numPr>
          <w:ilvl w:val="0"/>
          <w:numId w:val="5"/>
        </w:numPr>
        <w:ind w:left="709" w:hanging="709"/>
        <w:rPr>
          <w:sz w:val="26"/>
          <w:szCs w:val="26"/>
        </w:rPr>
      </w:pPr>
      <w:r w:rsidRPr="00D67E97">
        <w:rPr>
          <w:sz w:val="28"/>
          <w:szCs w:val="26"/>
        </w:rPr>
        <w:t>Is each provision of the instrument supported by an appropriate head of power in the enabling legislation?</w:t>
      </w:r>
      <w:r w:rsidRPr="00D67E97">
        <w:rPr>
          <w:sz w:val="28"/>
          <w:szCs w:val="26"/>
        </w:rPr>
        <w:br/>
      </w:r>
      <w:r w:rsidRPr="00D67E97">
        <w:rPr>
          <w:sz w:val="22"/>
          <w:szCs w:val="22"/>
        </w:rPr>
        <w:t>The instrument might not explicitly refer to the head of power under which the provision is made. If so, you might need to speak to a drafter in OPC or seek legal advice.</w:t>
      </w:r>
    </w:p>
    <w:p w14:paraId="16071093" w14:textId="77777777" w:rsidR="00A83991" w:rsidRPr="00D67E97" w:rsidRDefault="00A83991" w:rsidP="00705A89">
      <w:pPr>
        <w:pStyle w:val="BodyNum"/>
        <w:numPr>
          <w:ilvl w:val="0"/>
          <w:numId w:val="5"/>
        </w:numPr>
        <w:ind w:left="709" w:hanging="709"/>
        <w:rPr>
          <w:sz w:val="28"/>
          <w:szCs w:val="26"/>
        </w:rPr>
      </w:pPr>
      <w:r w:rsidRPr="00D67E97">
        <w:rPr>
          <w:sz w:val="28"/>
          <w:szCs w:val="26"/>
        </w:rPr>
        <w:t>Are all references in the instrument to the following still appropriate and correct:</w:t>
      </w:r>
    </w:p>
    <w:p w14:paraId="2813A16F" w14:textId="77777777" w:rsidR="00A83991" w:rsidRPr="00D67E97" w:rsidRDefault="00A83991" w:rsidP="00705A89">
      <w:pPr>
        <w:pStyle w:val="BodyNum"/>
        <w:numPr>
          <w:ilvl w:val="1"/>
          <w:numId w:val="4"/>
        </w:numPr>
        <w:spacing w:before="120"/>
        <w:rPr>
          <w:sz w:val="28"/>
          <w:szCs w:val="26"/>
        </w:rPr>
      </w:pPr>
      <w:r w:rsidRPr="00D67E97">
        <w:rPr>
          <w:sz w:val="28"/>
          <w:szCs w:val="26"/>
        </w:rPr>
        <w:t>references to laws or other instruments;</w:t>
      </w:r>
    </w:p>
    <w:p w14:paraId="1424E47C" w14:textId="77777777" w:rsidR="00A83991" w:rsidRPr="00D67E97" w:rsidRDefault="00A83991" w:rsidP="00705A89">
      <w:pPr>
        <w:pStyle w:val="BodyNum"/>
        <w:numPr>
          <w:ilvl w:val="1"/>
          <w:numId w:val="4"/>
        </w:numPr>
        <w:spacing w:before="120"/>
        <w:rPr>
          <w:sz w:val="28"/>
          <w:szCs w:val="26"/>
        </w:rPr>
      </w:pPr>
      <w:r w:rsidRPr="00D67E97">
        <w:rPr>
          <w:sz w:val="28"/>
          <w:szCs w:val="26"/>
        </w:rPr>
        <w:t>references to persons, organisations or bodies.</w:t>
      </w:r>
    </w:p>
    <w:p w14:paraId="665E359F" w14:textId="77777777" w:rsidR="00A83991" w:rsidRPr="00D67E97" w:rsidRDefault="00A83991" w:rsidP="00A83991">
      <w:pPr>
        <w:pStyle w:val="Body"/>
        <w:spacing w:before="120"/>
        <w:ind w:left="709"/>
        <w:rPr>
          <w:sz w:val="22"/>
          <w:szCs w:val="26"/>
        </w:rPr>
      </w:pPr>
      <w:r w:rsidRPr="00D67E97">
        <w:rPr>
          <w:sz w:val="22"/>
          <w:szCs w:val="26"/>
        </w:rPr>
        <w:t>This might require checking those references in the laws of the Commonwealth, a State or a Territory, or in instruments made by another person, organisation or body.</w:t>
      </w:r>
    </w:p>
    <w:p w14:paraId="473C0707" w14:textId="77777777" w:rsidR="00A83991" w:rsidRPr="00553A4A" w:rsidRDefault="00A83991" w:rsidP="00705A89">
      <w:pPr>
        <w:pStyle w:val="BodyNum"/>
        <w:numPr>
          <w:ilvl w:val="0"/>
          <w:numId w:val="5"/>
        </w:numPr>
        <w:ind w:left="709" w:hanging="709"/>
        <w:rPr>
          <w:sz w:val="28"/>
          <w:szCs w:val="26"/>
        </w:rPr>
      </w:pPr>
      <w:r w:rsidRPr="00553A4A">
        <w:rPr>
          <w:sz w:val="28"/>
          <w:szCs w:val="26"/>
        </w:rPr>
        <w:t>Does each provision of the instrument meet OPC drafting and publishing standards?</w:t>
      </w:r>
    </w:p>
    <w:p w14:paraId="64E67174" w14:textId="77777777" w:rsidR="00A83991" w:rsidRPr="00553A4A" w:rsidRDefault="00A83991" w:rsidP="00705A89">
      <w:pPr>
        <w:pStyle w:val="BodyNum"/>
        <w:numPr>
          <w:ilvl w:val="0"/>
          <w:numId w:val="5"/>
        </w:numPr>
        <w:ind w:left="709" w:hanging="709"/>
        <w:rPr>
          <w:sz w:val="28"/>
          <w:szCs w:val="26"/>
        </w:rPr>
      </w:pPr>
      <w:r w:rsidRPr="00553A4A">
        <w:rPr>
          <w:sz w:val="28"/>
          <w:szCs w:val="26"/>
        </w:rPr>
        <w:t>Are any application, transitional or savings issues raised by repealing the instrument?</w:t>
      </w:r>
    </w:p>
    <w:p w14:paraId="779B6E24" w14:textId="77777777" w:rsidR="00A83991" w:rsidRPr="00553A4A" w:rsidRDefault="00A83991" w:rsidP="00705A89">
      <w:pPr>
        <w:pStyle w:val="BodyNum"/>
        <w:numPr>
          <w:ilvl w:val="0"/>
          <w:numId w:val="5"/>
        </w:numPr>
        <w:ind w:left="709" w:hanging="709"/>
        <w:rPr>
          <w:sz w:val="28"/>
          <w:szCs w:val="26"/>
        </w:rPr>
      </w:pPr>
      <w:r w:rsidRPr="00553A4A">
        <w:rPr>
          <w:sz w:val="28"/>
          <w:szCs w:val="26"/>
        </w:rPr>
        <w:t xml:space="preserve">If the instrument is not to be </w:t>
      </w:r>
      <w:r>
        <w:rPr>
          <w:sz w:val="28"/>
          <w:szCs w:val="26"/>
        </w:rPr>
        <w:t>replaced</w:t>
      </w:r>
      <w:r w:rsidRPr="00553A4A">
        <w:rPr>
          <w:sz w:val="28"/>
          <w:szCs w:val="26"/>
        </w:rPr>
        <w:t>, has the instrument been repealed?</w:t>
      </w:r>
    </w:p>
    <w:p w14:paraId="20DD56B6" w14:textId="77777777" w:rsidR="00A83991" w:rsidRPr="00553A4A" w:rsidRDefault="00A83991" w:rsidP="00705A89">
      <w:pPr>
        <w:pStyle w:val="BodyNum"/>
        <w:numPr>
          <w:ilvl w:val="0"/>
          <w:numId w:val="5"/>
        </w:numPr>
        <w:ind w:left="709" w:hanging="709"/>
        <w:rPr>
          <w:sz w:val="28"/>
          <w:szCs w:val="26"/>
        </w:rPr>
      </w:pPr>
      <w:r w:rsidRPr="00553A4A">
        <w:rPr>
          <w:sz w:val="28"/>
          <w:szCs w:val="26"/>
        </w:rPr>
        <w:t xml:space="preserve">If the instrument is to be </w:t>
      </w:r>
      <w:r>
        <w:rPr>
          <w:sz w:val="28"/>
          <w:szCs w:val="26"/>
        </w:rPr>
        <w:t>replaced</w:t>
      </w:r>
      <w:r w:rsidRPr="00553A4A">
        <w:rPr>
          <w:sz w:val="28"/>
          <w:szCs w:val="26"/>
        </w:rPr>
        <w:t>, have all prerequisites required by the enabling legislation before making the new instrument been complied with?</w:t>
      </w:r>
    </w:p>
    <w:p w14:paraId="665452DD" w14:textId="77777777" w:rsidR="00A83991" w:rsidRPr="00553A4A" w:rsidRDefault="00A83991" w:rsidP="00705A89">
      <w:pPr>
        <w:pStyle w:val="BodyNum"/>
        <w:numPr>
          <w:ilvl w:val="0"/>
          <w:numId w:val="5"/>
        </w:numPr>
        <w:ind w:left="709" w:hanging="709"/>
        <w:rPr>
          <w:sz w:val="28"/>
          <w:szCs w:val="26"/>
        </w:rPr>
      </w:pPr>
      <w:r w:rsidRPr="00553A4A">
        <w:rPr>
          <w:sz w:val="28"/>
          <w:szCs w:val="26"/>
        </w:rPr>
        <w:t xml:space="preserve">If the instrument is to be </w:t>
      </w:r>
      <w:r>
        <w:rPr>
          <w:sz w:val="28"/>
          <w:szCs w:val="26"/>
        </w:rPr>
        <w:t>replaced</w:t>
      </w:r>
      <w:r w:rsidRPr="00553A4A">
        <w:rPr>
          <w:sz w:val="28"/>
          <w:szCs w:val="26"/>
        </w:rPr>
        <w:t>, does the new instrument have a unique name, and a commencement provision?</w:t>
      </w:r>
    </w:p>
    <w:p w14:paraId="4BFBE4D1" w14:textId="77777777" w:rsidR="00A83991" w:rsidRPr="00553A4A" w:rsidRDefault="00A83991" w:rsidP="00705A89">
      <w:pPr>
        <w:pStyle w:val="BodyNum"/>
        <w:numPr>
          <w:ilvl w:val="0"/>
          <w:numId w:val="5"/>
        </w:numPr>
        <w:ind w:left="709" w:hanging="709"/>
        <w:rPr>
          <w:sz w:val="28"/>
          <w:szCs w:val="26"/>
        </w:rPr>
      </w:pPr>
      <w:r w:rsidRPr="00553A4A">
        <w:rPr>
          <w:sz w:val="28"/>
          <w:szCs w:val="26"/>
        </w:rPr>
        <w:t>Have you considered the power to make any instruments that are made under the legislative instrument, and the character of those instruments?</w:t>
      </w:r>
    </w:p>
    <w:p w14:paraId="1985FB6C" w14:textId="77777777" w:rsidR="00A83991" w:rsidRPr="00553A4A" w:rsidRDefault="00A83991" w:rsidP="00705A89">
      <w:pPr>
        <w:pStyle w:val="BodyNum"/>
        <w:numPr>
          <w:ilvl w:val="0"/>
          <w:numId w:val="5"/>
        </w:numPr>
        <w:ind w:left="709" w:hanging="709"/>
        <w:rPr>
          <w:sz w:val="28"/>
          <w:szCs w:val="26"/>
        </w:rPr>
      </w:pPr>
      <w:r w:rsidRPr="00553A4A">
        <w:rPr>
          <w:sz w:val="28"/>
          <w:szCs w:val="26"/>
        </w:rPr>
        <w:t>Are any consequential amendments required to any other instruments because the instrument is to sunset or be re</w:t>
      </w:r>
      <w:r>
        <w:rPr>
          <w:sz w:val="28"/>
          <w:szCs w:val="26"/>
        </w:rPr>
        <w:t>placed</w:t>
      </w:r>
      <w:r w:rsidRPr="00553A4A">
        <w:rPr>
          <w:sz w:val="28"/>
          <w:szCs w:val="26"/>
        </w:rPr>
        <w:t>?</w:t>
      </w:r>
    </w:p>
    <w:p w14:paraId="68B0B743" w14:textId="77777777" w:rsidR="007C560F" w:rsidRDefault="007C560F" w:rsidP="00A83991">
      <w:pPr>
        <w:sectPr w:rsidR="007C560F" w:rsidSect="004907F0">
          <w:headerReference w:type="default" r:id="rId676"/>
          <w:footerReference w:type="default" r:id="rId677"/>
          <w:pgSz w:w="11907" w:h="16839" w:code="9"/>
          <w:pgMar w:top="1440" w:right="1440" w:bottom="1418" w:left="1440" w:header="720" w:footer="720" w:gutter="0"/>
          <w:cols w:sep="1" w:space="567"/>
          <w:docGrid w:linePitch="360"/>
        </w:sectPr>
      </w:pPr>
    </w:p>
    <w:p w14:paraId="44DE2EAB" w14:textId="77777777" w:rsidR="00A83991" w:rsidRPr="00FD274F" w:rsidRDefault="00A83991" w:rsidP="00A83991">
      <w:pPr>
        <w:pStyle w:val="Head2"/>
      </w:pPr>
      <w:bookmarkStart w:id="288" w:name="_Toc223687847"/>
      <w:bookmarkStart w:id="289" w:name="_Hlk175125165"/>
      <w:r w:rsidRPr="00FD274F">
        <w:lastRenderedPageBreak/>
        <w:t>Further reading</w:t>
      </w:r>
      <w:bookmarkEnd w:id="288"/>
    </w:p>
    <w:p w14:paraId="1AB12E77" w14:textId="77777777" w:rsidR="00A83991" w:rsidRPr="00FD274F" w:rsidRDefault="00A83991" w:rsidP="00A83991">
      <w:pPr>
        <w:pStyle w:val="Head3"/>
      </w:pPr>
      <w:bookmarkStart w:id="290" w:name="_Toc223687848"/>
      <w:r w:rsidRPr="002F14DE">
        <w:t>Key legislation</w:t>
      </w:r>
      <w:bookmarkEnd w:id="290"/>
    </w:p>
    <w:p w14:paraId="08A05523" w14:textId="39556B35" w:rsidR="0067767F" w:rsidRPr="00B8489F" w:rsidRDefault="00A83991" w:rsidP="00A83991">
      <w:pPr>
        <w:pStyle w:val="Body"/>
        <w:spacing w:before="120"/>
        <w:contextualSpacing/>
        <w:rPr>
          <w:i/>
          <w:iCs/>
          <w:color w:val="0000FF"/>
        </w:rPr>
      </w:pPr>
      <w:hyperlink r:id="rId678" w:history="1">
        <w:hyperlink r:id="rId679" w:history="1">
          <w:r w:rsidRPr="00FD274F">
            <w:rPr>
              <w:rStyle w:val="Hyperlink"/>
              <w:i/>
            </w:rPr>
            <w:t>Acts Interpretation Act 1901</w:t>
          </w:r>
        </w:hyperlink>
      </w:hyperlink>
      <w:r>
        <w:rPr>
          <w:rStyle w:val="Hyperlink"/>
          <w:i/>
        </w:rPr>
        <w:br/>
      </w:r>
      <w:hyperlink r:id="rId680" w:history="1">
        <w:r w:rsidRPr="00FD274F">
          <w:rPr>
            <w:rStyle w:val="Hyperlink"/>
            <w:i/>
          </w:rPr>
          <w:t>Legislation Act 2003</w:t>
        </w:r>
      </w:hyperlink>
      <w:r>
        <w:rPr>
          <w:rStyle w:val="Hyperlink"/>
          <w:i/>
        </w:rPr>
        <w:br/>
      </w:r>
      <w:hyperlink r:id="rId681" w:history="1">
        <w:r w:rsidRPr="00FD274F">
          <w:rPr>
            <w:rStyle w:val="Hyperlink"/>
            <w:i/>
          </w:rPr>
          <w:t>Legislation (Exemptions and Other Matters) Regulation 2015</w:t>
        </w:r>
      </w:hyperlink>
      <w:r w:rsidRPr="00FD274F">
        <w:rPr>
          <w:rStyle w:val="Hyperlink"/>
          <w:i/>
        </w:rPr>
        <w:br/>
      </w:r>
      <w:hyperlink r:id="rId682" w:history="1">
        <w:r w:rsidR="0067767F" w:rsidRPr="00BD6320">
          <w:rPr>
            <w:rStyle w:val="Hyperlink"/>
            <w:i/>
            <w:iCs/>
          </w:rPr>
          <w:t>Legislation Rules 2026</w:t>
        </w:r>
      </w:hyperlink>
    </w:p>
    <w:p w14:paraId="14658D36" w14:textId="77777777" w:rsidR="00A83991" w:rsidRPr="00FD274F" w:rsidRDefault="00A83991" w:rsidP="00A83991">
      <w:pPr>
        <w:pStyle w:val="Head3"/>
        <w:spacing w:before="360"/>
      </w:pPr>
      <w:bookmarkStart w:id="291" w:name="_Toc223687849"/>
      <w:r w:rsidRPr="002F14DE">
        <w:t>Guidance material</w:t>
      </w:r>
      <w:bookmarkEnd w:id="291"/>
    </w:p>
    <w:p w14:paraId="16E7175A" w14:textId="7068B10B" w:rsidR="00A83991" w:rsidRPr="00FD274F" w:rsidRDefault="00A83991" w:rsidP="00A83991">
      <w:pPr>
        <w:pStyle w:val="Body"/>
        <w:spacing w:before="120"/>
        <w:rPr>
          <w:rStyle w:val="Hyperlink"/>
          <w:color w:val="auto"/>
        </w:rPr>
      </w:pPr>
      <w:r w:rsidRPr="00FD274F">
        <w:t>AGD guidance on human righ</w:t>
      </w:r>
      <w:r>
        <w:t>ts scrutiny</w:t>
      </w:r>
      <w:r>
        <w:br/>
      </w:r>
      <w:hyperlink r:id="rId683" w:history="1">
        <w:r w:rsidRPr="005E54AC">
          <w:rPr>
            <w:rStyle w:val="Hyperlink"/>
          </w:rPr>
          <w:t>https://www.ag.gov.au/rights-and-protections/human-rights-and-anti-discrimination/human-rights-scrutin</w:t>
        </w:r>
      </w:hyperlink>
      <w:r w:rsidRPr="005E54AC">
        <w:t>y</w:t>
      </w:r>
    </w:p>
    <w:p w14:paraId="3A779D28" w14:textId="371606D8" w:rsidR="00A83991" w:rsidRPr="00FD274F" w:rsidRDefault="00A83991" w:rsidP="00A83991">
      <w:pPr>
        <w:pStyle w:val="Body"/>
        <w:spacing w:before="120"/>
        <w:rPr>
          <w:rStyle w:val="Hyperlink"/>
        </w:rPr>
      </w:pPr>
      <w:r w:rsidRPr="00FD274F">
        <w:rPr>
          <w:spacing w:val="-6"/>
        </w:rPr>
        <w:t>AGD Guide to Framing Commonwealth Offences, Infringements Notices and Enforcement Powers</w:t>
      </w:r>
      <w:r w:rsidRPr="00FD274F">
        <w:br/>
      </w:r>
      <w:hyperlink r:id="rId684" w:history="1">
        <w:r w:rsidRPr="005E54AC">
          <w:rPr>
            <w:rStyle w:val="Hyperlink"/>
          </w:rPr>
          <w:t>https://www.ag.gov.au/legal-system/publications/guide-framing-commonwealth-offences-infringement-notices-and-enforcement-powers</w:t>
        </w:r>
      </w:hyperlink>
    </w:p>
    <w:p w14:paraId="19D4C99F" w14:textId="310A5FB7" w:rsidR="00A83991" w:rsidRPr="00FD274F" w:rsidRDefault="00A83991" w:rsidP="00A83991">
      <w:pPr>
        <w:pStyle w:val="Body"/>
        <w:spacing w:before="120"/>
        <w:rPr>
          <w:rStyle w:val="Hyperlink"/>
          <w:szCs w:val="24"/>
        </w:rPr>
      </w:pPr>
      <w:r w:rsidRPr="00FD274F">
        <w:rPr>
          <w:szCs w:val="24"/>
        </w:rPr>
        <w:t xml:space="preserve">AGD Guide to Managing Sunsetting of Legislative Instruments </w:t>
      </w:r>
      <w:r w:rsidRPr="00FD274F">
        <w:rPr>
          <w:szCs w:val="24"/>
        </w:rPr>
        <w:br/>
      </w:r>
      <w:hyperlink r:id="rId685" w:history="1">
        <w:hyperlink r:id="rId686" w:history="1">
          <w:r w:rsidRPr="00EA7EDE">
            <w:rPr>
              <w:rStyle w:val="Hyperlink"/>
            </w:rPr>
            <w:t>https://www.ag.gov.au/legal-system/administrative-law/legislation-act-2003</w:t>
          </w:r>
        </w:hyperlink>
      </w:hyperlink>
    </w:p>
    <w:p w14:paraId="1347942F" w14:textId="7D0FE456" w:rsidR="00A83991" w:rsidRPr="00013845" w:rsidRDefault="00A83991" w:rsidP="00A83991">
      <w:pPr>
        <w:pStyle w:val="Body"/>
        <w:spacing w:before="120"/>
      </w:pPr>
      <w:r w:rsidRPr="00013845">
        <w:t xml:space="preserve">The Australian Government Guide to </w:t>
      </w:r>
      <w:r w:rsidRPr="005E54AC">
        <w:t>Delivering Great Policy</w:t>
      </w:r>
      <w:r w:rsidRPr="00013845">
        <w:br/>
      </w:r>
      <w:hyperlink r:id="rId687" w:history="1">
        <w:r w:rsidRPr="005E54AC">
          <w:rPr>
            <w:rStyle w:val="Hyperlink"/>
          </w:rPr>
          <w:t>https://www.apsacademy.gov.au/aps-craft/strategy-policy-evaluation/delivering-great-policy</w:t>
        </w:r>
      </w:hyperlink>
    </w:p>
    <w:p w14:paraId="3C0C8420" w14:textId="553BD431" w:rsidR="00A83991" w:rsidRPr="00433C0A" w:rsidRDefault="00A83991" w:rsidP="00A83991">
      <w:pPr>
        <w:pStyle w:val="Body"/>
        <w:spacing w:before="120"/>
        <w:rPr>
          <w:spacing w:val="-6"/>
          <w:sz w:val="36"/>
        </w:rPr>
      </w:pPr>
      <w:r w:rsidRPr="00574CB5">
        <w:t>Federal Executive Council Handbook</w:t>
      </w:r>
      <w:r w:rsidRPr="00574CB5">
        <w:rPr>
          <w:rStyle w:val="Hyperlink"/>
          <w:highlight w:val="green"/>
        </w:rPr>
        <w:br/>
      </w:r>
      <w:hyperlink r:id="rId688" w:history="1">
        <w:r w:rsidRPr="005E54AC">
          <w:rPr>
            <w:rStyle w:val="Hyperlink"/>
          </w:rPr>
          <w:t>https://www.pmc.gov.au/resources/federal-executive-council-handbook-2021</w:t>
        </w:r>
      </w:hyperlink>
    </w:p>
    <w:p w14:paraId="1F7C39DD" w14:textId="3783209E" w:rsidR="00210BAB" w:rsidRDefault="00A83991" w:rsidP="00A83991">
      <w:pPr>
        <w:pStyle w:val="Body"/>
        <w:spacing w:before="120"/>
        <w:rPr>
          <w:rStyle w:val="Hyperlink"/>
        </w:rPr>
      </w:pPr>
      <w:r w:rsidRPr="00433C0A">
        <w:t>Guidelines for the Presentation of Documents to the Parliament</w:t>
      </w:r>
      <w:r w:rsidRPr="00433C0A">
        <w:br/>
      </w:r>
      <w:hyperlink r:id="rId689" w:history="1">
        <w:r w:rsidRPr="004443F8">
          <w:rPr>
            <w:rStyle w:val="Hyperlink"/>
          </w:rPr>
          <w:t>https://www.pmc.gov.au/resources/tabling-guidelines</w:t>
        </w:r>
      </w:hyperlink>
    </w:p>
    <w:p w14:paraId="6C02D648" w14:textId="266C72AE" w:rsidR="00A83991" w:rsidRPr="00FD274F" w:rsidRDefault="00A83991" w:rsidP="00A83991">
      <w:pPr>
        <w:pStyle w:val="Body"/>
        <w:spacing w:before="120"/>
        <w:rPr>
          <w:rStyle w:val="Hyperlink"/>
        </w:rPr>
      </w:pPr>
      <w:r w:rsidRPr="00433C0A">
        <w:t>Legislation Handbook</w:t>
      </w:r>
      <w:r w:rsidRPr="00433C0A">
        <w:br/>
      </w:r>
      <w:hyperlink r:id="rId690" w:history="1">
        <w:r w:rsidRPr="004443F8">
          <w:rPr>
            <w:rStyle w:val="Hyperlink"/>
          </w:rPr>
          <w:t>https://www.pmc.gov.au/resources/legislation-handbook</w:t>
        </w:r>
      </w:hyperlink>
    </w:p>
    <w:bookmarkEnd w:id="289"/>
    <w:p w14:paraId="43E3849D" w14:textId="079C6BD0" w:rsidR="00A83991" w:rsidRPr="00FD274F" w:rsidRDefault="00A83991" w:rsidP="00A83991">
      <w:pPr>
        <w:pStyle w:val="Body"/>
        <w:spacing w:before="120"/>
        <w:rPr>
          <w:rStyle w:val="Hyperlink"/>
        </w:rPr>
      </w:pPr>
      <w:r w:rsidRPr="00FD274F">
        <w:t>Legislation Proposal Advice—OPC client advisers list</w:t>
      </w:r>
      <w:r w:rsidRPr="00FD274F">
        <w:br/>
      </w:r>
      <w:hyperlink r:id="rId691" w:history="1">
        <w:r>
          <w:rPr>
            <w:rStyle w:val="Hyperlink"/>
          </w:rPr>
          <w:t>https://www.opc.gov.au/drafting</w:t>
        </w:r>
        <w:r>
          <w:rPr>
            <w:rStyle w:val="Hyperlink"/>
          </w:rPr>
          <w:noBreakHyphen/>
          <w:t>resources/client</w:t>
        </w:r>
        <w:r>
          <w:rPr>
            <w:rStyle w:val="Hyperlink"/>
          </w:rPr>
          <w:noBreakHyphen/>
          <w:t>advisers</w:t>
        </w:r>
      </w:hyperlink>
      <w:r w:rsidRPr="00FD274F">
        <w:t xml:space="preserve"> </w:t>
      </w:r>
    </w:p>
    <w:p w14:paraId="002533B0" w14:textId="48A20363" w:rsidR="00C11C06" w:rsidRPr="00EB1638" w:rsidRDefault="00C11C06" w:rsidP="00C11C06">
      <w:pPr>
        <w:pStyle w:val="Body"/>
        <w:spacing w:before="120"/>
        <w:rPr>
          <w:rStyle w:val="Hyperlink"/>
          <w:color w:val="auto"/>
        </w:rPr>
      </w:pPr>
      <w:r w:rsidRPr="00FD274F">
        <w:t>OPC Drafting Directions</w:t>
      </w:r>
      <w:r w:rsidRPr="00FD274F">
        <w:rPr>
          <w:rStyle w:val="Hyperlink"/>
        </w:rPr>
        <w:br/>
      </w:r>
      <w:hyperlink r:id="rId692" w:history="1">
        <w:r>
          <w:rPr>
            <w:rStyle w:val="Hyperlink"/>
          </w:rPr>
          <w:t>https://www.opc.gov.au/drafting</w:t>
        </w:r>
        <w:r>
          <w:rPr>
            <w:rStyle w:val="Hyperlink"/>
          </w:rPr>
          <w:noBreakHyphen/>
          <w:t>resources/drafting</w:t>
        </w:r>
        <w:r>
          <w:rPr>
            <w:rStyle w:val="Hyperlink"/>
          </w:rPr>
          <w:noBreakHyphen/>
          <w:t>directions</w:t>
        </w:r>
      </w:hyperlink>
    </w:p>
    <w:p w14:paraId="656A0CC6" w14:textId="732F0105" w:rsidR="00C11C06" w:rsidRPr="00FD274F" w:rsidRDefault="00C11C06" w:rsidP="00C11C06">
      <w:pPr>
        <w:pStyle w:val="Body"/>
        <w:spacing w:before="120"/>
        <w:rPr>
          <w:rStyle w:val="Hyperlink"/>
        </w:rPr>
      </w:pPr>
      <w:r w:rsidRPr="00FD274F">
        <w:t>OPC Drafting Manuals</w:t>
      </w:r>
      <w:r w:rsidRPr="00FD274F">
        <w:rPr>
          <w:rStyle w:val="Hyperlink"/>
        </w:rPr>
        <w:br/>
      </w:r>
      <w:hyperlink r:id="rId693" w:history="1">
        <w:r>
          <w:rPr>
            <w:rStyle w:val="Hyperlink"/>
          </w:rPr>
          <w:t>https://www.opc.gov.au/drafting-resources/drafting-general</w:t>
        </w:r>
      </w:hyperlink>
    </w:p>
    <w:p w14:paraId="0A6349A3" w14:textId="594B7BEE" w:rsidR="00A83991" w:rsidRPr="00FD274F" w:rsidRDefault="00A83991" w:rsidP="00A83991">
      <w:pPr>
        <w:pStyle w:val="Body"/>
        <w:spacing w:before="120"/>
        <w:rPr>
          <w:rStyle w:val="Hyperlink"/>
        </w:rPr>
      </w:pPr>
      <w:r w:rsidRPr="00FD274F">
        <w:t>OPC’s draftin</w:t>
      </w:r>
      <w:r>
        <w:t>g services: a guide for clients</w:t>
      </w:r>
      <w:r w:rsidRPr="00FD274F">
        <w:rPr>
          <w:rStyle w:val="Hyperlink"/>
        </w:rPr>
        <w:br/>
      </w:r>
      <w:hyperlink r:id="rId694" w:history="1">
        <w:r w:rsidR="00A15B9B">
          <w:rPr>
            <w:rStyle w:val="Hyperlink"/>
          </w:rPr>
          <w:t>https://www.opc.gov.au/publications/opcs-drafting-services-guide-clients</w:t>
        </w:r>
      </w:hyperlink>
    </w:p>
    <w:p w14:paraId="2A55E590" w14:textId="49BC2A25" w:rsidR="00A83991" w:rsidRPr="00FD274F" w:rsidRDefault="00A83991" w:rsidP="00A83991">
      <w:pPr>
        <w:pStyle w:val="Body"/>
        <w:spacing w:before="120"/>
        <w:rPr>
          <w:rStyle w:val="Hyperlink"/>
        </w:rPr>
      </w:pPr>
      <w:r w:rsidRPr="00FD274F">
        <w:t>Parliamentary Joint Committee on Human Rights—Guidance Notes and Resources</w:t>
      </w:r>
      <w:r w:rsidRPr="00FD274F">
        <w:br/>
      </w:r>
      <w:hyperlink r:id="rId695" w:history="1">
        <w:r w:rsidR="00BA7A21">
          <w:rPr>
            <w:rStyle w:val="Hyperlink"/>
          </w:rPr>
          <w:t>https://www.aph.gov.au/Parliamentary_Business/Committees/Joint/Human_Rights/Committee_resources</w:t>
        </w:r>
      </w:hyperlink>
    </w:p>
    <w:p w14:paraId="3C548839" w14:textId="52C53858" w:rsidR="00A83991" w:rsidRPr="00FD274F" w:rsidRDefault="00A83991" w:rsidP="00A83991">
      <w:pPr>
        <w:pStyle w:val="Body"/>
        <w:spacing w:before="120"/>
        <w:rPr>
          <w:rStyle w:val="Hyperlink"/>
        </w:rPr>
      </w:pPr>
      <w:r w:rsidRPr="00FD274F">
        <w:t xml:space="preserve">Senate Standing Committee </w:t>
      </w:r>
      <w:r>
        <w:t>for the Scrutiny of Delegated Legislation</w:t>
      </w:r>
      <w:r w:rsidRPr="00FD274F">
        <w:t>—Committee guidelines</w:t>
      </w:r>
      <w:r w:rsidRPr="00FD274F">
        <w:br/>
      </w:r>
      <w:hyperlink r:id="rId696" w:history="1">
        <w:r w:rsidRPr="00FD274F">
          <w:rPr>
            <w:rStyle w:val="Hyperlink"/>
          </w:rPr>
          <w:t>http</w:t>
        </w:r>
        <w:r>
          <w:rPr>
            <w:rStyle w:val="Hyperlink"/>
          </w:rPr>
          <w:t>s</w:t>
        </w:r>
        <w:r w:rsidRPr="00FD274F">
          <w:rPr>
            <w:rStyle w:val="Hyperlink"/>
          </w:rPr>
          <w:t xml:space="preserve">://www.aph.gov.au/Parliamentary_Business/Committees/Senate/Regulations_and_Ordinances/Guidelines </w:t>
        </w:r>
      </w:hyperlink>
    </w:p>
    <w:bookmarkEnd w:id="146"/>
    <w:p w14:paraId="26086F1A" w14:textId="16F3886E" w:rsidR="00D2302D" w:rsidRPr="00FD274F" w:rsidRDefault="00D2302D" w:rsidP="00D2302D">
      <w:pPr>
        <w:pStyle w:val="Head2"/>
        <w:sectPr w:rsidR="00D2302D" w:rsidRPr="00FD274F" w:rsidSect="004907F0">
          <w:headerReference w:type="default" r:id="rId697"/>
          <w:footerReference w:type="default" r:id="rId698"/>
          <w:pgSz w:w="11907" w:h="16839" w:code="9"/>
          <w:pgMar w:top="1440" w:right="1440" w:bottom="1418" w:left="1440" w:header="720" w:footer="720" w:gutter="0"/>
          <w:cols w:sep="1" w:space="567"/>
          <w:docGrid w:linePitch="360"/>
        </w:sectPr>
      </w:pPr>
    </w:p>
    <w:p w14:paraId="632CED71" w14:textId="119BC5D1" w:rsidR="00727ED5" w:rsidRPr="00FD274F" w:rsidRDefault="00727ED5" w:rsidP="004734E3">
      <w:pPr>
        <w:pStyle w:val="Head2"/>
      </w:pPr>
      <w:bookmarkStart w:id="292" w:name="_Toc223687850"/>
      <w:r w:rsidRPr="002F14DE">
        <w:lastRenderedPageBreak/>
        <w:t>Useful contacts</w:t>
      </w:r>
      <w:bookmarkEnd w:id="292"/>
    </w:p>
    <w:p w14:paraId="4D9DE2B7" w14:textId="77777777" w:rsidR="00727ED5" w:rsidRPr="00FD274F" w:rsidRDefault="00727ED5" w:rsidP="004734E3">
      <w:pPr>
        <w:pStyle w:val="Head2"/>
        <w:sectPr w:rsidR="00727ED5" w:rsidRPr="00FD274F" w:rsidSect="004907F0">
          <w:headerReference w:type="default" r:id="rId699"/>
          <w:footerReference w:type="default" r:id="rId700"/>
          <w:pgSz w:w="11907" w:h="16839" w:code="9"/>
          <w:pgMar w:top="1440" w:right="1440" w:bottom="1418" w:left="1440" w:header="720" w:footer="720" w:gutter="0"/>
          <w:cols w:sep="1" w:space="567"/>
          <w:docGrid w:linePitch="360"/>
        </w:sectPr>
      </w:pPr>
    </w:p>
    <w:p w14:paraId="3D0F5814" w14:textId="77777777" w:rsidR="00727ED5" w:rsidRPr="00FD274F" w:rsidRDefault="00727ED5" w:rsidP="004855B6">
      <w:pPr>
        <w:pStyle w:val="Head3"/>
      </w:pPr>
      <w:bookmarkStart w:id="293" w:name="_Toc223687851"/>
      <w:r w:rsidRPr="00FD274F">
        <w:t>Office of Parliamentary Counsel</w:t>
      </w:r>
      <w:bookmarkEnd w:id="293"/>
    </w:p>
    <w:p w14:paraId="10B2C9B1" w14:textId="77777777" w:rsidR="00727ED5" w:rsidRPr="00FD274F" w:rsidRDefault="00727ED5" w:rsidP="00727ED5">
      <w:pPr>
        <w:pStyle w:val="Body"/>
        <w:spacing w:before="120"/>
        <w:rPr>
          <w:rFonts w:ascii="Arial" w:hAnsi="Arial" w:cs="Arial"/>
          <w:b/>
          <w:sz w:val="22"/>
          <w:szCs w:val="22"/>
        </w:rPr>
      </w:pPr>
      <w:r w:rsidRPr="00FD274F">
        <w:rPr>
          <w:rFonts w:ascii="Arial" w:hAnsi="Arial" w:cs="Arial"/>
          <w:b/>
          <w:sz w:val="22"/>
          <w:szCs w:val="22"/>
        </w:rPr>
        <w:t>Instrument drafting services</w:t>
      </w:r>
    </w:p>
    <w:p w14:paraId="35F03749" w14:textId="4692326D" w:rsidR="00727ED5" w:rsidRPr="00FD274F" w:rsidRDefault="00727ED5" w:rsidP="00727ED5">
      <w:pPr>
        <w:pStyle w:val="Body"/>
        <w:spacing w:before="120"/>
      </w:pPr>
      <w:hyperlink r:id="rId701" w:history="1">
        <w:r w:rsidRPr="00FD274F">
          <w:rPr>
            <w:rStyle w:val="Hyperlink"/>
          </w:rPr>
          <w:t>instrument.instructions@opc.gov.au</w:t>
        </w:r>
      </w:hyperlink>
    </w:p>
    <w:p w14:paraId="5B85B6E5" w14:textId="6E035F44" w:rsidR="00727ED5" w:rsidRPr="00FD274F" w:rsidRDefault="00365E38" w:rsidP="00727ED5">
      <w:pPr>
        <w:pStyle w:val="Body"/>
        <w:spacing w:before="120"/>
      </w:pPr>
      <w:r w:rsidRPr="00FD274F">
        <w:t>o</w:t>
      </w:r>
      <w:r w:rsidR="00466C26" w:rsidRPr="00FD274F">
        <w:t xml:space="preserve">r </w:t>
      </w:r>
      <w:r w:rsidR="00360D0F" w:rsidRPr="00FD274F">
        <w:t xml:space="preserve">contact </w:t>
      </w:r>
      <w:r w:rsidR="00180BA2" w:rsidRPr="00FD274F">
        <w:t>OPC</w:t>
      </w:r>
      <w:r w:rsidR="00134C62">
        <w:t>’s</w:t>
      </w:r>
      <w:r w:rsidR="00180BA2" w:rsidRPr="00FD274F">
        <w:t xml:space="preserve"> instrument</w:t>
      </w:r>
      <w:r w:rsidR="00F23FE8">
        <w:t xml:space="preserve"> client adviser</w:t>
      </w:r>
      <w:r w:rsidR="00134C62">
        <w:t>s</w:t>
      </w:r>
      <w:r w:rsidRPr="00FD274F">
        <w:br/>
        <w:t>(</w:t>
      </w:r>
      <w:hyperlink r:id="rId702" w:history="1">
        <w:r w:rsidR="00BC647B">
          <w:rPr>
            <w:rStyle w:val="Hyperlink"/>
          </w:rPr>
          <w:t>https://www.opc.gov.au/drafting</w:t>
        </w:r>
        <w:r w:rsidR="009C4251">
          <w:rPr>
            <w:rStyle w:val="Hyperlink"/>
          </w:rPr>
          <w:noBreakHyphen/>
        </w:r>
        <w:r w:rsidR="00BC647B">
          <w:rPr>
            <w:rStyle w:val="Hyperlink"/>
          </w:rPr>
          <w:t>resources/client</w:t>
        </w:r>
        <w:r w:rsidR="009C4251">
          <w:rPr>
            <w:rStyle w:val="Hyperlink"/>
          </w:rPr>
          <w:noBreakHyphen/>
        </w:r>
        <w:r w:rsidR="00BC647B">
          <w:rPr>
            <w:rStyle w:val="Hyperlink"/>
          </w:rPr>
          <w:t>advisers</w:t>
        </w:r>
      </w:hyperlink>
      <w:r w:rsidRPr="00FD274F">
        <w:t>)</w:t>
      </w:r>
    </w:p>
    <w:p w14:paraId="33C6650E" w14:textId="77777777" w:rsidR="00727ED5" w:rsidRPr="00FD274F" w:rsidRDefault="00727ED5" w:rsidP="00727ED5">
      <w:pPr>
        <w:pStyle w:val="Body"/>
        <w:spacing w:before="120"/>
        <w:rPr>
          <w:rFonts w:ascii="Arial" w:hAnsi="Arial" w:cs="Arial"/>
          <w:b/>
          <w:sz w:val="22"/>
          <w:szCs w:val="22"/>
        </w:rPr>
      </w:pPr>
      <w:r w:rsidRPr="00FD274F">
        <w:rPr>
          <w:rFonts w:ascii="Arial" w:hAnsi="Arial" w:cs="Arial"/>
          <w:b/>
          <w:sz w:val="22"/>
          <w:szCs w:val="22"/>
        </w:rPr>
        <w:t>Compilations services</w:t>
      </w:r>
    </w:p>
    <w:p w14:paraId="5D1F9935" w14:textId="63AE964B" w:rsidR="00727ED5" w:rsidRPr="00FD274F" w:rsidRDefault="00D53143" w:rsidP="00727ED5">
      <w:pPr>
        <w:pStyle w:val="Body"/>
        <w:spacing w:before="120"/>
      </w:pPr>
      <w:hyperlink r:id="rId703" w:history="1">
        <w:hyperlink r:id="rId704" w:history="1">
          <w:r w:rsidRPr="00FD26C8">
            <w:rPr>
              <w:rStyle w:val="Hyperlink"/>
            </w:rPr>
            <w:t>lodge@legislation.gov.au</w:t>
          </w:r>
        </w:hyperlink>
      </w:hyperlink>
      <w:r w:rsidR="00727ED5" w:rsidRPr="00FD274F">
        <w:rPr>
          <w:szCs w:val="24"/>
        </w:rPr>
        <w:br/>
      </w:r>
      <w:r w:rsidR="00727ED5" w:rsidRPr="00FD274F">
        <w:t xml:space="preserve">(02) </w:t>
      </w:r>
      <w:r w:rsidR="00353191" w:rsidRPr="00FD274F">
        <w:t>6120 1</w:t>
      </w:r>
      <w:r w:rsidR="00727ED5" w:rsidRPr="00FD274F">
        <w:t>3</w:t>
      </w:r>
      <w:r w:rsidR="00963B43" w:rsidRPr="00FD274F">
        <w:t>50</w:t>
      </w:r>
    </w:p>
    <w:p w14:paraId="20457F44" w14:textId="77777777" w:rsidR="00727ED5" w:rsidRPr="00FD274F" w:rsidRDefault="00727ED5" w:rsidP="00727ED5">
      <w:pPr>
        <w:pStyle w:val="Body"/>
        <w:spacing w:before="120"/>
        <w:rPr>
          <w:rFonts w:ascii="Arial" w:hAnsi="Arial" w:cs="Arial"/>
          <w:b/>
          <w:sz w:val="22"/>
          <w:szCs w:val="22"/>
        </w:rPr>
      </w:pPr>
      <w:r w:rsidRPr="00FD274F">
        <w:rPr>
          <w:rFonts w:ascii="Arial" w:hAnsi="Arial" w:cs="Arial"/>
          <w:b/>
          <w:sz w:val="22"/>
          <w:szCs w:val="22"/>
        </w:rPr>
        <w:t>Sunsetting and repeal of instruments</w:t>
      </w:r>
    </w:p>
    <w:p w14:paraId="25301498" w14:textId="19991854" w:rsidR="00727ED5" w:rsidRPr="00FD274F" w:rsidRDefault="00727ED5" w:rsidP="00727ED5">
      <w:pPr>
        <w:pStyle w:val="Body"/>
        <w:spacing w:before="120"/>
      </w:pPr>
      <w:hyperlink r:id="rId705" w:history="1">
        <w:r w:rsidRPr="00FD274F">
          <w:rPr>
            <w:rStyle w:val="Hyperlink"/>
          </w:rPr>
          <w:t>sunsetting@opc.gov.au</w:t>
        </w:r>
      </w:hyperlink>
      <w:r w:rsidRPr="00FD274F">
        <w:t xml:space="preserve"> </w:t>
      </w:r>
      <w:r w:rsidRPr="00FD274F">
        <w:br/>
        <w:t xml:space="preserve">(02) </w:t>
      </w:r>
      <w:r w:rsidR="00353191" w:rsidRPr="00FD274F">
        <w:t>6120 1</w:t>
      </w:r>
      <w:r w:rsidRPr="00FD274F">
        <w:t>3</w:t>
      </w:r>
      <w:r w:rsidR="00EF3C18">
        <w:t>50</w:t>
      </w:r>
    </w:p>
    <w:p w14:paraId="4092CA3C" w14:textId="77777777" w:rsidR="00727ED5" w:rsidRPr="00FD274F" w:rsidRDefault="00831645" w:rsidP="00727ED5">
      <w:pPr>
        <w:pStyle w:val="Body"/>
        <w:spacing w:before="120"/>
        <w:rPr>
          <w:rFonts w:ascii="Arial" w:hAnsi="Arial" w:cs="Arial"/>
          <w:b/>
          <w:sz w:val="22"/>
          <w:szCs w:val="22"/>
        </w:rPr>
      </w:pPr>
      <w:r w:rsidRPr="00FD274F">
        <w:rPr>
          <w:rFonts w:ascii="Arial" w:hAnsi="Arial" w:cs="Arial"/>
          <w:b/>
          <w:sz w:val="22"/>
          <w:szCs w:val="22"/>
        </w:rPr>
        <w:t>Registration</w:t>
      </w:r>
      <w:r w:rsidR="00727ED5" w:rsidRPr="00FD274F">
        <w:rPr>
          <w:rFonts w:ascii="Arial" w:hAnsi="Arial" w:cs="Arial"/>
          <w:b/>
          <w:sz w:val="22"/>
          <w:szCs w:val="22"/>
        </w:rPr>
        <w:t xml:space="preserve"> services and </w:t>
      </w:r>
      <w:r w:rsidR="00FD5F93" w:rsidRPr="00FD274F">
        <w:rPr>
          <w:rFonts w:ascii="Arial" w:hAnsi="Arial" w:cs="Arial"/>
          <w:b/>
          <w:sz w:val="22"/>
          <w:szCs w:val="22"/>
        </w:rPr>
        <w:t>correc</w:t>
      </w:r>
      <w:r w:rsidR="00727ED5" w:rsidRPr="00FD274F">
        <w:rPr>
          <w:rFonts w:ascii="Arial" w:hAnsi="Arial" w:cs="Arial"/>
          <w:b/>
          <w:sz w:val="22"/>
          <w:szCs w:val="22"/>
        </w:rPr>
        <w:t>tion</w:t>
      </w:r>
      <w:r w:rsidRPr="00FD274F">
        <w:rPr>
          <w:rFonts w:ascii="Arial" w:hAnsi="Arial" w:cs="Arial"/>
          <w:b/>
          <w:sz w:val="22"/>
          <w:szCs w:val="22"/>
        </w:rPr>
        <w:t>s</w:t>
      </w:r>
    </w:p>
    <w:p w14:paraId="5A65306B" w14:textId="404EAEF7" w:rsidR="00727ED5" w:rsidRPr="00FD274F" w:rsidRDefault="00727ED5" w:rsidP="00727ED5">
      <w:pPr>
        <w:pStyle w:val="Body"/>
        <w:spacing w:before="120"/>
        <w:rPr>
          <w:rStyle w:val="Hyperlink"/>
        </w:rPr>
      </w:pPr>
      <w:r w:rsidRPr="00FD274F">
        <w:t>To lodge documents online, go to:</w:t>
      </w:r>
      <w:r w:rsidRPr="00FD274F">
        <w:br/>
      </w:r>
      <w:hyperlink r:id="rId706" w:history="1">
        <w:r w:rsidR="00667D98">
          <w:rPr>
            <w:rStyle w:val="Hyperlink"/>
          </w:rPr>
          <w:t>https://lodge.legislation.gov.au</w:t>
        </w:r>
      </w:hyperlink>
    </w:p>
    <w:p w14:paraId="76FF63CA" w14:textId="4A10F0CA" w:rsidR="00831645" w:rsidRPr="001E456D" w:rsidRDefault="00831645" w:rsidP="00831645">
      <w:pPr>
        <w:pStyle w:val="Body"/>
        <w:spacing w:before="120"/>
        <w:rPr>
          <w:szCs w:val="24"/>
        </w:rPr>
      </w:pPr>
      <w:r w:rsidRPr="001E456D">
        <w:rPr>
          <w:szCs w:val="24"/>
        </w:rPr>
        <w:t>To arrange a log</w:t>
      </w:r>
      <w:r w:rsidR="009C4251" w:rsidRPr="001E456D">
        <w:rPr>
          <w:szCs w:val="24"/>
        </w:rPr>
        <w:noBreakHyphen/>
      </w:r>
      <w:r w:rsidRPr="001E456D">
        <w:rPr>
          <w:szCs w:val="24"/>
        </w:rPr>
        <w:t>on or get other help:</w:t>
      </w:r>
      <w:r w:rsidRPr="001E456D">
        <w:rPr>
          <w:szCs w:val="24"/>
        </w:rPr>
        <w:br/>
      </w:r>
      <w:hyperlink r:id="rId707" w:history="1">
        <w:r w:rsidR="001E456D" w:rsidRPr="001E456D">
          <w:rPr>
            <w:rStyle w:val="Hyperlink"/>
            <w:rFonts w:eastAsiaTheme="minorHAnsi"/>
            <w:szCs w:val="24"/>
            <w:lang w:eastAsia="en-US"/>
          </w:rPr>
          <w:t>lodge@legislation.gov.au</w:t>
        </w:r>
      </w:hyperlink>
      <w:r w:rsidRPr="001E456D">
        <w:rPr>
          <w:szCs w:val="24"/>
        </w:rPr>
        <w:t xml:space="preserve"> </w:t>
      </w:r>
      <w:r w:rsidRPr="001E456D">
        <w:rPr>
          <w:szCs w:val="24"/>
        </w:rPr>
        <w:br/>
        <w:t xml:space="preserve">(02) 6120 1350 </w:t>
      </w:r>
    </w:p>
    <w:p w14:paraId="45C73720" w14:textId="77777777" w:rsidR="00727ED5" w:rsidRPr="00FD274F" w:rsidRDefault="00727ED5" w:rsidP="004855B6">
      <w:pPr>
        <w:pStyle w:val="Head3"/>
        <w:spacing w:before="120" w:after="0"/>
      </w:pPr>
      <w:bookmarkStart w:id="294" w:name="_Toc223687852"/>
      <w:r w:rsidRPr="00FD274F">
        <w:t>Table Offices</w:t>
      </w:r>
      <w:bookmarkEnd w:id="294"/>
    </w:p>
    <w:p w14:paraId="069AB333" w14:textId="77777777" w:rsidR="00727ED5" w:rsidRPr="00FD274F" w:rsidRDefault="00727ED5" w:rsidP="00727ED5">
      <w:pPr>
        <w:pStyle w:val="Body"/>
        <w:spacing w:before="120"/>
      </w:pPr>
      <w:r w:rsidRPr="00FD274F">
        <w:rPr>
          <w:rFonts w:ascii="Arial" w:hAnsi="Arial" w:cs="Arial"/>
          <w:b/>
          <w:sz w:val="22"/>
          <w:szCs w:val="22"/>
        </w:rPr>
        <w:t>House of Representatives</w:t>
      </w:r>
    </w:p>
    <w:p w14:paraId="77D96691" w14:textId="16664B72" w:rsidR="00727ED5" w:rsidRPr="00FD274F" w:rsidRDefault="00727ED5" w:rsidP="00727ED5">
      <w:pPr>
        <w:pStyle w:val="Body"/>
        <w:spacing w:before="120"/>
      </w:pPr>
      <w:hyperlink r:id="rId708" w:history="1">
        <w:r w:rsidRPr="00FD274F">
          <w:rPr>
            <w:rStyle w:val="Hyperlink"/>
          </w:rPr>
          <w:t>table.office.reps@aph.gov.au</w:t>
        </w:r>
      </w:hyperlink>
      <w:r w:rsidRPr="00FD274F">
        <w:br/>
        <w:t>(02) 6277 4800</w:t>
      </w:r>
    </w:p>
    <w:p w14:paraId="6A40CDF9" w14:textId="77777777" w:rsidR="00727ED5" w:rsidRPr="00FD274F" w:rsidRDefault="00727ED5" w:rsidP="00727ED5">
      <w:pPr>
        <w:pStyle w:val="Body"/>
        <w:spacing w:before="120"/>
        <w:rPr>
          <w:rFonts w:ascii="Arial" w:hAnsi="Arial" w:cs="Arial"/>
          <w:b/>
          <w:sz w:val="22"/>
          <w:szCs w:val="22"/>
        </w:rPr>
      </w:pPr>
      <w:r w:rsidRPr="00FD274F">
        <w:rPr>
          <w:rFonts w:ascii="Arial" w:hAnsi="Arial" w:cs="Arial"/>
          <w:b/>
          <w:sz w:val="22"/>
          <w:szCs w:val="22"/>
        </w:rPr>
        <w:t>Senate</w:t>
      </w:r>
    </w:p>
    <w:p w14:paraId="532AA8B1" w14:textId="731853B6" w:rsidR="00727ED5" w:rsidRPr="00FD274F" w:rsidRDefault="00727ED5" w:rsidP="00727ED5">
      <w:pPr>
        <w:pStyle w:val="Body"/>
        <w:spacing w:before="120"/>
      </w:pPr>
      <w:hyperlink r:id="rId709" w:history="1">
        <w:r w:rsidRPr="00FD274F">
          <w:rPr>
            <w:rStyle w:val="Hyperlink"/>
          </w:rPr>
          <w:t>table.legislation.sen@aph.gov.au</w:t>
        </w:r>
      </w:hyperlink>
      <w:r w:rsidRPr="00FD274F">
        <w:br/>
        <w:t>(02) 6277 3035</w:t>
      </w:r>
    </w:p>
    <w:p w14:paraId="269662F9" w14:textId="77777777" w:rsidR="00727ED5" w:rsidRPr="00FD274F" w:rsidRDefault="00727ED5" w:rsidP="004855B6">
      <w:pPr>
        <w:pStyle w:val="Head3"/>
        <w:spacing w:before="160"/>
      </w:pPr>
      <w:r w:rsidRPr="00FD274F">
        <w:br w:type="column"/>
      </w:r>
      <w:bookmarkStart w:id="295" w:name="_Toc223687853"/>
      <w:r w:rsidRPr="00FD274F">
        <w:t>Attorney</w:t>
      </w:r>
      <w:r w:rsidR="009C4251">
        <w:noBreakHyphen/>
      </w:r>
      <w:r w:rsidRPr="00FD274F">
        <w:t>General’s Department</w:t>
      </w:r>
      <w:bookmarkEnd w:id="295"/>
    </w:p>
    <w:p w14:paraId="725FA7AC" w14:textId="479C6BBA" w:rsidR="00727ED5" w:rsidRPr="00FD274F" w:rsidRDefault="00727ED5" w:rsidP="00727ED5">
      <w:pPr>
        <w:pStyle w:val="Body"/>
        <w:spacing w:before="120"/>
        <w:rPr>
          <w:rFonts w:ascii="Arial" w:hAnsi="Arial" w:cs="Arial"/>
          <w:b/>
          <w:sz w:val="22"/>
          <w:szCs w:val="22"/>
        </w:rPr>
      </w:pPr>
      <w:r w:rsidRPr="00FD274F">
        <w:rPr>
          <w:rFonts w:ascii="Arial" w:hAnsi="Arial" w:cs="Arial"/>
          <w:b/>
          <w:sz w:val="22"/>
          <w:szCs w:val="22"/>
        </w:rPr>
        <w:t>Exemptions from some or all of the LA</w:t>
      </w:r>
      <w:r w:rsidR="0077772E">
        <w:rPr>
          <w:rFonts w:ascii="Arial" w:hAnsi="Arial" w:cs="Arial"/>
          <w:b/>
          <w:sz w:val="22"/>
          <w:szCs w:val="22"/>
        </w:rPr>
        <w:t>*</w:t>
      </w:r>
    </w:p>
    <w:p w14:paraId="4728F6D8" w14:textId="30EF5206" w:rsidR="00687C96" w:rsidRPr="00FD274F" w:rsidRDefault="00AB2784" w:rsidP="00727ED5">
      <w:pPr>
        <w:pStyle w:val="Body"/>
        <w:spacing w:before="120"/>
      </w:pPr>
      <w:hyperlink r:id="rId710" w:history="1">
        <w:r w:rsidRPr="00FD274F">
          <w:rPr>
            <w:rStyle w:val="Hyperlink"/>
          </w:rPr>
          <w:t>adminlaw@ag.gov.au</w:t>
        </w:r>
      </w:hyperlink>
    </w:p>
    <w:p w14:paraId="3A93C650" w14:textId="56DDA73E" w:rsidR="00727ED5" w:rsidRPr="00FD274F" w:rsidRDefault="00466C26" w:rsidP="00727ED5">
      <w:pPr>
        <w:pStyle w:val="Body"/>
        <w:spacing w:before="120"/>
        <w:rPr>
          <w:rFonts w:ascii="Arial" w:hAnsi="Arial" w:cs="Arial"/>
          <w:b/>
          <w:sz w:val="22"/>
          <w:szCs w:val="22"/>
        </w:rPr>
      </w:pPr>
      <w:r w:rsidRPr="00FD274F">
        <w:rPr>
          <w:rFonts w:ascii="Arial" w:hAnsi="Arial" w:cs="Arial"/>
          <w:b/>
          <w:sz w:val="22"/>
          <w:szCs w:val="22"/>
        </w:rPr>
        <w:t>Proposals to defer sunsetting</w:t>
      </w:r>
      <w:r w:rsidR="0077772E">
        <w:rPr>
          <w:rFonts w:ascii="Arial" w:hAnsi="Arial" w:cs="Arial"/>
          <w:b/>
          <w:sz w:val="22"/>
          <w:szCs w:val="22"/>
        </w:rPr>
        <w:t>*</w:t>
      </w:r>
    </w:p>
    <w:p w14:paraId="4C5112DD" w14:textId="410C69DD" w:rsidR="00E277CA" w:rsidRPr="00E277CA" w:rsidRDefault="00727ED5" w:rsidP="00727ED5">
      <w:pPr>
        <w:pStyle w:val="Body"/>
        <w:spacing w:before="120"/>
      </w:pPr>
      <w:hyperlink r:id="rId711" w:history="1">
        <w:r w:rsidRPr="00FD274F">
          <w:rPr>
            <w:rStyle w:val="Hyperlink"/>
          </w:rPr>
          <w:t>sunsetting@ag.gov.au</w:t>
        </w:r>
      </w:hyperlink>
    </w:p>
    <w:p w14:paraId="206250C7" w14:textId="1065EC37" w:rsidR="00D31469" w:rsidRDefault="0077772E" w:rsidP="00D31469">
      <w:pPr>
        <w:pStyle w:val="Body"/>
        <w:spacing w:before="120"/>
        <w:rPr>
          <w:rFonts w:ascii="Arial" w:hAnsi="Arial" w:cs="Arial"/>
          <w:b/>
          <w:sz w:val="22"/>
          <w:szCs w:val="22"/>
        </w:rPr>
      </w:pPr>
      <w:r w:rsidRPr="009D3DDD">
        <w:rPr>
          <w:sz w:val="22"/>
          <w:szCs w:val="22"/>
        </w:rPr>
        <w:t>*</w:t>
      </w:r>
      <w:r w:rsidR="00D31469">
        <w:t xml:space="preserve">Alternatively, call the AGD Switchboard on </w:t>
      </w:r>
      <w:r w:rsidR="00D31469" w:rsidRPr="00FD274F">
        <w:t>(02) 6141 6666</w:t>
      </w:r>
      <w:r w:rsidR="00D31469">
        <w:t xml:space="preserve"> and ask to be redirected to the Administrative Law Section</w:t>
      </w:r>
    </w:p>
    <w:p w14:paraId="73FCC5C9" w14:textId="403AF023" w:rsidR="00727ED5" w:rsidRPr="00FD274F" w:rsidRDefault="00727ED5" w:rsidP="00727ED5">
      <w:pPr>
        <w:pStyle w:val="Body"/>
        <w:spacing w:before="120"/>
        <w:rPr>
          <w:rFonts w:ascii="Arial" w:hAnsi="Arial" w:cs="Arial"/>
          <w:b/>
          <w:sz w:val="22"/>
          <w:szCs w:val="22"/>
        </w:rPr>
      </w:pPr>
      <w:r w:rsidRPr="00FD274F">
        <w:rPr>
          <w:rFonts w:ascii="Arial" w:hAnsi="Arial" w:cs="Arial"/>
          <w:b/>
          <w:sz w:val="22"/>
          <w:szCs w:val="22"/>
        </w:rPr>
        <w:t>Human rights compatibility</w:t>
      </w:r>
    </w:p>
    <w:p w14:paraId="433CA91B" w14:textId="5E62A29E" w:rsidR="00727ED5" w:rsidRPr="00FD274F" w:rsidRDefault="00727ED5" w:rsidP="00727ED5">
      <w:pPr>
        <w:pStyle w:val="Body"/>
        <w:spacing w:before="120"/>
      </w:pPr>
      <w:hyperlink r:id="rId712" w:history="1">
        <w:r w:rsidRPr="00FD274F">
          <w:rPr>
            <w:rStyle w:val="Hyperlink"/>
          </w:rPr>
          <w:t>humanrights@ag.gov.au</w:t>
        </w:r>
      </w:hyperlink>
    </w:p>
    <w:p w14:paraId="093038AB" w14:textId="75655326" w:rsidR="00727ED5" w:rsidRPr="00FD274F" w:rsidRDefault="00727ED5" w:rsidP="00727ED5">
      <w:pPr>
        <w:pStyle w:val="Body"/>
        <w:spacing w:before="120"/>
        <w:rPr>
          <w:rFonts w:ascii="Arial" w:hAnsi="Arial" w:cs="Arial"/>
          <w:b/>
          <w:sz w:val="22"/>
          <w:szCs w:val="22"/>
        </w:rPr>
      </w:pPr>
      <w:r w:rsidRPr="00FD274F">
        <w:rPr>
          <w:rFonts w:ascii="Arial" w:hAnsi="Arial" w:cs="Arial"/>
          <w:b/>
          <w:sz w:val="22"/>
          <w:szCs w:val="22"/>
        </w:rPr>
        <w:t>Criminal Law Policy</w:t>
      </w:r>
    </w:p>
    <w:p w14:paraId="19FAB304" w14:textId="316430D2" w:rsidR="00727ED5" w:rsidRPr="00FD274F" w:rsidRDefault="00B76B55" w:rsidP="00727ED5">
      <w:pPr>
        <w:pStyle w:val="Body"/>
        <w:spacing w:before="120"/>
      </w:pPr>
      <w:hyperlink r:id="rId713" w:history="1">
        <w:r w:rsidRPr="00934DA6">
          <w:rPr>
            <w:rStyle w:val="Hyperlink"/>
          </w:rPr>
          <w:t>CriminalLaw@ag.gov.au</w:t>
        </w:r>
      </w:hyperlink>
    </w:p>
    <w:p w14:paraId="41B27173" w14:textId="07ED6C80" w:rsidR="00727ED5" w:rsidRPr="00FD274F" w:rsidRDefault="00727ED5" w:rsidP="004855B6">
      <w:pPr>
        <w:pStyle w:val="Head3"/>
        <w:spacing w:after="0"/>
      </w:pPr>
      <w:bookmarkStart w:id="296" w:name="_Toc223687854"/>
      <w:r w:rsidRPr="00FD274F">
        <w:t>Department of the Prime Minister and Cabinet</w:t>
      </w:r>
      <w:bookmarkEnd w:id="296"/>
    </w:p>
    <w:p w14:paraId="75B7302D" w14:textId="7FE08287" w:rsidR="00727ED5" w:rsidRPr="00FD274F" w:rsidRDefault="00727ED5" w:rsidP="00727ED5">
      <w:pPr>
        <w:pStyle w:val="Body"/>
        <w:spacing w:before="120"/>
        <w:rPr>
          <w:rFonts w:ascii="Arial" w:hAnsi="Arial" w:cs="Arial"/>
          <w:b/>
          <w:sz w:val="22"/>
          <w:szCs w:val="22"/>
        </w:rPr>
      </w:pPr>
      <w:r w:rsidRPr="00FD274F">
        <w:rPr>
          <w:rFonts w:ascii="Arial" w:hAnsi="Arial" w:cs="Arial"/>
          <w:b/>
          <w:sz w:val="22"/>
          <w:szCs w:val="22"/>
        </w:rPr>
        <w:t xml:space="preserve">Office of </w:t>
      </w:r>
      <w:r w:rsidR="008A70D0">
        <w:rPr>
          <w:rFonts w:ascii="Arial" w:hAnsi="Arial" w:cs="Arial"/>
          <w:b/>
          <w:sz w:val="22"/>
          <w:szCs w:val="22"/>
        </w:rPr>
        <w:t>Impact Analysis</w:t>
      </w:r>
    </w:p>
    <w:p w14:paraId="0FC021AA" w14:textId="1BED2F1F" w:rsidR="00727ED5" w:rsidRPr="00FD274F" w:rsidRDefault="00222067" w:rsidP="00727ED5">
      <w:pPr>
        <w:pStyle w:val="Body"/>
        <w:spacing w:before="120"/>
      </w:pPr>
      <w:hyperlink r:id="rId714" w:history="1">
        <w:r w:rsidRPr="00FD274F">
          <w:rPr>
            <w:rStyle w:val="Hyperlink"/>
          </w:rPr>
          <w:t>helpdesk</w:t>
        </w:r>
        <w:r w:rsidR="009C4251">
          <w:rPr>
            <w:rStyle w:val="Hyperlink"/>
          </w:rPr>
          <w:noBreakHyphen/>
        </w:r>
        <w:r w:rsidR="00741192">
          <w:rPr>
            <w:rStyle w:val="Hyperlink"/>
          </w:rPr>
          <w:t>OIA</w:t>
        </w:r>
        <w:r w:rsidRPr="00FD274F">
          <w:rPr>
            <w:rStyle w:val="Hyperlink"/>
          </w:rPr>
          <w:t>@pmc.gov.au</w:t>
        </w:r>
      </w:hyperlink>
      <w:r w:rsidR="00727ED5" w:rsidRPr="00FD274F">
        <w:rPr>
          <w:rStyle w:val="Hyperlink"/>
        </w:rPr>
        <w:br/>
      </w:r>
      <w:r w:rsidR="00727ED5" w:rsidRPr="00FD274F">
        <w:t>(02) 6271 6270</w:t>
      </w:r>
    </w:p>
    <w:p w14:paraId="7A83D35E" w14:textId="77777777" w:rsidR="00727ED5" w:rsidRPr="00FD274F" w:rsidRDefault="00727ED5" w:rsidP="00727ED5">
      <w:pPr>
        <w:pStyle w:val="Body"/>
        <w:spacing w:before="120"/>
        <w:rPr>
          <w:rFonts w:ascii="Arial" w:hAnsi="Arial" w:cs="Arial"/>
          <w:b/>
          <w:sz w:val="22"/>
          <w:szCs w:val="22"/>
        </w:rPr>
      </w:pPr>
      <w:r w:rsidRPr="00FD274F">
        <w:rPr>
          <w:rFonts w:ascii="Arial" w:hAnsi="Arial" w:cs="Arial"/>
          <w:b/>
          <w:sz w:val="22"/>
          <w:szCs w:val="22"/>
        </w:rPr>
        <w:t>Federal Executive Council Secretariat</w:t>
      </w:r>
    </w:p>
    <w:p w14:paraId="2E50A79F" w14:textId="204762BF" w:rsidR="00727ED5" w:rsidRPr="00FD274F" w:rsidRDefault="00727ED5" w:rsidP="00727ED5">
      <w:pPr>
        <w:pStyle w:val="Body"/>
        <w:spacing w:before="120"/>
      </w:pPr>
      <w:hyperlink r:id="rId715" w:history="1">
        <w:r w:rsidRPr="00FD274F">
          <w:rPr>
            <w:rStyle w:val="Hyperlink"/>
          </w:rPr>
          <w:t>exco@pmc.gov.au</w:t>
        </w:r>
      </w:hyperlink>
      <w:r w:rsidRPr="00FD274F">
        <w:br/>
      </w:r>
      <w:r w:rsidR="004102E0" w:rsidRPr="004102E0">
        <w:t xml:space="preserve">(02) 6271 5778 </w:t>
      </w:r>
    </w:p>
    <w:p w14:paraId="673B5CF2" w14:textId="77777777" w:rsidR="00727ED5" w:rsidRPr="00FD274F" w:rsidRDefault="00727ED5" w:rsidP="00727ED5">
      <w:pPr>
        <w:pStyle w:val="Body"/>
        <w:spacing w:before="120"/>
        <w:rPr>
          <w:rFonts w:ascii="Arial" w:hAnsi="Arial" w:cs="Arial"/>
          <w:b/>
          <w:sz w:val="22"/>
          <w:szCs w:val="22"/>
        </w:rPr>
      </w:pPr>
      <w:r w:rsidRPr="00FD274F">
        <w:rPr>
          <w:rFonts w:ascii="Arial" w:hAnsi="Arial" w:cs="Arial"/>
          <w:b/>
          <w:sz w:val="22"/>
          <w:szCs w:val="22"/>
        </w:rPr>
        <w:t>Tabling of non</w:t>
      </w:r>
      <w:r w:rsidR="009C4251">
        <w:rPr>
          <w:rFonts w:ascii="Arial" w:hAnsi="Arial" w:cs="Arial"/>
          <w:b/>
          <w:sz w:val="22"/>
          <w:szCs w:val="22"/>
        </w:rPr>
        <w:noBreakHyphen/>
      </w:r>
      <w:r w:rsidR="000D63D1" w:rsidRPr="00FD274F">
        <w:rPr>
          <w:rFonts w:ascii="Arial" w:hAnsi="Arial" w:cs="Arial"/>
          <w:b/>
          <w:sz w:val="22"/>
          <w:szCs w:val="22"/>
        </w:rPr>
        <w:t>Register</w:t>
      </w:r>
      <w:r w:rsidRPr="00FD274F">
        <w:rPr>
          <w:rFonts w:ascii="Arial" w:hAnsi="Arial" w:cs="Arial"/>
          <w:b/>
          <w:sz w:val="22"/>
          <w:szCs w:val="22"/>
        </w:rPr>
        <w:t xml:space="preserve"> documents</w:t>
      </w:r>
    </w:p>
    <w:p w14:paraId="6B69961D" w14:textId="444FB121" w:rsidR="00727ED5" w:rsidRPr="00FD274F" w:rsidRDefault="00727ED5" w:rsidP="00727ED5">
      <w:pPr>
        <w:pStyle w:val="Body"/>
        <w:spacing w:before="120"/>
      </w:pPr>
      <w:hyperlink r:id="rId716" w:history="1">
        <w:r w:rsidRPr="00FD274F">
          <w:rPr>
            <w:rStyle w:val="Hyperlink"/>
          </w:rPr>
          <w:t>tabling@pmc.gov.au</w:t>
        </w:r>
      </w:hyperlink>
      <w:r w:rsidRPr="00FD274F">
        <w:br/>
        <w:t>(02) 6277 7212</w:t>
      </w:r>
    </w:p>
    <w:p w14:paraId="4CB0CD72" w14:textId="77777777" w:rsidR="00727ED5" w:rsidRPr="00FD274F" w:rsidRDefault="00727ED5" w:rsidP="004855B6">
      <w:pPr>
        <w:pStyle w:val="Head3"/>
        <w:spacing w:after="0"/>
        <w:rPr>
          <w:rFonts w:cs="Arial"/>
          <w:b w:val="0"/>
          <w:i w:val="0"/>
          <w:szCs w:val="26"/>
        </w:rPr>
      </w:pPr>
      <w:bookmarkStart w:id="297" w:name="_Toc223687855"/>
      <w:r w:rsidRPr="00FD274F">
        <w:t>Parliamentary committees</w:t>
      </w:r>
      <w:bookmarkEnd w:id="297"/>
    </w:p>
    <w:p w14:paraId="35C67272" w14:textId="77777777" w:rsidR="00727ED5" w:rsidRPr="00FD274F" w:rsidRDefault="00727ED5" w:rsidP="00727ED5">
      <w:pPr>
        <w:pStyle w:val="Body"/>
        <w:spacing w:before="120"/>
        <w:rPr>
          <w:rFonts w:ascii="Arial" w:hAnsi="Arial" w:cs="Arial"/>
          <w:b/>
          <w:sz w:val="22"/>
          <w:szCs w:val="22"/>
        </w:rPr>
      </w:pPr>
      <w:r w:rsidRPr="00FD274F">
        <w:rPr>
          <w:rFonts w:ascii="Arial" w:hAnsi="Arial" w:cs="Arial"/>
          <w:b/>
          <w:sz w:val="22"/>
          <w:szCs w:val="22"/>
        </w:rPr>
        <w:t>Parliamentary Joint Committee on Human Rights</w:t>
      </w:r>
    </w:p>
    <w:p w14:paraId="192145B3" w14:textId="1DADBB8D" w:rsidR="00727ED5" w:rsidRPr="00FD274F" w:rsidRDefault="00727ED5" w:rsidP="00727ED5">
      <w:pPr>
        <w:pStyle w:val="Body"/>
        <w:spacing w:before="120"/>
      </w:pPr>
      <w:hyperlink r:id="rId717" w:history="1">
        <w:r w:rsidRPr="00FD274F">
          <w:rPr>
            <w:rStyle w:val="Hyperlink"/>
          </w:rPr>
          <w:t>human.rights@aph.gov.au</w:t>
        </w:r>
      </w:hyperlink>
      <w:r w:rsidRPr="00FD274F">
        <w:br/>
        <w:t>(02) 6277 3823</w:t>
      </w:r>
    </w:p>
    <w:p w14:paraId="2C7BA60A" w14:textId="77777777" w:rsidR="00727ED5" w:rsidRPr="00FD274F" w:rsidRDefault="00727ED5" w:rsidP="00727ED5">
      <w:pPr>
        <w:pStyle w:val="Body"/>
        <w:spacing w:before="120"/>
        <w:rPr>
          <w:rFonts w:ascii="Arial" w:hAnsi="Arial" w:cs="Arial"/>
          <w:b/>
          <w:sz w:val="22"/>
          <w:szCs w:val="22"/>
        </w:rPr>
      </w:pPr>
      <w:r w:rsidRPr="00FD274F">
        <w:rPr>
          <w:rFonts w:ascii="Arial" w:hAnsi="Arial" w:cs="Arial"/>
          <w:b/>
          <w:sz w:val="22"/>
          <w:szCs w:val="22"/>
        </w:rPr>
        <w:t xml:space="preserve">Senate Standing Committee </w:t>
      </w:r>
      <w:r w:rsidR="00A16959">
        <w:rPr>
          <w:rFonts w:ascii="Arial" w:hAnsi="Arial" w:cs="Arial"/>
          <w:b/>
          <w:sz w:val="22"/>
          <w:szCs w:val="22"/>
        </w:rPr>
        <w:t>for the Scrutiny of Delegated Legislation</w:t>
      </w:r>
    </w:p>
    <w:p w14:paraId="1E9DA873" w14:textId="11E4B5C1" w:rsidR="00306B5E" w:rsidRPr="00FD274F" w:rsidRDefault="00A16959" w:rsidP="002366E2">
      <w:pPr>
        <w:pStyle w:val="Body"/>
        <w:spacing w:before="120"/>
        <w:sectPr w:rsidR="00306B5E" w:rsidRPr="00FD274F" w:rsidSect="00590636">
          <w:footerReference w:type="even" r:id="rId718"/>
          <w:footerReference w:type="default" r:id="rId719"/>
          <w:headerReference w:type="first" r:id="rId720"/>
          <w:footerReference w:type="first" r:id="rId721"/>
          <w:type w:val="continuous"/>
          <w:pgSz w:w="11907" w:h="16839" w:code="9"/>
          <w:pgMar w:top="1440" w:right="1440" w:bottom="1440" w:left="1440" w:header="720" w:footer="567" w:gutter="0"/>
          <w:cols w:num="2" w:sep="1" w:space="567"/>
          <w:docGrid w:linePitch="360"/>
        </w:sectPr>
      </w:pPr>
      <w:hyperlink r:id="rId722" w:history="1">
        <w:r w:rsidRPr="0031199D">
          <w:rPr>
            <w:rStyle w:val="Hyperlink"/>
          </w:rPr>
          <w:t>sdlc.sen@aph.gov.au</w:t>
        </w:r>
      </w:hyperlink>
      <w:r w:rsidR="00727ED5" w:rsidRPr="00FD274F">
        <w:br/>
        <w:t>(02) 6277 3066</w:t>
      </w:r>
    </w:p>
    <w:p w14:paraId="2153FCF3" w14:textId="77777777" w:rsidR="00306B5E" w:rsidRPr="00FD274F" w:rsidRDefault="00306B5E" w:rsidP="00306B5E">
      <w:pPr>
        <w:pStyle w:val="Head2"/>
      </w:pPr>
      <w:bookmarkStart w:id="298" w:name="_Toc223687856"/>
      <w:r w:rsidRPr="00FD274F">
        <w:lastRenderedPageBreak/>
        <w:t>Document history</w:t>
      </w:r>
      <w:bookmarkEnd w:id="298"/>
    </w:p>
    <w:p w14:paraId="2E1BC075" w14:textId="77777777" w:rsidR="00F6117F" w:rsidRPr="00FD274F" w:rsidRDefault="00F6117F" w:rsidP="00F6117F">
      <w:pPr>
        <w:pStyle w:val="BodyNum"/>
        <w:numPr>
          <w:ilvl w:val="0"/>
          <w:numId w:val="0"/>
        </w:numPr>
      </w:pPr>
    </w:p>
    <w:tbl>
      <w:tblPr>
        <w:tblW w:w="9027"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3009"/>
        <w:gridCol w:w="3009"/>
        <w:gridCol w:w="3009"/>
      </w:tblGrid>
      <w:tr w:rsidR="00F6117F" w:rsidRPr="00FD274F" w14:paraId="6736A747" w14:textId="77777777" w:rsidTr="00A16959">
        <w:trPr>
          <w:tblHeader/>
        </w:trPr>
        <w:tc>
          <w:tcPr>
            <w:tcW w:w="9027" w:type="dxa"/>
            <w:gridSpan w:val="3"/>
            <w:tcBorders>
              <w:top w:val="single" w:sz="12" w:space="0" w:color="auto"/>
              <w:bottom w:val="single" w:sz="6" w:space="0" w:color="auto"/>
            </w:tcBorders>
            <w:hideMark/>
          </w:tcPr>
          <w:p w14:paraId="79B31B99" w14:textId="77777777" w:rsidR="00F6117F" w:rsidRPr="00FD274F" w:rsidRDefault="00F6117F" w:rsidP="00805ED3">
            <w:pPr>
              <w:pStyle w:val="Tabletext"/>
              <w:keepNext/>
              <w:rPr>
                <w:b/>
                <w:lang w:eastAsia="en-US"/>
              </w:rPr>
            </w:pPr>
            <w:r w:rsidRPr="00FD274F">
              <w:rPr>
                <w:b/>
                <w:lang w:eastAsia="en-US"/>
              </w:rPr>
              <w:t>Document History</w:t>
            </w:r>
          </w:p>
        </w:tc>
      </w:tr>
      <w:tr w:rsidR="00F6117F" w:rsidRPr="00FD274F" w14:paraId="5147DAF8" w14:textId="77777777" w:rsidTr="00A16959">
        <w:trPr>
          <w:tblHeader/>
        </w:trPr>
        <w:tc>
          <w:tcPr>
            <w:tcW w:w="3009" w:type="dxa"/>
            <w:tcBorders>
              <w:top w:val="single" w:sz="6" w:space="0" w:color="auto"/>
              <w:bottom w:val="single" w:sz="12" w:space="0" w:color="auto"/>
            </w:tcBorders>
            <w:hideMark/>
          </w:tcPr>
          <w:p w14:paraId="36BC41CF" w14:textId="77777777" w:rsidR="00F6117F" w:rsidRPr="00FD274F" w:rsidRDefault="00F6117F" w:rsidP="00805ED3">
            <w:pPr>
              <w:pStyle w:val="Tabletext"/>
              <w:keepNext/>
              <w:rPr>
                <w:b/>
                <w:lang w:eastAsia="en-US"/>
              </w:rPr>
            </w:pPr>
            <w:r w:rsidRPr="00FD274F">
              <w:rPr>
                <w:b/>
                <w:lang w:eastAsia="en-US"/>
              </w:rPr>
              <w:t>Release</w:t>
            </w:r>
          </w:p>
        </w:tc>
        <w:tc>
          <w:tcPr>
            <w:tcW w:w="3009" w:type="dxa"/>
            <w:tcBorders>
              <w:top w:val="single" w:sz="6" w:space="0" w:color="auto"/>
              <w:bottom w:val="single" w:sz="12" w:space="0" w:color="auto"/>
            </w:tcBorders>
            <w:hideMark/>
          </w:tcPr>
          <w:p w14:paraId="6F357511" w14:textId="77777777" w:rsidR="00F6117F" w:rsidRPr="00FD274F" w:rsidRDefault="00F6117F" w:rsidP="00805ED3">
            <w:pPr>
              <w:pStyle w:val="Tabletext"/>
              <w:keepNext/>
              <w:rPr>
                <w:b/>
                <w:lang w:eastAsia="en-US"/>
              </w:rPr>
            </w:pPr>
            <w:r w:rsidRPr="00FD274F">
              <w:rPr>
                <w:b/>
                <w:lang w:eastAsia="en-US"/>
              </w:rPr>
              <w:t>Release date</w:t>
            </w:r>
          </w:p>
        </w:tc>
        <w:tc>
          <w:tcPr>
            <w:tcW w:w="3009" w:type="dxa"/>
            <w:tcBorders>
              <w:top w:val="single" w:sz="6" w:space="0" w:color="auto"/>
              <w:bottom w:val="single" w:sz="12" w:space="0" w:color="auto"/>
            </w:tcBorders>
            <w:hideMark/>
          </w:tcPr>
          <w:p w14:paraId="70D90954" w14:textId="77777777" w:rsidR="00F6117F" w:rsidRPr="00FD274F" w:rsidRDefault="00F6117F" w:rsidP="00805ED3">
            <w:pPr>
              <w:pStyle w:val="Tabletext"/>
              <w:keepNext/>
              <w:rPr>
                <w:b/>
                <w:lang w:eastAsia="en-US"/>
              </w:rPr>
            </w:pPr>
            <w:r w:rsidRPr="00FD274F">
              <w:rPr>
                <w:b/>
                <w:lang w:eastAsia="en-US"/>
              </w:rPr>
              <w:t>Document number</w:t>
            </w:r>
          </w:p>
        </w:tc>
      </w:tr>
      <w:tr w:rsidR="00F6117F" w:rsidRPr="00FD274F" w14:paraId="39699E81" w14:textId="77777777" w:rsidTr="00A16959">
        <w:tc>
          <w:tcPr>
            <w:tcW w:w="3009" w:type="dxa"/>
            <w:tcBorders>
              <w:top w:val="single" w:sz="12" w:space="0" w:color="auto"/>
            </w:tcBorders>
            <w:hideMark/>
          </w:tcPr>
          <w:p w14:paraId="4CA834E2" w14:textId="77777777" w:rsidR="00F6117F" w:rsidRPr="00FD274F" w:rsidRDefault="00F6117F" w:rsidP="00805ED3">
            <w:pPr>
              <w:pStyle w:val="Tabletext"/>
              <w:rPr>
                <w:lang w:eastAsia="en-US"/>
              </w:rPr>
            </w:pPr>
            <w:r w:rsidRPr="00FD274F">
              <w:rPr>
                <w:lang w:eastAsia="en-US"/>
              </w:rPr>
              <w:t>1.0</w:t>
            </w:r>
          </w:p>
        </w:tc>
        <w:tc>
          <w:tcPr>
            <w:tcW w:w="3009" w:type="dxa"/>
            <w:tcBorders>
              <w:top w:val="single" w:sz="12" w:space="0" w:color="auto"/>
            </w:tcBorders>
            <w:hideMark/>
          </w:tcPr>
          <w:p w14:paraId="6C01A54E" w14:textId="77777777" w:rsidR="00F6117F" w:rsidRPr="00FD274F" w:rsidRDefault="00F6117F" w:rsidP="00805ED3">
            <w:pPr>
              <w:pStyle w:val="Tabletext"/>
              <w:rPr>
                <w:lang w:eastAsia="en-US"/>
              </w:rPr>
            </w:pPr>
            <w:r w:rsidRPr="00FD274F">
              <w:rPr>
                <w:lang w:eastAsia="en-US"/>
              </w:rPr>
              <w:t>December 2004</w:t>
            </w:r>
          </w:p>
        </w:tc>
        <w:tc>
          <w:tcPr>
            <w:tcW w:w="3009" w:type="dxa"/>
            <w:tcBorders>
              <w:top w:val="single" w:sz="12" w:space="0" w:color="auto"/>
            </w:tcBorders>
            <w:hideMark/>
          </w:tcPr>
          <w:p w14:paraId="162F8E0F" w14:textId="77777777" w:rsidR="00F6117F" w:rsidRPr="00FD274F" w:rsidRDefault="00F6117F" w:rsidP="00805ED3">
            <w:pPr>
              <w:pStyle w:val="Tabletext"/>
              <w:rPr>
                <w:lang w:eastAsia="en-US"/>
              </w:rPr>
            </w:pPr>
            <w:r w:rsidRPr="00FD274F">
              <w:rPr>
                <w:lang w:eastAsia="en-US"/>
              </w:rPr>
              <w:t>Not applicable</w:t>
            </w:r>
          </w:p>
        </w:tc>
      </w:tr>
      <w:tr w:rsidR="00F6117F" w:rsidRPr="00FD274F" w14:paraId="36A6BD75" w14:textId="77777777" w:rsidTr="00A16959">
        <w:tc>
          <w:tcPr>
            <w:tcW w:w="3009" w:type="dxa"/>
          </w:tcPr>
          <w:p w14:paraId="23F29887" w14:textId="77777777" w:rsidR="00F6117F" w:rsidRPr="00FD274F" w:rsidRDefault="00F6117F" w:rsidP="00805ED3">
            <w:pPr>
              <w:pStyle w:val="Tabletext"/>
              <w:rPr>
                <w:lang w:eastAsia="en-US"/>
              </w:rPr>
            </w:pPr>
            <w:r w:rsidRPr="00FD274F">
              <w:rPr>
                <w:lang w:eastAsia="en-US"/>
              </w:rPr>
              <w:t>2.0</w:t>
            </w:r>
          </w:p>
        </w:tc>
        <w:tc>
          <w:tcPr>
            <w:tcW w:w="3009" w:type="dxa"/>
          </w:tcPr>
          <w:p w14:paraId="2CD22878" w14:textId="77777777" w:rsidR="00F6117F" w:rsidRPr="00FD274F" w:rsidRDefault="00F6117F" w:rsidP="00805ED3">
            <w:pPr>
              <w:pStyle w:val="Tabletext"/>
              <w:rPr>
                <w:lang w:eastAsia="en-US"/>
              </w:rPr>
            </w:pPr>
            <w:r w:rsidRPr="00FD274F">
              <w:rPr>
                <w:lang w:eastAsia="en-US"/>
              </w:rPr>
              <w:t>May 2014</w:t>
            </w:r>
          </w:p>
        </w:tc>
        <w:tc>
          <w:tcPr>
            <w:tcW w:w="3009" w:type="dxa"/>
          </w:tcPr>
          <w:p w14:paraId="15674AA1" w14:textId="77777777" w:rsidR="00F6117F" w:rsidRPr="00FD274F" w:rsidRDefault="00F6117F" w:rsidP="00805ED3">
            <w:pPr>
              <w:pStyle w:val="Tabletext"/>
              <w:rPr>
                <w:lang w:eastAsia="en-US"/>
              </w:rPr>
            </w:pPr>
            <w:r w:rsidRPr="00FD274F">
              <w:rPr>
                <w:lang w:eastAsia="en-US"/>
              </w:rPr>
              <w:t>M13MW111.V25.DOCX</w:t>
            </w:r>
          </w:p>
        </w:tc>
      </w:tr>
      <w:tr w:rsidR="00F6117F" w:rsidRPr="00FD274F" w14:paraId="4AD95F40" w14:textId="77777777" w:rsidTr="00A16959">
        <w:tc>
          <w:tcPr>
            <w:tcW w:w="3009" w:type="dxa"/>
            <w:hideMark/>
          </w:tcPr>
          <w:p w14:paraId="35BF0978" w14:textId="77777777" w:rsidR="00F6117F" w:rsidRPr="00FD274F" w:rsidRDefault="00F6117F" w:rsidP="00805ED3">
            <w:pPr>
              <w:pStyle w:val="Tabletext"/>
              <w:rPr>
                <w:lang w:eastAsia="en-US"/>
              </w:rPr>
            </w:pPr>
            <w:r w:rsidRPr="00FD274F">
              <w:rPr>
                <w:lang w:eastAsia="en-US"/>
              </w:rPr>
              <w:t>2.1</w:t>
            </w:r>
          </w:p>
        </w:tc>
        <w:tc>
          <w:tcPr>
            <w:tcW w:w="3009" w:type="dxa"/>
            <w:hideMark/>
          </w:tcPr>
          <w:p w14:paraId="7CDB23DF" w14:textId="77777777" w:rsidR="00F6117F" w:rsidRPr="00FD274F" w:rsidRDefault="00F6117F" w:rsidP="00805ED3">
            <w:pPr>
              <w:pStyle w:val="Tabletext"/>
              <w:rPr>
                <w:lang w:eastAsia="en-US"/>
              </w:rPr>
            </w:pPr>
            <w:r w:rsidRPr="00FD274F">
              <w:rPr>
                <w:lang w:eastAsia="en-US"/>
              </w:rPr>
              <w:t>December 2015</w:t>
            </w:r>
          </w:p>
        </w:tc>
        <w:tc>
          <w:tcPr>
            <w:tcW w:w="3009" w:type="dxa"/>
            <w:hideMark/>
          </w:tcPr>
          <w:p w14:paraId="7DFC15B3" w14:textId="77777777" w:rsidR="00F6117F" w:rsidRPr="00FD274F" w:rsidRDefault="00F6117F" w:rsidP="00805ED3">
            <w:pPr>
              <w:pStyle w:val="Tabletext"/>
              <w:rPr>
                <w:lang w:eastAsia="en-US"/>
              </w:rPr>
            </w:pPr>
            <w:r w:rsidRPr="00FD274F">
              <w:rPr>
                <w:lang w:eastAsia="en-US"/>
              </w:rPr>
              <w:t>M15JF133.V04.DOCX</w:t>
            </w:r>
          </w:p>
        </w:tc>
      </w:tr>
      <w:tr w:rsidR="00F6117F" w:rsidRPr="00FD274F" w14:paraId="29E0B0C0" w14:textId="77777777" w:rsidTr="00A16959">
        <w:tc>
          <w:tcPr>
            <w:tcW w:w="3009" w:type="dxa"/>
          </w:tcPr>
          <w:p w14:paraId="1027F165" w14:textId="77777777" w:rsidR="00F6117F" w:rsidRPr="00FD274F" w:rsidRDefault="00F6117F" w:rsidP="00805ED3">
            <w:pPr>
              <w:pStyle w:val="Tabletext"/>
              <w:rPr>
                <w:lang w:eastAsia="en-US"/>
              </w:rPr>
            </w:pPr>
            <w:r w:rsidRPr="00FD274F">
              <w:rPr>
                <w:lang w:eastAsia="en-US"/>
              </w:rPr>
              <w:t>3.0</w:t>
            </w:r>
          </w:p>
        </w:tc>
        <w:tc>
          <w:tcPr>
            <w:tcW w:w="3009" w:type="dxa"/>
          </w:tcPr>
          <w:p w14:paraId="67646CAE" w14:textId="77777777" w:rsidR="00F6117F" w:rsidRPr="00FD274F" w:rsidRDefault="00F6117F" w:rsidP="00805ED3">
            <w:pPr>
              <w:pStyle w:val="Tabletext"/>
              <w:rPr>
                <w:lang w:eastAsia="en-US"/>
              </w:rPr>
            </w:pPr>
            <w:r w:rsidRPr="00FD274F">
              <w:rPr>
                <w:lang w:eastAsia="en-US"/>
              </w:rPr>
              <w:t>July 2016</w:t>
            </w:r>
          </w:p>
        </w:tc>
        <w:tc>
          <w:tcPr>
            <w:tcW w:w="3009" w:type="dxa"/>
          </w:tcPr>
          <w:p w14:paraId="12AA49DF" w14:textId="77777777" w:rsidR="00F6117F" w:rsidRPr="00FD274F" w:rsidRDefault="00F6117F" w:rsidP="00805ED3">
            <w:pPr>
              <w:pStyle w:val="Tabletext"/>
              <w:rPr>
                <w:lang w:eastAsia="en-US"/>
              </w:rPr>
            </w:pPr>
            <w:r w:rsidRPr="00FD274F">
              <w:rPr>
                <w:lang w:eastAsia="en-US"/>
              </w:rPr>
              <w:t>M16JF136.V02.DOCX</w:t>
            </w:r>
          </w:p>
        </w:tc>
      </w:tr>
      <w:tr w:rsidR="00F6117F" w14:paraId="2DD5FB10" w14:textId="77777777" w:rsidTr="00A16959">
        <w:tc>
          <w:tcPr>
            <w:tcW w:w="3009" w:type="dxa"/>
          </w:tcPr>
          <w:p w14:paraId="2BE98D31" w14:textId="77777777" w:rsidR="00F6117F" w:rsidRPr="00FD274F" w:rsidRDefault="00F6117F" w:rsidP="00805ED3">
            <w:pPr>
              <w:pStyle w:val="Tabletext"/>
              <w:rPr>
                <w:lang w:eastAsia="en-US"/>
              </w:rPr>
            </w:pPr>
            <w:r w:rsidRPr="00FD274F">
              <w:rPr>
                <w:lang w:eastAsia="en-US"/>
              </w:rPr>
              <w:t>3.1</w:t>
            </w:r>
          </w:p>
        </w:tc>
        <w:tc>
          <w:tcPr>
            <w:tcW w:w="3009" w:type="dxa"/>
          </w:tcPr>
          <w:p w14:paraId="39DA69AB" w14:textId="77777777" w:rsidR="00F6117F" w:rsidRPr="00FD274F" w:rsidRDefault="00F6117F" w:rsidP="00805ED3">
            <w:pPr>
              <w:pStyle w:val="Tabletext"/>
              <w:rPr>
                <w:lang w:eastAsia="en-US"/>
              </w:rPr>
            </w:pPr>
            <w:r>
              <w:rPr>
                <w:lang w:eastAsia="en-US"/>
              </w:rPr>
              <w:t>March</w:t>
            </w:r>
            <w:r w:rsidRPr="00FD274F">
              <w:rPr>
                <w:lang w:eastAsia="en-US"/>
              </w:rPr>
              <w:t xml:space="preserve"> 2017</w:t>
            </w:r>
          </w:p>
        </w:tc>
        <w:tc>
          <w:tcPr>
            <w:tcW w:w="3009" w:type="dxa"/>
          </w:tcPr>
          <w:p w14:paraId="0B1488EF" w14:textId="77777777" w:rsidR="00F6117F" w:rsidRPr="00FD274F" w:rsidRDefault="00F6117F" w:rsidP="00805ED3">
            <w:pPr>
              <w:pStyle w:val="Tabletext"/>
              <w:rPr>
                <w:lang w:eastAsia="en-US"/>
              </w:rPr>
            </w:pPr>
            <w:r w:rsidRPr="00FD274F">
              <w:rPr>
                <w:lang w:eastAsia="en-US"/>
              </w:rPr>
              <w:t>M17JF142.</w:t>
            </w:r>
            <w:r>
              <w:rPr>
                <w:lang w:eastAsia="en-US"/>
              </w:rPr>
              <w:t>V05</w:t>
            </w:r>
            <w:r w:rsidR="001C16FE">
              <w:rPr>
                <w:lang w:eastAsia="en-US"/>
              </w:rPr>
              <w:t>.</w:t>
            </w:r>
            <w:r w:rsidRPr="00FD274F">
              <w:rPr>
                <w:lang w:eastAsia="en-US"/>
              </w:rPr>
              <w:t>DOCX</w:t>
            </w:r>
          </w:p>
        </w:tc>
      </w:tr>
      <w:tr w:rsidR="00F6117F" w14:paraId="1FF2F055" w14:textId="77777777" w:rsidTr="00A16959">
        <w:tc>
          <w:tcPr>
            <w:tcW w:w="3009" w:type="dxa"/>
          </w:tcPr>
          <w:p w14:paraId="050D5E2C" w14:textId="77777777" w:rsidR="00F6117F" w:rsidRPr="000C6703" w:rsidRDefault="00F6117F" w:rsidP="00805ED3">
            <w:pPr>
              <w:pStyle w:val="Tabletext"/>
              <w:rPr>
                <w:lang w:eastAsia="en-US"/>
              </w:rPr>
            </w:pPr>
            <w:r w:rsidRPr="000C6703">
              <w:rPr>
                <w:lang w:eastAsia="en-US"/>
              </w:rPr>
              <w:t>3.2</w:t>
            </w:r>
          </w:p>
        </w:tc>
        <w:tc>
          <w:tcPr>
            <w:tcW w:w="3009" w:type="dxa"/>
          </w:tcPr>
          <w:p w14:paraId="6CE26ACA" w14:textId="77777777" w:rsidR="00F6117F" w:rsidRPr="000C6703" w:rsidRDefault="00F6117F" w:rsidP="00805ED3">
            <w:pPr>
              <w:pStyle w:val="Tabletext"/>
              <w:rPr>
                <w:lang w:eastAsia="en-US"/>
              </w:rPr>
            </w:pPr>
            <w:r w:rsidRPr="000C6703">
              <w:rPr>
                <w:lang w:eastAsia="en-US"/>
              </w:rPr>
              <w:t>March 2018</w:t>
            </w:r>
          </w:p>
        </w:tc>
        <w:tc>
          <w:tcPr>
            <w:tcW w:w="3009" w:type="dxa"/>
          </w:tcPr>
          <w:p w14:paraId="4527B90D" w14:textId="77777777" w:rsidR="00F6117F" w:rsidRPr="00FD274F" w:rsidRDefault="00F6117F" w:rsidP="00805ED3">
            <w:pPr>
              <w:pStyle w:val="Tabletext"/>
              <w:rPr>
                <w:lang w:eastAsia="en-US"/>
              </w:rPr>
            </w:pPr>
            <w:r w:rsidRPr="00FD274F">
              <w:rPr>
                <w:lang w:eastAsia="en-US"/>
              </w:rPr>
              <w:t>M17JF142.</w:t>
            </w:r>
            <w:r>
              <w:rPr>
                <w:lang w:eastAsia="en-US"/>
              </w:rPr>
              <w:t>V11</w:t>
            </w:r>
            <w:r w:rsidR="001C16FE">
              <w:rPr>
                <w:lang w:eastAsia="en-US"/>
              </w:rPr>
              <w:t>.</w:t>
            </w:r>
            <w:r w:rsidRPr="00FD274F">
              <w:rPr>
                <w:lang w:eastAsia="en-US"/>
              </w:rPr>
              <w:t>DOCX</w:t>
            </w:r>
          </w:p>
        </w:tc>
      </w:tr>
      <w:tr w:rsidR="00F6117F" w14:paraId="00D80665" w14:textId="77777777" w:rsidTr="00A16959">
        <w:tc>
          <w:tcPr>
            <w:tcW w:w="3009" w:type="dxa"/>
          </w:tcPr>
          <w:p w14:paraId="45FAA0BB" w14:textId="77777777" w:rsidR="00F6117F" w:rsidRPr="000C6703" w:rsidRDefault="00F6117F" w:rsidP="00805ED3">
            <w:pPr>
              <w:pStyle w:val="Tabletext"/>
              <w:rPr>
                <w:lang w:eastAsia="en-US"/>
              </w:rPr>
            </w:pPr>
            <w:r>
              <w:rPr>
                <w:lang w:eastAsia="en-US"/>
              </w:rPr>
              <w:t>3.3</w:t>
            </w:r>
          </w:p>
        </w:tc>
        <w:tc>
          <w:tcPr>
            <w:tcW w:w="3009" w:type="dxa"/>
          </w:tcPr>
          <w:p w14:paraId="3AF4F416" w14:textId="77777777" w:rsidR="00F6117F" w:rsidRPr="000C6703" w:rsidRDefault="00F6117F" w:rsidP="00805ED3">
            <w:pPr>
              <w:pStyle w:val="Tabletext"/>
              <w:rPr>
                <w:lang w:eastAsia="en-US"/>
              </w:rPr>
            </w:pPr>
            <w:r>
              <w:rPr>
                <w:lang w:eastAsia="en-US"/>
              </w:rPr>
              <w:t>June 2018</w:t>
            </w:r>
          </w:p>
        </w:tc>
        <w:tc>
          <w:tcPr>
            <w:tcW w:w="3009" w:type="dxa"/>
          </w:tcPr>
          <w:p w14:paraId="6244B4C6" w14:textId="77777777" w:rsidR="00F6117F" w:rsidRPr="00FD274F" w:rsidRDefault="00F6117F" w:rsidP="00805ED3">
            <w:pPr>
              <w:pStyle w:val="Tabletext"/>
              <w:rPr>
                <w:lang w:eastAsia="en-US"/>
              </w:rPr>
            </w:pPr>
            <w:r w:rsidRPr="00FD274F">
              <w:rPr>
                <w:lang w:eastAsia="en-US"/>
              </w:rPr>
              <w:t>M17JF142.</w:t>
            </w:r>
            <w:r>
              <w:rPr>
                <w:lang w:eastAsia="en-US"/>
              </w:rPr>
              <w:t>V12</w:t>
            </w:r>
            <w:r w:rsidR="001C16FE">
              <w:rPr>
                <w:lang w:eastAsia="en-US"/>
              </w:rPr>
              <w:t>.</w:t>
            </w:r>
            <w:r w:rsidRPr="00FD274F">
              <w:rPr>
                <w:lang w:eastAsia="en-US"/>
              </w:rPr>
              <w:t>DOCX</w:t>
            </w:r>
          </w:p>
        </w:tc>
      </w:tr>
      <w:tr w:rsidR="00F6117F" w14:paraId="28875671" w14:textId="77777777" w:rsidTr="00A16959">
        <w:tc>
          <w:tcPr>
            <w:tcW w:w="3009" w:type="dxa"/>
          </w:tcPr>
          <w:p w14:paraId="7A7A0AD5" w14:textId="77777777" w:rsidR="00F6117F" w:rsidRDefault="00F6117F" w:rsidP="00805ED3">
            <w:pPr>
              <w:pStyle w:val="Tabletext"/>
              <w:rPr>
                <w:lang w:eastAsia="en-US"/>
              </w:rPr>
            </w:pPr>
            <w:r>
              <w:rPr>
                <w:lang w:eastAsia="en-US"/>
              </w:rPr>
              <w:t>3.4</w:t>
            </w:r>
          </w:p>
        </w:tc>
        <w:tc>
          <w:tcPr>
            <w:tcW w:w="3009" w:type="dxa"/>
          </w:tcPr>
          <w:p w14:paraId="36FE8BC9" w14:textId="77777777" w:rsidR="00F6117F" w:rsidRDefault="00F6117F" w:rsidP="00805ED3">
            <w:pPr>
              <w:pStyle w:val="Tabletext"/>
              <w:rPr>
                <w:lang w:eastAsia="en-US"/>
              </w:rPr>
            </w:pPr>
            <w:r>
              <w:rPr>
                <w:lang w:eastAsia="en-US"/>
              </w:rPr>
              <w:t>November 2018</w:t>
            </w:r>
          </w:p>
        </w:tc>
        <w:tc>
          <w:tcPr>
            <w:tcW w:w="3009" w:type="dxa"/>
          </w:tcPr>
          <w:p w14:paraId="5E456D84" w14:textId="77777777" w:rsidR="00F6117F" w:rsidRPr="00FD274F" w:rsidRDefault="00F6117F" w:rsidP="00805ED3">
            <w:pPr>
              <w:pStyle w:val="Tabletext"/>
              <w:rPr>
                <w:lang w:eastAsia="en-US"/>
              </w:rPr>
            </w:pPr>
            <w:r w:rsidRPr="00FD274F">
              <w:rPr>
                <w:lang w:eastAsia="en-US"/>
              </w:rPr>
              <w:t>M17JF142.</w:t>
            </w:r>
            <w:r>
              <w:rPr>
                <w:lang w:eastAsia="en-US"/>
              </w:rPr>
              <w:t>V20</w:t>
            </w:r>
            <w:r w:rsidR="001C16FE">
              <w:rPr>
                <w:lang w:eastAsia="en-US"/>
              </w:rPr>
              <w:t>.</w:t>
            </w:r>
            <w:r w:rsidRPr="00FD274F">
              <w:rPr>
                <w:lang w:eastAsia="en-US"/>
              </w:rPr>
              <w:t>DOCX</w:t>
            </w:r>
          </w:p>
        </w:tc>
      </w:tr>
      <w:tr w:rsidR="00A16959" w14:paraId="741F2A54" w14:textId="77777777" w:rsidTr="00A16959">
        <w:tc>
          <w:tcPr>
            <w:tcW w:w="3009" w:type="dxa"/>
            <w:tcBorders>
              <w:bottom w:val="single" w:sz="2" w:space="0" w:color="auto"/>
            </w:tcBorders>
          </w:tcPr>
          <w:p w14:paraId="6B0BFFB2" w14:textId="77777777" w:rsidR="00A16959" w:rsidRDefault="00A16959" w:rsidP="00805ED3">
            <w:pPr>
              <w:pStyle w:val="Tabletext"/>
              <w:rPr>
                <w:lang w:eastAsia="en-US"/>
              </w:rPr>
            </w:pPr>
            <w:r>
              <w:rPr>
                <w:lang w:eastAsia="en-US"/>
              </w:rPr>
              <w:t>3.5</w:t>
            </w:r>
          </w:p>
        </w:tc>
        <w:tc>
          <w:tcPr>
            <w:tcW w:w="3009" w:type="dxa"/>
            <w:tcBorders>
              <w:bottom w:val="single" w:sz="2" w:space="0" w:color="auto"/>
            </w:tcBorders>
          </w:tcPr>
          <w:p w14:paraId="465D36EA" w14:textId="77777777" w:rsidR="00A16959" w:rsidRDefault="00A16959" w:rsidP="00805ED3">
            <w:pPr>
              <w:pStyle w:val="Tabletext"/>
              <w:rPr>
                <w:lang w:eastAsia="en-US"/>
              </w:rPr>
            </w:pPr>
            <w:r>
              <w:rPr>
                <w:lang w:eastAsia="en-US"/>
              </w:rPr>
              <w:t>May 2019</w:t>
            </w:r>
          </w:p>
        </w:tc>
        <w:tc>
          <w:tcPr>
            <w:tcW w:w="3009" w:type="dxa"/>
            <w:tcBorders>
              <w:bottom w:val="single" w:sz="2" w:space="0" w:color="auto"/>
            </w:tcBorders>
          </w:tcPr>
          <w:p w14:paraId="0110948A" w14:textId="77777777" w:rsidR="00A16959" w:rsidRPr="00637CF2" w:rsidRDefault="00A16959" w:rsidP="00805ED3">
            <w:pPr>
              <w:pStyle w:val="Tabletext"/>
              <w:rPr>
                <w:lang w:eastAsia="en-US"/>
              </w:rPr>
            </w:pPr>
            <w:r w:rsidRPr="00637CF2">
              <w:rPr>
                <w:lang w:eastAsia="en-US"/>
              </w:rPr>
              <w:t>M17JF142.V24</w:t>
            </w:r>
            <w:r w:rsidR="001C16FE">
              <w:rPr>
                <w:lang w:eastAsia="en-US"/>
              </w:rPr>
              <w:t>.</w:t>
            </w:r>
            <w:r w:rsidRPr="00637CF2">
              <w:rPr>
                <w:lang w:eastAsia="en-US"/>
              </w:rPr>
              <w:t>DOCX</w:t>
            </w:r>
          </w:p>
        </w:tc>
      </w:tr>
      <w:tr w:rsidR="00F6117F" w:rsidRPr="00632A07" w14:paraId="7D9AE45A" w14:textId="77777777" w:rsidTr="00135AC2">
        <w:tc>
          <w:tcPr>
            <w:tcW w:w="3009" w:type="dxa"/>
            <w:tcBorders>
              <w:top w:val="single" w:sz="2" w:space="0" w:color="auto"/>
              <w:bottom w:val="single" w:sz="2" w:space="0" w:color="auto"/>
            </w:tcBorders>
          </w:tcPr>
          <w:p w14:paraId="6AA7BB32" w14:textId="77777777" w:rsidR="00F6117F" w:rsidRPr="00632A07" w:rsidRDefault="009C4251" w:rsidP="00805ED3">
            <w:pPr>
              <w:pStyle w:val="Tabletext"/>
              <w:rPr>
                <w:lang w:eastAsia="en-US"/>
              </w:rPr>
            </w:pPr>
            <w:r w:rsidRPr="00632A07">
              <w:rPr>
                <w:lang w:eastAsia="en-US"/>
              </w:rPr>
              <w:t>3.6</w:t>
            </w:r>
          </w:p>
        </w:tc>
        <w:tc>
          <w:tcPr>
            <w:tcW w:w="3009" w:type="dxa"/>
            <w:tcBorders>
              <w:top w:val="single" w:sz="2" w:space="0" w:color="auto"/>
              <w:bottom w:val="single" w:sz="2" w:space="0" w:color="auto"/>
            </w:tcBorders>
          </w:tcPr>
          <w:p w14:paraId="3FC55B16" w14:textId="1632DE46" w:rsidR="00F6117F" w:rsidRPr="00632A07" w:rsidRDefault="009366F6" w:rsidP="00805ED3">
            <w:pPr>
              <w:pStyle w:val="Tabletext"/>
              <w:rPr>
                <w:lang w:eastAsia="en-US"/>
              </w:rPr>
            </w:pPr>
            <w:r w:rsidRPr="00632A07">
              <w:rPr>
                <w:lang w:eastAsia="en-US"/>
              </w:rPr>
              <w:t xml:space="preserve">August </w:t>
            </w:r>
            <w:r w:rsidR="007B7E58" w:rsidRPr="00632A07">
              <w:rPr>
                <w:lang w:eastAsia="en-US"/>
              </w:rPr>
              <w:t>2022</w:t>
            </w:r>
          </w:p>
        </w:tc>
        <w:tc>
          <w:tcPr>
            <w:tcW w:w="3009" w:type="dxa"/>
            <w:tcBorders>
              <w:top w:val="single" w:sz="2" w:space="0" w:color="auto"/>
              <w:bottom w:val="single" w:sz="2" w:space="0" w:color="auto"/>
            </w:tcBorders>
          </w:tcPr>
          <w:p w14:paraId="11442061" w14:textId="364DD815" w:rsidR="00F6117F" w:rsidRPr="00632A07" w:rsidRDefault="007B7E58" w:rsidP="00805ED3">
            <w:pPr>
              <w:pStyle w:val="Tabletext"/>
              <w:rPr>
                <w:lang w:eastAsia="en-US"/>
              </w:rPr>
            </w:pPr>
            <w:r w:rsidRPr="00632A07">
              <w:rPr>
                <w:lang w:eastAsia="en-US"/>
              </w:rPr>
              <w:t>M17JF142.V36.DOCX</w:t>
            </w:r>
          </w:p>
        </w:tc>
      </w:tr>
      <w:tr w:rsidR="00135AC2" w:rsidRPr="00632A07" w14:paraId="263C10E8" w14:textId="77777777" w:rsidTr="00CE41DB">
        <w:tc>
          <w:tcPr>
            <w:tcW w:w="3009" w:type="dxa"/>
            <w:tcBorders>
              <w:top w:val="single" w:sz="2" w:space="0" w:color="auto"/>
              <w:bottom w:val="single" w:sz="2" w:space="0" w:color="auto"/>
            </w:tcBorders>
          </w:tcPr>
          <w:p w14:paraId="0FD0246A" w14:textId="0B3DCF05" w:rsidR="00135AC2" w:rsidRPr="00632A07" w:rsidRDefault="00135AC2" w:rsidP="00805ED3">
            <w:pPr>
              <w:pStyle w:val="Tabletext"/>
              <w:rPr>
                <w:lang w:eastAsia="en-US"/>
              </w:rPr>
            </w:pPr>
            <w:r w:rsidRPr="00632A07">
              <w:rPr>
                <w:lang w:eastAsia="en-US"/>
              </w:rPr>
              <w:t>3.7</w:t>
            </w:r>
          </w:p>
        </w:tc>
        <w:tc>
          <w:tcPr>
            <w:tcW w:w="3009" w:type="dxa"/>
            <w:tcBorders>
              <w:top w:val="single" w:sz="2" w:space="0" w:color="auto"/>
              <w:bottom w:val="single" w:sz="2" w:space="0" w:color="auto"/>
            </w:tcBorders>
          </w:tcPr>
          <w:p w14:paraId="3F11A7D0" w14:textId="36D56762" w:rsidR="00135AC2" w:rsidRPr="00632A07" w:rsidRDefault="00135AC2" w:rsidP="00805ED3">
            <w:pPr>
              <w:pStyle w:val="Tabletext"/>
              <w:rPr>
                <w:lang w:eastAsia="en-US"/>
              </w:rPr>
            </w:pPr>
            <w:r w:rsidRPr="00632A07">
              <w:rPr>
                <w:lang w:eastAsia="en-US"/>
              </w:rPr>
              <w:t>September 2022</w:t>
            </w:r>
          </w:p>
        </w:tc>
        <w:tc>
          <w:tcPr>
            <w:tcW w:w="3009" w:type="dxa"/>
            <w:tcBorders>
              <w:top w:val="single" w:sz="2" w:space="0" w:color="auto"/>
              <w:bottom w:val="single" w:sz="2" w:space="0" w:color="auto"/>
            </w:tcBorders>
          </w:tcPr>
          <w:p w14:paraId="235F9DF9" w14:textId="3E6246BF" w:rsidR="00135AC2" w:rsidRPr="00632A07" w:rsidRDefault="00135AC2" w:rsidP="00805ED3">
            <w:pPr>
              <w:pStyle w:val="Tabletext"/>
              <w:rPr>
                <w:lang w:eastAsia="en-US"/>
              </w:rPr>
            </w:pPr>
            <w:r w:rsidRPr="00632A07">
              <w:rPr>
                <w:lang w:eastAsia="en-US"/>
              </w:rPr>
              <w:t>M17JF142.V40.DOCX</w:t>
            </w:r>
          </w:p>
        </w:tc>
      </w:tr>
      <w:tr w:rsidR="00CE41DB" w:rsidRPr="00632A07" w14:paraId="51563562" w14:textId="77777777" w:rsidTr="004F0A4F">
        <w:tc>
          <w:tcPr>
            <w:tcW w:w="3009" w:type="dxa"/>
            <w:tcBorders>
              <w:top w:val="single" w:sz="2" w:space="0" w:color="auto"/>
              <w:bottom w:val="single" w:sz="2" w:space="0" w:color="auto"/>
            </w:tcBorders>
          </w:tcPr>
          <w:p w14:paraId="7556371B" w14:textId="42D205E3" w:rsidR="00CE41DB" w:rsidRPr="00632A07" w:rsidRDefault="00CE41DB" w:rsidP="00805ED3">
            <w:pPr>
              <w:pStyle w:val="Tabletext"/>
              <w:rPr>
                <w:lang w:eastAsia="en-US"/>
              </w:rPr>
            </w:pPr>
            <w:r w:rsidRPr="00632A07">
              <w:rPr>
                <w:lang w:eastAsia="en-US"/>
              </w:rPr>
              <w:t>3.8</w:t>
            </w:r>
          </w:p>
        </w:tc>
        <w:tc>
          <w:tcPr>
            <w:tcW w:w="3009" w:type="dxa"/>
            <w:tcBorders>
              <w:top w:val="single" w:sz="2" w:space="0" w:color="auto"/>
              <w:bottom w:val="single" w:sz="2" w:space="0" w:color="auto"/>
            </w:tcBorders>
          </w:tcPr>
          <w:p w14:paraId="078D0990" w14:textId="1B21F4C2" w:rsidR="00CE41DB" w:rsidRPr="00632A07" w:rsidRDefault="00F02267" w:rsidP="00805ED3">
            <w:pPr>
              <w:pStyle w:val="Tabletext"/>
              <w:rPr>
                <w:lang w:eastAsia="en-US"/>
              </w:rPr>
            </w:pPr>
            <w:r w:rsidRPr="00632A07">
              <w:rPr>
                <w:lang w:eastAsia="en-US"/>
              </w:rPr>
              <w:t>December</w:t>
            </w:r>
            <w:r w:rsidR="00E14A65" w:rsidRPr="00632A07">
              <w:rPr>
                <w:lang w:eastAsia="en-US"/>
              </w:rPr>
              <w:t xml:space="preserve"> 2024</w:t>
            </w:r>
          </w:p>
        </w:tc>
        <w:tc>
          <w:tcPr>
            <w:tcW w:w="3009" w:type="dxa"/>
            <w:tcBorders>
              <w:top w:val="single" w:sz="2" w:space="0" w:color="auto"/>
              <w:bottom w:val="single" w:sz="2" w:space="0" w:color="auto"/>
            </w:tcBorders>
          </w:tcPr>
          <w:p w14:paraId="48B48B70" w14:textId="00969EBD" w:rsidR="00CE41DB" w:rsidRPr="00632A07" w:rsidRDefault="00120615" w:rsidP="00805ED3">
            <w:pPr>
              <w:pStyle w:val="Tabletext"/>
              <w:rPr>
                <w:lang w:eastAsia="en-US"/>
              </w:rPr>
            </w:pPr>
            <w:r w:rsidRPr="00632A07">
              <w:rPr>
                <w:lang w:eastAsia="en-US"/>
              </w:rPr>
              <w:t>M17JF142.V5</w:t>
            </w:r>
            <w:r w:rsidR="003B5CCE" w:rsidRPr="00632A07">
              <w:rPr>
                <w:lang w:eastAsia="en-US"/>
              </w:rPr>
              <w:t>3</w:t>
            </w:r>
            <w:r w:rsidRPr="00632A07">
              <w:rPr>
                <w:lang w:eastAsia="en-US"/>
              </w:rPr>
              <w:t>.DOCX</w:t>
            </w:r>
          </w:p>
        </w:tc>
      </w:tr>
      <w:tr w:rsidR="00C3358F" w14:paraId="6A06300D" w14:textId="77777777" w:rsidTr="00867179">
        <w:tc>
          <w:tcPr>
            <w:tcW w:w="3009" w:type="dxa"/>
            <w:tcBorders>
              <w:top w:val="single" w:sz="2" w:space="0" w:color="auto"/>
              <w:bottom w:val="single" w:sz="12" w:space="0" w:color="auto"/>
            </w:tcBorders>
          </w:tcPr>
          <w:p w14:paraId="17316824" w14:textId="7445F068" w:rsidR="00C3358F" w:rsidRPr="00632A07" w:rsidRDefault="00C3358F" w:rsidP="00805ED3">
            <w:pPr>
              <w:pStyle w:val="Tabletext"/>
              <w:rPr>
                <w:lang w:eastAsia="en-US"/>
              </w:rPr>
            </w:pPr>
            <w:r w:rsidRPr="00632A07">
              <w:rPr>
                <w:lang w:eastAsia="en-US"/>
              </w:rPr>
              <w:t>3.9</w:t>
            </w:r>
          </w:p>
        </w:tc>
        <w:tc>
          <w:tcPr>
            <w:tcW w:w="3009" w:type="dxa"/>
            <w:tcBorders>
              <w:top w:val="single" w:sz="2" w:space="0" w:color="auto"/>
              <w:bottom w:val="single" w:sz="12" w:space="0" w:color="auto"/>
            </w:tcBorders>
          </w:tcPr>
          <w:p w14:paraId="5D74DCA8" w14:textId="0E12FD4F" w:rsidR="00C3358F" w:rsidRPr="00632A07" w:rsidRDefault="00A54DC7" w:rsidP="00805ED3">
            <w:pPr>
              <w:pStyle w:val="Tabletext"/>
              <w:rPr>
                <w:lang w:eastAsia="en-US"/>
              </w:rPr>
            </w:pPr>
            <w:r w:rsidRPr="00632A07">
              <w:rPr>
                <w:lang w:eastAsia="en-US"/>
              </w:rPr>
              <w:t xml:space="preserve">March </w:t>
            </w:r>
            <w:r w:rsidR="00C3358F" w:rsidRPr="00632A07">
              <w:rPr>
                <w:lang w:eastAsia="en-US"/>
              </w:rPr>
              <w:t>2026</w:t>
            </w:r>
          </w:p>
        </w:tc>
        <w:tc>
          <w:tcPr>
            <w:tcW w:w="3009" w:type="dxa"/>
            <w:tcBorders>
              <w:top w:val="single" w:sz="2" w:space="0" w:color="auto"/>
              <w:bottom w:val="single" w:sz="12" w:space="0" w:color="auto"/>
            </w:tcBorders>
          </w:tcPr>
          <w:p w14:paraId="6741FFFB" w14:textId="3EB330F5" w:rsidR="00C3358F" w:rsidRPr="00632A07" w:rsidRDefault="00C3358F" w:rsidP="00805ED3">
            <w:pPr>
              <w:pStyle w:val="Tabletext"/>
              <w:rPr>
                <w:lang w:eastAsia="en-US"/>
              </w:rPr>
            </w:pPr>
            <w:r w:rsidRPr="00632A07">
              <w:rPr>
                <w:lang w:eastAsia="en-US"/>
              </w:rPr>
              <w:t>M17JF142.V6</w:t>
            </w:r>
            <w:r w:rsidR="00F876F6">
              <w:rPr>
                <w:lang w:eastAsia="en-US"/>
              </w:rPr>
              <w:t>2</w:t>
            </w:r>
            <w:r w:rsidRPr="00632A07">
              <w:rPr>
                <w:lang w:eastAsia="en-US"/>
              </w:rPr>
              <w:t>.DOCX</w:t>
            </w:r>
          </w:p>
        </w:tc>
      </w:tr>
    </w:tbl>
    <w:p w14:paraId="3A375CF6" w14:textId="77777777" w:rsidR="00A46E7A" w:rsidRPr="00A46E7A" w:rsidRDefault="00A46E7A" w:rsidP="00F6117F">
      <w:pPr>
        <w:pStyle w:val="Tabletext"/>
      </w:pPr>
    </w:p>
    <w:sectPr w:rsidR="00A46E7A" w:rsidRPr="00A46E7A" w:rsidSect="00590636">
      <w:headerReference w:type="default" r:id="rId723"/>
      <w:footerReference w:type="default" r:id="rId724"/>
      <w:pgSz w:w="11907" w:h="16839" w:code="9"/>
      <w:pgMar w:top="1440" w:right="1440" w:bottom="1440" w:left="1440" w:header="720" w:footer="567"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0461" w14:textId="77777777" w:rsidR="00F02267" w:rsidRDefault="00F02267" w:rsidP="00610D12">
      <w:pPr>
        <w:spacing w:line="240" w:lineRule="auto"/>
      </w:pPr>
      <w:r>
        <w:separator/>
      </w:r>
    </w:p>
  </w:endnote>
  <w:endnote w:type="continuationSeparator" w:id="0">
    <w:p w14:paraId="4D264B3C" w14:textId="77777777" w:rsidR="00F02267" w:rsidRDefault="00F02267" w:rsidP="00610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F08C" w14:textId="77777777" w:rsidR="00F02267" w:rsidRDefault="00F02267" w:rsidP="00782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lxxxiv</w:t>
    </w:r>
    <w:r>
      <w:rPr>
        <w:rStyle w:val="PageNumber"/>
      </w:rPr>
      <w:fldChar w:fldCharType="end"/>
    </w:r>
  </w:p>
  <w:p w14:paraId="4BC7FD21" w14:textId="77777777" w:rsidR="00F02267" w:rsidRDefault="00F02267" w:rsidP="00782976">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50D2" w14:textId="77777777" w:rsidR="009E1A49" w:rsidRPr="00E33C1C" w:rsidRDefault="009E1A49"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9E1A49" w:rsidRPr="00550D22" w14:paraId="4BFF127C" w14:textId="77777777" w:rsidTr="00746A03">
      <w:tc>
        <w:tcPr>
          <w:tcW w:w="1384" w:type="dxa"/>
          <w:tcBorders>
            <w:top w:val="nil"/>
            <w:left w:val="nil"/>
            <w:bottom w:val="nil"/>
            <w:right w:val="nil"/>
          </w:tcBorders>
        </w:tcPr>
        <w:p w14:paraId="6D416F9D" w14:textId="77777777" w:rsidR="009E1A49" w:rsidRPr="00550D22" w:rsidRDefault="009E1A49" w:rsidP="00746A03">
          <w:pPr>
            <w:spacing w:line="0" w:lineRule="atLeast"/>
            <w:rPr>
              <w:sz w:val="18"/>
            </w:rPr>
          </w:pPr>
        </w:p>
      </w:tc>
      <w:tc>
        <w:tcPr>
          <w:tcW w:w="6379" w:type="dxa"/>
          <w:tcBorders>
            <w:top w:val="nil"/>
            <w:left w:val="nil"/>
            <w:bottom w:val="nil"/>
            <w:right w:val="nil"/>
          </w:tcBorders>
        </w:tcPr>
        <w:p w14:paraId="0263C663" w14:textId="27D17797" w:rsidR="009E1A49" w:rsidRPr="00550D22" w:rsidRDefault="009E1A49" w:rsidP="00613359">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48BE6A41" w14:textId="77777777" w:rsidR="009E1A49" w:rsidRPr="00550D22" w:rsidRDefault="009E1A49" w:rsidP="00746A03">
          <w:pPr>
            <w:spacing w:line="0" w:lineRule="atLeast"/>
            <w:jc w:val="right"/>
            <w:rPr>
              <w:sz w:val="18"/>
            </w:rPr>
          </w:pPr>
          <w:r w:rsidRPr="00491DA1">
            <w:rPr>
              <w:i/>
              <w:sz w:val="18"/>
            </w:rPr>
            <w:fldChar w:fldCharType="begin"/>
          </w:r>
          <w:r w:rsidRPr="00491DA1">
            <w:rPr>
              <w:i/>
              <w:sz w:val="18"/>
            </w:rPr>
            <w:instrText xml:space="preserve"> PAGE   \* MERGEFORMAT </w:instrText>
          </w:r>
          <w:r w:rsidRPr="00491DA1">
            <w:rPr>
              <w:i/>
              <w:sz w:val="18"/>
            </w:rPr>
            <w:fldChar w:fldCharType="separate"/>
          </w:r>
          <w:r>
            <w:rPr>
              <w:i/>
              <w:noProof/>
              <w:sz w:val="18"/>
            </w:rPr>
            <w:t>58</w:t>
          </w:r>
          <w:r w:rsidRPr="00491DA1">
            <w:rPr>
              <w:i/>
              <w:noProof/>
              <w:sz w:val="18"/>
            </w:rPr>
            <w:fldChar w:fldCharType="end"/>
          </w:r>
        </w:p>
      </w:tc>
    </w:tr>
    <w:tr w:rsidR="009E1A49" w:rsidRPr="00550D22" w14:paraId="0C542D6C"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13750BD9" w14:textId="77777777" w:rsidR="009E1A49" w:rsidRPr="00550D22" w:rsidRDefault="009E1A49" w:rsidP="00746A03">
          <w:pPr>
            <w:rPr>
              <w:sz w:val="18"/>
            </w:rPr>
          </w:pPr>
        </w:p>
      </w:tc>
    </w:tr>
  </w:tbl>
  <w:p w14:paraId="145F3472" w14:textId="77777777" w:rsidR="009E1A49" w:rsidRPr="00590636" w:rsidRDefault="009E1A49" w:rsidP="00590636">
    <w:pPr>
      <w:pStyle w:val="Footer"/>
      <w:rPr>
        <w:sz w:val="4"/>
        <w:szCs w:val="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1712" w14:textId="77777777" w:rsidR="009E1A49" w:rsidRPr="00E33C1C" w:rsidRDefault="009E1A49"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9E1A49" w:rsidRPr="00550D22" w14:paraId="0DA61401" w14:textId="77777777" w:rsidTr="00746A03">
      <w:tc>
        <w:tcPr>
          <w:tcW w:w="1384" w:type="dxa"/>
          <w:tcBorders>
            <w:top w:val="nil"/>
            <w:left w:val="nil"/>
            <w:bottom w:val="nil"/>
            <w:right w:val="nil"/>
          </w:tcBorders>
        </w:tcPr>
        <w:p w14:paraId="4FC60340" w14:textId="77777777" w:rsidR="009E1A49" w:rsidRPr="00550D22" w:rsidRDefault="009E1A49" w:rsidP="00746A03">
          <w:pPr>
            <w:spacing w:line="0" w:lineRule="atLeast"/>
            <w:rPr>
              <w:sz w:val="18"/>
            </w:rPr>
          </w:pPr>
        </w:p>
      </w:tc>
      <w:tc>
        <w:tcPr>
          <w:tcW w:w="6379" w:type="dxa"/>
          <w:tcBorders>
            <w:top w:val="nil"/>
            <w:left w:val="nil"/>
            <w:bottom w:val="nil"/>
            <w:right w:val="nil"/>
          </w:tcBorders>
        </w:tcPr>
        <w:p w14:paraId="7A7795CC" w14:textId="6961C2E6" w:rsidR="009E1A49" w:rsidRPr="00550D22" w:rsidRDefault="009E1A49" w:rsidP="00613359">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58BAB45C" w14:textId="77777777" w:rsidR="009E1A49" w:rsidRPr="00550D22" w:rsidRDefault="009E1A49" w:rsidP="00746A03">
          <w:pPr>
            <w:spacing w:line="0" w:lineRule="atLeast"/>
            <w:jc w:val="right"/>
            <w:rPr>
              <w:sz w:val="18"/>
            </w:rPr>
          </w:pPr>
          <w:r w:rsidRPr="00491DA1">
            <w:rPr>
              <w:i/>
              <w:sz w:val="18"/>
            </w:rPr>
            <w:fldChar w:fldCharType="begin"/>
          </w:r>
          <w:r w:rsidRPr="00491DA1">
            <w:rPr>
              <w:i/>
              <w:sz w:val="18"/>
            </w:rPr>
            <w:instrText xml:space="preserve"> PAGE   \* MERGEFORMAT </w:instrText>
          </w:r>
          <w:r w:rsidRPr="00491DA1">
            <w:rPr>
              <w:i/>
              <w:sz w:val="18"/>
            </w:rPr>
            <w:fldChar w:fldCharType="separate"/>
          </w:r>
          <w:r>
            <w:rPr>
              <w:i/>
              <w:noProof/>
              <w:sz w:val="18"/>
            </w:rPr>
            <w:t>58</w:t>
          </w:r>
          <w:r w:rsidRPr="00491DA1">
            <w:rPr>
              <w:i/>
              <w:noProof/>
              <w:sz w:val="18"/>
            </w:rPr>
            <w:fldChar w:fldCharType="end"/>
          </w:r>
        </w:p>
      </w:tc>
    </w:tr>
    <w:tr w:rsidR="009E1A49" w:rsidRPr="00550D22" w14:paraId="154C08E5"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375A1107" w14:textId="77777777" w:rsidR="009E1A49" w:rsidRPr="00550D22" w:rsidRDefault="009E1A49" w:rsidP="00746A03">
          <w:pPr>
            <w:rPr>
              <w:sz w:val="18"/>
            </w:rPr>
          </w:pPr>
        </w:p>
      </w:tc>
    </w:tr>
  </w:tbl>
  <w:p w14:paraId="20FDFA62" w14:textId="77777777" w:rsidR="009E1A49" w:rsidRPr="00590636" w:rsidRDefault="009E1A49" w:rsidP="00590636">
    <w:pPr>
      <w:pStyle w:val="Footer"/>
      <w:rPr>
        <w:sz w:val="4"/>
        <w:szCs w:val="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977B" w14:textId="77777777" w:rsidR="009E1A49" w:rsidRPr="00E33C1C" w:rsidRDefault="009E1A49"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9E1A49" w:rsidRPr="00550D22" w14:paraId="48484DB2" w14:textId="77777777" w:rsidTr="00746A03">
      <w:tc>
        <w:tcPr>
          <w:tcW w:w="1384" w:type="dxa"/>
          <w:tcBorders>
            <w:top w:val="nil"/>
            <w:left w:val="nil"/>
            <w:bottom w:val="nil"/>
            <w:right w:val="nil"/>
          </w:tcBorders>
        </w:tcPr>
        <w:p w14:paraId="4C2BFA50" w14:textId="77777777" w:rsidR="009E1A49" w:rsidRPr="00550D22" w:rsidRDefault="009E1A49" w:rsidP="00746A03">
          <w:pPr>
            <w:spacing w:line="0" w:lineRule="atLeast"/>
            <w:rPr>
              <w:sz w:val="18"/>
            </w:rPr>
          </w:pPr>
        </w:p>
      </w:tc>
      <w:tc>
        <w:tcPr>
          <w:tcW w:w="6379" w:type="dxa"/>
          <w:tcBorders>
            <w:top w:val="nil"/>
            <w:left w:val="nil"/>
            <w:bottom w:val="nil"/>
            <w:right w:val="nil"/>
          </w:tcBorders>
        </w:tcPr>
        <w:p w14:paraId="4E2EA47B" w14:textId="2C58B051" w:rsidR="009E1A49" w:rsidRPr="00550D22" w:rsidRDefault="009E1A49" w:rsidP="00613359">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6E68DF38" w14:textId="77777777" w:rsidR="009E1A49" w:rsidRPr="00550D22" w:rsidRDefault="009E1A49" w:rsidP="00746A03">
          <w:pPr>
            <w:spacing w:line="0" w:lineRule="atLeast"/>
            <w:jc w:val="right"/>
            <w:rPr>
              <w:sz w:val="18"/>
            </w:rPr>
          </w:pPr>
          <w:r w:rsidRPr="00491DA1">
            <w:rPr>
              <w:i/>
              <w:sz w:val="18"/>
            </w:rPr>
            <w:fldChar w:fldCharType="begin"/>
          </w:r>
          <w:r w:rsidRPr="00491DA1">
            <w:rPr>
              <w:i/>
              <w:sz w:val="18"/>
            </w:rPr>
            <w:instrText xml:space="preserve"> PAGE   \* MERGEFORMAT </w:instrText>
          </w:r>
          <w:r w:rsidRPr="00491DA1">
            <w:rPr>
              <w:i/>
              <w:sz w:val="18"/>
            </w:rPr>
            <w:fldChar w:fldCharType="separate"/>
          </w:r>
          <w:r>
            <w:rPr>
              <w:i/>
              <w:noProof/>
              <w:sz w:val="18"/>
            </w:rPr>
            <w:t>58</w:t>
          </w:r>
          <w:r w:rsidRPr="00491DA1">
            <w:rPr>
              <w:i/>
              <w:noProof/>
              <w:sz w:val="18"/>
            </w:rPr>
            <w:fldChar w:fldCharType="end"/>
          </w:r>
        </w:p>
      </w:tc>
    </w:tr>
    <w:tr w:rsidR="009E1A49" w:rsidRPr="00550D22" w14:paraId="6BB54142"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18D9844D" w14:textId="77777777" w:rsidR="009E1A49" w:rsidRPr="00550D22" w:rsidRDefault="009E1A49" w:rsidP="00746A03">
          <w:pPr>
            <w:rPr>
              <w:sz w:val="18"/>
            </w:rPr>
          </w:pPr>
        </w:p>
      </w:tc>
    </w:tr>
  </w:tbl>
  <w:p w14:paraId="23955F2A" w14:textId="77777777" w:rsidR="009E1A49" w:rsidRPr="00590636" w:rsidRDefault="009E1A49" w:rsidP="00590636">
    <w:pPr>
      <w:pStyle w:val="Footer"/>
      <w:rPr>
        <w:sz w:val="4"/>
        <w:szCs w:val="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E038" w14:textId="77777777" w:rsidR="009E1A49" w:rsidRPr="00E33C1C" w:rsidRDefault="009E1A49"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9E1A49" w:rsidRPr="00550D22" w14:paraId="4288CB4B" w14:textId="77777777" w:rsidTr="00746A03">
      <w:tc>
        <w:tcPr>
          <w:tcW w:w="1384" w:type="dxa"/>
          <w:tcBorders>
            <w:top w:val="nil"/>
            <w:left w:val="nil"/>
            <w:bottom w:val="nil"/>
            <w:right w:val="nil"/>
          </w:tcBorders>
        </w:tcPr>
        <w:p w14:paraId="666392A4" w14:textId="77777777" w:rsidR="009E1A49" w:rsidRPr="00550D22" w:rsidRDefault="009E1A49" w:rsidP="00746A03">
          <w:pPr>
            <w:spacing w:line="0" w:lineRule="atLeast"/>
            <w:rPr>
              <w:sz w:val="18"/>
            </w:rPr>
          </w:pPr>
        </w:p>
      </w:tc>
      <w:tc>
        <w:tcPr>
          <w:tcW w:w="6379" w:type="dxa"/>
          <w:tcBorders>
            <w:top w:val="nil"/>
            <w:left w:val="nil"/>
            <w:bottom w:val="nil"/>
            <w:right w:val="nil"/>
          </w:tcBorders>
        </w:tcPr>
        <w:p w14:paraId="14FD96AA" w14:textId="43960386" w:rsidR="009E1A49" w:rsidRPr="00550D22" w:rsidRDefault="009E1A49" w:rsidP="00613359">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5F89BF9D" w14:textId="77777777" w:rsidR="009E1A49" w:rsidRPr="00550D22" w:rsidRDefault="009E1A49" w:rsidP="00746A03">
          <w:pPr>
            <w:spacing w:line="0" w:lineRule="atLeast"/>
            <w:jc w:val="right"/>
            <w:rPr>
              <w:sz w:val="18"/>
            </w:rPr>
          </w:pPr>
          <w:r w:rsidRPr="00491DA1">
            <w:rPr>
              <w:i/>
              <w:sz w:val="18"/>
            </w:rPr>
            <w:fldChar w:fldCharType="begin"/>
          </w:r>
          <w:r w:rsidRPr="00491DA1">
            <w:rPr>
              <w:i/>
              <w:sz w:val="18"/>
            </w:rPr>
            <w:instrText xml:space="preserve"> PAGE   \* MERGEFORMAT </w:instrText>
          </w:r>
          <w:r w:rsidRPr="00491DA1">
            <w:rPr>
              <w:i/>
              <w:sz w:val="18"/>
            </w:rPr>
            <w:fldChar w:fldCharType="separate"/>
          </w:r>
          <w:r>
            <w:rPr>
              <w:i/>
              <w:noProof/>
              <w:sz w:val="18"/>
            </w:rPr>
            <w:t>58</w:t>
          </w:r>
          <w:r w:rsidRPr="00491DA1">
            <w:rPr>
              <w:i/>
              <w:noProof/>
              <w:sz w:val="18"/>
            </w:rPr>
            <w:fldChar w:fldCharType="end"/>
          </w:r>
        </w:p>
      </w:tc>
    </w:tr>
    <w:tr w:rsidR="009E1A49" w:rsidRPr="00550D22" w14:paraId="352DAAED"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14EBCD3F" w14:textId="77777777" w:rsidR="009E1A49" w:rsidRPr="00550D22" w:rsidRDefault="009E1A49" w:rsidP="00746A03">
          <w:pPr>
            <w:rPr>
              <w:sz w:val="18"/>
            </w:rPr>
          </w:pPr>
        </w:p>
      </w:tc>
    </w:tr>
  </w:tbl>
  <w:p w14:paraId="3403130D" w14:textId="77777777" w:rsidR="009E1A49" w:rsidRPr="00590636" w:rsidRDefault="009E1A49" w:rsidP="00590636">
    <w:pPr>
      <w:pStyle w:val="Footer"/>
      <w:rPr>
        <w:sz w:val="4"/>
        <w:szCs w:val="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B09C" w14:textId="77777777" w:rsidR="009E1A49" w:rsidRPr="00E33C1C" w:rsidRDefault="009E1A49"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9E1A49" w:rsidRPr="00550D22" w14:paraId="1753E75E" w14:textId="77777777" w:rsidTr="00746A03">
      <w:tc>
        <w:tcPr>
          <w:tcW w:w="1384" w:type="dxa"/>
          <w:tcBorders>
            <w:top w:val="nil"/>
            <w:left w:val="nil"/>
            <w:bottom w:val="nil"/>
            <w:right w:val="nil"/>
          </w:tcBorders>
        </w:tcPr>
        <w:p w14:paraId="5A1F3021" w14:textId="77777777" w:rsidR="009E1A49" w:rsidRPr="00550D22" w:rsidRDefault="009E1A49" w:rsidP="00746A03">
          <w:pPr>
            <w:spacing w:line="0" w:lineRule="atLeast"/>
            <w:rPr>
              <w:sz w:val="18"/>
            </w:rPr>
          </w:pPr>
        </w:p>
      </w:tc>
      <w:tc>
        <w:tcPr>
          <w:tcW w:w="6379" w:type="dxa"/>
          <w:tcBorders>
            <w:top w:val="nil"/>
            <w:left w:val="nil"/>
            <w:bottom w:val="nil"/>
            <w:right w:val="nil"/>
          </w:tcBorders>
        </w:tcPr>
        <w:p w14:paraId="79864B8F" w14:textId="66034127" w:rsidR="009E1A49" w:rsidRPr="00550D22" w:rsidRDefault="009E1A49" w:rsidP="00613359">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300DAA88" w14:textId="77777777" w:rsidR="009E1A49" w:rsidRPr="00550D22" w:rsidRDefault="009E1A49" w:rsidP="00746A03">
          <w:pPr>
            <w:spacing w:line="0" w:lineRule="atLeast"/>
            <w:jc w:val="right"/>
            <w:rPr>
              <w:sz w:val="18"/>
            </w:rPr>
          </w:pPr>
          <w:r w:rsidRPr="00491DA1">
            <w:rPr>
              <w:i/>
              <w:sz w:val="18"/>
            </w:rPr>
            <w:fldChar w:fldCharType="begin"/>
          </w:r>
          <w:r w:rsidRPr="00491DA1">
            <w:rPr>
              <w:i/>
              <w:sz w:val="18"/>
            </w:rPr>
            <w:instrText xml:space="preserve"> PAGE   \* MERGEFORMAT </w:instrText>
          </w:r>
          <w:r w:rsidRPr="00491DA1">
            <w:rPr>
              <w:i/>
              <w:sz w:val="18"/>
            </w:rPr>
            <w:fldChar w:fldCharType="separate"/>
          </w:r>
          <w:r>
            <w:rPr>
              <w:i/>
              <w:noProof/>
              <w:sz w:val="18"/>
            </w:rPr>
            <w:t>58</w:t>
          </w:r>
          <w:r w:rsidRPr="00491DA1">
            <w:rPr>
              <w:i/>
              <w:noProof/>
              <w:sz w:val="18"/>
            </w:rPr>
            <w:fldChar w:fldCharType="end"/>
          </w:r>
        </w:p>
      </w:tc>
    </w:tr>
    <w:tr w:rsidR="009E1A49" w:rsidRPr="00550D22" w14:paraId="0D6E1E45"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08DFD153" w14:textId="77777777" w:rsidR="009E1A49" w:rsidRPr="00550D22" w:rsidRDefault="009E1A49" w:rsidP="00746A03">
          <w:pPr>
            <w:rPr>
              <w:sz w:val="18"/>
            </w:rPr>
          </w:pPr>
        </w:p>
      </w:tc>
    </w:tr>
  </w:tbl>
  <w:p w14:paraId="548BEA9F" w14:textId="77777777" w:rsidR="009E1A49" w:rsidRPr="00590636" w:rsidRDefault="009E1A49" w:rsidP="00590636">
    <w:pPr>
      <w:pStyle w:val="Footer"/>
      <w:rPr>
        <w:sz w:val="4"/>
        <w:szCs w:val="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25D5" w14:textId="77777777" w:rsidR="009E1A49" w:rsidRPr="00E33C1C" w:rsidRDefault="009E1A49"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9E1A49" w:rsidRPr="00550D22" w14:paraId="59E90AC4" w14:textId="77777777" w:rsidTr="00746A03">
      <w:tc>
        <w:tcPr>
          <w:tcW w:w="1384" w:type="dxa"/>
          <w:tcBorders>
            <w:top w:val="nil"/>
            <w:left w:val="nil"/>
            <w:bottom w:val="nil"/>
            <w:right w:val="nil"/>
          </w:tcBorders>
        </w:tcPr>
        <w:p w14:paraId="5E344DE5" w14:textId="77777777" w:rsidR="009E1A49" w:rsidRPr="00550D22" w:rsidRDefault="009E1A49" w:rsidP="00746A03">
          <w:pPr>
            <w:spacing w:line="0" w:lineRule="atLeast"/>
            <w:rPr>
              <w:sz w:val="18"/>
            </w:rPr>
          </w:pPr>
        </w:p>
      </w:tc>
      <w:tc>
        <w:tcPr>
          <w:tcW w:w="6379" w:type="dxa"/>
          <w:tcBorders>
            <w:top w:val="nil"/>
            <w:left w:val="nil"/>
            <w:bottom w:val="nil"/>
            <w:right w:val="nil"/>
          </w:tcBorders>
        </w:tcPr>
        <w:p w14:paraId="179D2B27" w14:textId="3835F5B9" w:rsidR="009E1A49" w:rsidRPr="00550D22" w:rsidRDefault="009E1A49" w:rsidP="00613359">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038D2C4C" w14:textId="77777777" w:rsidR="009E1A49" w:rsidRPr="00550D22" w:rsidRDefault="009E1A49" w:rsidP="00746A03">
          <w:pPr>
            <w:spacing w:line="0" w:lineRule="atLeast"/>
            <w:jc w:val="right"/>
            <w:rPr>
              <w:sz w:val="18"/>
            </w:rPr>
          </w:pPr>
          <w:r w:rsidRPr="00491DA1">
            <w:rPr>
              <w:i/>
              <w:sz w:val="18"/>
            </w:rPr>
            <w:fldChar w:fldCharType="begin"/>
          </w:r>
          <w:r w:rsidRPr="00491DA1">
            <w:rPr>
              <w:i/>
              <w:sz w:val="18"/>
            </w:rPr>
            <w:instrText xml:space="preserve"> PAGE   \* MERGEFORMAT </w:instrText>
          </w:r>
          <w:r w:rsidRPr="00491DA1">
            <w:rPr>
              <w:i/>
              <w:sz w:val="18"/>
            </w:rPr>
            <w:fldChar w:fldCharType="separate"/>
          </w:r>
          <w:r>
            <w:rPr>
              <w:i/>
              <w:noProof/>
              <w:sz w:val="18"/>
            </w:rPr>
            <w:t>58</w:t>
          </w:r>
          <w:r w:rsidRPr="00491DA1">
            <w:rPr>
              <w:i/>
              <w:noProof/>
              <w:sz w:val="18"/>
            </w:rPr>
            <w:fldChar w:fldCharType="end"/>
          </w:r>
        </w:p>
      </w:tc>
    </w:tr>
    <w:tr w:rsidR="009E1A49" w:rsidRPr="00550D22" w14:paraId="5BCDDD48"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5C4EF305" w14:textId="77777777" w:rsidR="009E1A49" w:rsidRPr="00550D22" w:rsidRDefault="009E1A49" w:rsidP="00746A03">
          <w:pPr>
            <w:rPr>
              <w:sz w:val="18"/>
            </w:rPr>
          </w:pPr>
        </w:p>
      </w:tc>
    </w:tr>
  </w:tbl>
  <w:p w14:paraId="03AF0487" w14:textId="77777777" w:rsidR="009E1A49" w:rsidRPr="00590636" w:rsidRDefault="009E1A49" w:rsidP="00590636">
    <w:pPr>
      <w:pStyle w:val="Footer"/>
      <w:rPr>
        <w:sz w:val="4"/>
        <w:szCs w:val="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9951" w14:textId="77777777" w:rsidR="009E1A49" w:rsidRPr="00E33C1C" w:rsidRDefault="009E1A49"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9E1A49" w:rsidRPr="00550D22" w14:paraId="09C4712E" w14:textId="77777777" w:rsidTr="00746A03">
      <w:tc>
        <w:tcPr>
          <w:tcW w:w="1384" w:type="dxa"/>
          <w:tcBorders>
            <w:top w:val="nil"/>
            <w:left w:val="nil"/>
            <w:bottom w:val="nil"/>
            <w:right w:val="nil"/>
          </w:tcBorders>
        </w:tcPr>
        <w:p w14:paraId="1EC3787E" w14:textId="77777777" w:rsidR="009E1A49" w:rsidRPr="00550D22" w:rsidRDefault="009E1A49" w:rsidP="00746A03">
          <w:pPr>
            <w:spacing w:line="0" w:lineRule="atLeast"/>
            <w:rPr>
              <w:sz w:val="18"/>
            </w:rPr>
          </w:pPr>
        </w:p>
      </w:tc>
      <w:tc>
        <w:tcPr>
          <w:tcW w:w="6379" w:type="dxa"/>
          <w:tcBorders>
            <w:top w:val="nil"/>
            <w:left w:val="nil"/>
            <w:bottom w:val="nil"/>
            <w:right w:val="nil"/>
          </w:tcBorders>
        </w:tcPr>
        <w:p w14:paraId="4BF238DD" w14:textId="41DC6208" w:rsidR="009E1A49" w:rsidRPr="00550D22" w:rsidRDefault="009E1A49" w:rsidP="00613359">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267C4DE1" w14:textId="77777777" w:rsidR="009E1A49" w:rsidRPr="00550D22" w:rsidRDefault="009E1A49" w:rsidP="00746A03">
          <w:pPr>
            <w:spacing w:line="0" w:lineRule="atLeast"/>
            <w:jc w:val="right"/>
            <w:rPr>
              <w:sz w:val="18"/>
            </w:rPr>
          </w:pPr>
          <w:r w:rsidRPr="00491DA1">
            <w:rPr>
              <w:i/>
              <w:sz w:val="18"/>
            </w:rPr>
            <w:fldChar w:fldCharType="begin"/>
          </w:r>
          <w:r w:rsidRPr="00491DA1">
            <w:rPr>
              <w:i/>
              <w:sz w:val="18"/>
            </w:rPr>
            <w:instrText xml:space="preserve"> PAGE   \* MERGEFORMAT </w:instrText>
          </w:r>
          <w:r w:rsidRPr="00491DA1">
            <w:rPr>
              <w:i/>
              <w:sz w:val="18"/>
            </w:rPr>
            <w:fldChar w:fldCharType="separate"/>
          </w:r>
          <w:r>
            <w:rPr>
              <w:i/>
              <w:noProof/>
              <w:sz w:val="18"/>
            </w:rPr>
            <w:t>58</w:t>
          </w:r>
          <w:r w:rsidRPr="00491DA1">
            <w:rPr>
              <w:i/>
              <w:noProof/>
              <w:sz w:val="18"/>
            </w:rPr>
            <w:fldChar w:fldCharType="end"/>
          </w:r>
        </w:p>
      </w:tc>
    </w:tr>
    <w:tr w:rsidR="009E1A49" w:rsidRPr="00550D22" w14:paraId="5CA26624"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5036AD47" w14:textId="77777777" w:rsidR="009E1A49" w:rsidRPr="00550D22" w:rsidRDefault="009E1A49" w:rsidP="00746A03">
          <w:pPr>
            <w:rPr>
              <w:sz w:val="18"/>
            </w:rPr>
          </w:pPr>
        </w:p>
      </w:tc>
    </w:tr>
  </w:tbl>
  <w:p w14:paraId="5D355BC0" w14:textId="77777777" w:rsidR="009E1A49" w:rsidRPr="00590636" w:rsidRDefault="009E1A49" w:rsidP="00590636">
    <w:pPr>
      <w:pStyle w:val="Footer"/>
      <w:rPr>
        <w:sz w:val="4"/>
        <w:szCs w:val="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DD3C" w14:textId="77777777" w:rsidR="00F02267" w:rsidRPr="00E33C1C" w:rsidRDefault="00F02267"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F02267" w:rsidRPr="00550D22" w14:paraId="59767398" w14:textId="77777777" w:rsidTr="00746A03">
      <w:tc>
        <w:tcPr>
          <w:tcW w:w="1384" w:type="dxa"/>
          <w:tcBorders>
            <w:top w:val="nil"/>
            <w:left w:val="nil"/>
            <w:bottom w:val="nil"/>
            <w:right w:val="nil"/>
          </w:tcBorders>
        </w:tcPr>
        <w:p w14:paraId="3C833132" w14:textId="77777777" w:rsidR="00F02267" w:rsidRPr="00550D22" w:rsidRDefault="00F02267" w:rsidP="00746A03">
          <w:pPr>
            <w:spacing w:line="0" w:lineRule="atLeast"/>
            <w:rPr>
              <w:sz w:val="18"/>
            </w:rPr>
          </w:pPr>
          <w:r w:rsidRPr="00550D22">
            <w:rPr>
              <w:sz w:val="18"/>
            </w:rPr>
            <w:fldChar w:fldCharType="begin"/>
          </w:r>
          <w:r w:rsidRPr="00550D22">
            <w:rPr>
              <w:sz w:val="18"/>
            </w:rPr>
            <w:instrText xml:space="preserve"> PAGE </w:instrText>
          </w:r>
          <w:r w:rsidRPr="00550D22">
            <w:rPr>
              <w:sz w:val="18"/>
            </w:rPr>
            <w:fldChar w:fldCharType="separate"/>
          </w:r>
          <w:r>
            <w:rPr>
              <w:noProof/>
              <w:sz w:val="18"/>
            </w:rPr>
            <w:t>84</w:t>
          </w:r>
          <w:r w:rsidRPr="00550D22">
            <w:rPr>
              <w:sz w:val="18"/>
            </w:rPr>
            <w:fldChar w:fldCharType="end"/>
          </w:r>
        </w:p>
      </w:tc>
      <w:tc>
        <w:tcPr>
          <w:tcW w:w="6379" w:type="dxa"/>
          <w:tcBorders>
            <w:top w:val="nil"/>
            <w:left w:val="nil"/>
            <w:bottom w:val="nil"/>
            <w:right w:val="nil"/>
          </w:tcBorders>
        </w:tcPr>
        <w:p w14:paraId="1003224F" w14:textId="0D5D7FD7" w:rsidR="00F02267" w:rsidRPr="00550D22" w:rsidRDefault="00F02267" w:rsidP="00746A03">
          <w:pPr>
            <w:spacing w:line="0" w:lineRule="atLeast"/>
            <w:jc w:val="center"/>
            <w:rPr>
              <w:sz w:val="18"/>
            </w:rPr>
          </w:pPr>
          <w:r w:rsidRPr="00550D22">
            <w:rPr>
              <w:i/>
              <w:sz w:val="18"/>
            </w:rPr>
            <w:fldChar w:fldCharType="begin"/>
          </w:r>
          <w:r w:rsidRPr="00550D22">
            <w:rPr>
              <w:i/>
              <w:sz w:val="18"/>
            </w:rPr>
            <w:instrText xml:space="preserve"> DOCPROPERTY  Subject </w:instrText>
          </w:r>
          <w:r w:rsidRPr="00550D22">
            <w:rPr>
              <w:i/>
              <w:sz w:val="18"/>
            </w:rPr>
            <w:fldChar w:fldCharType="separate"/>
          </w:r>
          <w:r w:rsidR="00AB105F">
            <w:rPr>
              <w:i/>
              <w:sz w:val="18"/>
            </w:rPr>
            <w:t>Instruments Handbook</w:t>
          </w:r>
          <w:r w:rsidRPr="00550D22">
            <w:rPr>
              <w:i/>
              <w:sz w:val="18"/>
            </w:rPr>
            <w:fldChar w:fldCharType="end"/>
          </w:r>
        </w:p>
      </w:tc>
      <w:tc>
        <w:tcPr>
          <w:tcW w:w="1417" w:type="dxa"/>
          <w:tcBorders>
            <w:top w:val="nil"/>
            <w:left w:val="nil"/>
            <w:bottom w:val="nil"/>
            <w:right w:val="nil"/>
          </w:tcBorders>
        </w:tcPr>
        <w:p w14:paraId="6347EDB0" w14:textId="77777777" w:rsidR="00F02267" w:rsidRPr="00550D22" w:rsidRDefault="00F02267" w:rsidP="00746A03">
          <w:pPr>
            <w:spacing w:line="0" w:lineRule="atLeast"/>
            <w:jc w:val="right"/>
            <w:rPr>
              <w:sz w:val="18"/>
            </w:rPr>
          </w:pPr>
        </w:p>
      </w:tc>
    </w:tr>
    <w:tr w:rsidR="00F02267" w:rsidRPr="00550D22" w14:paraId="40CAA23B"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303D7552" w14:textId="77777777" w:rsidR="00F02267" w:rsidRPr="00550D22" w:rsidRDefault="00F02267" w:rsidP="00746A03">
          <w:pPr>
            <w:rPr>
              <w:sz w:val="18"/>
            </w:rPr>
          </w:pPr>
        </w:p>
      </w:tc>
    </w:tr>
  </w:tbl>
  <w:p w14:paraId="38BE8A4D" w14:textId="77777777" w:rsidR="00F02267" w:rsidRPr="00530981" w:rsidRDefault="00F02267" w:rsidP="00D9016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3442" w14:textId="77777777" w:rsidR="00F02267" w:rsidRPr="00E33C1C" w:rsidRDefault="00F02267"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F02267" w:rsidRPr="00550D22" w14:paraId="52FD0958" w14:textId="77777777" w:rsidTr="00746A03">
      <w:tc>
        <w:tcPr>
          <w:tcW w:w="1384" w:type="dxa"/>
          <w:tcBorders>
            <w:top w:val="nil"/>
            <w:left w:val="nil"/>
            <w:bottom w:val="nil"/>
            <w:right w:val="nil"/>
          </w:tcBorders>
        </w:tcPr>
        <w:p w14:paraId="36869155" w14:textId="77777777" w:rsidR="00F02267" w:rsidRPr="00550D22" w:rsidRDefault="00F02267" w:rsidP="00746A03">
          <w:pPr>
            <w:spacing w:line="0" w:lineRule="atLeast"/>
            <w:rPr>
              <w:sz w:val="18"/>
            </w:rPr>
          </w:pPr>
        </w:p>
      </w:tc>
      <w:tc>
        <w:tcPr>
          <w:tcW w:w="6379" w:type="dxa"/>
          <w:tcBorders>
            <w:top w:val="nil"/>
            <w:left w:val="nil"/>
            <w:bottom w:val="nil"/>
            <w:right w:val="nil"/>
          </w:tcBorders>
        </w:tcPr>
        <w:p w14:paraId="63824883" w14:textId="6965D41D" w:rsidR="00F02267" w:rsidRPr="00550D22" w:rsidRDefault="00F02267" w:rsidP="00746A03">
          <w:pPr>
            <w:spacing w:line="0" w:lineRule="atLeast"/>
            <w:jc w:val="center"/>
            <w:rPr>
              <w:sz w:val="18"/>
            </w:rPr>
          </w:pPr>
          <w:r w:rsidRPr="00550D22">
            <w:rPr>
              <w:i/>
              <w:sz w:val="18"/>
            </w:rPr>
            <w:fldChar w:fldCharType="begin"/>
          </w:r>
          <w:r w:rsidRPr="00550D22">
            <w:rPr>
              <w:i/>
              <w:sz w:val="18"/>
            </w:rPr>
            <w:instrText xml:space="preserve"> DOCPROPERTY  Subject </w:instrText>
          </w:r>
          <w:r w:rsidRPr="00550D22">
            <w:rPr>
              <w:i/>
              <w:sz w:val="18"/>
            </w:rPr>
            <w:fldChar w:fldCharType="separate"/>
          </w:r>
          <w:r w:rsidR="00AB105F">
            <w:rPr>
              <w:i/>
              <w:sz w:val="18"/>
            </w:rPr>
            <w:t>Instruments Handbook</w:t>
          </w:r>
          <w:r w:rsidRPr="00550D22">
            <w:rPr>
              <w:i/>
              <w:sz w:val="18"/>
            </w:rPr>
            <w:fldChar w:fldCharType="end"/>
          </w:r>
        </w:p>
      </w:tc>
      <w:tc>
        <w:tcPr>
          <w:tcW w:w="1417" w:type="dxa"/>
          <w:tcBorders>
            <w:top w:val="nil"/>
            <w:left w:val="nil"/>
            <w:bottom w:val="nil"/>
            <w:right w:val="nil"/>
          </w:tcBorders>
        </w:tcPr>
        <w:p w14:paraId="1824B33E" w14:textId="77777777" w:rsidR="00F02267" w:rsidRPr="00550D22" w:rsidRDefault="00F02267" w:rsidP="00746A03">
          <w:pPr>
            <w:spacing w:line="0" w:lineRule="atLeast"/>
            <w:jc w:val="right"/>
            <w:rPr>
              <w:sz w:val="18"/>
            </w:rPr>
          </w:pPr>
          <w:r w:rsidRPr="00550D22">
            <w:rPr>
              <w:sz w:val="18"/>
            </w:rPr>
            <w:fldChar w:fldCharType="begin"/>
          </w:r>
          <w:r w:rsidRPr="00550D22">
            <w:rPr>
              <w:sz w:val="18"/>
            </w:rPr>
            <w:instrText xml:space="preserve"> PAGE </w:instrText>
          </w:r>
          <w:r w:rsidRPr="00550D22">
            <w:rPr>
              <w:sz w:val="18"/>
            </w:rPr>
            <w:fldChar w:fldCharType="separate"/>
          </w:r>
          <w:r>
            <w:rPr>
              <w:noProof/>
              <w:sz w:val="18"/>
            </w:rPr>
            <w:t>85</w:t>
          </w:r>
          <w:r w:rsidRPr="00550D22">
            <w:rPr>
              <w:sz w:val="18"/>
            </w:rPr>
            <w:fldChar w:fldCharType="end"/>
          </w:r>
        </w:p>
      </w:tc>
    </w:tr>
    <w:tr w:rsidR="00F02267" w:rsidRPr="00550D22" w14:paraId="02227789"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505C5B2C" w14:textId="77777777" w:rsidR="00F02267" w:rsidRPr="00550D22" w:rsidRDefault="00F02267" w:rsidP="00746A03">
          <w:pPr>
            <w:rPr>
              <w:sz w:val="18"/>
            </w:rPr>
          </w:pPr>
        </w:p>
      </w:tc>
    </w:tr>
  </w:tbl>
  <w:p w14:paraId="7F50805B" w14:textId="77777777" w:rsidR="00F02267" w:rsidRPr="00EA40F8" w:rsidRDefault="00F02267" w:rsidP="00D90167">
    <w:pPr>
      <w:pStyle w:val="Footer"/>
      <w:rPr>
        <w:sz w:val="18"/>
        <w:szCs w:val="1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C060" w14:textId="77777777" w:rsidR="00F02267" w:rsidRPr="00E33C1C" w:rsidRDefault="00F02267" w:rsidP="00242D1D">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F02267" w:rsidRPr="00550D22" w14:paraId="1330E853" w14:textId="77777777" w:rsidTr="00F550E3">
      <w:tc>
        <w:tcPr>
          <w:tcW w:w="1384" w:type="dxa"/>
          <w:tcBorders>
            <w:top w:val="nil"/>
            <w:left w:val="nil"/>
            <w:bottom w:val="nil"/>
            <w:right w:val="nil"/>
          </w:tcBorders>
        </w:tcPr>
        <w:p w14:paraId="51F327F2" w14:textId="77777777" w:rsidR="00F02267" w:rsidRPr="00AF024F" w:rsidRDefault="00F02267" w:rsidP="00F550E3">
          <w:pPr>
            <w:spacing w:line="0" w:lineRule="atLeast"/>
            <w:rPr>
              <w:i/>
              <w:sz w:val="18"/>
            </w:rPr>
          </w:pPr>
          <w:r w:rsidRPr="00AF024F">
            <w:rPr>
              <w:i/>
              <w:sz w:val="18"/>
            </w:rPr>
            <w:fldChar w:fldCharType="begin"/>
          </w:r>
          <w:r w:rsidRPr="00AF024F">
            <w:rPr>
              <w:i/>
              <w:sz w:val="18"/>
            </w:rPr>
            <w:instrText xml:space="preserve"> PAGE </w:instrText>
          </w:r>
          <w:r w:rsidRPr="00AF024F">
            <w:rPr>
              <w:i/>
              <w:sz w:val="18"/>
            </w:rPr>
            <w:fldChar w:fldCharType="separate"/>
          </w:r>
          <w:r>
            <w:rPr>
              <w:i/>
              <w:noProof/>
              <w:sz w:val="18"/>
            </w:rPr>
            <w:t>84</w:t>
          </w:r>
          <w:r w:rsidRPr="00AF024F">
            <w:rPr>
              <w:i/>
              <w:sz w:val="18"/>
            </w:rPr>
            <w:fldChar w:fldCharType="end"/>
          </w:r>
        </w:p>
      </w:tc>
      <w:tc>
        <w:tcPr>
          <w:tcW w:w="6379" w:type="dxa"/>
          <w:tcBorders>
            <w:top w:val="nil"/>
            <w:left w:val="nil"/>
            <w:bottom w:val="nil"/>
            <w:right w:val="nil"/>
          </w:tcBorders>
        </w:tcPr>
        <w:p w14:paraId="78505F87" w14:textId="194C0665" w:rsidR="00F02267" w:rsidRPr="00550D22" w:rsidRDefault="00F02267" w:rsidP="00393EB1">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3E6DBE78" w14:textId="77777777" w:rsidR="00F02267" w:rsidRPr="00550D22" w:rsidRDefault="00F02267" w:rsidP="00F550E3">
          <w:pPr>
            <w:spacing w:line="0" w:lineRule="atLeast"/>
            <w:jc w:val="right"/>
            <w:rPr>
              <w:sz w:val="18"/>
            </w:rPr>
          </w:pPr>
        </w:p>
      </w:tc>
    </w:tr>
    <w:tr w:rsidR="00F02267" w:rsidRPr="00550D22" w14:paraId="7351EF38" w14:textId="77777777" w:rsidTr="00F55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564D6CC0" w14:textId="77777777" w:rsidR="00F02267" w:rsidRPr="00550D22" w:rsidRDefault="00F02267" w:rsidP="00F550E3">
          <w:pPr>
            <w:rPr>
              <w:sz w:val="18"/>
            </w:rPr>
          </w:pPr>
        </w:p>
      </w:tc>
    </w:tr>
  </w:tbl>
  <w:p w14:paraId="29531FA5" w14:textId="77777777" w:rsidR="00F02267" w:rsidRDefault="00F02267" w:rsidP="0024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9D77" w14:textId="77777777" w:rsidR="00F02267" w:rsidRDefault="00F02267" w:rsidP="00782976">
    <w:pPr>
      <w:tabs>
        <w:tab w:val="right" w:pos="8931"/>
      </w:tabs>
      <w:rPr>
        <w:sz w:val="16"/>
      </w:rPr>
    </w:pPr>
    <w:r>
      <w:rPr>
        <w:sz w:val="16"/>
      </w:rPr>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1336" w14:textId="77777777" w:rsidR="009E1A49" w:rsidRPr="00E33C1C" w:rsidRDefault="009E1A49"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9E1A49" w:rsidRPr="00550D22" w14:paraId="0A784C0C" w14:textId="77777777" w:rsidTr="00746A03">
      <w:tc>
        <w:tcPr>
          <w:tcW w:w="1384" w:type="dxa"/>
          <w:tcBorders>
            <w:top w:val="nil"/>
            <w:left w:val="nil"/>
            <w:bottom w:val="nil"/>
            <w:right w:val="nil"/>
          </w:tcBorders>
        </w:tcPr>
        <w:p w14:paraId="4E98D1DD" w14:textId="77777777" w:rsidR="009E1A49" w:rsidRPr="00550D22" w:rsidRDefault="009E1A49" w:rsidP="00746A03">
          <w:pPr>
            <w:spacing w:line="0" w:lineRule="atLeast"/>
            <w:rPr>
              <w:sz w:val="18"/>
            </w:rPr>
          </w:pPr>
        </w:p>
      </w:tc>
      <w:tc>
        <w:tcPr>
          <w:tcW w:w="6379" w:type="dxa"/>
          <w:tcBorders>
            <w:top w:val="nil"/>
            <w:left w:val="nil"/>
            <w:bottom w:val="nil"/>
            <w:right w:val="nil"/>
          </w:tcBorders>
        </w:tcPr>
        <w:p w14:paraId="57B7DD8E" w14:textId="0C71D58B" w:rsidR="009E1A49" w:rsidRPr="00550D22" w:rsidRDefault="009E1A49" w:rsidP="00746A03">
          <w:pPr>
            <w:spacing w:line="0" w:lineRule="atLeast"/>
            <w:jc w:val="center"/>
            <w:rPr>
              <w:sz w:val="18"/>
            </w:rPr>
          </w:pPr>
          <w:r w:rsidRPr="00550D22">
            <w:rPr>
              <w:i/>
              <w:sz w:val="18"/>
            </w:rPr>
            <w:fldChar w:fldCharType="begin"/>
          </w:r>
          <w:r w:rsidRPr="00550D22">
            <w:rPr>
              <w:i/>
              <w:sz w:val="18"/>
            </w:rPr>
            <w:instrText xml:space="preserve"> DOCPROPERTY  Subject </w:instrText>
          </w:r>
          <w:r w:rsidRPr="00550D22">
            <w:rPr>
              <w:i/>
              <w:sz w:val="18"/>
            </w:rPr>
            <w:fldChar w:fldCharType="separate"/>
          </w:r>
          <w:r w:rsidR="00AB105F">
            <w:rPr>
              <w:i/>
              <w:sz w:val="18"/>
            </w:rPr>
            <w:t>Instruments Handbook</w:t>
          </w:r>
          <w:r w:rsidRPr="00550D22">
            <w:rPr>
              <w:i/>
              <w:sz w:val="18"/>
            </w:rPr>
            <w:fldChar w:fldCharType="end"/>
          </w:r>
        </w:p>
      </w:tc>
      <w:tc>
        <w:tcPr>
          <w:tcW w:w="1417" w:type="dxa"/>
          <w:tcBorders>
            <w:top w:val="nil"/>
            <w:left w:val="nil"/>
            <w:bottom w:val="nil"/>
            <w:right w:val="nil"/>
          </w:tcBorders>
        </w:tcPr>
        <w:p w14:paraId="43BB7B5C" w14:textId="77777777" w:rsidR="009E1A49" w:rsidRPr="00550D22" w:rsidRDefault="009E1A49" w:rsidP="00746A03">
          <w:pPr>
            <w:spacing w:line="0" w:lineRule="atLeast"/>
            <w:jc w:val="right"/>
            <w:rPr>
              <w:sz w:val="18"/>
            </w:rPr>
          </w:pPr>
          <w:r w:rsidRPr="00550D22">
            <w:rPr>
              <w:sz w:val="18"/>
            </w:rPr>
            <w:fldChar w:fldCharType="begin"/>
          </w:r>
          <w:r w:rsidRPr="00550D22">
            <w:rPr>
              <w:sz w:val="18"/>
            </w:rPr>
            <w:instrText xml:space="preserve"> PAGE </w:instrText>
          </w:r>
          <w:r w:rsidRPr="00550D22">
            <w:rPr>
              <w:sz w:val="18"/>
            </w:rPr>
            <w:fldChar w:fldCharType="separate"/>
          </w:r>
          <w:r>
            <w:rPr>
              <w:noProof/>
              <w:sz w:val="18"/>
            </w:rPr>
            <w:t>85</w:t>
          </w:r>
          <w:r w:rsidRPr="00550D22">
            <w:rPr>
              <w:sz w:val="18"/>
            </w:rPr>
            <w:fldChar w:fldCharType="end"/>
          </w:r>
        </w:p>
      </w:tc>
    </w:tr>
    <w:tr w:rsidR="009E1A49" w:rsidRPr="00550D22" w14:paraId="5131458E"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440A10BF" w14:textId="77777777" w:rsidR="009E1A49" w:rsidRPr="00550D22" w:rsidRDefault="009E1A49" w:rsidP="00746A03">
          <w:pPr>
            <w:rPr>
              <w:sz w:val="18"/>
            </w:rPr>
          </w:pPr>
        </w:p>
      </w:tc>
    </w:tr>
  </w:tbl>
  <w:p w14:paraId="6A462E14" w14:textId="77777777" w:rsidR="009E1A49" w:rsidRPr="00EA40F8" w:rsidRDefault="009E1A49" w:rsidP="00D9016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D15E" w14:textId="77777777" w:rsidR="00F02267" w:rsidRPr="00E33C1C" w:rsidRDefault="00F02267"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F02267" w:rsidRPr="00550D22" w14:paraId="752F73B1" w14:textId="77777777" w:rsidTr="00746A03">
      <w:tc>
        <w:tcPr>
          <w:tcW w:w="1384" w:type="dxa"/>
          <w:tcBorders>
            <w:top w:val="nil"/>
            <w:left w:val="nil"/>
            <w:bottom w:val="nil"/>
            <w:right w:val="nil"/>
          </w:tcBorders>
        </w:tcPr>
        <w:p w14:paraId="6E6CD0D9" w14:textId="77777777" w:rsidR="00F02267" w:rsidRPr="00AF024F" w:rsidRDefault="00F02267" w:rsidP="00746A03">
          <w:pPr>
            <w:spacing w:line="0" w:lineRule="atLeast"/>
            <w:rPr>
              <w:i/>
              <w:sz w:val="18"/>
            </w:rPr>
          </w:pPr>
          <w:r w:rsidRPr="00AF024F">
            <w:rPr>
              <w:i/>
              <w:sz w:val="18"/>
            </w:rPr>
            <w:fldChar w:fldCharType="begin"/>
          </w:r>
          <w:r w:rsidRPr="00AF024F">
            <w:rPr>
              <w:i/>
              <w:sz w:val="18"/>
            </w:rPr>
            <w:instrText xml:space="preserve"> PAGE </w:instrText>
          </w:r>
          <w:r w:rsidRPr="00AF024F">
            <w:rPr>
              <w:i/>
              <w:sz w:val="18"/>
            </w:rPr>
            <w:fldChar w:fldCharType="separate"/>
          </w:r>
          <w:r>
            <w:rPr>
              <w:i/>
              <w:noProof/>
              <w:sz w:val="18"/>
            </w:rPr>
            <w:t>84</w:t>
          </w:r>
          <w:r w:rsidRPr="00AF024F">
            <w:rPr>
              <w:i/>
              <w:sz w:val="18"/>
            </w:rPr>
            <w:fldChar w:fldCharType="end"/>
          </w:r>
        </w:p>
      </w:tc>
      <w:tc>
        <w:tcPr>
          <w:tcW w:w="6379" w:type="dxa"/>
          <w:tcBorders>
            <w:top w:val="nil"/>
            <w:left w:val="nil"/>
            <w:bottom w:val="nil"/>
            <w:right w:val="nil"/>
          </w:tcBorders>
        </w:tcPr>
        <w:p w14:paraId="5F94FC88" w14:textId="0EE14420" w:rsidR="00F02267" w:rsidRPr="00550D22" w:rsidRDefault="00F02267" w:rsidP="00590636">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71A8D63A" w14:textId="77777777" w:rsidR="00F02267" w:rsidRPr="00550D22" w:rsidRDefault="00F02267" w:rsidP="00714D90">
          <w:pPr>
            <w:spacing w:line="0" w:lineRule="atLeast"/>
            <w:jc w:val="right"/>
            <w:rPr>
              <w:sz w:val="18"/>
            </w:rPr>
          </w:pPr>
        </w:p>
      </w:tc>
    </w:tr>
    <w:tr w:rsidR="00F02267" w:rsidRPr="00550D22" w14:paraId="2AB3C034"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38763A9F" w14:textId="77777777" w:rsidR="00F02267" w:rsidRPr="00550D22" w:rsidRDefault="00F02267" w:rsidP="00746A03">
          <w:pPr>
            <w:rPr>
              <w:sz w:val="18"/>
            </w:rPr>
          </w:pPr>
        </w:p>
      </w:tc>
    </w:tr>
  </w:tbl>
  <w:p w14:paraId="4CE14795" w14:textId="77777777" w:rsidR="00F02267" w:rsidRPr="00077A3C" w:rsidRDefault="00F02267" w:rsidP="00077A3C">
    <w:pPr>
      <w:pStyle w:val="Foo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CB3B" w14:textId="77777777" w:rsidR="00F02267" w:rsidRPr="00E33C1C" w:rsidRDefault="00F02267"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F02267" w:rsidRPr="00550D22" w14:paraId="224CD280" w14:textId="77777777" w:rsidTr="00746A03">
      <w:tc>
        <w:tcPr>
          <w:tcW w:w="1384" w:type="dxa"/>
          <w:tcBorders>
            <w:top w:val="nil"/>
            <w:left w:val="nil"/>
            <w:bottom w:val="nil"/>
            <w:right w:val="nil"/>
          </w:tcBorders>
        </w:tcPr>
        <w:p w14:paraId="34716C61" w14:textId="77777777" w:rsidR="00F02267" w:rsidRPr="00550D22" w:rsidRDefault="00F02267" w:rsidP="00746A03">
          <w:pPr>
            <w:spacing w:line="0" w:lineRule="atLeast"/>
            <w:rPr>
              <w:sz w:val="18"/>
            </w:rPr>
          </w:pPr>
        </w:p>
      </w:tc>
      <w:tc>
        <w:tcPr>
          <w:tcW w:w="6379" w:type="dxa"/>
          <w:tcBorders>
            <w:top w:val="nil"/>
            <w:left w:val="nil"/>
            <w:bottom w:val="nil"/>
            <w:right w:val="nil"/>
          </w:tcBorders>
        </w:tcPr>
        <w:p w14:paraId="7E5785D3" w14:textId="4527094C" w:rsidR="00F02267" w:rsidRPr="00550D22" w:rsidRDefault="00F02267" w:rsidP="00613359">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7EB5DF84" w14:textId="77777777" w:rsidR="00F02267" w:rsidRPr="00550D22" w:rsidRDefault="00F02267" w:rsidP="00746A03">
          <w:pPr>
            <w:spacing w:line="0" w:lineRule="atLeast"/>
            <w:jc w:val="right"/>
            <w:rPr>
              <w:sz w:val="18"/>
            </w:rPr>
          </w:pPr>
          <w:r w:rsidRPr="00491DA1">
            <w:rPr>
              <w:i/>
              <w:sz w:val="18"/>
            </w:rPr>
            <w:fldChar w:fldCharType="begin"/>
          </w:r>
          <w:r w:rsidRPr="00491DA1">
            <w:rPr>
              <w:i/>
              <w:sz w:val="18"/>
            </w:rPr>
            <w:instrText xml:space="preserve"> PAGE   \* MERGEFORMAT </w:instrText>
          </w:r>
          <w:r w:rsidRPr="00491DA1">
            <w:rPr>
              <w:i/>
              <w:sz w:val="18"/>
            </w:rPr>
            <w:fldChar w:fldCharType="separate"/>
          </w:r>
          <w:r>
            <w:rPr>
              <w:i/>
              <w:noProof/>
              <w:sz w:val="18"/>
            </w:rPr>
            <w:t>58</w:t>
          </w:r>
          <w:r w:rsidRPr="00491DA1">
            <w:rPr>
              <w:i/>
              <w:noProof/>
              <w:sz w:val="18"/>
            </w:rPr>
            <w:fldChar w:fldCharType="end"/>
          </w:r>
        </w:p>
      </w:tc>
    </w:tr>
    <w:tr w:rsidR="00F02267" w:rsidRPr="00550D22" w14:paraId="07EC0071"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7834429A" w14:textId="77777777" w:rsidR="00F02267" w:rsidRPr="00550D22" w:rsidRDefault="00F02267" w:rsidP="00746A03">
          <w:pPr>
            <w:rPr>
              <w:sz w:val="18"/>
            </w:rPr>
          </w:pPr>
        </w:p>
      </w:tc>
    </w:tr>
  </w:tbl>
  <w:p w14:paraId="03D99126" w14:textId="77777777" w:rsidR="00F02267" w:rsidRPr="00590636" w:rsidRDefault="00F02267" w:rsidP="00590636">
    <w:pPr>
      <w:pStyle w:val="Footer"/>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65D6" w14:textId="77777777" w:rsidR="009E1A49" w:rsidRPr="00E33C1C" w:rsidRDefault="009E1A49"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9E1A49" w:rsidRPr="00550D22" w14:paraId="11D40DAF" w14:textId="77777777" w:rsidTr="00746A03">
      <w:tc>
        <w:tcPr>
          <w:tcW w:w="1384" w:type="dxa"/>
          <w:tcBorders>
            <w:top w:val="nil"/>
            <w:left w:val="nil"/>
            <w:bottom w:val="nil"/>
            <w:right w:val="nil"/>
          </w:tcBorders>
        </w:tcPr>
        <w:p w14:paraId="6EDE776A" w14:textId="77777777" w:rsidR="009E1A49" w:rsidRPr="00550D22" w:rsidRDefault="009E1A49" w:rsidP="00746A03">
          <w:pPr>
            <w:spacing w:line="0" w:lineRule="atLeast"/>
            <w:rPr>
              <w:sz w:val="18"/>
            </w:rPr>
          </w:pPr>
        </w:p>
      </w:tc>
      <w:tc>
        <w:tcPr>
          <w:tcW w:w="6379" w:type="dxa"/>
          <w:tcBorders>
            <w:top w:val="nil"/>
            <w:left w:val="nil"/>
            <w:bottom w:val="nil"/>
            <w:right w:val="nil"/>
          </w:tcBorders>
        </w:tcPr>
        <w:p w14:paraId="679811F2" w14:textId="5E84DB9F" w:rsidR="009E1A49" w:rsidRPr="00550D22" w:rsidRDefault="009E1A49" w:rsidP="00613359">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4FF5553E" w14:textId="77777777" w:rsidR="009E1A49" w:rsidRPr="00550D22" w:rsidRDefault="009E1A49" w:rsidP="00746A03">
          <w:pPr>
            <w:spacing w:line="0" w:lineRule="atLeast"/>
            <w:jc w:val="right"/>
            <w:rPr>
              <w:sz w:val="18"/>
            </w:rPr>
          </w:pPr>
          <w:r w:rsidRPr="00491DA1">
            <w:rPr>
              <w:i/>
              <w:sz w:val="18"/>
            </w:rPr>
            <w:fldChar w:fldCharType="begin"/>
          </w:r>
          <w:r w:rsidRPr="00491DA1">
            <w:rPr>
              <w:i/>
              <w:sz w:val="18"/>
            </w:rPr>
            <w:instrText xml:space="preserve"> PAGE   \* MERGEFORMAT </w:instrText>
          </w:r>
          <w:r w:rsidRPr="00491DA1">
            <w:rPr>
              <w:i/>
              <w:sz w:val="18"/>
            </w:rPr>
            <w:fldChar w:fldCharType="separate"/>
          </w:r>
          <w:r>
            <w:rPr>
              <w:i/>
              <w:noProof/>
              <w:sz w:val="18"/>
            </w:rPr>
            <w:t>58</w:t>
          </w:r>
          <w:r w:rsidRPr="00491DA1">
            <w:rPr>
              <w:i/>
              <w:noProof/>
              <w:sz w:val="18"/>
            </w:rPr>
            <w:fldChar w:fldCharType="end"/>
          </w:r>
        </w:p>
      </w:tc>
    </w:tr>
    <w:tr w:rsidR="009E1A49" w:rsidRPr="00550D22" w14:paraId="7F2D55C1"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0F1DA41B" w14:textId="77777777" w:rsidR="009E1A49" w:rsidRPr="00550D22" w:rsidRDefault="009E1A49" w:rsidP="00746A03">
          <w:pPr>
            <w:rPr>
              <w:sz w:val="18"/>
            </w:rPr>
          </w:pPr>
        </w:p>
      </w:tc>
    </w:tr>
  </w:tbl>
  <w:p w14:paraId="093FC4ED" w14:textId="77777777" w:rsidR="009E1A49" w:rsidRPr="00590636" w:rsidRDefault="009E1A49" w:rsidP="00590636">
    <w:pPr>
      <w:pStyle w:val="Footer"/>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33C0" w14:textId="77777777" w:rsidR="009E1A49" w:rsidRPr="00E33C1C" w:rsidRDefault="009E1A49"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9E1A49" w:rsidRPr="00550D22" w14:paraId="0EE19B85" w14:textId="77777777" w:rsidTr="00746A03">
      <w:tc>
        <w:tcPr>
          <w:tcW w:w="1384" w:type="dxa"/>
          <w:tcBorders>
            <w:top w:val="nil"/>
            <w:left w:val="nil"/>
            <w:bottom w:val="nil"/>
            <w:right w:val="nil"/>
          </w:tcBorders>
        </w:tcPr>
        <w:p w14:paraId="592740D0" w14:textId="77777777" w:rsidR="009E1A49" w:rsidRPr="00550D22" w:rsidRDefault="009E1A49" w:rsidP="00746A03">
          <w:pPr>
            <w:spacing w:line="0" w:lineRule="atLeast"/>
            <w:rPr>
              <w:sz w:val="18"/>
            </w:rPr>
          </w:pPr>
        </w:p>
      </w:tc>
      <w:tc>
        <w:tcPr>
          <w:tcW w:w="6379" w:type="dxa"/>
          <w:tcBorders>
            <w:top w:val="nil"/>
            <w:left w:val="nil"/>
            <w:bottom w:val="nil"/>
            <w:right w:val="nil"/>
          </w:tcBorders>
        </w:tcPr>
        <w:p w14:paraId="51EE5343" w14:textId="1E6DC038" w:rsidR="009E1A49" w:rsidRPr="00550D22" w:rsidRDefault="009E1A49" w:rsidP="00613359">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3EFD1A2A" w14:textId="77777777" w:rsidR="009E1A49" w:rsidRPr="00550D22" w:rsidRDefault="009E1A49" w:rsidP="00746A03">
          <w:pPr>
            <w:spacing w:line="0" w:lineRule="atLeast"/>
            <w:jc w:val="right"/>
            <w:rPr>
              <w:sz w:val="18"/>
            </w:rPr>
          </w:pPr>
          <w:r w:rsidRPr="00491DA1">
            <w:rPr>
              <w:i/>
              <w:sz w:val="18"/>
            </w:rPr>
            <w:fldChar w:fldCharType="begin"/>
          </w:r>
          <w:r w:rsidRPr="00491DA1">
            <w:rPr>
              <w:i/>
              <w:sz w:val="18"/>
            </w:rPr>
            <w:instrText xml:space="preserve"> PAGE   \* MERGEFORMAT </w:instrText>
          </w:r>
          <w:r w:rsidRPr="00491DA1">
            <w:rPr>
              <w:i/>
              <w:sz w:val="18"/>
            </w:rPr>
            <w:fldChar w:fldCharType="separate"/>
          </w:r>
          <w:r>
            <w:rPr>
              <w:i/>
              <w:noProof/>
              <w:sz w:val="18"/>
            </w:rPr>
            <w:t>58</w:t>
          </w:r>
          <w:r w:rsidRPr="00491DA1">
            <w:rPr>
              <w:i/>
              <w:noProof/>
              <w:sz w:val="18"/>
            </w:rPr>
            <w:fldChar w:fldCharType="end"/>
          </w:r>
        </w:p>
      </w:tc>
    </w:tr>
    <w:tr w:rsidR="009E1A49" w:rsidRPr="00550D22" w14:paraId="34630C0E"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00180421" w14:textId="77777777" w:rsidR="009E1A49" w:rsidRPr="00550D22" w:rsidRDefault="009E1A49" w:rsidP="00746A03">
          <w:pPr>
            <w:rPr>
              <w:sz w:val="18"/>
            </w:rPr>
          </w:pPr>
        </w:p>
      </w:tc>
    </w:tr>
  </w:tbl>
  <w:p w14:paraId="56D2330D" w14:textId="77777777" w:rsidR="009E1A49" w:rsidRPr="00590636" w:rsidRDefault="009E1A49" w:rsidP="00590636">
    <w:pPr>
      <w:pStyle w:val="Footer"/>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E5DA" w14:textId="77777777" w:rsidR="009E1A49" w:rsidRPr="00E33C1C" w:rsidRDefault="009E1A49"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9E1A49" w:rsidRPr="00550D22" w14:paraId="72DE1C2B" w14:textId="77777777" w:rsidTr="00746A03">
      <w:tc>
        <w:tcPr>
          <w:tcW w:w="1384" w:type="dxa"/>
          <w:tcBorders>
            <w:top w:val="nil"/>
            <w:left w:val="nil"/>
            <w:bottom w:val="nil"/>
            <w:right w:val="nil"/>
          </w:tcBorders>
        </w:tcPr>
        <w:p w14:paraId="61FD8A93" w14:textId="77777777" w:rsidR="009E1A49" w:rsidRPr="00550D22" w:rsidRDefault="009E1A49" w:rsidP="00746A03">
          <w:pPr>
            <w:spacing w:line="0" w:lineRule="atLeast"/>
            <w:rPr>
              <w:sz w:val="18"/>
            </w:rPr>
          </w:pPr>
        </w:p>
      </w:tc>
      <w:tc>
        <w:tcPr>
          <w:tcW w:w="6379" w:type="dxa"/>
          <w:tcBorders>
            <w:top w:val="nil"/>
            <w:left w:val="nil"/>
            <w:bottom w:val="nil"/>
            <w:right w:val="nil"/>
          </w:tcBorders>
        </w:tcPr>
        <w:p w14:paraId="56BA13F3" w14:textId="3DE66811" w:rsidR="009E1A49" w:rsidRPr="00550D22" w:rsidRDefault="009E1A49" w:rsidP="00613359">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3B9C365B" w14:textId="77777777" w:rsidR="009E1A49" w:rsidRPr="00550D22" w:rsidRDefault="009E1A49" w:rsidP="00746A03">
          <w:pPr>
            <w:spacing w:line="0" w:lineRule="atLeast"/>
            <w:jc w:val="right"/>
            <w:rPr>
              <w:sz w:val="18"/>
            </w:rPr>
          </w:pPr>
          <w:r w:rsidRPr="00491DA1">
            <w:rPr>
              <w:i/>
              <w:sz w:val="18"/>
            </w:rPr>
            <w:fldChar w:fldCharType="begin"/>
          </w:r>
          <w:r w:rsidRPr="00491DA1">
            <w:rPr>
              <w:i/>
              <w:sz w:val="18"/>
            </w:rPr>
            <w:instrText xml:space="preserve"> PAGE   \* MERGEFORMAT </w:instrText>
          </w:r>
          <w:r w:rsidRPr="00491DA1">
            <w:rPr>
              <w:i/>
              <w:sz w:val="18"/>
            </w:rPr>
            <w:fldChar w:fldCharType="separate"/>
          </w:r>
          <w:r>
            <w:rPr>
              <w:i/>
              <w:noProof/>
              <w:sz w:val="18"/>
            </w:rPr>
            <w:t>58</w:t>
          </w:r>
          <w:r w:rsidRPr="00491DA1">
            <w:rPr>
              <w:i/>
              <w:noProof/>
              <w:sz w:val="18"/>
            </w:rPr>
            <w:fldChar w:fldCharType="end"/>
          </w:r>
        </w:p>
      </w:tc>
    </w:tr>
    <w:tr w:rsidR="009E1A49" w:rsidRPr="00550D22" w14:paraId="625A81AD"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4DEB9907" w14:textId="77777777" w:rsidR="009E1A49" w:rsidRPr="00550D22" w:rsidRDefault="009E1A49" w:rsidP="00746A03">
          <w:pPr>
            <w:rPr>
              <w:sz w:val="18"/>
            </w:rPr>
          </w:pPr>
        </w:p>
      </w:tc>
    </w:tr>
  </w:tbl>
  <w:p w14:paraId="452DA569" w14:textId="77777777" w:rsidR="009E1A49" w:rsidRPr="00590636" w:rsidRDefault="009E1A49" w:rsidP="00590636">
    <w:pPr>
      <w:pStyle w:val="Footer"/>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8128" w14:textId="77777777" w:rsidR="009E1A49" w:rsidRPr="00E33C1C" w:rsidRDefault="009E1A49"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9E1A49" w:rsidRPr="00550D22" w14:paraId="335B7CD6" w14:textId="77777777" w:rsidTr="00746A03">
      <w:tc>
        <w:tcPr>
          <w:tcW w:w="1384" w:type="dxa"/>
          <w:tcBorders>
            <w:top w:val="nil"/>
            <w:left w:val="nil"/>
            <w:bottom w:val="nil"/>
            <w:right w:val="nil"/>
          </w:tcBorders>
        </w:tcPr>
        <w:p w14:paraId="41B6B4C5" w14:textId="77777777" w:rsidR="009E1A49" w:rsidRPr="00550D22" w:rsidRDefault="009E1A49" w:rsidP="00746A03">
          <w:pPr>
            <w:spacing w:line="0" w:lineRule="atLeast"/>
            <w:rPr>
              <w:sz w:val="18"/>
            </w:rPr>
          </w:pPr>
        </w:p>
      </w:tc>
      <w:tc>
        <w:tcPr>
          <w:tcW w:w="6379" w:type="dxa"/>
          <w:tcBorders>
            <w:top w:val="nil"/>
            <w:left w:val="nil"/>
            <w:bottom w:val="nil"/>
            <w:right w:val="nil"/>
          </w:tcBorders>
        </w:tcPr>
        <w:p w14:paraId="1941D039" w14:textId="0300BD95" w:rsidR="009E1A49" w:rsidRPr="00550D22" w:rsidRDefault="009E1A49" w:rsidP="00613359">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0CDDC858" w14:textId="77777777" w:rsidR="009E1A49" w:rsidRPr="00550D22" w:rsidRDefault="009E1A49" w:rsidP="00746A03">
          <w:pPr>
            <w:spacing w:line="0" w:lineRule="atLeast"/>
            <w:jc w:val="right"/>
            <w:rPr>
              <w:sz w:val="18"/>
            </w:rPr>
          </w:pPr>
          <w:r w:rsidRPr="00491DA1">
            <w:rPr>
              <w:i/>
              <w:sz w:val="18"/>
            </w:rPr>
            <w:fldChar w:fldCharType="begin"/>
          </w:r>
          <w:r w:rsidRPr="00491DA1">
            <w:rPr>
              <w:i/>
              <w:sz w:val="18"/>
            </w:rPr>
            <w:instrText xml:space="preserve"> PAGE   \* MERGEFORMAT </w:instrText>
          </w:r>
          <w:r w:rsidRPr="00491DA1">
            <w:rPr>
              <w:i/>
              <w:sz w:val="18"/>
            </w:rPr>
            <w:fldChar w:fldCharType="separate"/>
          </w:r>
          <w:r>
            <w:rPr>
              <w:i/>
              <w:noProof/>
              <w:sz w:val="18"/>
            </w:rPr>
            <w:t>58</w:t>
          </w:r>
          <w:r w:rsidRPr="00491DA1">
            <w:rPr>
              <w:i/>
              <w:noProof/>
              <w:sz w:val="18"/>
            </w:rPr>
            <w:fldChar w:fldCharType="end"/>
          </w:r>
        </w:p>
      </w:tc>
    </w:tr>
    <w:tr w:rsidR="009E1A49" w:rsidRPr="00550D22" w14:paraId="03138AB5"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57D0DF4E" w14:textId="77777777" w:rsidR="009E1A49" w:rsidRPr="00550D22" w:rsidRDefault="009E1A49" w:rsidP="00746A03">
          <w:pPr>
            <w:rPr>
              <w:sz w:val="18"/>
            </w:rPr>
          </w:pPr>
        </w:p>
      </w:tc>
    </w:tr>
  </w:tbl>
  <w:p w14:paraId="1FBCED4A" w14:textId="77777777" w:rsidR="009E1A49" w:rsidRPr="00590636" w:rsidRDefault="009E1A49" w:rsidP="00590636">
    <w:pPr>
      <w:pStyle w:val="Footer"/>
      <w:rPr>
        <w:sz w:val="4"/>
        <w:szCs w:val="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9813" w14:textId="77777777" w:rsidR="009E1A49" w:rsidRPr="00E33C1C" w:rsidRDefault="009E1A49" w:rsidP="00D90167">
    <w:pPr>
      <w:pBdr>
        <w:top w:val="single" w:sz="6" w:space="1" w:color="auto"/>
      </w:pBdr>
      <w:spacing w:before="24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417"/>
    </w:tblGrid>
    <w:tr w:rsidR="009E1A49" w:rsidRPr="00550D22" w14:paraId="1AC78B07" w14:textId="77777777" w:rsidTr="00746A03">
      <w:tc>
        <w:tcPr>
          <w:tcW w:w="1384" w:type="dxa"/>
          <w:tcBorders>
            <w:top w:val="nil"/>
            <w:left w:val="nil"/>
            <w:bottom w:val="nil"/>
            <w:right w:val="nil"/>
          </w:tcBorders>
        </w:tcPr>
        <w:p w14:paraId="0E91E86C" w14:textId="77777777" w:rsidR="009E1A49" w:rsidRPr="00550D22" w:rsidRDefault="009E1A49" w:rsidP="00746A03">
          <w:pPr>
            <w:spacing w:line="0" w:lineRule="atLeast"/>
            <w:rPr>
              <w:sz w:val="18"/>
            </w:rPr>
          </w:pPr>
        </w:p>
      </w:tc>
      <w:tc>
        <w:tcPr>
          <w:tcW w:w="6379" w:type="dxa"/>
          <w:tcBorders>
            <w:top w:val="nil"/>
            <w:left w:val="nil"/>
            <w:bottom w:val="nil"/>
            <w:right w:val="nil"/>
          </w:tcBorders>
        </w:tcPr>
        <w:p w14:paraId="0E8E30B5" w14:textId="11D75513" w:rsidR="009E1A49" w:rsidRPr="00550D22" w:rsidRDefault="009E1A49" w:rsidP="00613359">
          <w:pPr>
            <w:spacing w:line="0" w:lineRule="atLeast"/>
            <w:jc w:val="center"/>
            <w:rPr>
              <w:sz w:val="18"/>
            </w:rPr>
          </w:pPr>
          <w:r>
            <w:rPr>
              <w:i/>
              <w:sz w:val="18"/>
            </w:rPr>
            <w:fldChar w:fldCharType="begin"/>
          </w:r>
          <w:r>
            <w:rPr>
              <w:i/>
              <w:sz w:val="18"/>
            </w:rPr>
            <w:instrText xml:space="preserve"> TITLE   \* MERGEFORMAT </w:instrText>
          </w:r>
          <w:r>
            <w:rPr>
              <w:i/>
              <w:sz w:val="18"/>
            </w:rPr>
            <w:fldChar w:fldCharType="separate"/>
          </w:r>
          <w:r w:rsidR="00AB105F">
            <w:rPr>
              <w:i/>
              <w:sz w:val="18"/>
            </w:rPr>
            <w:t>Instruments Handbook</w:t>
          </w:r>
          <w:r>
            <w:rPr>
              <w:i/>
              <w:sz w:val="18"/>
            </w:rPr>
            <w:fldChar w:fldCharType="end"/>
          </w:r>
        </w:p>
      </w:tc>
      <w:tc>
        <w:tcPr>
          <w:tcW w:w="1417" w:type="dxa"/>
          <w:tcBorders>
            <w:top w:val="nil"/>
            <w:left w:val="nil"/>
            <w:bottom w:val="nil"/>
            <w:right w:val="nil"/>
          </w:tcBorders>
        </w:tcPr>
        <w:p w14:paraId="7FEF4F70" w14:textId="77777777" w:rsidR="009E1A49" w:rsidRPr="00550D22" w:rsidRDefault="009E1A49" w:rsidP="00746A03">
          <w:pPr>
            <w:spacing w:line="0" w:lineRule="atLeast"/>
            <w:jc w:val="right"/>
            <w:rPr>
              <w:sz w:val="18"/>
            </w:rPr>
          </w:pPr>
          <w:r w:rsidRPr="00491DA1">
            <w:rPr>
              <w:i/>
              <w:sz w:val="18"/>
            </w:rPr>
            <w:fldChar w:fldCharType="begin"/>
          </w:r>
          <w:r w:rsidRPr="00491DA1">
            <w:rPr>
              <w:i/>
              <w:sz w:val="18"/>
            </w:rPr>
            <w:instrText xml:space="preserve"> PAGE   \* MERGEFORMAT </w:instrText>
          </w:r>
          <w:r w:rsidRPr="00491DA1">
            <w:rPr>
              <w:i/>
              <w:sz w:val="18"/>
            </w:rPr>
            <w:fldChar w:fldCharType="separate"/>
          </w:r>
          <w:r>
            <w:rPr>
              <w:i/>
              <w:noProof/>
              <w:sz w:val="18"/>
            </w:rPr>
            <w:t>58</w:t>
          </w:r>
          <w:r w:rsidRPr="00491DA1">
            <w:rPr>
              <w:i/>
              <w:noProof/>
              <w:sz w:val="18"/>
            </w:rPr>
            <w:fldChar w:fldCharType="end"/>
          </w:r>
        </w:p>
      </w:tc>
    </w:tr>
    <w:tr w:rsidR="009E1A49" w:rsidRPr="00550D22" w14:paraId="099A94AD" w14:textId="77777777" w:rsidTr="0074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742D5173" w14:textId="77777777" w:rsidR="009E1A49" w:rsidRPr="00550D22" w:rsidRDefault="009E1A49" w:rsidP="00746A03">
          <w:pPr>
            <w:rPr>
              <w:sz w:val="18"/>
            </w:rPr>
          </w:pPr>
        </w:p>
      </w:tc>
    </w:tr>
  </w:tbl>
  <w:p w14:paraId="0A4679E8" w14:textId="77777777" w:rsidR="009E1A49" w:rsidRPr="00590636" w:rsidRDefault="009E1A49" w:rsidP="0059063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F5C4" w14:textId="77777777" w:rsidR="00F02267" w:rsidRDefault="00F02267" w:rsidP="00610D12">
      <w:pPr>
        <w:spacing w:line="240" w:lineRule="auto"/>
      </w:pPr>
      <w:r>
        <w:separator/>
      </w:r>
    </w:p>
  </w:footnote>
  <w:footnote w:type="continuationSeparator" w:id="0">
    <w:p w14:paraId="088D54CB" w14:textId="77777777" w:rsidR="00F02267" w:rsidRDefault="00F02267" w:rsidP="00610D12">
      <w:pPr>
        <w:spacing w:line="240" w:lineRule="auto"/>
      </w:pPr>
      <w:r>
        <w:continuationSeparator/>
      </w:r>
    </w:p>
  </w:footnote>
  <w:footnote w:id="1">
    <w:p w14:paraId="728BA1C3" w14:textId="18544F6D" w:rsidR="00F02267" w:rsidRPr="00717460" w:rsidRDefault="00F02267" w:rsidP="00090F15">
      <w:pPr>
        <w:pStyle w:val="FootnoteText"/>
        <w:rPr>
          <w:sz w:val="18"/>
          <w:szCs w:val="18"/>
          <w:lang w:val="en-AU"/>
        </w:rPr>
      </w:pPr>
      <w:r w:rsidRPr="00717460">
        <w:rPr>
          <w:rStyle w:val="FootnoteReference"/>
          <w:sz w:val="18"/>
          <w:szCs w:val="18"/>
        </w:rPr>
        <w:footnoteRef/>
      </w:r>
      <w:r w:rsidRPr="00717460">
        <w:rPr>
          <w:sz w:val="18"/>
          <w:szCs w:val="18"/>
        </w:rPr>
        <w:t xml:space="preserve"> For guidance on which powers may be delegated, see the </w:t>
      </w:r>
      <w:r w:rsidRPr="00717460">
        <w:rPr>
          <w:i/>
          <w:sz w:val="18"/>
          <w:szCs w:val="18"/>
        </w:rPr>
        <w:t>Legislation Handbook</w:t>
      </w:r>
      <w:r w:rsidRPr="00717460">
        <w:rPr>
          <w:i/>
          <w:sz w:val="18"/>
          <w:szCs w:val="18"/>
          <w:lang w:val="en-AU"/>
        </w:rPr>
        <w:t xml:space="preserve"> </w:t>
      </w:r>
      <w:r w:rsidRPr="00717460">
        <w:rPr>
          <w:i/>
          <w:sz w:val="18"/>
          <w:szCs w:val="18"/>
          <w:lang w:val="en-AU"/>
        </w:rPr>
        <w:br/>
      </w:r>
      <w:hyperlink r:id="rId1" w:history="1">
        <w:r w:rsidRPr="00DE1224">
          <w:rPr>
            <w:rStyle w:val="Hyperlink"/>
            <w:sz w:val="18"/>
            <w:szCs w:val="18"/>
          </w:rPr>
          <w:t>https://www.pmc.gov.au/resources/legislation-handbook</w:t>
        </w:r>
      </w:hyperlink>
      <w:r w:rsidR="006F2958" w:rsidRPr="006F2958">
        <w:rPr>
          <w:rStyle w:val="Hyperlink"/>
          <w:color w:val="auto"/>
          <w:sz w:val="18"/>
          <w:szCs w:val="18"/>
        </w:rPr>
        <w:t>.</w:t>
      </w:r>
    </w:p>
  </w:footnote>
  <w:footnote w:id="2">
    <w:p w14:paraId="71C9A0AF" w14:textId="0FD29B6B" w:rsidR="00F02267" w:rsidRPr="00717460" w:rsidRDefault="00F02267" w:rsidP="00090F15">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2" w:history="1">
        <w:r w:rsidR="00060AD4">
          <w:rPr>
            <w:rStyle w:val="Hyperlink"/>
            <w:sz w:val="18"/>
            <w:szCs w:val="18"/>
            <w:lang w:val="en-AU"/>
          </w:rPr>
          <w:t>https://catalogue.nla.gov.au/catalog/1846835</w:t>
        </w:r>
      </w:hyperlink>
      <w:r w:rsidR="00BD6320">
        <w:rPr>
          <w:rStyle w:val="Hyperlink"/>
          <w:sz w:val="18"/>
          <w:szCs w:val="18"/>
        </w:rPr>
        <w:t>.</w:t>
      </w:r>
    </w:p>
  </w:footnote>
  <w:footnote w:id="3">
    <w:p w14:paraId="5F265AAD" w14:textId="48B58A8D" w:rsidR="00F02267" w:rsidRPr="00717460" w:rsidRDefault="00F02267" w:rsidP="00090F15">
      <w:pPr>
        <w:pStyle w:val="FootnoteText"/>
        <w:rPr>
          <w:sz w:val="18"/>
          <w:szCs w:val="18"/>
          <w:lang w:val="en-AU"/>
        </w:rPr>
      </w:pPr>
      <w:r w:rsidRPr="00717460">
        <w:rPr>
          <w:rStyle w:val="FootnoteReference"/>
          <w:sz w:val="18"/>
          <w:szCs w:val="18"/>
        </w:rPr>
        <w:footnoteRef/>
      </w:r>
      <w:r w:rsidRPr="00717460">
        <w:rPr>
          <w:sz w:val="18"/>
          <w:szCs w:val="18"/>
        </w:rPr>
        <w:t xml:space="preserve"> For more information about the review process and recommendations, see</w:t>
      </w:r>
      <w:r w:rsidRPr="00717460">
        <w:rPr>
          <w:sz w:val="18"/>
          <w:szCs w:val="18"/>
          <w:lang w:val="en-AU"/>
        </w:rPr>
        <w:t xml:space="preserve"> </w:t>
      </w:r>
      <w:r>
        <w:rPr>
          <w:sz w:val="18"/>
          <w:szCs w:val="18"/>
          <w:lang w:val="en-AU"/>
        </w:rPr>
        <w:t xml:space="preserve">the 2008 Review of the Legislative Instruments Act 2003 at </w:t>
      </w:r>
      <w:hyperlink r:id="rId3" w:history="1">
        <w:r w:rsidRPr="00DE1224">
          <w:rPr>
            <w:rStyle w:val="Hyperlink"/>
            <w:sz w:val="18"/>
            <w:szCs w:val="18"/>
          </w:rPr>
          <w:t>https://www.ag.gov.au/legal-system/administrative-law/legislation-act-2003</w:t>
        </w:r>
      </w:hyperlink>
      <w:r w:rsidR="006F2958" w:rsidRPr="006F2958">
        <w:rPr>
          <w:rStyle w:val="Hyperlink"/>
          <w:color w:val="auto"/>
          <w:sz w:val="18"/>
          <w:szCs w:val="18"/>
        </w:rPr>
        <w:t>.</w:t>
      </w:r>
    </w:p>
  </w:footnote>
  <w:footnote w:id="4">
    <w:p w14:paraId="078626B0" w14:textId="171FE8F3" w:rsidR="00F02267" w:rsidRPr="00717460" w:rsidRDefault="00F02267" w:rsidP="00DF16BE">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4" w:history="1">
        <w:r w:rsidRPr="00717460">
          <w:rPr>
            <w:rStyle w:val="Hyperlink"/>
            <w:sz w:val="18"/>
            <w:szCs w:val="18"/>
          </w:rPr>
          <w:t>https://www.ag.gov.au/legal-system/publications/report-operation-sunsetting-provisions-legislation-act-2003</w:t>
        </w:r>
      </w:hyperlink>
      <w:r w:rsidR="006F2958" w:rsidRPr="006F2958">
        <w:rPr>
          <w:rStyle w:val="Hyperlink"/>
          <w:color w:val="auto"/>
          <w:sz w:val="18"/>
          <w:szCs w:val="18"/>
        </w:rPr>
        <w:t>.</w:t>
      </w:r>
    </w:p>
  </w:footnote>
  <w:footnote w:id="5">
    <w:p w14:paraId="53A68639" w14:textId="172851D2" w:rsidR="00F02267" w:rsidRPr="00717460" w:rsidRDefault="00F02267" w:rsidP="005A296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5" w:history="1">
        <w:r w:rsidRPr="00717460">
          <w:rPr>
            <w:rStyle w:val="Hyperlink"/>
            <w:sz w:val="18"/>
            <w:szCs w:val="18"/>
            <w:lang w:val="en-AU"/>
          </w:rPr>
          <w:t>OPC’s Instrument Fact Sheet Series: What is a legislative instrument?</w:t>
        </w:r>
      </w:hyperlink>
      <w:r w:rsidRPr="00717460">
        <w:rPr>
          <w:sz w:val="18"/>
          <w:szCs w:val="18"/>
          <w:lang w:val="en-AU"/>
        </w:rPr>
        <w:t xml:space="preserve"> for additional guidance.</w:t>
      </w:r>
    </w:p>
  </w:footnote>
  <w:footnote w:id="6">
    <w:p w14:paraId="4723C9AE" w14:textId="699F2DCA" w:rsidR="00F02267" w:rsidRPr="00717460" w:rsidRDefault="00F02267" w:rsidP="00977814">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6" w:history="1">
        <w:r w:rsidRPr="00DE1224">
          <w:rPr>
            <w:rStyle w:val="Hyperlink"/>
            <w:sz w:val="18"/>
            <w:szCs w:val="18"/>
          </w:rPr>
          <w:t>https://www.aph.gov.au/Parliamentary_Business/Bills_Legislation</w:t>
        </w:r>
      </w:hyperlink>
      <w:r w:rsidR="006F2958" w:rsidRPr="006F2958">
        <w:rPr>
          <w:rStyle w:val="Hyperlink"/>
          <w:color w:val="auto"/>
          <w:sz w:val="18"/>
          <w:szCs w:val="18"/>
        </w:rPr>
        <w:t>.</w:t>
      </w:r>
    </w:p>
  </w:footnote>
  <w:footnote w:id="7">
    <w:p w14:paraId="5315B51E" w14:textId="65F47B2F" w:rsidR="00F02267" w:rsidRPr="00717460" w:rsidRDefault="00F02267" w:rsidP="00A030F6">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7" w:history="1">
        <w:r w:rsidRPr="00DE1224">
          <w:rPr>
            <w:rStyle w:val="Hyperlink"/>
            <w:sz w:val="18"/>
            <w:szCs w:val="18"/>
          </w:rPr>
          <w:t>https://parlinfo.aph.gov.au/</w:t>
        </w:r>
      </w:hyperlink>
      <w:r w:rsidR="006F2958" w:rsidRPr="006F2958">
        <w:rPr>
          <w:rStyle w:val="Hyperlink"/>
          <w:color w:val="auto"/>
          <w:sz w:val="18"/>
          <w:szCs w:val="18"/>
        </w:rPr>
        <w:t>.</w:t>
      </w:r>
    </w:p>
  </w:footnote>
  <w:footnote w:id="8">
    <w:p w14:paraId="4CCD90B4" w14:textId="3B43AD49" w:rsidR="00F02267" w:rsidRPr="00717460" w:rsidRDefault="00F02267" w:rsidP="008E40D0">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8" w:history="1">
        <w:r w:rsidRPr="00DE1224">
          <w:rPr>
            <w:rStyle w:val="Hyperlink"/>
            <w:sz w:val="18"/>
            <w:szCs w:val="18"/>
          </w:rPr>
          <w:t>https://www.pmc.gov.au/resources/legislation-handbook</w:t>
        </w:r>
      </w:hyperlink>
      <w:r w:rsidR="006F2958" w:rsidRPr="006F2958">
        <w:rPr>
          <w:rStyle w:val="Hyperlink"/>
          <w:color w:val="auto"/>
          <w:sz w:val="18"/>
          <w:szCs w:val="18"/>
        </w:rPr>
        <w:t>.</w:t>
      </w:r>
    </w:p>
  </w:footnote>
  <w:footnote w:id="9">
    <w:p w14:paraId="05351AD7" w14:textId="0B941DBD" w:rsidR="00F02267" w:rsidRPr="00717460" w:rsidRDefault="00F02267" w:rsidP="008E40D0">
      <w:pPr>
        <w:rPr>
          <w:rFonts w:cs="Times New Roman"/>
          <w:sz w:val="18"/>
          <w:szCs w:val="18"/>
        </w:rPr>
      </w:pPr>
      <w:r w:rsidRPr="00717460">
        <w:rPr>
          <w:rStyle w:val="FootnoteReference"/>
          <w:sz w:val="18"/>
          <w:szCs w:val="18"/>
        </w:rPr>
        <w:footnoteRef/>
      </w:r>
      <w:r w:rsidRPr="00717460">
        <w:rPr>
          <w:sz w:val="18"/>
          <w:szCs w:val="18"/>
        </w:rPr>
        <w:t xml:space="preserve"> This is an example only and may not be appropriate in all situ</w:t>
      </w:r>
      <w:r w:rsidRPr="00717460">
        <w:rPr>
          <w:rFonts w:cs="Times New Roman"/>
          <w:sz w:val="18"/>
          <w:szCs w:val="18"/>
        </w:rPr>
        <w:t xml:space="preserve">ations. See </w:t>
      </w:r>
      <w:hyperlink r:id="rId9" w:history="1">
        <w:r w:rsidRPr="00717460">
          <w:rPr>
            <w:rStyle w:val="Hyperlink"/>
            <w:rFonts w:cs="Times New Roman"/>
            <w:sz w:val="18"/>
            <w:szCs w:val="18"/>
          </w:rPr>
          <w:t>OPC’s Instrument Fact Sheet Series: Essentials of a legislative instrument</w:t>
        </w:r>
      </w:hyperlink>
      <w:r w:rsidRPr="00717460">
        <w:rPr>
          <w:rFonts w:cs="Times New Roman"/>
          <w:sz w:val="18"/>
          <w:szCs w:val="18"/>
        </w:rPr>
        <w:t xml:space="preserve"> for additional guidance.</w:t>
      </w:r>
    </w:p>
  </w:footnote>
  <w:footnote w:id="10">
    <w:p w14:paraId="61536E97" w14:textId="21971A26" w:rsidR="00F02267" w:rsidRPr="00717460" w:rsidRDefault="00F02267" w:rsidP="008E40D0">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pacing w:val="-2"/>
          <w:sz w:val="18"/>
          <w:szCs w:val="18"/>
          <w:lang w:val="en-AU"/>
        </w:rPr>
        <w:t xml:space="preserve">See </w:t>
      </w:r>
      <w:hyperlink r:id="rId10" w:history="1">
        <w:r w:rsidRPr="00DE1224">
          <w:rPr>
            <w:rStyle w:val="Hyperlink"/>
            <w:sz w:val="18"/>
            <w:szCs w:val="18"/>
          </w:rPr>
          <w:t>https://www.pmc.gov.au/resources/federal-executive-council-handbook-2021</w:t>
        </w:r>
      </w:hyperlink>
      <w:r w:rsidR="006F2958" w:rsidRPr="006F2958">
        <w:rPr>
          <w:rStyle w:val="Hyperlink"/>
          <w:color w:val="auto"/>
          <w:sz w:val="18"/>
          <w:szCs w:val="18"/>
        </w:rPr>
        <w:t>.</w:t>
      </w:r>
    </w:p>
  </w:footnote>
  <w:footnote w:id="11">
    <w:p w14:paraId="392094DF" w14:textId="04BE3B9A" w:rsidR="00F02267" w:rsidRPr="00717460" w:rsidRDefault="00F02267" w:rsidP="00183BE0">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11" w:history="1">
        <w:r w:rsidRPr="00717460">
          <w:rPr>
            <w:rStyle w:val="Hyperlink"/>
            <w:sz w:val="18"/>
            <w:szCs w:val="18"/>
            <w:lang w:val="en-AU"/>
          </w:rPr>
          <w:t>OPC’s Instrument Fact Sheet Series: Drafting amending instruments</w:t>
        </w:r>
      </w:hyperlink>
      <w:r w:rsidRPr="00717460">
        <w:rPr>
          <w:sz w:val="18"/>
          <w:szCs w:val="18"/>
          <w:lang w:val="en-AU"/>
        </w:rPr>
        <w:t xml:space="preserve"> for additional guidance.</w:t>
      </w:r>
    </w:p>
  </w:footnote>
  <w:footnote w:id="12">
    <w:p w14:paraId="58C67171" w14:textId="755B2CDF" w:rsidR="00F02267" w:rsidRPr="00717460" w:rsidRDefault="00F02267" w:rsidP="008E40D0">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12" w:history="1">
        <w:r w:rsidRPr="00DE1224">
          <w:rPr>
            <w:rStyle w:val="Hyperlink"/>
            <w:i/>
            <w:sz w:val="18"/>
            <w:szCs w:val="18"/>
            <w:lang w:val="en-AU"/>
          </w:rPr>
          <w:t>2008 Review of the Legislative Instruments Act 2003</w:t>
        </w:r>
      </w:hyperlink>
      <w:r w:rsidRPr="00717460">
        <w:rPr>
          <w:sz w:val="18"/>
          <w:szCs w:val="18"/>
          <w:lang w:val="en-AU"/>
        </w:rPr>
        <w:t>, chapter 4.4</w:t>
      </w:r>
      <w:r w:rsidR="006F2958" w:rsidRPr="006F2958">
        <w:rPr>
          <w:rStyle w:val="Hyperlink"/>
          <w:color w:val="auto"/>
          <w:sz w:val="18"/>
          <w:szCs w:val="18"/>
        </w:rPr>
        <w:t>.</w:t>
      </w:r>
    </w:p>
  </w:footnote>
  <w:footnote w:id="13">
    <w:p w14:paraId="4FFAED0B" w14:textId="2489D5E3" w:rsidR="00F02267" w:rsidRPr="00707E89" w:rsidRDefault="00F02267" w:rsidP="008E40D0">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13" w:history="1">
        <w:r w:rsidRPr="00717460">
          <w:rPr>
            <w:rStyle w:val="Hyperlink"/>
            <w:sz w:val="18"/>
            <w:szCs w:val="18"/>
          </w:rPr>
          <w:t>https://www.dta.gov.au/help-and-advice/guides-and-tools/commonwealth-library-deposit-and-free-issue-schemes</w:t>
        </w:r>
      </w:hyperlink>
      <w:r w:rsidR="006F2958" w:rsidRPr="006F2958">
        <w:rPr>
          <w:rStyle w:val="Hyperlink"/>
          <w:color w:val="auto"/>
          <w:sz w:val="18"/>
          <w:szCs w:val="18"/>
        </w:rPr>
        <w:t>.</w:t>
      </w:r>
    </w:p>
  </w:footnote>
  <w:footnote w:id="14">
    <w:p w14:paraId="68649589" w14:textId="4BFCD6FC" w:rsidR="00F02267" w:rsidRPr="00717460" w:rsidRDefault="00F02267" w:rsidP="008E40D0">
      <w:pPr>
        <w:pStyle w:val="FootnoteText"/>
        <w:rPr>
          <w:sz w:val="18"/>
          <w:szCs w:val="18"/>
          <w:lang w:val="en-AU"/>
        </w:rPr>
      </w:pPr>
      <w:r w:rsidRPr="00717460">
        <w:rPr>
          <w:rStyle w:val="FootnoteReference"/>
          <w:sz w:val="18"/>
          <w:szCs w:val="18"/>
        </w:rPr>
        <w:footnoteRef/>
      </w:r>
      <w:r w:rsidRPr="00717460">
        <w:rPr>
          <w:sz w:val="18"/>
          <w:szCs w:val="18"/>
          <w:lang w:val="en-AU"/>
        </w:rPr>
        <w:t xml:space="preserve">See </w:t>
      </w:r>
      <w:hyperlink r:id="rId14" w:history="1">
        <w:r w:rsidRPr="00DE1224">
          <w:rPr>
            <w:rStyle w:val="Hyperlink"/>
            <w:sz w:val="18"/>
            <w:szCs w:val="18"/>
          </w:rPr>
          <w:t>https://www.ag.gov.au/legal-system/publications/guide-framing-commonwealth-offences-infringement-notices-and-enforcement-powers</w:t>
        </w:r>
      </w:hyperlink>
      <w:r w:rsidR="006F2958" w:rsidRPr="006F2958">
        <w:rPr>
          <w:rStyle w:val="Hyperlink"/>
          <w:color w:val="auto"/>
          <w:sz w:val="18"/>
          <w:szCs w:val="18"/>
        </w:rPr>
        <w:t>.</w:t>
      </w:r>
    </w:p>
  </w:footnote>
  <w:footnote w:id="15">
    <w:p w14:paraId="118A48DA" w14:textId="7CD8DBF0" w:rsidR="00F02267" w:rsidRPr="00717460" w:rsidRDefault="00F02267" w:rsidP="00B46ACE">
      <w:pPr>
        <w:pStyle w:val="FootnoteText"/>
        <w:rPr>
          <w:sz w:val="18"/>
          <w:szCs w:val="18"/>
          <w:lang w:val="en-AU"/>
        </w:rPr>
      </w:pPr>
      <w:r w:rsidRPr="00717460">
        <w:rPr>
          <w:rStyle w:val="FootnoteReference"/>
          <w:rFonts w:eastAsia="Calibri"/>
          <w:sz w:val="18"/>
          <w:szCs w:val="18"/>
        </w:rPr>
        <w:footnoteRef/>
      </w:r>
      <w:r w:rsidRPr="00717460">
        <w:rPr>
          <w:sz w:val="18"/>
          <w:szCs w:val="18"/>
        </w:rPr>
        <w:t xml:space="preserve"> </w:t>
      </w:r>
      <w:r w:rsidRPr="00717460">
        <w:rPr>
          <w:sz w:val="18"/>
          <w:szCs w:val="18"/>
          <w:lang w:val="en-AU"/>
        </w:rPr>
        <w:t>See</w:t>
      </w:r>
      <w:r w:rsidRPr="00717460">
        <w:rPr>
          <w:sz w:val="18"/>
          <w:szCs w:val="18"/>
        </w:rPr>
        <w:t xml:space="preserve"> </w:t>
      </w:r>
      <w:hyperlink r:id="rId15" w:history="1">
        <w:r w:rsidR="00BB6F78">
          <w:rPr>
            <w:rStyle w:val="Hyperlink"/>
            <w:sz w:val="18"/>
            <w:szCs w:val="18"/>
            <w:lang w:val="en-AU"/>
          </w:rPr>
          <w:t>PSPF Policy 9: Classifications and Caveats</w:t>
        </w:r>
      </w:hyperlink>
      <w:r w:rsidR="006F2958" w:rsidRPr="006F2958">
        <w:rPr>
          <w:rStyle w:val="Hyperlink"/>
          <w:color w:val="auto"/>
          <w:sz w:val="18"/>
          <w:szCs w:val="18"/>
        </w:rPr>
        <w:t>.</w:t>
      </w:r>
    </w:p>
  </w:footnote>
  <w:footnote w:id="16">
    <w:p w14:paraId="5B3275DB" w14:textId="3E82B9A0" w:rsidR="002525CA" w:rsidRPr="00717460" w:rsidRDefault="002525CA" w:rsidP="002525CA">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See</w:t>
      </w:r>
      <w:r w:rsidR="00493B4B">
        <w:rPr>
          <w:sz w:val="18"/>
          <w:szCs w:val="18"/>
          <w:lang w:val="en-AU"/>
        </w:rPr>
        <w:t xml:space="preserve"> </w:t>
      </w:r>
      <w:hyperlink r:id="rId16" w:history="1">
        <w:r w:rsidR="00493B4B" w:rsidRPr="007912E0">
          <w:rPr>
            <w:rStyle w:val="Hyperlink"/>
            <w:sz w:val="18"/>
            <w:szCs w:val="18"/>
            <w:lang w:val="en-AU"/>
          </w:rPr>
          <w:t>https://www.protectivesecurity.gov.au/</w:t>
        </w:r>
      </w:hyperlink>
      <w:r w:rsidRPr="00717460">
        <w:rPr>
          <w:sz w:val="18"/>
          <w:szCs w:val="18"/>
          <w:lang w:val="en-AU"/>
        </w:rPr>
        <w:t>.</w:t>
      </w:r>
    </w:p>
  </w:footnote>
  <w:footnote w:id="17">
    <w:p w14:paraId="4C007C95" w14:textId="42048438" w:rsidR="00F02267" w:rsidRPr="00717460" w:rsidRDefault="00F02267" w:rsidP="0084047D">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section 13 of the </w:t>
      </w:r>
      <w:hyperlink r:id="rId17" w:history="1">
        <w:r w:rsidR="005C3D38" w:rsidRPr="005C3D38">
          <w:rPr>
            <w:rStyle w:val="Hyperlink"/>
            <w:i/>
            <w:sz w:val="18"/>
            <w:szCs w:val="18"/>
            <w:lang w:val="en-AU"/>
          </w:rPr>
          <w:t>Public Service Act 1999</w:t>
        </w:r>
      </w:hyperlink>
      <w:r w:rsidRPr="00717460">
        <w:rPr>
          <w:sz w:val="18"/>
          <w:szCs w:val="18"/>
          <w:lang w:val="en-AU"/>
        </w:rPr>
        <w:t>.</w:t>
      </w:r>
    </w:p>
  </w:footnote>
  <w:footnote w:id="18">
    <w:p w14:paraId="3D446E5B" w14:textId="3F3887AE" w:rsidR="00F02267" w:rsidRPr="00717460" w:rsidRDefault="00F02267" w:rsidP="00590F3B">
      <w:pPr>
        <w:pStyle w:val="FootnoteText"/>
        <w:rPr>
          <w:sz w:val="18"/>
          <w:szCs w:val="18"/>
          <w:lang w:val="en-AU"/>
        </w:rPr>
      </w:pPr>
      <w:r w:rsidRPr="00717460">
        <w:rPr>
          <w:rStyle w:val="FootnoteReference"/>
          <w:sz w:val="18"/>
          <w:szCs w:val="18"/>
        </w:rPr>
        <w:footnoteRef/>
      </w:r>
      <w:r w:rsidRPr="00717460">
        <w:rPr>
          <w:sz w:val="18"/>
          <w:szCs w:val="18"/>
        </w:rPr>
        <w:t xml:space="preserve"> The 2008 Review of the LIA explicitly recommended that agencies consider aligning all </w:t>
      </w:r>
      <w:r w:rsidRPr="00717460">
        <w:rPr>
          <w:sz w:val="18"/>
          <w:szCs w:val="18"/>
          <w:lang w:val="en-AU"/>
        </w:rPr>
        <w:t xml:space="preserve">additional publication requirements with the </w:t>
      </w:r>
      <w:r w:rsidRPr="00717460">
        <w:rPr>
          <w:sz w:val="18"/>
          <w:szCs w:val="18"/>
        </w:rPr>
        <w:t>LIA (now the LA) unless there are compelling reasons why that should not be done</w:t>
      </w:r>
      <w:r w:rsidRPr="00717460">
        <w:rPr>
          <w:sz w:val="18"/>
          <w:szCs w:val="18"/>
          <w:lang w:val="en-AU"/>
        </w:rPr>
        <w:t xml:space="preserve"> (see </w:t>
      </w:r>
      <w:hyperlink r:id="rId18" w:history="1">
        <w:hyperlink r:id="rId19" w:history="1">
          <w:r w:rsidRPr="00DE1224">
            <w:rPr>
              <w:rStyle w:val="Hyperlink"/>
              <w:i/>
              <w:sz w:val="18"/>
              <w:szCs w:val="18"/>
              <w:lang w:val="en-AU"/>
            </w:rPr>
            <w:t>2008 Review of the Legislative Instruments Act 2003</w:t>
          </w:r>
        </w:hyperlink>
      </w:hyperlink>
      <w:r w:rsidRPr="00717460">
        <w:rPr>
          <w:rStyle w:val="Hyperlink"/>
          <w:sz w:val="18"/>
          <w:szCs w:val="18"/>
          <w:lang w:val="en-AU"/>
        </w:rPr>
        <w:t>,</w:t>
      </w:r>
      <w:r w:rsidRPr="00717460">
        <w:rPr>
          <w:sz w:val="18"/>
          <w:szCs w:val="18"/>
          <w:lang w:val="en-AU"/>
        </w:rPr>
        <w:t xml:space="preserve"> recommendation 19).</w:t>
      </w:r>
    </w:p>
  </w:footnote>
  <w:footnote w:id="19">
    <w:p w14:paraId="21917FA1" w14:textId="576AFC86"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lang w:val="en-AU"/>
        </w:rPr>
        <w:t xml:space="preserve"> See</w:t>
      </w:r>
      <w:r w:rsidRPr="00717460">
        <w:rPr>
          <w:sz w:val="18"/>
          <w:szCs w:val="18"/>
        </w:rPr>
        <w:t xml:space="preserve"> </w:t>
      </w:r>
      <w:hyperlink r:id="rId20" w:history="1">
        <w:r w:rsidRPr="00DE1224">
          <w:rPr>
            <w:rStyle w:val="Hyperlink"/>
            <w:sz w:val="18"/>
            <w:szCs w:val="18"/>
          </w:rPr>
          <w:t>https://www.pmc.gov.au/resources/federal-executive-council-handbook-2021</w:t>
        </w:r>
      </w:hyperlink>
      <w:r w:rsidR="006F2958" w:rsidRPr="006F2958">
        <w:rPr>
          <w:rStyle w:val="Hyperlink"/>
          <w:color w:val="auto"/>
          <w:sz w:val="18"/>
          <w:szCs w:val="18"/>
        </w:rPr>
        <w:t>.</w:t>
      </w:r>
    </w:p>
  </w:footnote>
  <w:footnote w:id="20">
    <w:p w14:paraId="65D9F6BD" w14:textId="7D06CB85" w:rsidR="00F02267" w:rsidRPr="00717460" w:rsidRDefault="00F02267" w:rsidP="00A83991">
      <w:pPr>
        <w:pStyle w:val="FootnoteText"/>
        <w:rPr>
          <w:spacing w:val="-2"/>
          <w:sz w:val="18"/>
          <w:szCs w:val="18"/>
          <w:lang w:val="en-AU"/>
        </w:rPr>
      </w:pPr>
      <w:r w:rsidRPr="00717460">
        <w:rPr>
          <w:rStyle w:val="FootnoteReference"/>
          <w:spacing w:val="-2"/>
          <w:sz w:val="18"/>
          <w:szCs w:val="18"/>
        </w:rPr>
        <w:footnoteRef/>
      </w:r>
      <w:r w:rsidRPr="00717460">
        <w:rPr>
          <w:sz w:val="18"/>
          <w:szCs w:val="18"/>
          <w:lang w:val="en-AU"/>
        </w:rPr>
        <w:t> See </w:t>
      </w:r>
      <w:hyperlink r:id="rId21" w:history="1">
        <w:r w:rsidRPr="00717460">
          <w:rPr>
            <w:rStyle w:val="Hyperlink"/>
            <w:spacing w:val="-2"/>
            <w:sz w:val="18"/>
            <w:szCs w:val="18"/>
          </w:rPr>
          <w:t>https://www.aph.gov.au/Parliamentary_Business/Committees/Senate/Regulations_and_Ordinances</w:t>
        </w:r>
      </w:hyperlink>
      <w:r w:rsidR="006F2958" w:rsidRPr="006F2958">
        <w:rPr>
          <w:rStyle w:val="Hyperlink"/>
          <w:color w:val="auto"/>
          <w:sz w:val="18"/>
          <w:szCs w:val="18"/>
        </w:rPr>
        <w:t>.</w:t>
      </w:r>
    </w:p>
  </w:footnote>
  <w:footnote w:id="21">
    <w:p w14:paraId="53086C28" w14:textId="7A6C3268" w:rsidR="00F02267" w:rsidRPr="00DE1224" w:rsidRDefault="00F02267" w:rsidP="00432F4C">
      <w:pPr>
        <w:pStyle w:val="FootnoteText"/>
        <w:rPr>
          <w:sz w:val="18"/>
          <w:szCs w:val="18"/>
        </w:rPr>
      </w:pPr>
      <w:r w:rsidRPr="00DE1224">
        <w:rPr>
          <w:rStyle w:val="FootnoteReference"/>
          <w:sz w:val="18"/>
          <w:szCs w:val="18"/>
        </w:rPr>
        <w:footnoteRef/>
      </w:r>
      <w:r w:rsidRPr="00DE1224">
        <w:rPr>
          <w:sz w:val="18"/>
          <w:szCs w:val="18"/>
        </w:rPr>
        <w:t xml:space="preserve"> See </w:t>
      </w:r>
      <w:hyperlink r:id="rId22" w:history="1">
        <w:r w:rsidRPr="00DE1224">
          <w:rPr>
            <w:rStyle w:val="Hyperlink"/>
            <w:sz w:val="18"/>
            <w:szCs w:val="18"/>
          </w:rPr>
          <w:t>https://oia.pmc.gov.au/resources/forms-and-templates/australian-government-impact-analysis-preliminary-assessment-form</w:t>
        </w:r>
      </w:hyperlink>
      <w:r w:rsidR="006F2958" w:rsidRPr="006F2958">
        <w:rPr>
          <w:rStyle w:val="Hyperlink"/>
          <w:color w:val="auto"/>
          <w:sz w:val="18"/>
          <w:szCs w:val="18"/>
        </w:rPr>
        <w:t>.</w:t>
      </w:r>
    </w:p>
  </w:footnote>
  <w:footnote w:id="22">
    <w:p w14:paraId="79876EA8" w14:textId="01DA8980" w:rsidR="00F02267" w:rsidRPr="00DE1224" w:rsidRDefault="00F02267" w:rsidP="000065FB">
      <w:pPr>
        <w:pStyle w:val="FootnoteText"/>
        <w:rPr>
          <w:sz w:val="18"/>
          <w:szCs w:val="18"/>
        </w:rPr>
      </w:pPr>
      <w:r w:rsidRPr="00DE1224">
        <w:rPr>
          <w:rStyle w:val="FootnoteReference"/>
          <w:sz w:val="18"/>
          <w:szCs w:val="18"/>
        </w:rPr>
        <w:footnoteRef/>
      </w:r>
      <w:r w:rsidRPr="00DE1224">
        <w:rPr>
          <w:sz w:val="18"/>
          <w:szCs w:val="18"/>
        </w:rPr>
        <w:t xml:space="preserve"> </w:t>
      </w:r>
      <w:r w:rsidRPr="00717460">
        <w:rPr>
          <w:sz w:val="18"/>
          <w:szCs w:val="18"/>
        </w:rPr>
        <w:t xml:space="preserve">See </w:t>
      </w:r>
      <w:hyperlink r:id="rId23" w:history="1">
        <w:r w:rsidRPr="00717460">
          <w:rPr>
            <w:rStyle w:val="Hyperlink"/>
            <w:sz w:val="18"/>
            <w:szCs w:val="18"/>
          </w:rPr>
          <w:t>https://oia.pmc.gov.au/resources/guidance-impact-analysis/australian-government-guide-policy-impact-analysis</w:t>
        </w:r>
      </w:hyperlink>
      <w:r w:rsidR="006F2958" w:rsidRPr="006F2958">
        <w:rPr>
          <w:rStyle w:val="Hyperlink"/>
          <w:color w:val="auto"/>
          <w:sz w:val="18"/>
          <w:szCs w:val="18"/>
        </w:rPr>
        <w:t>.</w:t>
      </w:r>
    </w:p>
  </w:footnote>
  <w:footnote w:id="23">
    <w:p w14:paraId="3BBDC266" w14:textId="33E4B6A0" w:rsidR="00F02267" w:rsidRPr="00DE1224" w:rsidRDefault="00F02267" w:rsidP="000065FB">
      <w:pPr>
        <w:pStyle w:val="FootnoteText"/>
        <w:rPr>
          <w:sz w:val="18"/>
          <w:szCs w:val="18"/>
        </w:rPr>
      </w:pPr>
      <w:r w:rsidRPr="00DE1224">
        <w:rPr>
          <w:rStyle w:val="FootnoteReference"/>
          <w:sz w:val="18"/>
          <w:szCs w:val="18"/>
        </w:rPr>
        <w:footnoteRef/>
      </w:r>
      <w:r w:rsidRPr="00DE1224">
        <w:rPr>
          <w:sz w:val="18"/>
          <w:szCs w:val="18"/>
        </w:rPr>
        <w:t xml:space="preserve"> </w:t>
      </w:r>
      <w:r w:rsidRPr="00717460">
        <w:rPr>
          <w:sz w:val="18"/>
          <w:szCs w:val="18"/>
        </w:rPr>
        <w:t xml:space="preserve">See Table 1: Impact Analysis requirements for a sunsetting instrument, </w:t>
      </w:r>
      <w:hyperlink r:id="rId24" w:history="1">
        <w:r w:rsidRPr="00717460">
          <w:rPr>
            <w:rStyle w:val="Hyperlink"/>
            <w:sz w:val="18"/>
            <w:szCs w:val="18"/>
          </w:rPr>
          <w:t>https://oia.pmc.gov.au/resources/guidance-oia-procedures/sunsetting-legislative-instruments</w:t>
        </w:r>
      </w:hyperlink>
      <w:r w:rsidR="006F2958" w:rsidRPr="006F2958">
        <w:rPr>
          <w:rStyle w:val="Hyperlink"/>
          <w:color w:val="auto"/>
          <w:sz w:val="18"/>
          <w:szCs w:val="18"/>
        </w:rPr>
        <w:t>.</w:t>
      </w:r>
    </w:p>
  </w:footnote>
  <w:footnote w:id="24">
    <w:p w14:paraId="67C21880" w14:textId="5014F694" w:rsidR="00F02267" w:rsidRPr="00DE1224" w:rsidRDefault="00F02267" w:rsidP="000065FB">
      <w:pPr>
        <w:pStyle w:val="FootnoteText"/>
        <w:rPr>
          <w:sz w:val="18"/>
          <w:szCs w:val="18"/>
        </w:rPr>
      </w:pPr>
      <w:r w:rsidRPr="00DE1224">
        <w:rPr>
          <w:rStyle w:val="FootnoteReference"/>
          <w:sz w:val="18"/>
          <w:szCs w:val="18"/>
        </w:rPr>
        <w:footnoteRef/>
      </w:r>
      <w:r w:rsidRPr="00DE1224">
        <w:rPr>
          <w:sz w:val="18"/>
          <w:szCs w:val="18"/>
        </w:rPr>
        <w:t xml:space="preserve"> </w:t>
      </w:r>
      <w:r w:rsidRPr="00717460">
        <w:rPr>
          <w:sz w:val="18"/>
          <w:szCs w:val="18"/>
        </w:rPr>
        <w:t xml:space="preserve">See </w:t>
      </w:r>
      <w:hyperlink r:id="rId25" w:history="1">
        <w:r w:rsidRPr="00717460">
          <w:rPr>
            <w:rStyle w:val="Hyperlink"/>
            <w:sz w:val="18"/>
            <w:szCs w:val="18"/>
          </w:rPr>
          <w:t>https://oia.pmc.gov.au/resources/guidance-impact-analysis/australian-government-guide-policy-impact-analysis</w:t>
        </w:r>
      </w:hyperlink>
      <w:r w:rsidR="006F2958" w:rsidRPr="006F2958">
        <w:rPr>
          <w:rStyle w:val="Hyperlink"/>
          <w:color w:val="auto"/>
          <w:sz w:val="18"/>
          <w:szCs w:val="18"/>
        </w:rPr>
        <w:t>.</w:t>
      </w:r>
    </w:p>
  </w:footnote>
  <w:footnote w:id="25">
    <w:p w14:paraId="6B134455" w14:textId="0C850DCC" w:rsidR="00F02267" w:rsidRPr="00DE1224" w:rsidRDefault="00F02267" w:rsidP="000065FB">
      <w:pPr>
        <w:pStyle w:val="FootnoteText"/>
        <w:rPr>
          <w:sz w:val="18"/>
          <w:szCs w:val="18"/>
        </w:rPr>
      </w:pPr>
      <w:r w:rsidRPr="00DE1224">
        <w:rPr>
          <w:rStyle w:val="FootnoteReference"/>
          <w:sz w:val="18"/>
          <w:szCs w:val="18"/>
        </w:rPr>
        <w:footnoteRef/>
      </w:r>
      <w:r w:rsidRPr="00DE1224">
        <w:rPr>
          <w:sz w:val="18"/>
          <w:szCs w:val="18"/>
        </w:rPr>
        <w:t xml:space="preserve"> </w:t>
      </w:r>
      <w:r w:rsidRPr="00717460">
        <w:rPr>
          <w:sz w:val="18"/>
          <w:szCs w:val="18"/>
        </w:rPr>
        <w:t xml:space="preserve">See </w:t>
      </w:r>
      <w:hyperlink r:id="rId26" w:history="1">
        <w:r w:rsidRPr="00717460">
          <w:rPr>
            <w:rStyle w:val="Hyperlink"/>
            <w:sz w:val="18"/>
            <w:szCs w:val="18"/>
          </w:rPr>
          <w:t>https://oia.pmc.gov.au/</w:t>
        </w:r>
      </w:hyperlink>
      <w:r w:rsidR="006F2958" w:rsidRPr="006F2958">
        <w:rPr>
          <w:rStyle w:val="Hyperlink"/>
          <w:color w:val="auto"/>
          <w:sz w:val="18"/>
          <w:szCs w:val="18"/>
        </w:rPr>
        <w:t>.</w:t>
      </w:r>
    </w:p>
  </w:footnote>
  <w:footnote w:id="26">
    <w:p w14:paraId="341015F8" w14:textId="27E49545"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27" w:history="1">
        <w:r w:rsidRPr="00DE1224">
          <w:rPr>
            <w:rStyle w:val="Hyperlink"/>
            <w:sz w:val="18"/>
            <w:szCs w:val="18"/>
          </w:rPr>
          <w:t>https://www.pmc.gov.au/publications/guidance-caretaker-conventions</w:t>
        </w:r>
      </w:hyperlink>
      <w:r w:rsidR="006F2958" w:rsidRPr="006F2958">
        <w:rPr>
          <w:rStyle w:val="Hyperlink"/>
          <w:color w:val="auto"/>
          <w:sz w:val="18"/>
          <w:szCs w:val="18"/>
        </w:rPr>
        <w:t>.</w:t>
      </w:r>
    </w:p>
  </w:footnote>
  <w:footnote w:id="27">
    <w:p w14:paraId="682788FB" w14:textId="20B7DFAA" w:rsidR="00F02267" w:rsidRPr="00717460" w:rsidRDefault="00F02267" w:rsidP="00A83991">
      <w:pPr>
        <w:pStyle w:val="FootnoteText"/>
        <w:rPr>
          <w:spacing w:val="-2"/>
          <w:sz w:val="18"/>
          <w:szCs w:val="18"/>
          <w:lang w:val="en-AU"/>
        </w:rPr>
      </w:pPr>
      <w:r w:rsidRPr="00717460">
        <w:rPr>
          <w:rStyle w:val="FootnoteReference"/>
          <w:sz w:val="18"/>
          <w:szCs w:val="18"/>
        </w:rPr>
        <w:footnoteRef/>
      </w:r>
      <w:r w:rsidRPr="00717460">
        <w:rPr>
          <w:sz w:val="18"/>
          <w:szCs w:val="18"/>
        </w:rPr>
        <w:t xml:space="preserve"> </w:t>
      </w:r>
      <w:r w:rsidRPr="00717460">
        <w:rPr>
          <w:spacing w:val="-2"/>
          <w:sz w:val="18"/>
          <w:szCs w:val="18"/>
          <w:lang w:val="en-AU"/>
        </w:rPr>
        <w:t xml:space="preserve">See </w:t>
      </w:r>
      <w:hyperlink r:id="rId28" w:history="1">
        <w:r w:rsidRPr="00DE1224">
          <w:rPr>
            <w:rStyle w:val="Hyperlink"/>
            <w:sz w:val="18"/>
            <w:szCs w:val="18"/>
          </w:rPr>
          <w:t>https://www.pmc.gov.au/resources/federal-executive-council-handbook-2021</w:t>
        </w:r>
      </w:hyperlink>
      <w:r w:rsidR="006F2958" w:rsidRPr="006F2958">
        <w:rPr>
          <w:rStyle w:val="Hyperlink"/>
          <w:color w:val="auto"/>
          <w:sz w:val="18"/>
          <w:szCs w:val="18"/>
        </w:rPr>
        <w:t>.</w:t>
      </w:r>
    </w:p>
  </w:footnote>
  <w:footnote w:id="28">
    <w:p w14:paraId="4FBF06BC" w14:textId="7871881D"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29" w:history="1">
        <w:r w:rsidRPr="00DE1224">
          <w:rPr>
            <w:rStyle w:val="Hyperlink"/>
            <w:sz w:val="18"/>
            <w:szCs w:val="18"/>
          </w:rPr>
          <w:t>https://www.ag.gov.au/rights-and-protections/human-rights-and-anti-discrimination/human-rights-scrutiny</w:t>
        </w:r>
      </w:hyperlink>
      <w:r w:rsidR="006F2958" w:rsidRPr="006F2958">
        <w:rPr>
          <w:rStyle w:val="Hyperlink"/>
          <w:color w:val="auto"/>
          <w:sz w:val="18"/>
          <w:szCs w:val="18"/>
        </w:rPr>
        <w:t>.</w:t>
      </w:r>
    </w:p>
  </w:footnote>
  <w:footnote w:id="29">
    <w:p w14:paraId="7039BFB6" w14:textId="5E2323A1" w:rsidR="00F02267" w:rsidRPr="00DE1224" w:rsidRDefault="00F02267" w:rsidP="0014733A">
      <w:pPr>
        <w:pStyle w:val="FootnoteText"/>
        <w:rPr>
          <w:sz w:val="18"/>
          <w:szCs w:val="18"/>
        </w:rPr>
      </w:pPr>
      <w:r w:rsidRPr="00DE1224">
        <w:rPr>
          <w:rStyle w:val="FootnoteReference"/>
          <w:sz w:val="18"/>
          <w:szCs w:val="18"/>
        </w:rPr>
        <w:footnoteRef/>
      </w:r>
      <w:r w:rsidRPr="00DE1224">
        <w:rPr>
          <w:sz w:val="18"/>
          <w:szCs w:val="18"/>
        </w:rPr>
        <w:t xml:space="preserve"> </w:t>
      </w:r>
      <w:r w:rsidRPr="00717460">
        <w:rPr>
          <w:sz w:val="18"/>
          <w:szCs w:val="18"/>
        </w:rPr>
        <w:t xml:space="preserve">See </w:t>
      </w:r>
      <w:hyperlink r:id="rId30" w:history="1">
        <w:r w:rsidR="006F2958" w:rsidRPr="005C310C">
          <w:rPr>
            <w:rStyle w:val="Hyperlink"/>
            <w:sz w:val="18"/>
            <w:szCs w:val="18"/>
          </w:rPr>
          <w:t>https://oia.pmc.gov.au/resources/guidance-impact-analysis/australian-government-guide-policy-impact-analysis</w:t>
        </w:r>
      </w:hyperlink>
      <w:r w:rsidR="006F2958" w:rsidRPr="006F2958">
        <w:rPr>
          <w:rStyle w:val="Hyperlink"/>
          <w:color w:val="auto"/>
          <w:sz w:val="18"/>
          <w:szCs w:val="18"/>
        </w:rPr>
        <w:t>.</w:t>
      </w:r>
    </w:p>
  </w:footnote>
  <w:footnote w:id="30">
    <w:p w14:paraId="6E72364E" w14:textId="6F16F265"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31" w:history="1">
        <w:r>
          <w:rPr>
            <w:rStyle w:val="Hyperlink"/>
            <w:sz w:val="18"/>
            <w:szCs w:val="18"/>
          </w:rPr>
          <w:t>https://www.ag.gov.au/legal-system/publications/what-decisions-should-be-subject-merit-review-1999</w:t>
        </w:r>
      </w:hyperlink>
      <w:r w:rsidR="006F2958" w:rsidRPr="006F2958">
        <w:rPr>
          <w:rStyle w:val="Hyperlink"/>
          <w:color w:val="auto"/>
          <w:sz w:val="18"/>
          <w:szCs w:val="18"/>
        </w:rPr>
        <w:t>.</w:t>
      </w:r>
    </w:p>
  </w:footnote>
  <w:footnote w:id="31">
    <w:p w14:paraId="2E9A50A3" w14:textId="59A898EF"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32" w:history="1">
        <w:r w:rsidRPr="00DE1224">
          <w:rPr>
            <w:rStyle w:val="Hyperlink"/>
            <w:sz w:val="18"/>
            <w:szCs w:val="18"/>
          </w:rPr>
          <w:t>https://www.ag.gov.au/legal-system/publications/guide-framing-commonwealth-offences-infringement-notices-and-enforcement-powers</w:t>
        </w:r>
      </w:hyperlink>
      <w:r w:rsidR="006F2958" w:rsidRPr="006F2958">
        <w:rPr>
          <w:rStyle w:val="Hyperlink"/>
          <w:color w:val="auto"/>
          <w:sz w:val="18"/>
          <w:szCs w:val="18"/>
        </w:rPr>
        <w:t>.</w:t>
      </w:r>
    </w:p>
  </w:footnote>
  <w:footnote w:id="32">
    <w:p w14:paraId="71145241" w14:textId="7C64F161"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lang w:val="en-AU"/>
        </w:rPr>
        <w:t xml:space="preserve"> See </w:t>
      </w:r>
      <w:hyperlink r:id="rId33" w:history="1">
        <w:r w:rsidRPr="00DE1224">
          <w:rPr>
            <w:rStyle w:val="Hyperlink"/>
            <w:sz w:val="18"/>
            <w:szCs w:val="18"/>
            <w:lang w:val="en-AU"/>
          </w:rPr>
          <w:t>https://www.aph.gov.au/Parliamentary_Business/Committees/Senate/Regulations_and_Ordinances</w:t>
        </w:r>
      </w:hyperlink>
      <w:r w:rsidR="006F2958" w:rsidRPr="006F2958">
        <w:rPr>
          <w:rStyle w:val="Hyperlink"/>
          <w:color w:val="auto"/>
          <w:sz w:val="18"/>
          <w:szCs w:val="18"/>
        </w:rPr>
        <w:t>.</w:t>
      </w:r>
    </w:p>
  </w:footnote>
  <w:footnote w:id="33">
    <w:p w14:paraId="33A48E09" w14:textId="0C94085A"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34" w:history="1">
        <w:r w:rsidRPr="00DE1224">
          <w:rPr>
            <w:rStyle w:val="Hyperlink"/>
            <w:sz w:val="18"/>
            <w:szCs w:val="18"/>
          </w:rPr>
          <w:t>https://www.ag.gov.au/rights-and-protections/human-rights-and-anti-discrimination/human-rights-scrutiny</w:t>
        </w:r>
      </w:hyperlink>
      <w:r w:rsidR="006F2958" w:rsidRPr="006F2958">
        <w:rPr>
          <w:rStyle w:val="Hyperlink"/>
          <w:color w:val="auto"/>
          <w:sz w:val="18"/>
          <w:szCs w:val="18"/>
        </w:rPr>
        <w:t>.</w:t>
      </w:r>
    </w:p>
  </w:footnote>
  <w:footnote w:id="34">
    <w:p w14:paraId="4AE9C403" w14:textId="7B2C26E2"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35" w:history="1">
        <w:r w:rsidRPr="00DE1224">
          <w:rPr>
            <w:rStyle w:val="Hyperlink"/>
            <w:sz w:val="18"/>
            <w:szCs w:val="18"/>
          </w:rPr>
          <w:t>https://www.aph.gov.au/Parliamentary_Business/Committees/Joint/Human_Rights</w:t>
        </w:r>
      </w:hyperlink>
      <w:r w:rsidR="006F2958" w:rsidRPr="006F2958">
        <w:rPr>
          <w:rStyle w:val="Hyperlink"/>
          <w:color w:val="auto"/>
          <w:sz w:val="18"/>
          <w:szCs w:val="18"/>
        </w:rPr>
        <w:t>.</w:t>
      </w:r>
    </w:p>
  </w:footnote>
  <w:footnote w:id="35">
    <w:p w14:paraId="051191A4" w14:textId="165DEE6F"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36" w:history="1">
        <w:r w:rsidRPr="00717460">
          <w:rPr>
            <w:rStyle w:val="Hyperlink"/>
            <w:sz w:val="18"/>
            <w:szCs w:val="18"/>
            <w:lang w:val="en-AU"/>
          </w:rPr>
          <w:t xml:space="preserve">2008 Review of the </w:t>
        </w:r>
        <w:r w:rsidRPr="00717460">
          <w:rPr>
            <w:rStyle w:val="Hyperlink"/>
            <w:i/>
            <w:sz w:val="18"/>
            <w:szCs w:val="18"/>
            <w:lang w:val="en-AU"/>
          </w:rPr>
          <w:t>Legislation Act 2003</w:t>
        </w:r>
      </w:hyperlink>
      <w:r w:rsidRPr="00717460">
        <w:rPr>
          <w:sz w:val="18"/>
          <w:szCs w:val="18"/>
          <w:lang w:val="en-AU"/>
        </w:rPr>
        <w:t>, chapter 8.3.</w:t>
      </w:r>
    </w:p>
  </w:footnote>
  <w:footnote w:id="36">
    <w:p w14:paraId="0E0CFF4C" w14:textId="4D87BF5F"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37" w:history="1">
        <w:r w:rsidRPr="00DE1224">
          <w:rPr>
            <w:rStyle w:val="Hyperlink"/>
            <w:sz w:val="18"/>
            <w:szCs w:val="18"/>
          </w:rPr>
          <w:t>https://www.aph.gov.au/Parliamentary_Business/Chamber_documents/Senate_chamber_documents/Journals_of_the_Senate</w:t>
        </w:r>
      </w:hyperlink>
      <w:r w:rsidR="006F2958" w:rsidRPr="006F2958">
        <w:rPr>
          <w:rStyle w:val="Hyperlink"/>
          <w:color w:val="auto"/>
          <w:sz w:val="18"/>
          <w:szCs w:val="18"/>
        </w:rPr>
        <w:t>.</w:t>
      </w:r>
    </w:p>
  </w:footnote>
  <w:footnote w:id="37">
    <w:p w14:paraId="23AABB5C" w14:textId="1379901A"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38" w:history="1">
        <w:r w:rsidRPr="00DE1224">
          <w:rPr>
            <w:rStyle w:val="Hyperlink"/>
            <w:sz w:val="18"/>
            <w:szCs w:val="18"/>
          </w:rPr>
          <w:t>https://www.aph.gov.au/Parliamentary_Business/Chamber_documents/HoR/Votes_and_Proceedings</w:t>
        </w:r>
      </w:hyperlink>
      <w:r w:rsidR="006F2958" w:rsidRPr="006F2958">
        <w:rPr>
          <w:rStyle w:val="Hyperlink"/>
          <w:color w:val="auto"/>
          <w:sz w:val="18"/>
          <w:szCs w:val="18"/>
        </w:rPr>
        <w:t>.</w:t>
      </w:r>
    </w:p>
  </w:footnote>
  <w:footnote w:id="38">
    <w:p w14:paraId="67E28D77" w14:textId="60727870"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39" w:history="1">
        <w:r w:rsidRPr="00DE1224">
          <w:rPr>
            <w:rStyle w:val="Hyperlink"/>
            <w:sz w:val="18"/>
            <w:szCs w:val="18"/>
            <w:lang w:val="en-AU"/>
          </w:rPr>
          <w:t>https://www.pmc.gov.au/resources/tabling-guidelines</w:t>
        </w:r>
      </w:hyperlink>
      <w:r w:rsidR="006F2958" w:rsidRPr="006F2958">
        <w:rPr>
          <w:rStyle w:val="Hyperlink"/>
          <w:color w:val="auto"/>
          <w:sz w:val="18"/>
          <w:szCs w:val="18"/>
        </w:rPr>
        <w:t>.</w:t>
      </w:r>
    </w:p>
  </w:footnote>
  <w:footnote w:id="39">
    <w:p w14:paraId="7959EE49" w14:textId="2448A697"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40" w:history="1">
        <w:r w:rsidRPr="00DE1224">
          <w:rPr>
            <w:rStyle w:val="Hyperlink"/>
            <w:sz w:val="18"/>
            <w:szCs w:val="18"/>
            <w:lang w:val="en-AU"/>
          </w:rPr>
          <w:t>https://www.aph.gov.au/Parliamentary_Business/Bills_Legislation/Disallowance_Alert</w:t>
        </w:r>
      </w:hyperlink>
      <w:r w:rsidR="006F2958" w:rsidRPr="006F2958">
        <w:rPr>
          <w:rStyle w:val="Hyperlink"/>
          <w:color w:val="auto"/>
          <w:sz w:val="18"/>
          <w:szCs w:val="18"/>
        </w:rPr>
        <w:t>.</w:t>
      </w:r>
    </w:p>
  </w:footnote>
  <w:footnote w:id="40">
    <w:p w14:paraId="0A17617B" w14:textId="7BF3B561"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41" w:history="1">
        <w:r w:rsidRPr="00717460">
          <w:rPr>
            <w:rStyle w:val="Hyperlink"/>
            <w:i/>
            <w:sz w:val="18"/>
            <w:szCs w:val="18"/>
            <w:lang w:val="en-AU"/>
          </w:rPr>
          <w:t>Victorian Chamber of Manufactures v Commonwealth (Women’s Employment Regulations)</w:t>
        </w:r>
        <w:r w:rsidRPr="00717460">
          <w:rPr>
            <w:rStyle w:val="Hyperlink"/>
            <w:sz w:val="18"/>
            <w:szCs w:val="18"/>
            <w:lang w:val="en-AU"/>
          </w:rPr>
          <w:t xml:space="preserve"> [1943] HCA 21; (1943) 67 CLR 347 (13 August 1943)</w:t>
        </w:r>
      </w:hyperlink>
      <w:r w:rsidRPr="00717460">
        <w:rPr>
          <w:sz w:val="18"/>
          <w:szCs w:val="18"/>
          <w:lang w:val="en-AU"/>
        </w:rPr>
        <w:t xml:space="preserve">, and </w:t>
      </w:r>
      <w:hyperlink r:id="rId42" w:history="1">
        <w:r w:rsidRPr="00717460">
          <w:rPr>
            <w:rStyle w:val="Hyperlink"/>
            <w:i/>
            <w:sz w:val="18"/>
            <w:szCs w:val="18"/>
            <w:lang w:val="en-AU"/>
          </w:rPr>
          <w:t>Perrett v Attorney-General of the Commonwealth of Australia</w:t>
        </w:r>
        <w:r w:rsidRPr="00717460">
          <w:rPr>
            <w:rStyle w:val="Hyperlink"/>
            <w:sz w:val="18"/>
            <w:szCs w:val="18"/>
            <w:lang w:val="en-AU"/>
          </w:rPr>
          <w:t xml:space="preserve"> [2015] FCA 834</w:t>
        </w:r>
      </w:hyperlink>
      <w:r w:rsidR="006F2958" w:rsidRPr="006F2958">
        <w:rPr>
          <w:rStyle w:val="Hyperlink"/>
          <w:color w:val="auto"/>
          <w:sz w:val="18"/>
          <w:szCs w:val="18"/>
        </w:rPr>
        <w:t>.</w:t>
      </w:r>
    </w:p>
  </w:footnote>
  <w:footnote w:id="41">
    <w:p w14:paraId="3E036202" w14:textId="50D6CC2E"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43" w:history="1">
        <w:r w:rsidRPr="00DE1224">
          <w:rPr>
            <w:rStyle w:val="Hyperlink"/>
            <w:sz w:val="18"/>
            <w:szCs w:val="18"/>
          </w:rPr>
          <w:t>https://www.ag.gov.au/legal-system/administrative-law/legislation-act-2003</w:t>
        </w:r>
      </w:hyperlink>
      <w:r w:rsidR="006F2958" w:rsidRPr="006F2958">
        <w:rPr>
          <w:rStyle w:val="Hyperlink"/>
          <w:color w:val="auto"/>
          <w:sz w:val="18"/>
          <w:szCs w:val="18"/>
        </w:rPr>
        <w:t>.</w:t>
      </w:r>
    </w:p>
  </w:footnote>
  <w:footnote w:id="42">
    <w:p w14:paraId="22D3B4A7" w14:textId="23E620D1"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44" w:history="1">
        <w:r w:rsidRPr="00DE1224">
          <w:rPr>
            <w:rStyle w:val="Hyperlink"/>
            <w:sz w:val="18"/>
            <w:szCs w:val="18"/>
          </w:rPr>
          <w:t>https://www.ag.gov.au/legal-system/administrative-law/legislation-act-2003</w:t>
        </w:r>
      </w:hyperlink>
      <w:r w:rsidR="006F2958" w:rsidRPr="006F2958">
        <w:rPr>
          <w:rStyle w:val="Hyperlink"/>
          <w:color w:val="auto"/>
          <w:sz w:val="18"/>
          <w:szCs w:val="18"/>
        </w:rPr>
        <w:t>.</w:t>
      </w:r>
    </w:p>
  </w:footnote>
  <w:footnote w:id="43">
    <w:p w14:paraId="2EC640E9" w14:textId="784110EC"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45" w:history="1">
        <w:r w:rsidRPr="00717460">
          <w:rPr>
            <w:rStyle w:val="Hyperlink"/>
            <w:sz w:val="18"/>
            <w:szCs w:val="18"/>
            <w:lang w:val="en-AU"/>
          </w:rPr>
          <w:t>https://www.legislation.gov.au/help-and-resources/understanding-legislation/sunsetting-lists</w:t>
        </w:r>
      </w:hyperlink>
      <w:r w:rsidR="006F2958" w:rsidRPr="006F2958">
        <w:rPr>
          <w:rStyle w:val="Hyperlink"/>
          <w:color w:val="auto"/>
          <w:sz w:val="18"/>
          <w:szCs w:val="18"/>
        </w:rPr>
        <w:t>.</w:t>
      </w:r>
    </w:p>
  </w:footnote>
  <w:footnote w:id="44">
    <w:p w14:paraId="06B5071C" w14:textId="0D95C097"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46" w:history="1">
        <w:r w:rsidRPr="00DE1224">
          <w:rPr>
            <w:rStyle w:val="Hyperlink"/>
            <w:sz w:val="18"/>
            <w:szCs w:val="18"/>
            <w:lang w:val="en-AU"/>
          </w:rPr>
          <w:t>https://www.pmc.gov.au/resources/tabling-guidelines</w:t>
        </w:r>
      </w:hyperlink>
      <w:r w:rsidR="006F2958" w:rsidRPr="006F2958">
        <w:rPr>
          <w:rStyle w:val="Hyperlink"/>
          <w:color w:val="auto"/>
          <w:sz w:val="18"/>
          <w:szCs w:val="18"/>
        </w:rPr>
        <w:t>.</w:t>
      </w:r>
    </w:p>
  </w:footnote>
  <w:footnote w:id="45">
    <w:p w14:paraId="69DE7631" w14:textId="2FB7C72C"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47" w:history="1">
        <w:r w:rsidRPr="00717460">
          <w:rPr>
            <w:rStyle w:val="Hyperlink"/>
            <w:sz w:val="18"/>
            <w:szCs w:val="18"/>
          </w:rPr>
          <w:t>https://www.legislation.gov.au/legislative-instruments/sunsetting</w:t>
        </w:r>
      </w:hyperlink>
      <w:r w:rsidR="006F2958" w:rsidRPr="006F2958">
        <w:rPr>
          <w:rStyle w:val="Hyperlink"/>
          <w:color w:val="auto"/>
          <w:sz w:val="18"/>
          <w:szCs w:val="18"/>
        </w:rPr>
        <w:t>.</w:t>
      </w:r>
    </w:p>
  </w:footnote>
  <w:footnote w:id="46">
    <w:p w14:paraId="16691869" w14:textId="6F8C9B1A"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48" w:history="1">
        <w:r w:rsidRPr="00DE1224">
          <w:rPr>
            <w:rStyle w:val="Hyperlink"/>
            <w:sz w:val="18"/>
            <w:szCs w:val="18"/>
          </w:rPr>
          <w:t>https://www.ag.gov.au/legal-system/administrative-law/legislation-act-2003</w:t>
        </w:r>
      </w:hyperlink>
      <w:r w:rsidR="006F2958" w:rsidRPr="006F2958">
        <w:rPr>
          <w:rStyle w:val="Hyperlink"/>
          <w:color w:val="auto"/>
          <w:sz w:val="18"/>
          <w:szCs w:val="18"/>
        </w:rPr>
        <w:t>.</w:t>
      </w:r>
    </w:p>
  </w:footnote>
  <w:footnote w:id="47">
    <w:p w14:paraId="58DA291E" w14:textId="2333FCE4"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49" w:history="1">
        <w:hyperlink r:id="rId50" w:history="1">
          <w:r w:rsidRPr="00DE1224">
            <w:rPr>
              <w:rStyle w:val="Hyperlink"/>
              <w:sz w:val="18"/>
              <w:szCs w:val="18"/>
            </w:rPr>
            <w:t>https://www.ag.gov.au/legal-system/administrative-law/legislation-act-2003</w:t>
          </w:r>
        </w:hyperlink>
      </w:hyperlink>
      <w:r w:rsidR="006F2958" w:rsidRPr="006F2958">
        <w:rPr>
          <w:rStyle w:val="Hyperlink"/>
          <w:color w:val="auto"/>
          <w:sz w:val="18"/>
          <w:szCs w:val="18"/>
        </w:rPr>
        <w:t>.</w:t>
      </w:r>
    </w:p>
  </w:footnote>
  <w:footnote w:id="48">
    <w:p w14:paraId="44684DD9" w14:textId="7926FDB4"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51" w:history="1">
        <w:hyperlink r:id="rId52" w:history="1">
          <w:r w:rsidRPr="00DE1224">
            <w:rPr>
              <w:rStyle w:val="Hyperlink"/>
              <w:sz w:val="18"/>
              <w:szCs w:val="18"/>
            </w:rPr>
            <w:t>https://www.ag.gov.au/legal-system/administrative-law/legislation-act-2003</w:t>
          </w:r>
        </w:hyperlink>
      </w:hyperlink>
      <w:r w:rsidR="006F2958" w:rsidRPr="006F2958">
        <w:rPr>
          <w:rStyle w:val="Hyperlink"/>
          <w:color w:val="auto"/>
          <w:sz w:val="18"/>
          <w:szCs w:val="18"/>
        </w:rPr>
        <w:t>.</w:t>
      </w:r>
    </w:p>
  </w:footnote>
  <w:footnote w:id="49">
    <w:p w14:paraId="707F5186" w14:textId="5B8829B7"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53" w:history="1">
        <w:hyperlink r:id="rId54" w:history="1">
          <w:r w:rsidRPr="00DE1224">
            <w:rPr>
              <w:rStyle w:val="Hyperlink"/>
              <w:sz w:val="18"/>
              <w:szCs w:val="18"/>
            </w:rPr>
            <w:t>https://www.ag.gov.au/legal-system/administrative-law/legislation-act-2003</w:t>
          </w:r>
        </w:hyperlink>
      </w:hyperlink>
      <w:r w:rsidR="006F2958" w:rsidRPr="006F2958">
        <w:rPr>
          <w:rStyle w:val="Hyperlink"/>
          <w:color w:val="auto"/>
          <w:sz w:val="18"/>
          <w:szCs w:val="18"/>
        </w:rPr>
        <w:t>.</w:t>
      </w:r>
    </w:p>
  </w:footnote>
  <w:footnote w:id="50">
    <w:p w14:paraId="5F677DC2" w14:textId="40986455"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55" w:history="1">
        <w:hyperlink r:id="rId56" w:history="1">
          <w:r w:rsidRPr="00DE1224">
            <w:rPr>
              <w:rStyle w:val="Hyperlink"/>
              <w:sz w:val="18"/>
              <w:szCs w:val="18"/>
              <w:lang w:val="en-AU"/>
            </w:rPr>
            <w:t>https://www.pmc.gov.au/resources/tabling-guidelines</w:t>
          </w:r>
        </w:hyperlink>
      </w:hyperlink>
      <w:r w:rsidR="006F2958" w:rsidRPr="006F2958">
        <w:rPr>
          <w:rStyle w:val="Hyperlink"/>
          <w:color w:val="auto"/>
          <w:sz w:val="18"/>
          <w:szCs w:val="18"/>
        </w:rPr>
        <w:t>.</w:t>
      </w:r>
    </w:p>
  </w:footnote>
  <w:footnote w:id="51">
    <w:p w14:paraId="6CF3CEB4" w14:textId="169F7618" w:rsidR="00F02267" w:rsidRPr="00717460" w:rsidRDefault="00F02267" w:rsidP="00A732E3">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57" w:history="1">
        <w:r w:rsidRPr="00DE1224">
          <w:rPr>
            <w:rStyle w:val="Hyperlink"/>
            <w:sz w:val="18"/>
            <w:szCs w:val="18"/>
          </w:rPr>
          <w:t>OPC’s Instrument Drafting Guidance Note No. 1.4 Timeframes for the development of instruments</w:t>
        </w:r>
      </w:hyperlink>
      <w:r w:rsidRPr="00DE1224">
        <w:rPr>
          <w:sz w:val="18"/>
          <w:szCs w:val="18"/>
          <w:lang w:val="en-AU"/>
        </w:rPr>
        <w:t>.</w:t>
      </w:r>
    </w:p>
  </w:footnote>
  <w:footnote w:id="52">
    <w:p w14:paraId="205073E3" w14:textId="66AB7256" w:rsidR="00F02267" w:rsidRPr="00717460" w:rsidRDefault="00F02267" w:rsidP="00A83991">
      <w:pPr>
        <w:pStyle w:val="FootnoteText"/>
        <w:rPr>
          <w:sz w:val="18"/>
          <w:szCs w:val="18"/>
          <w:lang w:val="en-AU"/>
        </w:rPr>
      </w:pPr>
      <w:r w:rsidRPr="00717460">
        <w:rPr>
          <w:rStyle w:val="FootnoteReference"/>
          <w:sz w:val="18"/>
          <w:szCs w:val="18"/>
        </w:rPr>
        <w:footnoteRef/>
      </w:r>
      <w:r w:rsidRPr="00717460">
        <w:rPr>
          <w:sz w:val="18"/>
          <w:szCs w:val="18"/>
        </w:rPr>
        <w:t xml:space="preserve"> </w:t>
      </w:r>
      <w:r w:rsidRPr="00717460">
        <w:rPr>
          <w:sz w:val="18"/>
          <w:szCs w:val="18"/>
          <w:lang w:val="en-AU"/>
        </w:rPr>
        <w:t xml:space="preserve">See </w:t>
      </w:r>
      <w:hyperlink r:id="rId58" w:history="1">
        <w:hyperlink r:id="rId59" w:history="1">
          <w:r w:rsidRPr="00DE1224">
            <w:rPr>
              <w:rStyle w:val="Hyperlink"/>
              <w:sz w:val="18"/>
              <w:szCs w:val="18"/>
            </w:rPr>
            <w:t>https://www.pmc.gov.au/resources/legislation-handbook</w:t>
          </w:r>
        </w:hyperlink>
      </w:hyperlink>
      <w:r w:rsidR="006F2958" w:rsidRPr="006F2958">
        <w:rPr>
          <w:rStyle w:val="Hyperlink"/>
          <w:color w:val="aut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C6FB" w14:textId="0799BE2F" w:rsidR="00F02267" w:rsidRDefault="00F02267" w:rsidP="00954645">
    <w:pPr>
      <w:pStyle w:val="Header"/>
      <w:spacing w:before="60" w:after="60"/>
      <w:rPr>
        <w:sz w:val="20"/>
      </w:rPr>
    </w:pPr>
    <w:r w:rsidRPr="00A22B61">
      <w:rPr>
        <w:b/>
        <w:sz w:val="20"/>
      </w:rPr>
      <w:t>Part 1</w:t>
    </w:r>
    <w:r>
      <w:rPr>
        <w:sz w:val="20"/>
      </w:rPr>
      <w:t xml:space="preserve">  Matters relevant to all instruments</w:t>
    </w:r>
  </w:p>
  <w:p w14:paraId="7295848D" w14:textId="4D9940D4" w:rsidR="00F02267" w:rsidRDefault="00F02267" w:rsidP="00954645">
    <w:pPr>
      <w:pStyle w:val="Header"/>
      <w:spacing w:before="60" w:after="60"/>
      <w:rPr>
        <w:sz w:val="20"/>
      </w:rPr>
    </w:pPr>
    <w:r>
      <w:rPr>
        <w:sz w:val="20"/>
      </w:rPr>
      <w:t xml:space="preserve">  </w:t>
    </w:r>
  </w:p>
  <w:p w14:paraId="0B58E1DB" w14:textId="1CCDE271" w:rsidR="00F02267" w:rsidRPr="0063421B" w:rsidRDefault="00F02267" w:rsidP="00746EB4">
    <w:pPr>
      <w:pBdr>
        <w:bottom w:val="single" w:sz="6" w:space="1" w:color="auto"/>
      </w:pBdr>
      <w:spacing w:after="280"/>
      <w:rPr>
        <w:sz w:val="20"/>
      </w:rPr>
    </w:pPr>
    <w:r w:rsidRPr="00A22B61">
      <w:rPr>
        <w:b/>
        <w:sz w:val="20"/>
      </w:rPr>
      <w:t>Chapter 1</w:t>
    </w:r>
    <w:r>
      <w:rPr>
        <w:sz w:val="20"/>
      </w:rPr>
      <w:t xml:space="preserve">  Introduction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8A3F" w14:textId="77777777" w:rsidR="00F02267" w:rsidRDefault="00F02267" w:rsidP="00AD6EAA">
    <w:pPr>
      <w:pStyle w:val="Header"/>
      <w:spacing w:before="60" w:after="60"/>
      <w:rPr>
        <w:sz w:val="20"/>
      </w:rPr>
    </w:pPr>
    <w:r w:rsidRPr="00A22B61">
      <w:rPr>
        <w:b/>
        <w:sz w:val="20"/>
      </w:rPr>
      <w:t xml:space="preserve">Part </w:t>
    </w:r>
    <w:r>
      <w:rPr>
        <w:b/>
        <w:sz w:val="20"/>
      </w:rPr>
      <w:t>2</w:t>
    </w:r>
    <w:r>
      <w:rPr>
        <w:sz w:val="20"/>
      </w:rPr>
      <w:t xml:space="preserve">  Matters specific to legislative instruments</w:t>
    </w:r>
  </w:p>
  <w:p w14:paraId="3ED55B91" w14:textId="77777777" w:rsidR="00F02267" w:rsidRDefault="00F02267" w:rsidP="00AD6EAA">
    <w:pPr>
      <w:pStyle w:val="Header"/>
      <w:spacing w:before="60" w:after="60"/>
      <w:rPr>
        <w:sz w:val="20"/>
      </w:rPr>
    </w:pPr>
    <w:r>
      <w:rPr>
        <w:sz w:val="20"/>
      </w:rPr>
      <w:t xml:space="preserve">  </w:t>
    </w:r>
  </w:p>
  <w:p w14:paraId="1A26AADC" w14:textId="2E6D134E" w:rsidR="00F02267" w:rsidRPr="00F22156" w:rsidRDefault="00F02267" w:rsidP="00F22156">
    <w:pPr>
      <w:pBdr>
        <w:bottom w:val="single" w:sz="6" w:space="1" w:color="auto"/>
      </w:pBdr>
      <w:spacing w:after="280"/>
    </w:pPr>
    <w:r w:rsidRPr="00A22B61">
      <w:rPr>
        <w:b/>
        <w:sz w:val="20"/>
      </w:rPr>
      <w:t xml:space="preserve">Chapter </w:t>
    </w:r>
    <w:r>
      <w:rPr>
        <w:b/>
        <w:sz w:val="20"/>
      </w:rPr>
      <w:t>10</w:t>
    </w:r>
    <w:r>
      <w:rPr>
        <w:sz w:val="20"/>
      </w:rPr>
      <w:t xml:space="preserve">  Sunsetting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252C" w14:textId="315E69F5" w:rsidR="00F02267" w:rsidRDefault="00F02267" w:rsidP="00AD6EAA">
    <w:pPr>
      <w:pStyle w:val="Header"/>
      <w:spacing w:before="60" w:after="60"/>
      <w:rPr>
        <w:sz w:val="20"/>
      </w:rPr>
    </w:pPr>
    <w:r>
      <w:rPr>
        <w:b/>
        <w:sz w:val="20"/>
      </w:rPr>
      <w:t>Appendix A</w:t>
    </w:r>
    <w:r>
      <w:rPr>
        <w:sz w:val="20"/>
      </w:rPr>
      <w:t xml:space="preserve">  Sunsetting Checklist</w:t>
    </w:r>
  </w:p>
  <w:p w14:paraId="42788882" w14:textId="1505B620" w:rsidR="00F02267" w:rsidRPr="0063421B" w:rsidRDefault="00F02267" w:rsidP="009349CD">
    <w:pPr>
      <w:pBdr>
        <w:bottom w:val="single" w:sz="6" w:space="1" w:color="auto"/>
      </w:pBdr>
      <w:spacing w:after="280"/>
      <w:rPr>
        <w:sz w:val="20"/>
      </w:rPr>
    </w:pPr>
    <w:r>
      <w:rPr>
        <w:sz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EF5F" w14:textId="77777777" w:rsidR="00F02267" w:rsidRDefault="00F02267" w:rsidP="00AD6EAA">
    <w:pPr>
      <w:pStyle w:val="Header"/>
      <w:spacing w:before="60" w:after="60"/>
      <w:rPr>
        <w:sz w:val="20"/>
      </w:rPr>
    </w:pPr>
    <w:r>
      <w:rPr>
        <w:b/>
        <w:sz w:val="20"/>
      </w:rPr>
      <w:t>Further reading</w:t>
    </w:r>
  </w:p>
  <w:p w14:paraId="4EDDC875" w14:textId="7F357760" w:rsidR="00F02267" w:rsidRPr="0063421B" w:rsidRDefault="00F02267" w:rsidP="00F22156">
    <w:pPr>
      <w:pBdr>
        <w:bottom w:val="single" w:sz="6" w:space="1" w:color="auto"/>
      </w:pBdr>
      <w:spacing w:after="280"/>
      <w:rPr>
        <w:sz w:val="20"/>
      </w:rPr>
    </w:pPr>
    <w:r>
      <w:rPr>
        <w:sz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80B7" w14:textId="0D494015" w:rsidR="00F02267" w:rsidRDefault="00F02267" w:rsidP="00AD6EAA">
    <w:pPr>
      <w:pStyle w:val="Header"/>
      <w:spacing w:before="60" w:after="60"/>
      <w:rPr>
        <w:sz w:val="20"/>
      </w:rPr>
    </w:pPr>
    <w:r>
      <w:rPr>
        <w:b/>
        <w:sz w:val="20"/>
      </w:rPr>
      <w:t>Useful contacts</w:t>
    </w:r>
  </w:p>
  <w:p w14:paraId="1FF9F647" w14:textId="2243D329" w:rsidR="00F02267" w:rsidRPr="0063421B" w:rsidRDefault="00F02267" w:rsidP="00F22156">
    <w:pPr>
      <w:pBdr>
        <w:bottom w:val="single" w:sz="6" w:space="1" w:color="auto"/>
      </w:pBdr>
      <w:spacing w:after="280"/>
      <w:rPr>
        <w:sz w:val="20"/>
      </w:rPr>
    </w:pPr>
    <w:r>
      <w:rPr>
        <w:sz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D595" w14:textId="77777777" w:rsidR="00F02267" w:rsidRDefault="00F02267" w:rsidP="00D9016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5825" w14:textId="0740D285" w:rsidR="00F02267" w:rsidRDefault="00F02267" w:rsidP="00AD6EAA">
    <w:pPr>
      <w:pStyle w:val="Header"/>
      <w:spacing w:before="60" w:after="60"/>
      <w:rPr>
        <w:sz w:val="20"/>
      </w:rPr>
    </w:pPr>
    <w:r>
      <w:rPr>
        <w:b/>
        <w:sz w:val="20"/>
      </w:rPr>
      <w:t>Document history</w:t>
    </w:r>
  </w:p>
  <w:p w14:paraId="77D28271" w14:textId="4A53C409" w:rsidR="00F02267" w:rsidRPr="0063421B" w:rsidRDefault="00F02267" w:rsidP="00F22156">
    <w:pPr>
      <w:pBdr>
        <w:bottom w:val="single" w:sz="6" w:space="1" w:color="auto"/>
      </w:pBdr>
      <w:spacing w:after="280"/>
      <w:rPr>
        <w:sz w:val="20"/>
      </w:rPr>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2837" w14:textId="77777777" w:rsidR="00F02267" w:rsidRDefault="00F02267" w:rsidP="00954645">
    <w:pPr>
      <w:pStyle w:val="Header"/>
      <w:spacing w:before="60" w:after="60"/>
      <w:rPr>
        <w:sz w:val="20"/>
      </w:rPr>
    </w:pPr>
    <w:r w:rsidRPr="00A22B61">
      <w:rPr>
        <w:b/>
        <w:sz w:val="20"/>
      </w:rPr>
      <w:t>Part 1</w:t>
    </w:r>
    <w:r>
      <w:rPr>
        <w:sz w:val="20"/>
      </w:rPr>
      <w:t xml:space="preserve">  Matters relevant to all instruments</w:t>
    </w:r>
  </w:p>
  <w:p w14:paraId="5C2C964D" w14:textId="77777777" w:rsidR="00F02267" w:rsidRDefault="00F02267" w:rsidP="00954645">
    <w:pPr>
      <w:pStyle w:val="Header"/>
      <w:spacing w:before="60" w:after="60"/>
      <w:rPr>
        <w:sz w:val="20"/>
      </w:rPr>
    </w:pPr>
    <w:r>
      <w:rPr>
        <w:sz w:val="20"/>
      </w:rPr>
      <w:t xml:space="preserve">  </w:t>
    </w:r>
  </w:p>
  <w:p w14:paraId="358EFD63" w14:textId="0F25C923" w:rsidR="00F02267" w:rsidRPr="0063421B" w:rsidRDefault="00F02267" w:rsidP="00746EB4">
    <w:pPr>
      <w:pBdr>
        <w:bottom w:val="single" w:sz="6" w:space="1" w:color="auto"/>
      </w:pBdr>
      <w:spacing w:after="280"/>
      <w:rPr>
        <w:sz w:val="20"/>
      </w:rPr>
    </w:pPr>
    <w:r w:rsidRPr="00A22B61">
      <w:rPr>
        <w:b/>
        <w:sz w:val="20"/>
      </w:rPr>
      <w:t xml:space="preserve">Chapter </w:t>
    </w:r>
    <w:r>
      <w:rPr>
        <w:b/>
        <w:sz w:val="20"/>
      </w:rPr>
      <w:t>2</w:t>
    </w:r>
    <w:r>
      <w:rPr>
        <w:sz w:val="20"/>
      </w:rPr>
      <w:t xml:space="preserve">  Key concepts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2372" w14:textId="77777777" w:rsidR="00F02267" w:rsidRDefault="00F02267" w:rsidP="00110834">
    <w:pPr>
      <w:pStyle w:val="Header"/>
      <w:spacing w:before="60" w:after="60"/>
      <w:rPr>
        <w:sz w:val="20"/>
      </w:rPr>
    </w:pPr>
    <w:r w:rsidRPr="00A22B61">
      <w:rPr>
        <w:b/>
        <w:sz w:val="20"/>
      </w:rPr>
      <w:t>Part 1</w:t>
    </w:r>
    <w:r>
      <w:rPr>
        <w:sz w:val="20"/>
      </w:rPr>
      <w:t xml:space="preserve">  Matters relevant to all instruments</w:t>
    </w:r>
  </w:p>
  <w:p w14:paraId="72FAB35D" w14:textId="77777777" w:rsidR="00F02267" w:rsidRDefault="00F02267" w:rsidP="00110834">
    <w:pPr>
      <w:pStyle w:val="Header"/>
      <w:spacing w:before="60" w:after="60"/>
      <w:rPr>
        <w:sz w:val="20"/>
      </w:rPr>
    </w:pPr>
    <w:r>
      <w:rPr>
        <w:sz w:val="20"/>
      </w:rPr>
      <w:t xml:space="preserve">  </w:t>
    </w:r>
  </w:p>
  <w:p w14:paraId="16BFE6CE" w14:textId="7FD6B4C6" w:rsidR="00F02267" w:rsidRPr="0063421B" w:rsidRDefault="00F02267" w:rsidP="006B01B4">
    <w:pPr>
      <w:pBdr>
        <w:bottom w:val="single" w:sz="6" w:space="1" w:color="auto"/>
      </w:pBdr>
      <w:spacing w:after="280"/>
      <w:rPr>
        <w:sz w:val="20"/>
      </w:rPr>
    </w:pPr>
    <w:r w:rsidRPr="00A22B61">
      <w:rPr>
        <w:b/>
        <w:sz w:val="20"/>
      </w:rPr>
      <w:t xml:space="preserve">Chapter </w:t>
    </w:r>
    <w:r>
      <w:rPr>
        <w:b/>
        <w:sz w:val="20"/>
      </w:rPr>
      <w:t>3</w:t>
    </w:r>
    <w:r>
      <w:rPr>
        <w:sz w:val="20"/>
      </w:rPr>
      <w:t xml:space="preserve">  Drafting and interpretation of instruments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C16C" w14:textId="77777777" w:rsidR="00F02267" w:rsidRDefault="00F02267" w:rsidP="00D82E2F">
    <w:pPr>
      <w:pStyle w:val="Header"/>
      <w:spacing w:before="60" w:after="60"/>
      <w:rPr>
        <w:sz w:val="20"/>
      </w:rPr>
    </w:pPr>
    <w:r w:rsidRPr="00A22B61">
      <w:rPr>
        <w:b/>
        <w:sz w:val="20"/>
      </w:rPr>
      <w:t>Part 1</w:t>
    </w:r>
    <w:r>
      <w:rPr>
        <w:sz w:val="20"/>
      </w:rPr>
      <w:t xml:space="preserve">  Matters relevant to all instruments</w:t>
    </w:r>
  </w:p>
  <w:p w14:paraId="5DB80421" w14:textId="77777777" w:rsidR="00F02267" w:rsidRDefault="00F02267" w:rsidP="00D82E2F">
    <w:pPr>
      <w:pStyle w:val="Header"/>
      <w:spacing w:before="60" w:after="60"/>
      <w:rPr>
        <w:sz w:val="20"/>
      </w:rPr>
    </w:pPr>
    <w:r>
      <w:rPr>
        <w:sz w:val="20"/>
      </w:rPr>
      <w:t xml:space="preserve">  </w:t>
    </w:r>
  </w:p>
  <w:p w14:paraId="2A039767" w14:textId="77777777" w:rsidR="00F02267" w:rsidRPr="00AE03D3" w:rsidRDefault="00F02267" w:rsidP="003A3A09">
    <w:pPr>
      <w:pBdr>
        <w:bottom w:val="single" w:sz="6" w:space="1" w:color="auto"/>
      </w:pBdr>
      <w:spacing w:after="120"/>
      <w:rPr>
        <w:sz w:val="20"/>
      </w:rPr>
    </w:pPr>
    <w:r w:rsidRPr="00A22B61">
      <w:rPr>
        <w:b/>
        <w:sz w:val="20"/>
      </w:rPr>
      <w:t xml:space="preserve">Chapter </w:t>
    </w:r>
    <w:r>
      <w:rPr>
        <w:b/>
        <w:sz w:val="20"/>
      </w:rPr>
      <w:t>4</w:t>
    </w:r>
    <w:r>
      <w:rPr>
        <w:sz w:val="20"/>
      </w:rPr>
      <w:t xml:space="preserve">  Lodgement and registration of instruments</w:t>
    </w:r>
  </w:p>
  <w:p w14:paraId="77835328" w14:textId="6451FFE8" w:rsidR="00F02267" w:rsidRPr="0063421B" w:rsidRDefault="00F02267" w:rsidP="00D82E2F">
    <w:pPr>
      <w:pStyle w:val="Header"/>
      <w:spacing w:before="60" w:after="6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83DA" w14:textId="77777777" w:rsidR="00F02267" w:rsidRDefault="00F02267" w:rsidP="00D82E2F">
    <w:pPr>
      <w:pStyle w:val="Header"/>
      <w:spacing w:before="60" w:after="60"/>
      <w:rPr>
        <w:sz w:val="20"/>
      </w:rPr>
    </w:pPr>
    <w:r w:rsidRPr="00A22B61">
      <w:rPr>
        <w:b/>
        <w:sz w:val="20"/>
      </w:rPr>
      <w:t>Part 1</w:t>
    </w:r>
    <w:r>
      <w:rPr>
        <w:sz w:val="20"/>
      </w:rPr>
      <w:t xml:space="preserve">  Matters relevant to all instruments</w:t>
    </w:r>
  </w:p>
  <w:p w14:paraId="19EFEBB5" w14:textId="77777777" w:rsidR="00F02267" w:rsidRDefault="00F02267" w:rsidP="00D82E2F">
    <w:pPr>
      <w:pStyle w:val="Header"/>
      <w:spacing w:before="60" w:after="60"/>
      <w:rPr>
        <w:sz w:val="20"/>
      </w:rPr>
    </w:pPr>
    <w:r>
      <w:rPr>
        <w:sz w:val="20"/>
      </w:rPr>
      <w:t xml:space="preserve">  </w:t>
    </w:r>
  </w:p>
  <w:p w14:paraId="24324A5C" w14:textId="453DECA1" w:rsidR="00F02267" w:rsidRPr="0063421B" w:rsidRDefault="00F02267" w:rsidP="00F22156">
    <w:pPr>
      <w:pBdr>
        <w:bottom w:val="single" w:sz="6" w:space="1" w:color="auto"/>
      </w:pBdr>
      <w:spacing w:after="280"/>
    </w:pPr>
    <w:r w:rsidRPr="00A22B61">
      <w:rPr>
        <w:b/>
        <w:sz w:val="20"/>
      </w:rPr>
      <w:t xml:space="preserve">Chapter </w:t>
    </w:r>
    <w:r>
      <w:rPr>
        <w:b/>
        <w:sz w:val="20"/>
      </w:rPr>
      <w:t>5</w:t>
    </w:r>
    <w:r>
      <w:rPr>
        <w:sz w:val="20"/>
      </w:rPr>
      <w:t xml:space="preserve">  Compilations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2D3D" w14:textId="77777777" w:rsidR="00F02267" w:rsidRDefault="00F02267" w:rsidP="00D82E2F">
    <w:pPr>
      <w:pStyle w:val="Header"/>
      <w:spacing w:before="60" w:after="60"/>
      <w:rPr>
        <w:sz w:val="20"/>
      </w:rPr>
    </w:pPr>
    <w:r w:rsidRPr="00A22B61">
      <w:rPr>
        <w:b/>
        <w:sz w:val="20"/>
      </w:rPr>
      <w:t>Part 1</w:t>
    </w:r>
    <w:r>
      <w:rPr>
        <w:sz w:val="20"/>
      </w:rPr>
      <w:t xml:space="preserve">  Matters relevant to all instruments</w:t>
    </w:r>
  </w:p>
  <w:p w14:paraId="61405CC4" w14:textId="77777777" w:rsidR="00F02267" w:rsidRDefault="00F02267" w:rsidP="00D82E2F">
    <w:pPr>
      <w:pStyle w:val="Header"/>
      <w:spacing w:before="60" w:after="60"/>
      <w:rPr>
        <w:sz w:val="20"/>
      </w:rPr>
    </w:pPr>
    <w:r>
      <w:rPr>
        <w:sz w:val="20"/>
      </w:rPr>
      <w:t xml:space="preserve">  </w:t>
    </w:r>
  </w:p>
  <w:p w14:paraId="7D33C2B6" w14:textId="763FC2B3" w:rsidR="00F02267" w:rsidRPr="00F22156" w:rsidRDefault="00F02267" w:rsidP="00F22156">
    <w:pPr>
      <w:pBdr>
        <w:bottom w:val="single" w:sz="6" w:space="1" w:color="auto"/>
      </w:pBdr>
      <w:spacing w:after="280"/>
    </w:pPr>
    <w:r w:rsidRPr="00A22B61">
      <w:rPr>
        <w:b/>
        <w:sz w:val="20"/>
      </w:rPr>
      <w:t xml:space="preserve">Chapter </w:t>
    </w:r>
    <w:r>
      <w:rPr>
        <w:b/>
        <w:sz w:val="20"/>
      </w:rPr>
      <w:t>6</w:t>
    </w:r>
    <w:r>
      <w:rPr>
        <w:sz w:val="20"/>
      </w:rPr>
      <w:t xml:space="preserve">  Keeping the Register up</w:t>
    </w:r>
    <w:r w:rsidR="0082723A">
      <w:rPr>
        <w:sz w:val="20"/>
      </w:rPr>
      <w:t xml:space="preserve"> </w:t>
    </w:r>
    <w:r>
      <w:rPr>
        <w:sz w:val="20"/>
      </w:rPr>
      <w:t>to</w:t>
    </w:r>
    <w:r w:rsidR="0082723A">
      <w:rPr>
        <w:sz w:val="20"/>
      </w:rPr>
      <w:t xml:space="preserve"> </w:t>
    </w:r>
    <w:r>
      <w:rPr>
        <w:sz w:val="20"/>
      </w:rPr>
      <w:t>date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6907" w14:textId="6CA0458D" w:rsidR="00F02267" w:rsidRDefault="00F02267" w:rsidP="009F37AF">
    <w:pPr>
      <w:pStyle w:val="Header"/>
      <w:spacing w:before="60" w:after="60"/>
      <w:rPr>
        <w:sz w:val="20"/>
      </w:rPr>
    </w:pPr>
    <w:r w:rsidRPr="00A22B61">
      <w:rPr>
        <w:b/>
        <w:sz w:val="20"/>
      </w:rPr>
      <w:t xml:space="preserve">Part </w:t>
    </w:r>
    <w:r>
      <w:rPr>
        <w:b/>
        <w:sz w:val="20"/>
      </w:rPr>
      <w:t>2</w:t>
    </w:r>
    <w:r>
      <w:rPr>
        <w:sz w:val="20"/>
      </w:rPr>
      <w:t xml:space="preserve">  Matters specific to legislative instruments</w:t>
    </w:r>
  </w:p>
  <w:p w14:paraId="67CA0B01" w14:textId="77777777" w:rsidR="00F02267" w:rsidRDefault="00F02267" w:rsidP="009F37AF">
    <w:pPr>
      <w:pStyle w:val="Header"/>
      <w:spacing w:before="60" w:after="60"/>
      <w:rPr>
        <w:sz w:val="20"/>
      </w:rPr>
    </w:pPr>
    <w:r>
      <w:rPr>
        <w:sz w:val="20"/>
      </w:rPr>
      <w:t xml:space="preserve">  </w:t>
    </w:r>
  </w:p>
  <w:p w14:paraId="4D1520EB" w14:textId="01EE3F26" w:rsidR="00F02267" w:rsidRPr="00F22156" w:rsidRDefault="00F02267" w:rsidP="00F22156">
    <w:pPr>
      <w:pBdr>
        <w:bottom w:val="single" w:sz="6" w:space="1" w:color="auto"/>
      </w:pBdr>
      <w:spacing w:after="280"/>
    </w:pPr>
    <w:r w:rsidRPr="00A22B61">
      <w:rPr>
        <w:b/>
        <w:sz w:val="20"/>
      </w:rPr>
      <w:t xml:space="preserve">Chapter </w:t>
    </w:r>
    <w:r>
      <w:rPr>
        <w:b/>
        <w:sz w:val="20"/>
      </w:rPr>
      <w:t>7</w:t>
    </w:r>
    <w:r>
      <w:rPr>
        <w:sz w:val="20"/>
      </w:rPr>
      <w:t xml:space="preserve">  Before making a legislative instrument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3620" w14:textId="77777777" w:rsidR="00F02267" w:rsidRDefault="00F02267" w:rsidP="009F37AF">
    <w:pPr>
      <w:pStyle w:val="Header"/>
      <w:spacing w:before="60" w:after="60"/>
      <w:rPr>
        <w:sz w:val="20"/>
      </w:rPr>
    </w:pPr>
    <w:r w:rsidRPr="00A22B61">
      <w:rPr>
        <w:b/>
        <w:sz w:val="20"/>
      </w:rPr>
      <w:t xml:space="preserve">Part </w:t>
    </w:r>
    <w:r>
      <w:rPr>
        <w:b/>
        <w:sz w:val="20"/>
      </w:rPr>
      <w:t>2</w:t>
    </w:r>
    <w:r>
      <w:rPr>
        <w:sz w:val="20"/>
      </w:rPr>
      <w:t xml:space="preserve">  Matters specific to legislative instruments</w:t>
    </w:r>
  </w:p>
  <w:p w14:paraId="69C941BD" w14:textId="77777777" w:rsidR="00F02267" w:rsidRDefault="00F02267" w:rsidP="009F37AF">
    <w:pPr>
      <w:pStyle w:val="Header"/>
      <w:spacing w:before="60" w:after="60"/>
      <w:rPr>
        <w:sz w:val="20"/>
      </w:rPr>
    </w:pPr>
    <w:r>
      <w:rPr>
        <w:sz w:val="20"/>
      </w:rPr>
      <w:t xml:space="preserve">  </w:t>
    </w:r>
  </w:p>
  <w:p w14:paraId="68EBE0E0" w14:textId="1698B559" w:rsidR="00F02267" w:rsidRPr="00F22156" w:rsidRDefault="00F02267" w:rsidP="00F22156">
    <w:pPr>
      <w:pBdr>
        <w:bottom w:val="single" w:sz="6" w:space="1" w:color="auto"/>
      </w:pBdr>
      <w:spacing w:after="280"/>
    </w:pPr>
    <w:r w:rsidRPr="00A22B61">
      <w:rPr>
        <w:b/>
        <w:sz w:val="20"/>
      </w:rPr>
      <w:t xml:space="preserve">Chapter </w:t>
    </w:r>
    <w:r>
      <w:rPr>
        <w:b/>
        <w:sz w:val="20"/>
      </w:rPr>
      <w:t>8</w:t>
    </w:r>
    <w:r>
      <w:rPr>
        <w:sz w:val="20"/>
      </w:rPr>
      <w:t xml:space="preserve">  Explanatory statements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93DD" w14:textId="77777777" w:rsidR="00F02267" w:rsidRDefault="00F02267" w:rsidP="009F37AF">
    <w:pPr>
      <w:pStyle w:val="Header"/>
      <w:spacing w:before="60" w:after="60"/>
      <w:rPr>
        <w:sz w:val="20"/>
      </w:rPr>
    </w:pPr>
    <w:r w:rsidRPr="00A22B61">
      <w:rPr>
        <w:b/>
        <w:sz w:val="20"/>
      </w:rPr>
      <w:t xml:space="preserve">Part </w:t>
    </w:r>
    <w:r>
      <w:rPr>
        <w:b/>
        <w:sz w:val="20"/>
      </w:rPr>
      <w:t>2</w:t>
    </w:r>
    <w:r>
      <w:rPr>
        <w:sz w:val="20"/>
      </w:rPr>
      <w:t xml:space="preserve">  Matters specific to legislative instruments</w:t>
    </w:r>
  </w:p>
  <w:p w14:paraId="1B358916" w14:textId="77777777" w:rsidR="00F02267" w:rsidRDefault="00F02267" w:rsidP="009F37AF">
    <w:pPr>
      <w:pStyle w:val="Header"/>
      <w:spacing w:before="60" w:after="60"/>
      <w:rPr>
        <w:sz w:val="20"/>
      </w:rPr>
    </w:pPr>
    <w:r>
      <w:rPr>
        <w:sz w:val="20"/>
      </w:rPr>
      <w:t xml:space="preserve">  </w:t>
    </w:r>
  </w:p>
  <w:p w14:paraId="6FD8D7F2" w14:textId="5AB17403" w:rsidR="00F02267" w:rsidRPr="00F22156" w:rsidRDefault="00F02267" w:rsidP="00F22156">
    <w:pPr>
      <w:pBdr>
        <w:bottom w:val="single" w:sz="6" w:space="1" w:color="auto"/>
      </w:pBdr>
      <w:spacing w:after="280"/>
    </w:pPr>
    <w:r w:rsidRPr="00A22B61">
      <w:rPr>
        <w:b/>
        <w:sz w:val="20"/>
      </w:rPr>
      <w:t xml:space="preserve">Chapter </w:t>
    </w:r>
    <w:r>
      <w:rPr>
        <w:b/>
        <w:sz w:val="20"/>
      </w:rPr>
      <w:t>9</w:t>
    </w:r>
    <w:r>
      <w:rPr>
        <w:sz w:val="20"/>
      </w:rPr>
      <w:t xml:space="preserve">  Parliamentary scrutiny (disallowance) processes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26D2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085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161A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6A6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486A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4F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4A27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A72821E0"/>
    <w:lvl w:ilvl="0">
      <w:start w:val="1"/>
      <w:numFmt w:val="decimal"/>
      <w:lvlText w:val="%1."/>
      <w:lvlJc w:val="left"/>
      <w:pPr>
        <w:tabs>
          <w:tab w:val="num" w:pos="360"/>
        </w:tabs>
        <w:ind w:left="360" w:hanging="360"/>
      </w:p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4F4ED9"/>
    <w:multiLevelType w:val="hybridMultilevel"/>
    <w:tmpl w:val="12409252"/>
    <w:name w:val="hd6"/>
    <w:lvl w:ilvl="0" w:tplc="5A143636">
      <w:start w:val="1"/>
      <w:numFmt w:val="bullet"/>
      <w:lvlText w:val=""/>
      <w:lvlJc w:val="left"/>
      <w:pPr>
        <w:tabs>
          <w:tab w:val="num" w:pos="1440"/>
        </w:tabs>
        <w:ind w:left="1440" w:hanging="360"/>
      </w:pPr>
      <w:rPr>
        <w:rFonts w:ascii="Wingdings" w:hAnsi="Wingdings" w:hint="default"/>
        <w:b w:val="0"/>
        <w:i w:val="0"/>
        <w:sz w:val="24"/>
        <w:szCs w:val="24"/>
      </w:rPr>
    </w:lvl>
    <w:lvl w:ilvl="1" w:tplc="DD9A1C86">
      <w:start w:val="1"/>
      <w:numFmt w:val="bullet"/>
      <w:lvlText w:val=""/>
      <w:lvlJc w:val="left"/>
      <w:pPr>
        <w:tabs>
          <w:tab w:val="num" w:pos="796"/>
        </w:tabs>
        <w:ind w:left="1647" w:hanging="567"/>
      </w:pPr>
      <w:rPr>
        <w:rFonts w:ascii="Symbol" w:hAnsi="Symbol" w:hint="default"/>
        <w:b w:val="0"/>
        <w:i w:val="0"/>
        <w:sz w:val="20"/>
        <w:szCs w:val="20"/>
      </w:rPr>
    </w:lvl>
    <w:lvl w:ilvl="2" w:tplc="0C09000F">
      <w:start w:val="1"/>
      <w:numFmt w:val="decimal"/>
      <w:lvlText w:val="%3."/>
      <w:lvlJc w:val="left"/>
      <w:pPr>
        <w:tabs>
          <w:tab w:val="num" w:pos="2340"/>
        </w:tabs>
        <w:ind w:left="2340" w:hanging="360"/>
      </w:pPr>
      <w:rPr>
        <w:b w:val="0"/>
        <w:i w:val="0"/>
        <w:sz w:val="24"/>
        <w:szCs w:val="24"/>
      </w:rPr>
    </w:lvl>
    <w:lvl w:ilvl="3" w:tplc="D9B462FE">
      <w:start w:val="1"/>
      <w:numFmt w:val="decimal"/>
      <w:lvlText w:val="%4."/>
      <w:lvlJc w:val="left"/>
      <w:pPr>
        <w:tabs>
          <w:tab w:val="num" w:pos="2880"/>
        </w:tabs>
        <w:ind w:left="2880" w:hanging="360"/>
      </w:pPr>
      <w:rPr>
        <w:b w:val="0"/>
        <w:i w:val="0"/>
        <w:sz w:val="24"/>
        <w:szCs w:val="24"/>
      </w:r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0" w15:restartNumberingAfterBreak="0">
    <w:nsid w:val="26AB1872"/>
    <w:multiLevelType w:val="hybridMultilevel"/>
    <w:tmpl w:val="0A9080CE"/>
    <w:name w:val="hd62"/>
    <w:lvl w:ilvl="0" w:tplc="C924F840">
      <w:numFmt w:val="bullet"/>
      <w:lvlText w:val=""/>
      <w:lvlJc w:val="left"/>
      <w:pPr>
        <w:tabs>
          <w:tab w:val="num" w:pos="567"/>
        </w:tabs>
        <w:ind w:left="1418" w:hanging="567"/>
      </w:pPr>
      <w:rPr>
        <w:rFonts w:ascii="Symbol" w:hAnsi="Symbol" w:hint="default"/>
        <w:b w:val="0"/>
        <w:i w:val="0"/>
        <w:sz w:val="20"/>
      </w:rPr>
    </w:lvl>
    <w:lvl w:ilvl="1" w:tplc="985C9240">
      <w:start w:val="1"/>
      <w:numFmt w:val="bullet"/>
      <w:lvlText w:val=""/>
      <w:lvlJc w:val="left"/>
      <w:pPr>
        <w:tabs>
          <w:tab w:val="num" w:pos="1364"/>
        </w:tabs>
        <w:ind w:left="1364" w:hanging="284"/>
      </w:pPr>
      <w:rPr>
        <w:rFonts w:ascii="Symbol" w:hAnsi="Symbol" w:hint="default"/>
        <w:b w:val="0"/>
        <w:i w:val="0"/>
        <w:color w:val="auto"/>
        <w:sz w:val="20"/>
      </w:rPr>
    </w:lvl>
    <w:lvl w:ilvl="2" w:tplc="0C090005">
      <w:start w:val="1"/>
      <w:numFmt w:val="bullet"/>
      <w:lvlText w:val=""/>
      <w:lvlJc w:val="left"/>
      <w:pPr>
        <w:tabs>
          <w:tab w:val="num" w:pos="2160"/>
        </w:tabs>
        <w:ind w:left="2160" w:hanging="360"/>
      </w:pPr>
      <w:rPr>
        <w:rFonts w:ascii="Wingdings" w:hAnsi="Wingdings" w:hint="default"/>
      </w:rPr>
    </w:lvl>
    <w:lvl w:ilvl="3" w:tplc="99C0ED82">
      <w:start w:val="3"/>
      <w:numFmt w:val="bullet"/>
      <w:lvlText w:val="-"/>
      <w:lvlJc w:val="left"/>
      <w:pPr>
        <w:tabs>
          <w:tab w:val="num" w:pos="2880"/>
        </w:tabs>
        <w:ind w:left="2880" w:hanging="360"/>
      </w:pPr>
      <w:rPr>
        <w:rFonts w:ascii="Tahoma" w:eastAsia="Times New Roman" w:hAnsi="Tahoma" w:cs="Tahoma"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9130171"/>
    <w:multiLevelType w:val="multilevel"/>
    <w:tmpl w:val="A71A2C3A"/>
    <w:lvl w:ilvl="0">
      <w:start w:val="1"/>
      <w:numFmt w:val="bullet"/>
      <w:lvlText w:val=""/>
      <w:lvlJc w:val="left"/>
      <w:pPr>
        <w:tabs>
          <w:tab w:val="num" w:pos="720"/>
        </w:tabs>
        <w:ind w:left="0" w:firstLine="0"/>
      </w:pPr>
      <w:rPr>
        <w:rFonts w:ascii="Wingdings" w:hAnsi="Wingdings" w:hint="default"/>
      </w:rPr>
    </w:lvl>
    <w:lvl w:ilvl="1">
      <w:start w:val="1"/>
      <w:numFmt w:val="bullet"/>
      <w:lvlText w:val=""/>
      <w:lvlJc w:val="left"/>
      <w:pPr>
        <w:tabs>
          <w:tab w:val="num" w:pos="1440"/>
        </w:tabs>
        <w:ind w:left="1440" w:hanging="720"/>
      </w:pPr>
      <w:rPr>
        <w:rFonts w:ascii="Wingdings" w:hAnsi="Wingding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83187E"/>
    <w:multiLevelType w:val="hybridMultilevel"/>
    <w:tmpl w:val="FE5A4F48"/>
    <w:lvl w:ilvl="0" w:tplc="E5E8917A">
      <w:start w:val="1"/>
      <w:numFmt w:val="bullet"/>
      <w:lvlText w:val=""/>
      <w:lvlJc w:val="left"/>
      <w:pPr>
        <w:ind w:left="720" w:hanging="360"/>
      </w:pPr>
      <w:rPr>
        <w:rFonts w:ascii="Wingdings" w:hAnsi="Wingdings" w:hint="default"/>
        <w:b w:val="0"/>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7459791">
    <w:abstractNumId w:val="11"/>
  </w:num>
  <w:num w:numId="2" w16cid:durableId="50464270">
    <w:abstractNumId w:val="8"/>
  </w:num>
  <w:num w:numId="3" w16cid:durableId="1941913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0338207">
    <w:abstractNumId w:val="12"/>
  </w:num>
  <w:num w:numId="5" w16cid:durableId="1145857163">
    <w:abstractNumId w:val="13"/>
  </w:num>
  <w:num w:numId="6" w16cid:durableId="1953587283">
    <w:abstractNumId w:val="6"/>
  </w:num>
  <w:num w:numId="7" w16cid:durableId="1230732060">
    <w:abstractNumId w:val="5"/>
  </w:num>
  <w:num w:numId="8" w16cid:durableId="1640375137">
    <w:abstractNumId w:val="4"/>
  </w:num>
  <w:num w:numId="9" w16cid:durableId="1888683844">
    <w:abstractNumId w:val="7"/>
  </w:num>
  <w:num w:numId="10" w16cid:durableId="1095976880">
    <w:abstractNumId w:val="3"/>
  </w:num>
  <w:num w:numId="11" w16cid:durableId="1152062236">
    <w:abstractNumId w:val="2"/>
  </w:num>
  <w:num w:numId="12" w16cid:durableId="116334850">
    <w:abstractNumId w:val="1"/>
  </w:num>
  <w:num w:numId="13" w16cid:durableId="182741954">
    <w:abstractNumId w:val="0"/>
  </w:num>
  <w:num w:numId="14" w16cid:durableId="620188255">
    <w:abstractNumId w:val="7"/>
  </w:num>
  <w:num w:numId="15" w16cid:durableId="87120221">
    <w:abstractNumId w:val="3"/>
  </w:num>
  <w:num w:numId="16" w16cid:durableId="1946763415">
    <w:abstractNumId w:val="2"/>
  </w:num>
  <w:num w:numId="17" w16cid:durableId="1145317559">
    <w:abstractNumId w:val="1"/>
  </w:num>
  <w:num w:numId="18" w16cid:durableId="116235576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47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F9CBAE3F-2DFF-417E-961D-EC5EE8039BDF}"/>
    <w:docVar w:name="dgnword-eventsink" w:val="74290408"/>
  </w:docVars>
  <w:rsids>
    <w:rsidRoot w:val="00E10F41"/>
    <w:rsid w:val="00000846"/>
    <w:rsid w:val="00000A2E"/>
    <w:rsid w:val="0000110D"/>
    <w:rsid w:val="000013FC"/>
    <w:rsid w:val="000017C0"/>
    <w:rsid w:val="0000182F"/>
    <w:rsid w:val="00001937"/>
    <w:rsid w:val="00002BBC"/>
    <w:rsid w:val="00002D3F"/>
    <w:rsid w:val="00004B84"/>
    <w:rsid w:val="000065FB"/>
    <w:rsid w:val="00007AB2"/>
    <w:rsid w:val="00007C97"/>
    <w:rsid w:val="0001103A"/>
    <w:rsid w:val="000116BE"/>
    <w:rsid w:val="00011D03"/>
    <w:rsid w:val="00012F1B"/>
    <w:rsid w:val="000136AF"/>
    <w:rsid w:val="00013845"/>
    <w:rsid w:val="00013F97"/>
    <w:rsid w:val="00014C82"/>
    <w:rsid w:val="00014EBE"/>
    <w:rsid w:val="0001517A"/>
    <w:rsid w:val="00015F27"/>
    <w:rsid w:val="00016AB6"/>
    <w:rsid w:val="00016B3A"/>
    <w:rsid w:val="00017258"/>
    <w:rsid w:val="00020490"/>
    <w:rsid w:val="00021D4E"/>
    <w:rsid w:val="000228BF"/>
    <w:rsid w:val="000228F8"/>
    <w:rsid w:val="00023181"/>
    <w:rsid w:val="0002429B"/>
    <w:rsid w:val="0002463A"/>
    <w:rsid w:val="00024C3A"/>
    <w:rsid w:val="00024CB7"/>
    <w:rsid w:val="00025A58"/>
    <w:rsid w:val="0002651C"/>
    <w:rsid w:val="00030BB3"/>
    <w:rsid w:val="00030E02"/>
    <w:rsid w:val="0003125D"/>
    <w:rsid w:val="000312DD"/>
    <w:rsid w:val="00031E4C"/>
    <w:rsid w:val="000324C7"/>
    <w:rsid w:val="00032F5A"/>
    <w:rsid w:val="000336F6"/>
    <w:rsid w:val="000349D2"/>
    <w:rsid w:val="00035AC4"/>
    <w:rsid w:val="000372D1"/>
    <w:rsid w:val="00041596"/>
    <w:rsid w:val="00041A27"/>
    <w:rsid w:val="00041E2A"/>
    <w:rsid w:val="00042458"/>
    <w:rsid w:val="000428F1"/>
    <w:rsid w:val="000437C3"/>
    <w:rsid w:val="000449B1"/>
    <w:rsid w:val="00044E00"/>
    <w:rsid w:val="00044E04"/>
    <w:rsid w:val="00045767"/>
    <w:rsid w:val="000463B6"/>
    <w:rsid w:val="00046700"/>
    <w:rsid w:val="00050004"/>
    <w:rsid w:val="0005087A"/>
    <w:rsid w:val="00051517"/>
    <w:rsid w:val="00051755"/>
    <w:rsid w:val="000527A5"/>
    <w:rsid w:val="00052CF3"/>
    <w:rsid w:val="00053043"/>
    <w:rsid w:val="00053531"/>
    <w:rsid w:val="000537B1"/>
    <w:rsid w:val="0005396B"/>
    <w:rsid w:val="00053F85"/>
    <w:rsid w:val="00055911"/>
    <w:rsid w:val="000559AF"/>
    <w:rsid w:val="00055FE4"/>
    <w:rsid w:val="00056743"/>
    <w:rsid w:val="00057E55"/>
    <w:rsid w:val="00060939"/>
    <w:rsid w:val="00060AD4"/>
    <w:rsid w:val="00060F83"/>
    <w:rsid w:val="00061000"/>
    <w:rsid w:val="0006100B"/>
    <w:rsid w:val="00061427"/>
    <w:rsid w:val="000614BF"/>
    <w:rsid w:val="000617A0"/>
    <w:rsid w:val="000624BF"/>
    <w:rsid w:val="00062753"/>
    <w:rsid w:val="00062B2E"/>
    <w:rsid w:val="00063ACA"/>
    <w:rsid w:val="00064404"/>
    <w:rsid w:val="000645E5"/>
    <w:rsid w:val="00065FE0"/>
    <w:rsid w:val="00066801"/>
    <w:rsid w:val="00066F17"/>
    <w:rsid w:val="000707EC"/>
    <w:rsid w:val="000709A0"/>
    <w:rsid w:val="000716AD"/>
    <w:rsid w:val="00071B22"/>
    <w:rsid w:val="00071B80"/>
    <w:rsid w:val="00072789"/>
    <w:rsid w:val="000735A6"/>
    <w:rsid w:val="000738C6"/>
    <w:rsid w:val="00074538"/>
    <w:rsid w:val="00075195"/>
    <w:rsid w:val="000758A9"/>
    <w:rsid w:val="00077A3C"/>
    <w:rsid w:val="00077A94"/>
    <w:rsid w:val="00077E2E"/>
    <w:rsid w:val="0008193D"/>
    <w:rsid w:val="00083024"/>
    <w:rsid w:val="00083133"/>
    <w:rsid w:val="00083654"/>
    <w:rsid w:val="00083E44"/>
    <w:rsid w:val="000849F7"/>
    <w:rsid w:val="00085C31"/>
    <w:rsid w:val="000878CB"/>
    <w:rsid w:val="00090F15"/>
    <w:rsid w:val="000920EC"/>
    <w:rsid w:val="000927B3"/>
    <w:rsid w:val="0009463D"/>
    <w:rsid w:val="00094A40"/>
    <w:rsid w:val="000962E7"/>
    <w:rsid w:val="000979F6"/>
    <w:rsid w:val="00097B43"/>
    <w:rsid w:val="00097B59"/>
    <w:rsid w:val="00097ECE"/>
    <w:rsid w:val="000A10B7"/>
    <w:rsid w:val="000A11FA"/>
    <w:rsid w:val="000A1296"/>
    <w:rsid w:val="000A2841"/>
    <w:rsid w:val="000A2C0C"/>
    <w:rsid w:val="000A2D2D"/>
    <w:rsid w:val="000A398A"/>
    <w:rsid w:val="000A3A17"/>
    <w:rsid w:val="000A3F67"/>
    <w:rsid w:val="000A6637"/>
    <w:rsid w:val="000A6DE3"/>
    <w:rsid w:val="000A752D"/>
    <w:rsid w:val="000A7624"/>
    <w:rsid w:val="000A7964"/>
    <w:rsid w:val="000A7EEE"/>
    <w:rsid w:val="000B039C"/>
    <w:rsid w:val="000B0D6B"/>
    <w:rsid w:val="000B1307"/>
    <w:rsid w:val="000B3456"/>
    <w:rsid w:val="000B6263"/>
    <w:rsid w:val="000B639A"/>
    <w:rsid w:val="000B64E3"/>
    <w:rsid w:val="000B68C0"/>
    <w:rsid w:val="000B6DDA"/>
    <w:rsid w:val="000B73E8"/>
    <w:rsid w:val="000C130E"/>
    <w:rsid w:val="000C3122"/>
    <w:rsid w:val="000C3CFF"/>
    <w:rsid w:val="000C6431"/>
    <w:rsid w:val="000C65E2"/>
    <w:rsid w:val="000C6669"/>
    <w:rsid w:val="000C6703"/>
    <w:rsid w:val="000C68CB"/>
    <w:rsid w:val="000C6A65"/>
    <w:rsid w:val="000C6BC2"/>
    <w:rsid w:val="000C6C43"/>
    <w:rsid w:val="000C6DCC"/>
    <w:rsid w:val="000C700B"/>
    <w:rsid w:val="000C7D27"/>
    <w:rsid w:val="000D0103"/>
    <w:rsid w:val="000D05EF"/>
    <w:rsid w:val="000D0C5E"/>
    <w:rsid w:val="000D0DF3"/>
    <w:rsid w:val="000D0F84"/>
    <w:rsid w:val="000D242B"/>
    <w:rsid w:val="000D2500"/>
    <w:rsid w:val="000D3185"/>
    <w:rsid w:val="000D41C4"/>
    <w:rsid w:val="000D4CFA"/>
    <w:rsid w:val="000D5995"/>
    <w:rsid w:val="000D5DE1"/>
    <w:rsid w:val="000D63D1"/>
    <w:rsid w:val="000E1625"/>
    <w:rsid w:val="000E20DF"/>
    <w:rsid w:val="000E215F"/>
    <w:rsid w:val="000E24E5"/>
    <w:rsid w:val="000E2733"/>
    <w:rsid w:val="000E41BB"/>
    <w:rsid w:val="000E4D9D"/>
    <w:rsid w:val="000E5E1F"/>
    <w:rsid w:val="000E603C"/>
    <w:rsid w:val="000E6115"/>
    <w:rsid w:val="000E621E"/>
    <w:rsid w:val="000E7FF9"/>
    <w:rsid w:val="000F2F90"/>
    <w:rsid w:val="000F3859"/>
    <w:rsid w:val="000F41A7"/>
    <w:rsid w:val="000F4ECA"/>
    <w:rsid w:val="000F5E7F"/>
    <w:rsid w:val="000F6075"/>
    <w:rsid w:val="000F60BD"/>
    <w:rsid w:val="000F638C"/>
    <w:rsid w:val="000F746A"/>
    <w:rsid w:val="000F7A1A"/>
    <w:rsid w:val="000F7BC5"/>
    <w:rsid w:val="000F7CE5"/>
    <w:rsid w:val="0010106F"/>
    <w:rsid w:val="001018D9"/>
    <w:rsid w:val="00101EB1"/>
    <w:rsid w:val="00102718"/>
    <w:rsid w:val="0010422B"/>
    <w:rsid w:val="0010571F"/>
    <w:rsid w:val="00105BD0"/>
    <w:rsid w:val="00105C9B"/>
    <w:rsid w:val="00106B06"/>
    <w:rsid w:val="00106B94"/>
    <w:rsid w:val="001071F6"/>
    <w:rsid w:val="0010745C"/>
    <w:rsid w:val="00107D46"/>
    <w:rsid w:val="00110834"/>
    <w:rsid w:val="001109E4"/>
    <w:rsid w:val="00110B77"/>
    <w:rsid w:val="001111D3"/>
    <w:rsid w:val="001123C8"/>
    <w:rsid w:val="00112693"/>
    <w:rsid w:val="001131B3"/>
    <w:rsid w:val="00113E26"/>
    <w:rsid w:val="00114622"/>
    <w:rsid w:val="00115101"/>
    <w:rsid w:val="00117C58"/>
    <w:rsid w:val="00120615"/>
    <w:rsid w:val="00120D87"/>
    <w:rsid w:val="001212DB"/>
    <w:rsid w:val="0012172F"/>
    <w:rsid w:val="00121FF6"/>
    <w:rsid w:val="00122647"/>
    <w:rsid w:val="001232AC"/>
    <w:rsid w:val="001233B4"/>
    <w:rsid w:val="00123745"/>
    <w:rsid w:val="00123930"/>
    <w:rsid w:val="00124F91"/>
    <w:rsid w:val="0012581B"/>
    <w:rsid w:val="00127E4D"/>
    <w:rsid w:val="001304C8"/>
    <w:rsid w:val="0013097A"/>
    <w:rsid w:val="00130E47"/>
    <w:rsid w:val="00131587"/>
    <w:rsid w:val="00131590"/>
    <w:rsid w:val="00132320"/>
    <w:rsid w:val="001325AB"/>
    <w:rsid w:val="001329F0"/>
    <w:rsid w:val="001339CB"/>
    <w:rsid w:val="00134037"/>
    <w:rsid w:val="00134960"/>
    <w:rsid w:val="00134A72"/>
    <w:rsid w:val="00134B5E"/>
    <w:rsid w:val="00134C62"/>
    <w:rsid w:val="0013517B"/>
    <w:rsid w:val="0013568A"/>
    <w:rsid w:val="00135AC2"/>
    <w:rsid w:val="00135BA0"/>
    <w:rsid w:val="00136C94"/>
    <w:rsid w:val="00140424"/>
    <w:rsid w:val="00140961"/>
    <w:rsid w:val="00140EA6"/>
    <w:rsid w:val="001412E2"/>
    <w:rsid w:val="001414D9"/>
    <w:rsid w:val="001418E9"/>
    <w:rsid w:val="00143843"/>
    <w:rsid w:val="001445D3"/>
    <w:rsid w:val="0014479F"/>
    <w:rsid w:val="00146587"/>
    <w:rsid w:val="0014665C"/>
    <w:rsid w:val="0014733A"/>
    <w:rsid w:val="00150CEC"/>
    <w:rsid w:val="00150D8D"/>
    <w:rsid w:val="0015100D"/>
    <w:rsid w:val="001514C6"/>
    <w:rsid w:val="00151B6E"/>
    <w:rsid w:val="00152326"/>
    <w:rsid w:val="001524E7"/>
    <w:rsid w:val="00152F09"/>
    <w:rsid w:val="00153951"/>
    <w:rsid w:val="00153B4E"/>
    <w:rsid w:val="00154660"/>
    <w:rsid w:val="00154849"/>
    <w:rsid w:val="001548B8"/>
    <w:rsid w:val="00155499"/>
    <w:rsid w:val="00155E4A"/>
    <w:rsid w:val="0015635F"/>
    <w:rsid w:val="00160636"/>
    <w:rsid w:val="00160CB3"/>
    <w:rsid w:val="001619A8"/>
    <w:rsid w:val="00161E76"/>
    <w:rsid w:val="00162651"/>
    <w:rsid w:val="00162672"/>
    <w:rsid w:val="00163A19"/>
    <w:rsid w:val="00165A72"/>
    <w:rsid w:val="00166377"/>
    <w:rsid w:val="00166BBC"/>
    <w:rsid w:val="00166C2F"/>
    <w:rsid w:val="0016713B"/>
    <w:rsid w:val="001673F0"/>
    <w:rsid w:val="001679B3"/>
    <w:rsid w:val="00167C1F"/>
    <w:rsid w:val="00167DC0"/>
    <w:rsid w:val="001708A3"/>
    <w:rsid w:val="00170B66"/>
    <w:rsid w:val="001716B5"/>
    <w:rsid w:val="00171AD9"/>
    <w:rsid w:val="001723E9"/>
    <w:rsid w:val="00172516"/>
    <w:rsid w:val="00172600"/>
    <w:rsid w:val="00172745"/>
    <w:rsid w:val="001729EC"/>
    <w:rsid w:val="00174167"/>
    <w:rsid w:val="00174A11"/>
    <w:rsid w:val="001765A4"/>
    <w:rsid w:val="00176C93"/>
    <w:rsid w:val="00177771"/>
    <w:rsid w:val="001777C9"/>
    <w:rsid w:val="00177F8C"/>
    <w:rsid w:val="00180A24"/>
    <w:rsid w:val="00180BA2"/>
    <w:rsid w:val="00182FFB"/>
    <w:rsid w:val="00183673"/>
    <w:rsid w:val="00183A06"/>
    <w:rsid w:val="00183BE0"/>
    <w:rsid w:val="00184548"/>
    <w:rsid w:val="001847DA"/>
    <w:rsid w:val="001861AE"/>
    <w:rsid w:val="001864E9"/>
    <w:rsid w:val="001870EF"/>
    <w:rsid w:val="0018739D"/>
    <w:rsid w:val="001905DD"/>
    <w:rsid w:val="001912E1"/>
    <w:rsid w:val="00191E26"/>
    <w:rsid w:val="0019206B"/>
    <w:rsid w:val="0019243A"/>
    <w:rsid w:val="001928FA"/>
    <w:rsid w:val="00192FEA"/>
    <w:rsid w:val="00193412"/>
    <w:rsid w:val="001939E1"/>
    <w:rsid w:val="00194060"/>
    <w:rsid w:val="00194263"/>
    <w:rsid w:val="001944E2"/>
    <w:rsid w:val="0019473D"/>
    <w:rsid w:val="00195060"/>
    <w:rsid w:val="00195382"/>
    <w:rsid w:val="001954C0"/>
    <w:rsid w:val="00195F47"/>
    <w:rsid w:val="00196361"/>
    <w:rsid w:val="00196529"/>
    <w:rsid w:val="0019711A"/>
    <w:rsid w:val="00197826"/>
    <w:rsid w:val="001A075B"/>
    <w:rsid w:val="001A1684"/>
    <w:rsid w:val="001A238E"/>
    <w:rsid w:val="001A2DE9"/>
    <w:rsid w:val="001A3601"/>
    <w:rsid w:val="001A43B0"/>
    <w:rsid w:val="001A4E0D"/>
    <w:rsid w:val="001A593D"/>
    <w:rsid w:val="001A59E0"/>
    <w:rsid w:val="001A5F20"/>
    <w:rsid w:val="001A66A3"/>
    <w:rsid w:val="001A66B5"/>
    <w:rsid w:val="001A6A62"/>
    <w:rsid w:val="001A7931"/>
    <w:rsid w:val="001A7D49"/>
    <w:rsid w:val="001B02F4"/>
    <w:rsid w:val="001B14DA"/>
    <w:rsid w:val="001B34EB"/>
    <w:rsid w:val="001B427E"/>
    <w:rsid w:val="001B718D"/>
    <w:rsid w:val="001B75B4"/>
    <w:rsid w:val="001C06CA"/>
    <w:rsid w:val="001C16FE"/>
    <w:rsid w:val="001C4A78"/>
    <w:rsid w:val="001C621E"/>
    <w:rsid w:val="001C63D8"/>
    <w:rsid w:val="001C6638"/>
    <w:rsid w:val="001C69C4"/>
    <w:rsid w:val="001C7E66"/>
    <w:rsid w:val="001D0716"/>
    <w:rsid w:val="001D0768"/>
    <w:rsid w:val="001D0E7F"/>
    <w:rsid w:val="001D2822"/>
    <w:rsid w:val="001D2B5F"/>
    <w:rsid w:val="001D3542"/>
    <w:rsid w:val="001D3931"/>
    <w:rsid w:val="001D47C3"/>
    <w:rsid w:val="001D4CC3"/>
    <w:rsid w:val="001D6B64"/>
    <w:rsid w:val="001E014A"/>
    <w:rsid w:val="001E06CE"/>
    <w:rsid w:val="001E0B88"/>
    <w:rsid w:val="001E1408"/>
    <w:rsid w:val="001E2A69"/>
    <w:rsid w:val="001E2F20"/>
    <w:rsid w:val="001E349A"/>
    <w:rsid w:val="001E3590"/>
    <w:rsid w:val="001E456D"/>
    <w:rsid w:val="001E480D"/>
    <w:rsid w:val="001E5204"/>
    <w:rsid w:val="001E5C10"/>
    <w:rsid w:val="001E6308"/>
    <w:rsid w:val="001E7407"/>
    <w:rsid w:val="001E7FC9"/>
    <w:rsid w:val="001F0F06"/>
    <w:rsid w:val="001F1262"/>
    <w:rsid w:val="001F1BDB"/>
    <w:rsid w:val="001F2679"/>
    <w:rsid w:val="001F59A5"/>
    <w:rsid w:val="001F5A17"/>
    <w:rsid w:val="001F5AF9"/>
    <w:rsid w:val="001F6888"/>
    <w:rsid w:val="001F72F4"/>
    <w:rsid w:val="001F7CC7"/>
    <w:rsid w:val="002015AC"/>
    <w:rsid w:val="00201FFB"/>
    <w:rsid w:val="00202588"/>
    <w:rsid w:val="0020288D"/>
    <w:rsid w:val="00202980"/>
    <w:rsid w:val="00202A3D"/>
    <w:rsid w:val="00202E8C"/>
    <w:rsid w:val="0020527B"/>
    <w:rsid w:val="002054B3"/>
    <w:rsid w:val="00205E75"/>
    <w:rsid w:val="00205E8F"/>
    <w:rsid w:val="002071BB"/>
    <w:rsid w:val="0020724A"/>
    <w:rsid w:val="002074AA"/>
    <w:rsid w:val="00207594"/>
    <w:rsid w:val="00207614"/>
    <w:rsid w:val="002100E6"/>
    <w:rsid w:val="00210297"/>
    <w:rsid w:val="00210AAB"/>
    <w:rsid w:val="00210BAB"/>
    <w:rsid w:val="00210BC1"/>
    <w:rsid w:val="00211F56"/>
    <w:rsid w:val="00212C6A"/>
    <w:rsid w:val="00213160"/>
    <w:rsid w:val="00213296"/>
    <w:rsid w:val="00213E20"/>
    <w:rsid w:val="00214770"/>
    <w:rsid w:val="00215934"/>
    <w:rsid w:val="00216B07"/>
    <w:rsid w:val="00217891"/>
    <w:rsid w:val="00222067"/>
    <w:rsid w:val="0022253F"/>
    <w:rsid w:val="0022416D"/>
    <w:rsid w:val="00224371"/>
    <w:rsid w:val="002243B0"/>
    <w:rsid w:val="00224AF5"/>
    <w:rsid w:val="00226332"/>
    <w:rsid w:val="00230ABB"/>
    <w:rsid w:val="00230ECB"/>
    <w:rsid w:val="0023124E"/>
    <w:rsid w:val="00231872"/>
    <w:rsid w:val="002329B4"/>
    <w:rsid w:val="00232C66"/>
    <w:rsid w:val="002333B5"/>
    <w:rsid w:val="00234262"/>
    <w:rsid w:val="00234412"/>
    <w:rsid w:val="00234CB2"/>
    <w:rsid w:val="00234E6D"/>
    <w:rsid w:val="00234F92"/>
    <w:rsid w:val="002353F1"/>
    <w:rsid w:val="002356F5"/>
    <w:rsid w:val="00235C52"/>
    <w:rsid w:val="00236262"/>
    <w:rsid w:val="00236535"/>
    <w:rsid w:val="002366E2"/>
    <w:rsid w:val="0024295D"/>
    <w:rsid w:val="00242B00"/>
    <w:rsid w:val="00242D1D"/>
    <w:rsid w:val="00242E13"/>
    <w:rsid w:val="00242EF5"/>
    <w:rsid w:val="00243DA2"/>
    <w:rsid w:val="002440CB"/>
    <w:rsid w:val="002440FD"/>
    <w:rsid w:val="00244301"/>
    <w:rsid w:val="00244910"/>
    <w:rsid w:val="00244D42"/>
    <w:rsid w:val="00245A99"/>
    <w:rsid w:val="00245CFA"/>
    <w:rsid w:val="0024751B"/>
    <w:rsid w:val="00247899"/>
    <w:rsid w:val="00250E31"/>
    <w:rsid w:val="00250EE0"/>
    <w:rsid w:val="00251B06"/>
    <w:rsid w:val="00251CCC"/>
    <w:rsid w:val="002525CA"/>
    <w:rsid w:val="002526E1"/>
    <w:rsid w:val="00253360"/>
    <w:rsid w:val="00253D1B"/>
    <w:rsid w:val="00253ECE"/>
    <w:rsid w:val="002543E1"/>
    <w:rsid w:val="002553E6"/>
    <w:rsid w:val="002554B6"/>
    <w:rsid w:val="00255691"/>
    <w:rsid w:val="0025597E"/>
    <w:rsid w:val="00256E22"/>
    <w:rsid w:val="00257663"/>
    <w:rsid w:val="002577A6"/>
    <w:rsid w:val="002600D1"/>
    <w:rsid w:val="00260AC6"/>
    <w:rsid w:val="002619DE"/>
    <w:rsid w:val="00262E1D"/>
    <w:rsid w:val="00263B0F"/>
    <w:rsid w:val="00264448"/>
    <w:rsid w:val="002672AC"/>
    <w:rsid w:val="00267746"/>
    <w:rsid w:val="00270D00"/>
    <w:rsid w:val="00271A72"/>
    <w:rsid w:val="00273A6E"/>
    <w:rsid w:val="0027430B"/>
    <w:rsid w:val="0027453F"/>
    <w:rsid w:val="00274A68"/>
    <w:rsid w:val="002756C1"/>
    <w:rsid w:val="002763E0"/>
    <w:rsid w:val="00276E45"/>
    <w:rsid w:val="0027721E"/>
    <w:rsid w:val="002772F5"/>
    <w:rsid w:val="00277385"/>
    <w:rsid w:val="00277499"/>
    <w:rsid w:val="0028008A"/>
    <w:rsid w:val="00280618"/>
    <w:rsid w:val="0028091B"/>
    <w:rsid w:val="00281F57"/>
    <w:rsid w:val="00281F7E"/>
    <w:rsid w:val="00282DB6"/>
    <w:rsid w:val="00285B00"/>
    <w:rsid w:val="00286DC2"/>
    <w:rsid w:val="0028739D"/>
    <w:rsid w:val="00287514"/>
    <w:rsid w:val="002879D8"/>
    <w:rsid w:val="00291B20"/>
    <w:rsid w:val="00293225"/>
    <w:rsid w:val="002955C5"/>
    <w:rsid w:val="002956DD"/>
    <w:rsid w:val="00295A2F"/>
    <w:rsid w:val="00295FBA"/>
    <w:rsid w:val="002970D7"/>
    <w:rsid w:val="00297797"/>
    <w:rsid w:val="002978A1"/>
    <w:rsid w:val="00297ECB"/>
    <w:rsid w:val="002A1A43"/>
    <w:rsid w:val="002A3BB7"/>
    <w:rsid w:val="002A4D4C"/>
    <w:rsid w:val="002A7D4B"/>
    <w:rsid w:val="002B08B6"/>
    <w:rsid w:val="002B0BEC"/>
    <w:rsid w:val="002B0E90"/>
    <w:rsid w:val="002B1444"/>
    <w:rsid w:val="002B2320"/>
    <w:rsid w:val="002B303B"/>
    <w:rsid w:val="002B3431"/>
    <w:rsid w:val="002B43A0"/>
    <w:rsid w:val="002B530F"/>
    <w:rsid w:val="002B5C7E"/>
    <w:rsid w:val="002B7461"/>
    <w:rsid w:val="002B78E4"/>
    <w:rsid w:val="002B7BF7"/>
    <w:rsid w:val="002C018F"/>
    <w:rsid w:val="002C07A7"/>
    <w:rsid w:val="002C0EA8"/>
    <w:rsid w:val="002C0EF2"/>
    <w:rsid w:val="002C146F"/>
    <w:rsid w:val="002C150F"/>
    <w:rsid w:val="002C15BA"/>
    <w:rsid w:val="002C201A"/>
    <w:rsid w:val="002C29CB"/>
    <w:rsid w:val="002C2A36"/>
    <w:rsid w:val="002C3087"/>
    <w:rsid w:val="002C35F6"/>
    <w:rsid w:val="002C4CEF"/>
    <w:rsid w:val="002C5317"/>
    <w:rsid w:val="002C56F0"/>
    <w:rsid w:val="002C74F6"/>
    <w:rsid w:val="002C78B3"/>
    <w:rsid w:val="002D043A"/>
    <w:rsid w:val="002D29E1"/>
    <w:rsid w:val="002D376A"/>
    <w:rsid w:val="002D3ECC"/>
    <w:rsid w:val="002D3EDF"/>
    <w:rsid w:val="002D3FB6"/>
    <w:rsid w:val="002D530F"/>
    <w:rsid w:val="002D57B1"/>
    <w:rsid w:val="002D5983"/>
    <w:rsid w:val="002D5D71"/>
    <w:rsid w:val="002D5DF5"/>
    <w:rsid w:val="002D66E4"/>
    <w:rsid w:val="002D6F11"/>
    <w:rsid w:val="002D6F7D"/>
    <w:rsid w:val="002D7310"/>
    <w:rsid w:val="002D74A6"/>
    <w:rsid w:val="002D786D"/>
    <w:rsid w:val="002E0CC9"/>
    <w:rsid w:val="002E0E77"/>
    <w:rsid w:val="002E2D02"/>
    <w:rsid w:val="002E30E1"/>
    <w:rsid w:val="002E3AFF"/>
    <w:rsid w:val="002E3F8C"/>
    <w:rsid w:val="002E4682"/>
    <w:rsid w:val="002E4F94"/>
    <w:rsid w:val="002E652E"/>
    <w:rsid w:val="002E7C73"/>
    <w:rsid w:val="002F071C"/>
    <w:rsid w:val="002F0D3D"/>
    <w:rsid w:val="002F14DE"/>
    <w:rsid w:val="002F1637"/>
    <w:rsid w:val="002F1D1D"/>
    <w:rsid w:val="002F24B0"/>
    <w:rsid w:val="002F27B2"/>
    <w:rsid w:val="002F2C08"/>
    <w:rsid w:val="002F328F"/>
    <w:rsid w:val="002F347F"/>
    <w:rsid w:val="002F3502"/>
    <w:rsid w:val="002F382A"/>
    <w:rsid w:val="002F3911"/>
    <w:rsid w:val="002F4517"/>
    <w:rsid w:val="002F5ACF"/>
    <w:rsid w:val="00300739"/>
    <w:rsid w:val="00300BA3"/>
    <w:rsid w:val="00300BD5"/>
    <w:rsid w:val="00301995"/>
    <w:rsid w:val="00301AFB"/>
    <w:rsid w:val="00301F96"/>
    <w:rsid w:val="00302E78"/>
    <w:rsid w:val="00303980"/>
    <w:rsid w:val="00304832"/>
    <w:rsid w:val="00305D34"/>
    <w:rsid w:val="00306B5E"/>
    <w:rsid w:val="00307D80"/>
    <w:rsid w:val="00307FAD"/>
    <w:rsid w:val="0031199D"/>
    <w:rsid w:val="00311ED1"/>
    <w:rsid w:val="00312030"/>
    <w:rsid w:val="00312A26"/>
    <w:rsid w:val="003132C1"/>
    <w:rsid w:val="003137D3"/>
    <w:rsid w:val="00314A0B"/>
    <w:rsid w:val="00314C8F"/>
    <w:rsid w:val="00315479"/>
    <w:rsid w:val="00316167"/>
    <w:rsid w:val="00317A33"/>
    <w:rsid w:val="00317B28"/>
    <w:rsid w:val="0032115E"/>
    <w:rsid w:val="00321640"/>
    <w:rsid w:val="00321924"/>
    <w:rsid w:val="00322090"/>
    <w:rsid w:val="0032307F"/>
    <w:rsid w:val="003232B3"/>
    <w:rsid w:val="0032355E"/>
    <w:rsid w:val="00323F81"/>
    <w:rsid w:val="00326613"/>
    <w:rsid w:val="00326770"/>
    <w:rsid w:val="0033067E"/>
    <w:rsid w:val="003311FB"/>
    <w:rsid w:val="00331285"/>
    <w:rsid w:val="00331ABC"/>
    <w:rsid w:val="00331E4A"/>
    <w:rsid w:val="0033228A"/>
    <w:rsid w:val="0033291B"/>
    <w:rsid w:val="003332CE"/>
    <w:rsid w:val="00333355"/>
    <w:rsid w:val="003338E0"/>
    <w:rsid w:val="003339A8"/>
    <w:rsid w:val="003339B3"/>
    <w:rsid w:val="00333E36"/>
    <w:rsid w:val="003350F6"/>
    <w:rsid w:val="0033584B"/>
    <w:rsid w:val="00335D9A"/>
    <w:rsid w:val="00335F97"/>
    <w:rsid w:val="00336CA3"/>
    <w:rsid w:val="003376ED"/>
    <w:rsid w:val="0034007E"/>
    <w:rsid w:val="00341205"/>
    <w:rsid w:val="00342ECB"/>
    <w:rsid w:val="00343481"/>
    <w:rsid w:val="00345044"/>
    <w:rsid w:val="00346687"/>
    <w:rsid w:val="00346DC8"/>
    <w:rsid w:val="0035023F"/>
    <w:rsid w:val="00351D36"/>
    <w:rsid w:val="00351D4F"/>
    <w:rsid w:val="00351DD3"/>
    <w:rsid w:val="00352766"/>
    <w:rsid w:val="00352B0F"/>
    <w:rsid w:val="00352D3A"/>
    <w:rsid w:val="00352D8A"/>
    <w:rsid w:val="00353191"/>
    <w:rsid w:val="00353CF8"/>
    <w:rsid w:val="00354A1C"/>
    <w:rsid w:val="0035500E"/>
    <w:rsid w:val="00355C1C"/>
    <w:rsid w:val="00356ED5"/>
    <w:rsid w:val="00357B56"/>
    <w:rsid w:val="00357CC0"/>
    <w:rsid w:val="00360D0F"/>
    <w:rsid w:val="00360E1B"/>
    <w:rsid w:val="00360FB0"/>
    <w:rsid w:val="00363585"/>
    <w:rsid w:val="0036436F"/>
    <w:rsid w:val="00364B2A"/>
    <w:rsid w:val="00365E38"/>
    <w:rsid w:val="00366115"/>
    <w:rsid w:val="00366BF5"/>
    <w:rsid w:val="00367041"/>
    <w:rsid w:val="00367A25"/>
    <w:rsid w:val="00367F3A"/>
    <w:rsid w:val="00370A7B"/>
    <w:rsid w:val="00371C61"/>
    <w:rsid w:val="00371CFF"/>
    <w:rsid w:val="0037274B"/>
    <w:rsid w:val="00372DCB"/>
    <w:rsid w:val="00373430"/>
    <w:rsid w:val="003737F6"/>
    <w:rsid w:val="00373E90"/>
    <w:rsid w:val="0037400B"/>
    <w:rsid w:val="00374505"/>
    <w:rsid w:val="00375659"/>
    <w:rsid w:val="00375779"/>
    <w:rsid w:val="0037654B"/>
    <w:rsid w:val="003800DF"/>
    <w:rsid w:val="00380C8D"/>
    <w:rsid w:val="00380DEA"/>
    <w:rsid w:val="00383CA1"/>
    <w:rsid w:val="0038425A"/>
    <w:rsid w:val="00385CB6"/>
    <w:rsid w:val="00390F6E"/>
    <w:rsid w:val="00392147"/>
    <w:rsid w:val="00392E1D"/>
    <w:rsid w:val="00393A23"/>
    <w:rsid w:val="00393EB1"/>
    <w:rsid w:val="00396F89"/>
    <w:rsid w:val="0039737A"/>
    <w:rsid w:val="003A1103"/>
    <w:rsid w:val="003A2D04"/>
    <w:rsid w:val="003A3A09"/>
    <w:rsid w:val="003A3A5D"/>
    <w:rsid w:val="003A45F7"/>
    <w:rsid w:val="003A484E"/>
    <w:rsid w:val="003A5F5F"/>
    <w:rsid w:val="003A6E6F"/>
    <w:rsid w:val="003A701E"/>
    <w:rsid w:val="003A7A27"/>
    <w:rsid w:val="003B0691"/>
    <w:rsid w:val="003B177B"/>
    <w:rsid w:val="003B1A77"/>
    <w:rsid w:val="003B304D"/>
    <w:rsid w:val="003B393E"/>
    <w:rsid w:val="003B3BE7"/>
    <w:rsid w:val="003B4BB6"/>
    <w:rsid w:val="003B5735"/>
    <w:rsid w:val="003B5CCE"/>
    <w:rsid w:val="003B6911"/>
    <w:rsid w:val="003B772F"/>
    <w:rsid w:val="003C0061"/>
    <w:rsid w:val="003C18DE"/>
    <w:rsid w:val="003C1EC6"/>
    <w:rsid w:val="003C21D3"/>
    <w:rsid w:val="003C268C"/>
    <w:rsid w:val="003C26D2"/>
    <w:rsid w:val="003C2C59"/>
    <w:rsid w:val="003C40CC"/>
    <w:rsid w:val="003C4A78"/>
    <w:rsid w:val="003C659E"/>
    <w:rsid w:val="003C666D"/>
    <w:rsid w:val="003C673C"/>
    <w:rsid w:val="003C6FA4"/>
    <w:rsid w:val="003D0560"/>
    <w:rsid w:val="003D0BFE"/>
    <w:rsid w:val="003D21DF"/>
    <w:rsid w:val="003D26E6"/>
    <w:rsid w:val="003D2F5D"/>
    <w:rsid w:val="003D4F42"/>
    <w:rsid w:val="003D4FEF"/>
    <w:rsid w:val="003D56FC"/>
    <w:rsid w:val="003D5700"/>
    <w:rsid w:val="003D65F8"/>
    <w:rsid w:val="003D6A0D"/>
    <w:rsid w:val="003D6A25"/>
    <w:rsid w:val="003D72D2"/>
    <w:rsid w:val="003D7B9E"/>
    <w:rsid w:val="003D7DCE"/>
    <w:rsid w:val="003E0DD6"/>
    <w:rsid w:val="003E10F6"/>
    <w:rsid w:val="003E149B"/>
    <w:rsid w:val="003E1AA0"/>
    <w:rsid w:val="003E1B43"/>
    <w:rsid w:val="003E24C0"/>
    <w:rsid w:val="003E34EE"/>
    <w:rsid w:val="003E3585"/>
    <w:rsid w:val="003E3BD9"/>
    <w:rsid w:val="003E52B0"/>
    <w:rsid w:val="003E5C54"/>
    <w:rsid w:val="003E5DB7"/>
    <w:rsid w:val="003E6994"/>
    <w:rsid w:val="003E69AE"/>
    <w:rsid w:val="003E6A2D"/>
    <w:rsid w:val="003E7ADA"/>
    <w:rsid w:val="003F0D7A"/>
    <w:rsid w:val="003F0F69"/>
    <w:rsid w:val="003F10D0"/>
    <w:rsid w:val="003F11F2"/>
    <w:rsid w:val="003F196E"/>
    <w:rsid w:val="003F219A"/>
    <w:rsid w:val="003F4070"/>
    <w:rsid w:val="003F4443"/>
    <w:rsid w:val="003F5180"/>
    <w:rsid w:val="003F64E0"/>
    <w:rsid w:val="003F66C5"/>
    <w:rsid w:val="003F689E"/>
    <w:rsid w:val="003F6AC1"/>
    <w:rsid w:val="003F6AC6"/>
    <w:rsid w:val="003F76BE"/>
    <w:rsid w:val="003F799B"/>
    <w:rsid w:val="004006BF"/>
    <w:rsid w:val="0040091F"/>
    <w:rsid w:val="00400C14"/>
    <w:rsid w:val="00400F37"/>
    <w:rsid w:val="004026CF"/>
    <w:rsid w:val="00405567"/>
    <w:rsid w:val="0040559E"/>
    <w:rsid w:val="00406FA2"/>
    <w:rsid w:val="004076ED"/>
    <w:rsid w:val="0041008E"/>
    <w:rsid w:val="004102E0"/>
    <w:rsid w:val="00411168"/>
    <w:rsid w:val="004116CD"/>
    <w:rsid w:val="00411B2F"/>
    <w:rsid w:val="00413253"/>
    <w:rsid w:val="00413939"/>
    <w:rsid w:val="00413C3F"/>
    <w:rsid w:val="00414F6F"/>
    <w:rsid w:val="00415524"/>
    <w:rsid w:val="004155B5"/>
    <w:rsid w:val="00415A02"/>
    <w:rsid w:val="0041611B"/>
    <w:rsid w:val="00416462"/>
    <w:rsid w:val="0041733F"/>
    <w:rsid w:val="004175CE"/>
    <w:rsid w:val="004177BB"/>
    <w:rsid w:val="00420ACC"/>
    <w:rsid w:val="00421206"/>
    <w:rsid w:val="00422264"/>
    <w:rsid w:val="00422EDF"/>
    <w:rsid w:val="0042391D"/>
    <w:rsid w:val="00424CA9"/>
    <w:rsid w:val="0042589A"/>
    <w:rsid w:val="004258FC"/>
    <w:rsid w:val="0042635A"/>
    <w:rsid w:val="00430560"/>
    <w:rsid w:val="004306FB"/>
    <w:rsid w:val="00430C30"/>
    <w:rsid w:val="00432767"/>
    <w:rsid w:val="00432F4C"/>
    <w:rsid w:val="00433C0A"/>
    <w:rsid w:val="00434F5B"/>
    <w:rsid w:val="00435770"/>
    <w:rsid w:val="00435C8E"/>
    <w:rsid w:val="0043618B"/>
    <w:rsid w:val="004372D2"/>
    <w:rsid w:val="004376A6"/>
    <w:rsid w:val="0043776C"/>
    <w:rsid w:val="004400D2"/>
    <w:rsid w:val="00440A4D"/>
    <w:rsid w:val="004412EE"/>
    <w:rsid w:val="00441592"/>
    <w:rsid w:val="004417A9"/>
    <w:rsid w:val="00441B22"/>
    <w:rsid w:val="0044291A"/>
    <w:rsid w:val="00445382"/>
    <w:rsid w:val="00446EF0"/>
    <w:rsid w:val="00447D9C"/>
    <w:rsid w:val="00447F78"/>
    <w:rsid w:val="00450617"/>
    <w:rsid w:val="00451B20"/>
    <w:rsid w:val="004524AB"/>
    <w:rsid w:val="004532FE"/>
    <w:rsid w:val="00454B2F"/>
    <w:rsid w:val="0045589F"/>
    <w:rsid w:val="0045668E"/>
    <w:rsid w:val="004566FF"/>
    <w:rsid w:val="00456B1A"/>
    <w:rsid w:val="00456E48"/>
    <w:rsid w:val="00457A8A"/>
    <w:rsid w:val="00457C2D"/>
    <w:rsid w:val="004601E0"/>
    <w:rsid w:val="00460C9A"/>
    <w:rsid w:val="00460F05"/>
    <w:rsid w:val="004613C2"/>
    <w:rsid w:val="00461DA7"/>
    <w:rsid w:val="004627A4"/>
    <w:rsid w:val="0046287E"/>
    <w:rsid w:val="004653F8"/>
    <w:rsid w:val="004654D2"/>
    <w:rsid w:val="00465BBB"/>
    <w:rsid w:val="00465EE1"/>
    <w:rsid w:val="00466C26"/>
    <w:rsid w:val="004709B2"/>
    <w:rsid w:val="004709B9"/>
    <w:rsid w:val="00471096"/>
    <w:rsid w:val="00471378"/>
    <w:rsid w:val="00473017"/>
    <w:rsid w:val="004734E3"/>
    <w:rsid w:val="00473AFE"/>
    <w:rsid w:val="00474A59"/>
    <w:rsid w:val="00474C86"/>
    <w:rsid w:val="00474C8A"/>
    <w:rsid w:val="00474DA7"/>
    <w:rsid w:val="00475C28"/>
    <w:rsid w:val="00475C3E"/>
    <w:rsid w:val="0047607F"/>
    <w:rsid w:val="00477B7A"/>
    <w:rsid w:val="00477BDA"/>
    <w:rsid w:val="00481F36"/>
    <w:rsid w:val="0048361A"/>
    <w:rsid w:val="00483A98"/>
    <w:rsid w:val="004849C6"/>
    <w:rsid w:val="00484BD6"/>
    <w:rsid w:val="00484FB8"/>
    <w:rsid w:val="004855B6"/>
    <w:rsid w:val="004862F6"/>
    <w:rsid w:val="004865A1"/>
    <w:rsid w:val="0049001B"/>
    <w:rsid w:val="004902D8"/>
    <w:rsid w:val="004907F0"/>
    <w:rsid w:val="0049119D"/>
    <w:rsid w:val="004917BC"/>
    <w:rsid w:val="00491AFC"/>
    <w:rsid w:val="00491DA1"/>
    <w:rsid w:val="00492805"/>
    <w:rsid w:val="004931D4"/>
    <w:rsid w:val="00493B4B"/>
    <w:rsid w:val="00493F30"/>
    <w:rsid w:val="0049446F"/>
    <w:rsid w:val="00494BD0"/>
    <w:rsid w:val="00495051"/>
    <w:rsid w:val="00495DA1"/>
    <w:rsid w:val="004968B4"/>
    <w:rsid w:val="00496C20"/>
    <w:rsid w:val="00496F97"/>
    <w:rsid w:val="0049700A"/>
    <w:rsid w:val="004A1A6F"/>
    <w:rsid w:val="004A1CEB"/>
    <w:rsid w:val="004A1E07"/>
    <w:rsid w:val="004A1F68"/>
    <w:rsid w:val="004A20BE"/>
    <w:rsid w:val="004A2846"/>
    <w:rsid w:val="004A364F"/>
    <w:rsid w:val="004A4059"/>
    <w:rsid w:val="004A4953"/>
    <w:rsid w:val="004A5A91"/>
    <w:rsid w:val="004A5E08"/>
    <w:rsid w:val="004A60E3"/>
    <w:rsid w:val="004A701C"/>
    <w:rsid w:val="004A7454"/>
    <w:rsid w:val="004A7DCD"/>
    <w:rsid w:val="004A7E50"/>
    <w:rsid w:val="004B051C"/>
    <w:rsid w:val="004B0D68"/>
    <w:rsid w:val="004B2D7B"/>
    <w:rsid w:val="004B337C"/>
    <w:rsid w:val="004B4A3C"/>
    <w:rsid w:val="004B501A"/>
    <w:rsid w:val="004B5959"/>
    <w:rsid w:val="004B6518"/>
    <w:rsid w:val="004B6DB1"/>
    <w:rsid w:val="004B6FF6"/>
    <w:rsid w:val="004B75B7"/>
    <w:rsid w:val="004B7905"/>
    <w:rsid w:val="004B7977"/>
    <w:rsid w:val="004C02E7"/>
    <w:rsid w:val="004C079D"/>
    <w:rsid w:val="004C14CC"/>
    <w:rsid w:val="004C224D"/>
    <w:rsid w:val="004C4F80"/>
    <w:rsid w:val="004C7EB0"/>
    <w:rsid w:val="004D22EA"/>
    <w:rsid w:val="004D2BAF"/>
    <w:rsid w:val="004D2C49"/>
    <w:rsid w:val="004D32A0"/>
    <w:rsid w:val="004D3D91"/>
    <w:rsid w:val="004D43D9"/>
    <w:rsid w:val="004D573A"/>
    <w:rsid w:val="004D5D6E"/>
    <w:rsid w:val="004D5E1F"/>
    <w:rsid w:val="004D5E36"/>
    <w:rsid w:val="004D6326"/>
    <w:rsid w:val="004D660C"/>
    <w:rsid w:val="004D6736"/>
    <w:rsid w:val="004D68B7"/>
    <w:rsid w:val="004D6F1F"/>
    <w:rsid w:val="004D6FFE"/>
    <w:rsid w:val="004D722B"/>
    <w:rsid w:val="004D7321"/>
    <w:rsid w:val="004E09A7"/>
    <w:rsid w:val="004E3270"/>
    <w:rsid w:val="004E72A3"/>
    <w:rsid w:val="004E7C15"/>
    <w:rsid w:val="004F066C"/>
    <w:rsid w:val="004F0A4F"/>
    <w:rsid w:val="004F10E6"/>
    <w:rsid w:val="004F138B"/>
    <w:rsid w:val="004F4260"/>
    <w:rsid w:val="004F4AD7"/>
    <w:rsid w:val="004F4F13"/>
    <w:rsid w:val="004F5048"/>
    <w:rsid w:val="004F5980"/>
    <w:rsid w:val="004F59AB"/>
    <w:rsid w:val="004F5D20"/>
    <w:rsid w:val="005009ED"/>
    <w:rsid w:val="00501BD5"/>
    <w:rsid w:val="00501DD5"/>
    <w:rsid w:val="00501E96"/>
    <w:rsid w:val="00501ED4"/>
    <w:rsid w:val="005023D4"/>
    <w:rsid w:val="00502747"/>
    <w:rsid w:val="005034D8"/>
    <w:rsid w:val="00505B0D"/>
    <w:rsid w:val="00506646"/>
    <w:rsid w:val="00506F71"/>
    <w:rsid w:val="00507287"/>
    <w:rsid w:val="005072C0"/>
    <w:rsid w:val="00507B09"/>
    <w:rsid w:val="005101DF"/>
    <w:rsid w:val="005107A0"/>
    <w:rsid w:val="00510F78"/>
    <w:rsid w:val="00511832"/>
    <w:rsid w:val="00511EB6"/>
    <w:rsid w:val="005120EA"/>
    <w:rsid w:val="0051216A"/>
    <w:rsid w:val="005126D4"/>
    <w:rsid w:val="00512C4F"/>
    <w:rsid w:val="00514280"/>
    <w:rsid w:val="00515020"/>
    <w:rsid w:val="00515803"/>
    <w:rsid w:val="00516B8D"/>
    <w:rsid w:val="00516F1A"/>
    <w:rsid w:val="0052057C"/>
    <w:rsid w:val="00520AD7"/>
    <w:rsid w:val="00521AB3"/>
    <w:rsid w:val="00521C8E"/>
    <w:rsid w:val="005225EA"/>
    <w:rsid w:val="00522819"/>
    <w:rsid w:val="00523652"/>
    <w:rsid w:val="00523660"/>
    <w:rsid w:val="0052481E"/>
    <w:rsid w:val="00525338"/>
    <w:rsid w:val="005262F0"/>
    <w:rsid w:val="00526357"/>
    <w:rsid w:val="00526C3D"/>
    <w:rsid w:val="00526C65"/>
    <w:rsid w:val="00527F87"/>
    <w:rsid w:val="00530504"/>
    <w:rsid w:val="0053212C"/>
    <w:rsid w:val="00533178"/>
    <w:rsid w:val="005332BA"/>
    <w:rsid w:val="00533C6C"/>
    <w:rsid w:val="00533CE6"/>
    <w:rsid w:val="00534346"/>
    <w:rsid w:val="0053438B"/>
    <w:rsid w:val="005348D7"/>
    <w:rsid w:val="005356E8"/>
    <w:rsid w:val="00535DA8"/>
    <w:rsid w:val="00535FFC"/>
    <w:rsid w:val="00536377"/>
    <w:rsid w:val="0053727B"/>
    <w:rsid w:val="005373E8"/>
    <w:rsid w:val="00537794"/>
    <w:rsid w:val="00537F58"/>
    <w:rsid w:val="00537FBC"/>
    <w:rsid w:val="00540212"/>
    <w:rsid w:val="0054021B"/>
    <w:rsid w:val="005406F4"/>
    <w:rsid w:val="00540E25"/>
    <w:rsid w:val="005413DA"/>
    <w:rsid w:val="00541891"/>
    <w:rsid w:val="00542C8F"/>
    <w:rsid w:val="00542EF9"/>
    <w:rsid w:val="00542FC1"/>
    <w:rsid w:val="005432C1"/>
    <w:rsid w:val="0054483C"/>
    <w:rsid w:val="00544BC3"/>
    <w:rsid w:val="00544E03"/>
    <w:rsid w:val="00545636"/>
    <w:rsid w:val="0054638E"/>
    <w:rsid w:val="00547D87"/>
    <w:rsid w:val="00551815"/>
    <w:rsid w:val="00551EDD"/>
    <w:rsid w:val="00553491"/>
    <w:rsid w:val="00553A4A"/>
    <w:rsid w:val="00553C04"/>
    <w:rsid w:val="00553F36"/>
    <w:rsid w:val="005547CD"/>
    <w:rsid w:val="00556649"/>
    <w:rsid w:val="005568F0"/>
    <w:rsid w:val="00556D72"/>
    <w:rsid w:val="00560B62"/>
    <w:rsid w:val="00560D7A"/>
    <w:rsid w:val="00560EDE"/>
    <w:rsid w:val="00561078"/>
    <w:rsid w:val="005616EB"/>
    <w:rsid w:val="00561853"/>
    <w:rsid w:val="005620B3"/>
    <w:rsid w:val="005629C8"/>
    <w:rsid w:val="005633BF"/>
    <w:rsid w:val="0056370F"/>
    <w:rsid w:val="0056628F"/>
    <w:rsid w:val="005668C8"/>
    <w:rsid w:val="005670B9"/>
    <w:rsid w:val="00570666"/>
    <w:rsid w:val="00570FD2"/>
    <w:rsid w:val="0057232B"/>
    <w:rsid w:val="00572614"/>
    <w:rsid w:val="005735D0"/>
    <w:rsid w:val="00573B38"/>
    <w:rsid w:val="00574CB5"/>
    <w:rsid w:val="0057512E"/>
    <w:rsid w:val="00576525"/>
    <w:rsid w:val="0057693D"/>
    <w:rsid w:val="0057720C"/>
    <w:rsid w:val="005776FA"/>
    <w:rsid w:val="005778A9"/>
    <w:rsid w:val="00580155"/>
    <w:rsid w:val="00581C3E"/>
    <w:rsid w:val="005822D2"/>
    <w:rsid w:val="00583170"/>
    <w:rsid w:val="00583239"/>
    <w:rsid w:val="00583C05"/>
    <w:rsid w:val="00584337"/>
    <w:rsid w:val="00584811"/>
    <w:rsid w:val="00584ABD"/>
    <w:rsid w:val="00584BA4"/>
    <w:rsid w:val="00584C52"/>
    <w:rsid w:val="0058533F"/>
    <w:rsid w:val="00586519"/>
    <w:rsid w:val="0058659D"/>
    <w:rsid w:val="005866AE"/>
    <w:rsid w:val="00586A28"/>
    <w:rsid w:val="00590137"/>
    <w:rsid w:val="00590215"/>
    <w:rsid w:val="00590636"/>
    <w:rsid w:val="00590BCB"/>
    <w:rsid w:val="00590EB9"/>
    <w:rsid w:val="00590F3B"/>
    <w:rsid w:val="00591F25"/>
    <w:rsid w:val="0059231B"/>
    <w:rsid w:val="005927C4"/>
    <w:rsid w:val="0059379C"/>
    <w:rsid w:val="00593D05"/>
    <w:rsid w:val="00594161"/>
    <w:rsid w:val="00594749"/>
    <w:rsid w:val="00594AC1"/>
    <w:rsid w:val="00594D1B"/>
    <w:rsid w:val="00594F27"/>
    <w:rsid w:val="00595D07"/>
    <w:rsid w:val="00595FCC"/>
    <w:rsid w:val="005A1567"/>
    <w:rsid w:val="005A2961"/>
    <w:rsid w:val="005A4436"/>
    <w:rsid w:val="005A5050"/>
    <w:rsid w:val="005A5DD7"/>
    <w:rsid w:val="005A7E70"/>
    <w:rsid w:val="005B06DE"/>
    <w:rsid w:val="005B0CC1"/>
    <w:rsid w:val="005B289E"/>
    <w:rsid w:val="005B3467"/>
    <w:rsid w:val="005B5BE5"/>
    <w:rsid w:val="005B6707"/>
    <w:rsid w:val="005B70D6"/>
    <w:rsid w:val="005B7512"/>
    <w:rsid w:val="005B7B00"/>
    <w:rsid w:val="005C1505"/>
    <w:rsid w:val="005C17A5"/>
    <w:rsid w:val="005C17B2"/>
    <w:rsid w:val="005C32AB"/>
    <w:rsid w:val="005C35FC"/>
    <w:rsid w:val="005C3B10"/>
    <w:rsid w:val="005C3D38"/>
    <w:rsid w:val="005C434C"/>
    <w:rsid w:val="005C479C"/>
    <w:rsid w:val="005C4F1B"/>
    <w:rsid w:val="005C51F9"/>
    <w:rsid w:val="005C634F"/>
    <w:rsid w:val="005C704A"/>
    <w:rsid w:val="005C7380"/>
    <w:rsid w:val="005C76A8"/>
    <w:rsid w:val="005C7DD1"/>
    <w:rsid w:val="005D12FF"/>
    <w:rsid w:val="005D23D6"/>
    <w:rsid w:val="005D3FE1"/>
    <w:rsid w:val="005D462A"/>
    <w:rsid w:val="005D4FA1"/>
    <w:rsid w:val="005D53B9"/>
    <w:rsid w:val="005D53FB"/>
    <w:rsid w:val="005D5721"/>
    <w:rsid w:val="005D59AF"/>
    <w:rsid w:val="005D5C62"/>
    <w:rsid w:val="005D5D75"/>
    <w:rsid w:val="005D78F5"/>
    <w:rsid w:val="005E02BD"/>
    <w:rsid w:val="005E17A0"/>
    <w:rsid w:val="005E1836"/>
    <w:rsid w:val="005E18FF"/>
    <w:rsid w:val="005E23E3"/>
    <w:rsid w:val="005E3ED2"/>
    <w:rsid w:val="005E410D"/>
    <w:rsid w:val="005E43D2"/>
    <w:rsid w:val="005E43E4"/>
    <w:rsid w:val="005E51E6"/>
    <w:rsid w:val="005E52D2"/>
    <w:rsid w:val="005E5B85"/>
    <w:rsid w:val="005E60CE"/>
    <w:rsid w:val="005E74E1"/>
    <w:rsid w:val="005F0B1C"/>
    <w:rsid w:val="005F1193"/>
    <w:rsid w:val="005F13C7"/>
    <w:rsid w:val="005F142B"/>
    <w:rsid w:val="005F1ED4"/>
    <w:rsid w:val="005F2A7F"/>
    <w:rsid w:val="005F3735"/>
    <w:rsid w:val="005F4137"/>
    <w:rsid w:val="005F6AB6"/>
    <w:rsid w:val="005F6CAB"/>
    <w:rsid w:val="005F6D40"/>
    <w:rsid w:val="005F6DDD"/>
    <w:rsid w:val="005F6F9D"/>
    <w:rsid w:val="00600219"/>
    <w:rsid w:val="006014BA"/>
    <w:rsid w:val="00601D1D"/>
    <w:rsid w:val="006028D5"/>
    <w:rsid w:val="00603316"/>
    <w:rsid w:val="00606020"/>
    <w:rsid w:val="00606988"/>
    <w:rsid w:val="00607FC8"/>
    <w:rsid w:val="00610D12"/>
    <w:rsid w:val="00610DF6"/>
    <w:rsid w:val="0061121A"/>
    <w:rsid w:val="00611E3A"/>
    <w:rsid w:val="00612122"/>
    <w:rsid w:val="00612949"/>
    <w:rsid w:val="00613125"/>
    <w:rsid w:val="00613359"/>
    <w:rsid w:val="00613D04"/>
    <w:rsid w:val="0061475C"/>
    <w:rsid w:val="006151E8"/>
    <w:rsid w:val="0061540A"/>
    <w:rsid w:val="00616A32"/>
    <w:rsid w:val="00616DEC"/>
    <w:rsid w:val="006207A3"/>
    <w:rsid w:val="00620ACF"/>
    <w:rsid w:val="00621A70"/>
    <w:rsid w:val="0062271E"/>
    <w:rsid w:val="00622CC0"/>
    <w:rsid w:val="0062362E"/>
    <w:rsid w:val="00623BAD"/>
    <w:rsid w:val="006240EF"/>
    <w:rsid w:val="006243FE"/>
    <w:rsid w:val="00625FF9"/>
    <w:rsid w:val="00627036"/>
    <w:rsid w:val="006270E3"/>
    <w:rsid w:val="00627737"/>
    <w:rsid w:val="0063067D"/>
    <w:rsid w:val="006306BD"/>
    <w:rsid w:val="00632A07"/>
    <w:rsid w:val="00633C14"/>
    <w:rsid w:val="0063421B"/>
    <w:rsid w:val="00634B6B"/>
    <w:rsid w:val="00635CA4"/>
    <w:rsid w:val="00636215"/>
    <w:rsid w:val="00637CF2"/>
    <w:rsid w:val="00642748"/>
    <w:rsid w:val="0064393A"/>
    <w:rsid w:val="00643B0E"/>
    <w:rsid w:val="00644DF1"/>
    <w:rsid w:val="00645110"/>
    <w:rsid w:val="00646149"/>
    <w:rsid w:val="006471C1"/>
    <w:rsid w:val="00651AB0"/>
    <w:rsid w:val="00651C41"/>
    <w:rsid w:val="006521A2"/>
    <w:rsid w:val="006527F5"/>
    <w:rsid w:val="00653F31"/>
    <w:rsid w:val="00653FBE"/>
    <w:rsid w:val="00654035"/>
    <w:rsid w:val="00654111"/>
    <w:rsid w:val="006543F6"/>
    <w:rsid w:val="00655352"/>
    <w:rsid w:val="00655E01"/>
    <w:rsid w:val="006565D0"/>
    <w:rsid w:val="00656E9F"/>
    <w:rsid w:val="00656FE2"/>
    <w:rsid w:val="006571E6"/>
    <w:rsid w:val="00657835"/>
    <w:rsid w:val="00657ACF"/>
    <w:rsid w:val="00657C3D"/>
    <w:rsid w:val="00657CF9"/>
    <w:rsid w:val="0066047C"/>
    <w:rsid w:val="00661713"/>
    <w:rsid w:val="006617DC"/>
    <w:rsid w:val="006623ED"/>
    <w:rsid w:val="0066424A"/>
    <w:rsid w:val="006644F3"/>
    <w:rsid w:val="00664EEF"/>
    <w:rsid w:val="00666407"/>
    <w:rsid w:val="00666A2F"/>
    <w:rsid w:val="00667939"/>
    <w:rsid w:val="00667B5A"/>
    <w:rsid w:val="00667D98"/>
    <w:rsid w:val="00671909"/>
    <w:rsid w:val="006722C6"/>
    <w:rsid w:val="006734B9"/>
    <w:rsid w:val="0067432B"/>
    <w:rsid w:val="006745E8"/>
    <w:rsid w:val="00674F2E"/>
    <w:rsid w:val="006752B0"/>
    <w:rsid w:val="00676A1A"/>
    <w:rsid w:val="006772E1"/>
    <w:rsid w:val="0067767F"/>
    <w:rsid w:val="0067768A"/>
    <w:rsid w:val="00677747"/>
    <w:rsid w:val="00677CC2"/>
    <w:rsid w:val="00680096"/>
    <w:rsid w:val="006801CB"/>
    <w:rsid w:val="006804BA"/>
    <w:rsid w:val="00680F77"/>
    <w:rsid w:val="006818D7"/>
    <w:rsid w:val="00681990"/>
    <w:rsid w:val="006841C2"/>
    <w:rsid w:val="0068547C"/>
    <w:rsid w:val="00685C10"/>
    <w:rsid w:val="00686473"/>
    <w:rsid w:val="006878FB"/>
    <w:rsid w:val="006879C8"/>
    <w:rsid w:val="00687C96"/>
    <w:rsid w:val="006903BF"/>
    <w:rsid w:val="006916C9"/>
    <w:rsid w:val="00691938"/>
    <w:rsid w:val="0069207B"/>
    <w:rsid w:val="00694209"/>
    <w:rsid w:val="00694257"/>
    <w:rsid w:val="0069472E"/>
    <w:rsid w:val="00695538"/>
    <w:rsid w:val="0069595F"/>
    <w:rsid w:val="00695D7B"/>
    <w:rsid w:val="00696773"/>
    <w:rsid w:val="00696F43"/>
    <w:rsid w:val="0069735A"/>
    <w:rsid w:val="00697958"/>
    <w:rsid w:val="006979ED"/>
    <w:rsid w:val="006A0B21"/>
    <w:rsid w:val="006A174A"/>
    <w:rsid w:val="006A28BE"/>
    <w:rsid w:val="006A295F"/>
    <w:rsid w:val="006A297D"/>
    <w:rsid w:val="006A411F"/>
    <w:rsid w:val="006A41F1"/>
    <w:rsid w:val="006A47DC"/>
    <w:rsid w:val="006A5059"/>
    <w:rsid w:val="006A5AC5"/>
    <w:rsid w:val="006A643F"/>
    <w:rsid w:val="006A746E"/>
    <w:rsid w:val="006B01B4"/>
    <w:rsid w:val="006B02F8"/>
    <w:rsid w:val="006B075A"/>
    <w:rsid w:val="006B092E"/>
    <w:rsid w:val="006B148A"/>
    <w:rsid w:val="006B2369"/>
    <w:rsid w:val="006B25C6"/>
    <w:rsid w:val="006B2980"/>
    <w:rsid w:val="006B2FE8"/>
    <w:rsid w:val="006B390D"/>
    <w:rsid w:val="006B39E4"/>
    <w:rsid w:val="006B43C9"/>
    <w:rsid w:val="006B5664"/>
    <w:rsid w:val="006B5C06"/>
    <w:rsid w:val="006B7483"/>
    <w:rsid w:val="006B771B"/>
    <w:rsid w:val="006C150C"/>
    <w:rsid w:val="006C1816"/>
    <w:rsid w:val="006C1DCB"/>
    <w:rsid w:val="006C33D9"/>
    <w:rsid w:val="006C3571"/>
    <w:rsid w:val="006C36A7"/>
    <w:rsid w:val="006C416A"/>
    <w:rsid w:val="006C574C"/>
    <w:rsid w:val="006C5816"/>
    <w:rsid w:val="006C5D41"/>
    <w:rsid w:val="006C5E78"/>
    <w:rsid w:val="006C65DC"/>
    <w:rsid w:val="006C679B"/>
    <w:rsid w:val="006C7F8C"/>
    <w:rsid w:val="006D0DCB"/>
    <w:rsid w:val="006D1E1A"/>
    <w:rsid w:val="006D2E7E"/>
    <w:rsid w:val="006D369A"/>
    <w:rsid w:val="006D6017"/>
    <w:rsid w:val="006D6058"/>
    <w:rsid w:val="006D66B5"/>
    <w:rsid w:val="006D6D32"/>
    <w:rsid w:val="006E02C4"/>
    <w:rsid w:val="006E0DEE"/>
    <w:rsid w:val="006E1675"/>
    <w:rsid w:val="006E3AD4"/>
    <w:rsid w:val="006E4178"/>
    <w:rsid w:val="006E54E4"/>
    <w:rsid w:val="006E5AF4"/>
    <w:rsid w:val="006E6365"/>
    <w:rsid w:val="006E64AD"/>
    <w:rsid w:val="006E6E26"/>
    <w:rsid w:val="006F0E2B"/>
    <w:rsid w:val="006F0E5E"/>
    <w:rsid w:val="006F1457"/>
    <w:rsid w:val="006F1547"/>
    <w:rsid w:val="006F182D"/>
    <w:rsid w:val="006F27AC"/>
    <w:rsid w:val="006F2958"/>
    <w:rsid w:val="006F3492"/>
    <w:rsid w:val="006F383F"/>
    <w:rsid w:val="006F45CA"/>
    <w:rsid w:val="006F5080"/>
    <w:rsid w:val="006F531A"/>
    <w:rsid w:val="006F5D28"/>
    <w:rsid w:val="006F667E"/>
    <w:rsid w:val="006F66BD"/>
    <w:rsid w:val="006F67CE"/>
    <w:rsid w:val="006F78A0"/>
    <w:rsid w:val="00701BF0"/>
    <w:rsid w:val="00704905"/>
    <w:rsid w:val="00705A89"/>
    <w:rsid w:val="00705AF3"/>
    <w:rsid w:val="00705E35"/>
    <w:rsid w:val="0070663F"/>
    <w:rsid w:val="00707273"/>
    <w:rsid w:val="00707E89"/>
    <w:rsid w:val="00707F19"/>
    <w:rsid w:val="00711032"/>
    <w:rsid w:val="00711AC5"/>
    <w:rsid w:val="00712F89"/>
    <w:rsid w:val="007136C5"/>
    <w:rsid w:val="00714D90"/>
    <w:rsid w:val="0071512E"/>
    <w:rsid w:val="00715222"/>
    <w:rsid w:val="007158A5"/>
    <w:rsid w:val="00715EC3"/>
    <w:rsid w:val="007163A9"/>
    <w:rsid w:val="00716A4B"/>
    <w:rsid w:val="00716F51"/>
    <w:rsid w:val="00717460"/>
    <w:rsid w:val="007213CE"/>
    <w:rsid w:val="00721745"/>
    <w:rsid w:val="00723930"/>
    <w:rsid w:val="007240A2"/>
    <w:rsid w:val="00725DB6"/>
    <w:rsid w:val="0072680C"/>
    <w:rsid w:val="00726CD6"/>
    <w:rsid w:val="007276BC"/>
    <w:rsid w:val="00727ED5"/>
    <w:rsid w:val="00731E00"/>
    <w:rsid w:val="00732251"/>
    <w:rsid w:val="00732846"/>
    <w:rsid w:val="00732F07"/>
    <w:rsid w:val="00733990"/>
    <w:rsid w:val="00734688"/>
    <w:rsid w:val="00734835"/>
    <w:rsid w:val="00734AB2"/>
    <w:rsid w:val="00734CC0"/>
    <w:rsid w:val="00736102"/>
    <w:rsid w:val="00736436"/>
    <w:rsid w:val="007367D7"/>
    <w:rsid w:val="00736E73"/>
    <w:rsid w:val="00740B60"/>
    <w:rsid w:val="00740FA1"/>
    <w:rsid w:val="00741192"/>
    <w:rsid w:val="00743BCD"/>
    <w:rsid w:val="00743D36"/>
    <w:rsid w:val="00743D3F"/>
    <w:rsid w:val="00743D59"/>
    <w:rsid w:val="00743F0A"/>
    <w:rsid w:val="007446F7"/>
    <w:rsid w:val="007447B8"/>
    <w:rsid w:val="00744D9B"/>
    <w:rsid w:val="00745466"/>
    <w:rsid w:val="00745581"/>
    <w:rsid w:val="00746A03"/>
    <w:rsid w:val="00746EB4"/>
    <w:rsid w:val="00747A0D"/>
    <w:rsid w:val="00747C5A"/>
    <w:rsid w:val="0075000D"/>
    <w:rsid w:val="00750553"/>
    <w:rsid w:val="007510E6"/>
    <w:rsid w:val="007512AF"/>
    <w:rsid w:val="00752C10"/>
    <w:rsid w:val="00752D2B"/>
    <w:rsid w:val="00753053"/>
    <w:rsid w:val="0075333F"/>
    <w:rsid w:val="0075519E"/>
    <w:rsid w:val="007552BB"/>
    <w:rsid w:val="00756824"/>
    <w:rsid w:val="00756A1D"/>
    <w:rsid w:val="00756F20"/>
    <w:rsid w:val="007571BF"/>
    <w:rsid w:val="007576E9"/>
    <w:rsid w:val="00757790"/>
    <w:rsid w:val="00757A32"/>
    <w:rsid w:val="007608E8"/>
    <w:rsid w:val="0076128F"/>
    <w:rsid w:val="00761729"/>
    <w:rsid w:val="007634B3"/>
    <w:rsid w:val="00763D98"/>
    <w:rsid w:val="00763DBC"/>
    <w:rsid w:val="00763E50"/>
    <w:rsid w:val="007648A2"/>
    <w:rsid w:val="007653B3"/>
    <w:rsid w:val="007658F1"/>
    <w:rsid w:val="00766583"/>
    <w:rsid w:val="0076692A"/>
    <w:rsid w:val="0076796E"/>
    <w:rsid w:val="007703F0"/>
    <w:rsid w:val="0077071A"/>
    <w:rsid w:val="00770C13"/>
    <w:rsid w:val="00770CA8"/>
    <w:rsid w:val="007711A6"/>
    <w:rsid w:val="007715C9"/>
    <w:rsid w:val="0077418C"/>
    <w:rsid w:val="00774EDD"/>
    <w:rsid w:val="007757EC"/>
    <w:rsid w:val="00775BFB"/>
    <w:rsid w:val="00776484"/>
    <w:rsid w:val="00776809"/>
    <w:rsid w:val="007774D2"/>
    <w:rsid w:val="0077772E"/>
    <w:rsid w:val="00780039"/>
    <w:rsid w:val="00780267"/>
    <w:rsid w:val="007802C0"/>
    <w:rsid w:val="007809FB"/>
    <w:rsid w:val="00781164"/>
    <w:rsid w:val="00781271"/>
    <w:rsid w:val="00782976"/>
    <w:rsid w:val="00783AC0"/>
    <w:rsid w:val="00783E22"/>
    <w:rsid w:val="007841D1"/>
    <w:rsid w:val="007869D8"/>
    <w:rsid w:val="007873C4"/>
    <w:rsid w:val="007878F5"/>
    <w:rsid w:val="00790633"/>
    <w:rsid w:val="00790C20"/>
    <w:rsid w:val="00790E75"/>
    <w:rsid w:val="007918A6"/>
    <w:rsid w:val="00791CD4"/>
    <w:rsid w:val="00796E6B"/>
    <w:rsid w:val="00797390"/>
    <w:rsid w:val="00797AC1"/>
    <w:rsid w:val="00797E44"/>
    <w:rsid w:val="00797F00"/>
    <w:rsid w:val="007A0161"/>
    <w:rsid w:val="007A03DA"/>
    <w:rsid w:val="007A0E7F"/>
    <w:rsid w:val="007A15A7"/>
    <w:rsid w:val="007A3092"/>
    <w:rsid w:val="007A3347"/>
    <w:rsid w:val="007A374F"/>
    <w:rsid w:val="007A4898"/>
    <w:rsid w:val="007A4D07"/>
    <w:rsid w:val="007A53CA"/>
    <w:rsid w:val="007A5D17"/>
    <w:rsid w:val="007A7264"/>
    <w:rsid w:val="007A7AC2"/>
    <w:rsid w:val="007B0AE3"/>
    <w:rsid w:val="007B0F44"/>
    <w:rsid w:val="007B1A77"/>
    <w:rsid w:val="007B1D3C"/>
    <w:rsid w:val="007B20C9"/>
    <w:rsid w:val="007B496F"/>
    <w:rsid w:val="007B59C6"/>
    <w:rsid w:val="007B5CA7"/>
    <w:rsid w:val="007B65A4"/>
    <w:rsid w:val="007B7E58"/>
    <w:rsid w:val="007C0F04"/>
    <w:rsid w:val="007C2422"/>
    <w:rsid w:val="007C2AC6"/>
    <w:rsid w:val="007C45FB"/>
    <w:rsid w:val="007C4F05"/>
    <w:rsid w:val="007C54F0"/>
    <w:rsid w:val="007C560F"/>
    <w:rsid w:val="007C7BA9"/>
    <w:rsid w:val="007D06F3"/>
    <w:rsid w:val="007D09F9"/>
    <w:rsid w:val="007D10B4"/>
    <w:rsid w:val="007D2AA2"/>
    <w:rsid w:val="007D44FE"/>
    <w:rsid w:val="007D54B9"/>
    <w:rsid w:val="007D6093"/>
    <w:rsid w:val="007D61BE"/>
    <w:rsid w:val="007D63BE"/>
    <w:rsid w:val="007D6404"/>
    <w:rsid w:val="007D7235"/>
    <w:rsid w:val="007D748F"/>
    <w:rsid w:val="007D75E4"/>
    <w:rsid w:val="007D7DEF"/>
    <w:rsid w:val="007E0322"/>
    <w:rsid w:val="007E11F9"/>
    <w:rsid w:val="007E13AF"/>
    <w:rsid w:val="007E1845"/>
    <w:rsid w:val="007E1D05"/>
    <w:rsid w:val="007E368F"/>
    <w:rsid w:val="007E3EEF"/>
    <w:rsid w:val="007E410E"/>
    <w:rsid w:val="007E4AB9"/>
    <w:rsid w:val="007E4C17"/>
    <w:rsid w:val="007E57AB"/>
    <w:rsid w:val="007E57B1"/>
    <w:rsid w:val="007E5A70"/>
    <w:rsid w:val="007F0A4E"/>
    <w:rsid w:val="007F0C4E"/>
    <w:rsid w:val="007F21B5"/>
    <w:rsid w:val="007F23DD"/>
    <w:rsid w:val="007F38AE"/>
    <w:rsid w:val="007F4192"/>
    <w:rsid w:val="007F552D"/>
    <w:rsid w:val="007F5C32"/>
    <w:rsid w:val="007F6809"/>
    <w:rsid w:val="007F7848"/>
    <w:rsid w:val="007F78B5"/>
    <w:rsid w:val="0080076C"/>
    <w:rsid w:val="008008EF"/>
    <w:rsid w:val="00802508"/>
    <w:rsid w:val="00802D94"/>
    <w:rsid w:val="00803206"/>
    <w:rsid w:val="008039FC"/>
    <w:rsid w:val="00803BC1"/>
    <w:rsid w:val="00804A3B"/>
    <w:rsid w:val="00805802"/>
    <w:rsid w:val="00805ED3"/>
    <w:rsid w:val="008076B4"/>
    <w:rsid w:val="008103ED"/>
    <w:rsid w:val="00810525"/>
    <w:rsid w:val="008106E7"/>
    <w:rsid w:val="008112A2"/>
    <w:rsid w:val="008116C5"/>
    <w:rsid w:val="00811736"/>
    <w:rsid w:val="008123DC"/>
    <w:rsid w:val="00814B7F"/>
    <w:rsid w:val="0081626B"/>
    <w:rsid w:val="00816EA0"/>
    <w:rsid w:val="00816F93"/>
    <w:rsid w:val="00820B26"/>
    <w:rsid w:val="00820BF0"/>
    <w:rsid w:val="0082126F"/>
    <w:rsid w:val="00822C5D"/>
    <w:rsid w:val="008230A8"/>
    <w:rsid w:val="008235D5"/>
    <w:rsid w:val="008240EB"/>
    <w:rsid w:val="00825D31"/>
    <w:rsid w:val="00826103"/>
    <w:rsid w:val="008261DD"/>
    <w:rsid w:val="008262BB"/>
    <w:rsid w:val="0082723A"/>
    <w:rsid w:val="00831095"/>
    <w:rsid w:val="008310E0"/>
    <w:rsid w:val="00831645"/>
    <w:rsid w:val="0083197E"/>
    <w:rsid w:val="00831E79"/>
    <w:rsid w:val="00831FF8"/>
    <w:rsid w:val="00832433"/>
    <w:rsid w:val="00832612"/>
    <w:rsid w:val="00832914"/>
    <w:rsid w:val="00832970"/>
    <w:rsid w:val="00833171"/>
    <w:rsid w:val="0083549F"/>
    <w:rsid w:val="00835825"/>
    <w:rsid w:val="0083647F"/>
    <w:rsid w:val="008373F5"/>
    <w:rsid w:val="0084047D"/>
    <w:rsid w:val="008418CD"/>
    <w:rsid w:val="008419E3"/>
    <w:rsid w:val="00843692"/>
    <w:rsid w:val="00845F4C"/>
    <w:rsid w:val="00845FE6"/>
    <w:rsid w:val="00847D72"/>
    <w:rsid w:val="0085013C"/>
    <w:rsid w:val="0085041E"/>
    <w:rsid w:val="0085051C"/>
    <w:rsid w:val="008505C7"/>
    <w:rsid w:val="00850BC0"/>
    <w:rsid w:val="00850D29"/>
    <w:rsid w:val="00851693"/>
    <w:rsid w:val="00851804"/>
    <w:rsid w:val="00851C76"/>
    <w:rsid w:val="00852B5C"/>
    <w:rsid w:val="00852D8B"/>
    <w:rsid w:val="00852F6E"/>
    <w:rsid w:val="00853D8C"/>
    <w:rsid w:val="00853F83"/>
    <w:rsid w:val="00856975"/>
    <w:rsid w:val="008569FD"/>
    <w:rsid w:val="00856A31"/>
    <w:rsid w:val="008576F7"/>
    <w:rsid w:val="008612E1"/>
    <w:rsid w:val="00861ADB"/>
    <w:rsid w:val="00863110"/>
    <w:rsid w:val="00863427"/>
    <w:rsid w:val="00863A78"/>
    <w:rsid w:val="00863F33"/>
    <w:rsid w:val="008652CF"/>
    <w:rsid w:val="00865F8E"/>
    <w:rsid w:val="008668BF"/>
    <w:rsid w:val="00867179"/>
    <w:rsid w:val="00867AF2"/>
    <w:rsid w:val="00867B4F"/>
    <w:rsid w:val="008710AE"/>
    <w:rsid w:val="00871674"/>
    <w:rsid w:val="00872286"/>
    <w:rsid w:val="0087229A"/>
    <w:rsid w:val="00872909"/>
    <w:rsid w:val="00873BA3"/>
    <w:rsid w:val="00873C43"/>
    <w:rsid w:val="008741F2"/>
    <w:rsid w:val="008742D2"/>
    <w:rsid w:val="008754D0"/>
    <w:rsid w:val="008761D0"/>
    <w:rsid w:val="008773FF"/>
    <w:rsid w:val="00877B29"/>
    <w:rsid w:val="00880208"/>
    <w:rsid w:val="00880AFF"/>
    <w:rsid w:val="00880FD9"/>
    <w:rsid w:val="00881CD3"/>
    <w:rsid w:val="00881EB4"/>
    <w:rsid w:val="008843B1"/>
    <w:rsid w:val="00884A7A"/>
    <w:rsid w:val="00884B99"/>
    <w:rsid w:val="00884C36"/>
    <w:rsid w:val="00884CB1"/>
    <w:rsid w:val="00885533"/>
    <w:rsid w:val="008873A3"/>
    <w:rsid w:val="0089237E"/>
    <w:rsid w:val="00892982"/>
    <w:rsid w:val="00892C35"/>
    <w:rsid w:val="00894CB8"/>
    <w:rsid w:val="00895072"/>
    <w:rsid w:val="00895F85"/>
    <w:rsid w:val="00896562"/>
    <w:rsid w:val="008A173E"/>
    <w:rsid w:val="008A2238"/>
    <w:rsid w:val="008A261E"/>
    <w:rsid w:val="008A2EB6"/>
    <w:rsid w:val="008A3813"/>
    <w:rsid w:val="008A39B4"/>
    <w:rsid w:val="008A4461"/>
    <w:rsid w:val="008A49FF"/>
    <w:rsid w:val="008A5006"/>
    <w:rsid w:val="008A58DF"/>
    <w:rsid w:val="008A5CB9"/>
    <w:rsid w:val="008A6AFE"/>
    <w:rsid w:val="008A70D0"/>
    <w:rsid w:val="008B1560"/>
    <w:rsid w:val="008B20A5"/>
    <w:rsid w:val="008B34AC"/>
    <w:rsid w:val="008B3BB4"/>
    <w:rsid w:val="008B4F65"/>
    <w:rsid w:val="008B577E"/>
    <w:rsid w:val="008B5D8C"/>
    <w:rsid w:val="008B686B"/>
    <w:rsid w:val="008B6A06"/>
    <w:rsid w:val="008B6E1B"/>
    <w:rsid w:val="008B6EAE"/>
    <w:rsid w:val="008C085B"/>
    <w:rsid w:val="008C11A6"/>
    <w:rsid w:val="008C17F7"/>
    <w:rsid w:val="008C2B40"/>
    <w:rsid w:val="008C2E05"/>
    <w:rsid w:val="008C32AD"/>
    <w:rsid w:val="008C3D05"/>
    <w:rsid w:val="008C3F1E"/>
    <w:rsid w:val="008C5194"/>
    <w:rsid w:val="008C5E45"/>
    <w:rsid w:val="008C6E75"/>
    <w:rsid w:val="008C6EE3"/>
    <w:rsid w:val="008C77DE"/>
    <w:rsid w:val="008D05AF"/>
    <w:rsid w:val="008D0BB6"/>
    <w:rsid w:val="008D162D"/>
    <w:rsid w:val="008D210C"/>
    <w:rsid w:val="008D21D5"/>
    <w:rsid w:val="008D2439"/>
    <w:rsid w:val="008D2BEF"/>
    <w:rsid w:val="008D2D3C"/>
    <w:rsid w:val="008D2F5D"/>
    <w:rsid w:val="008D31EF"/>
    <w:rsid w:val="008D355B"/>
    <w:rsid w:val="008D3A1E"/>
    <w:rsid w:val="008D5376"/>
    <w:rsid w:val="008D5C83"/>
    <w:rsid w:val="008D68E4"/>
    <w:rsid w:val="008D7264"/>
    <w:rsid w:val="008E0163"/>
    <w:rsid w:val="008E0587"/>
    <w:rsid w:val="008E0F53"/>
    <w:rsid w:val="008E2A85"/>
    <w:rsid w:val="008E3B8C"/>
    <w:rsid w:val="008E40D0"/>
    <w:rsid w:val="008E6599"/>
    <w:rsid w:val="008E6A57"/>
    <w:rsid w:val="008E6CF4"/>
    <w:rsid w:val="008E7108"/>
    <w:rsid w:val="008E7435"/>
    <w:rsid w:val="008E74B4"/>
    <w:rsid w:val="008E78A8"/>
    <w:rsid w:val="008F008B"/>
    <w:rsid w:val="008F0C93"/>
    <w:rsid w:val="008F116D"/>
    <w:rsid w:val="008F1989"/>
    <w:rsid w:val="008F1CF4"/>
    <w:rsid w:val="008F202E"/>
    <w:rsid w:val="008F3016"/>
    <w:rsid w:val="008F3D72"/>
    <w:rsid w:val="008F41A5"/>
    <w:rsid w:val="008F4363"/>
    <w:rsid w:val="008F521C"/>
    <w:rsid w:val="008F5500"/>
    <w:rsid w:val="008F57FC"/>
    <w:rsid w:val="008F5E81"/>
    <w:rsid w:val="008F7967"/>
    <w:rsid w:val="008F7C7F"/>
    <w:rsid w:val="008F7CCD"/>
    <w:rsid w:val="009000D9"/>
    <w:rsid w:val="0090098B"/>
    <w:rsid w:val="00902D6C"/>
    <w:rsid w:val="00902D72"/>
    <w:rsid w:val="0090312D"/>
    <w:rsid w:val="0090323C"/>
    <w:rsid w:val="009032A2"/>
    <w:rsid w:val="009040BA"/>
    <w:rsid w:val="009052EB"/>
    <w:rsid w:val="0090677C"/>
    <w:rsid w:val="00906B5C"/>
    <w:rsid w:val="00906FA5"/>
    <w:rsid w:val="009112AA"/>
    <w:rsid w:val="00911A75"/>
    <w:rsid w:val="0091228E"/>
    <w:rsid w:val="00913A74"/>
    <w:rsid w:val="0091419B"/>
    <w:rsid w:val="00914698"/>
    <w:rsid w:val="00914F11"/>
    <w:rsid w:val="00915975"/>
    <w:rsid w:val="00915ADF"/>
    <w:rsid w:val="00916443"/>
    <w:rsid w:val="00916982"/>
    <w:rsid w:val="00916D88"/>
    <w:rsid w:val="00917C16"/>
    <w:rsid w:val="00921E27"/>
    <w:rsid w:val="00923BD9"/>
    <w:rsid w:val="009243F7"/>
    <w:rsid w:val="009258DD"/>
    <w:rsid w:val="009272AE"/>
    <w:rsid w:val="00927772"/>
    <w:rsid w:val="00927913"/>
    <w:rsid w:val="00927C4F"/>
    <w:rsid w:val="00927D6B"/>
    <w:rsid w:val="00931097"/>
    <w:rsid w:val="00931A6E"/>
    <w:rsid w:val="00931CD0"/>
    <w:rsid w:val="00932F38"/>
    <w:rsid w:val="009343B0"/>
    <w:rsid w:val="009349CD"/>
    <w:rsid w:val="00935A9B"/>
    <w:rsid w:val="009366F6"/>
    <w:rsid w:val="00937C67"/>
    <w:rsid w:val="00941E8D"/>
    <w:rsid w:val="00942860"/>
    <w:rsid w:val="00942B13"/>
    <w:rsid w:val="00942F8D"/>
    <w:rsid w:val="00943D56"/>
    <w:rsid w:val="0094427C"/>
    <w:rsid w:val="0094492C"/>
    <w:rsid w:val="00944E2A"/>
    <w:rsid w:val="0094579C"/>
    <w:rsid w:val="009460BB"/>
    <w:rsid w:val="0094622F"/>
    <w:rsid w:val="009467A6"/>
    <w:rsid w:val="009474BD"/>
    <w:rsid w:val="00947DAA"/>
    <w:rsid w:val="00947FCF"/>
    <w:rsid w:val="00950497"/>
    <w:rsid w:val="00950B07"/>
    <w:rsid w:val="00951557"/>
    <w:rsid w:val="009525B5"/>
    <w:rsid w:val="00952F0B"/>
    <w:rsid w:val="00954645"/>
    <w:rsid w:val="009550BC"/>
    <w:rsid w:val="0095557B"/>
    <w:rsid w:val="00956263"/>
    <w:rsid w:val="009574B4"/>
    <w:rsid w:val="009574E1"/>
    <w:rsid w:val="00960A34"/>
    <w:rsid w:val="00960AAD"/>
    <w:rsid w:val="009611B5"/>
    <w:rsid w:val="00961F7C"/>
    <w:rsid w:val="009632F8"/>
    <w:rsid w:val="00963574"/>
    <w:rsid w:val="00963B43"/>
    <w:rsid w:val="00963BAF"/>
    <w:rsid w:val="0096793B"/>
    <w:rsid w:val="0097019E"/>
    <w:rsid w:val="00970333"/>
    <w:rsid w:val="0097224E"/>
    <w:rsid w:val="00972705"/>
    <w:rsid w:val="00972C95"/>
    <w:rsid w:val="00972D6B"/>
    <w:rsid w:val="009735CD"/>
    <w:rsid w:val="009748D3"/>
    <w:rsid w:val="009762C3"/>
    <w:rsid w:val="009762D2"/>
    <w:rsid w:val="00976623"/>
    <w:rsid w:val="00976BCD"/>
    <w:rsid w:val="00977814"/>
    <w:rsid w:val="00977DEB"/>
    <w:rsid w:val="009805B7"/>
    <w:rsid w:val="00980713"/>
    <w:rsid w:val="00980B37"/>
    <w:rsid w:val="00981D25"/>
    <w:rsid w:val="00982C8A"/>
    <w:rsid w:val="00984C13"/>
    <w:rsid w:val="00985845"/>
    <w:rsid w:val="00985A01"/>
    <w:rsid w:val="00985A03"/>
    <w:rsid w:val="009876C6"/>
    <w:rsid w:val="00990487"/>
    <w:rsid w:val="00991064"/>
    <w:rsid w:val="00991B74"/>
    <w:rsid w:val="00991E52"/>
    <w:rsid w:val="009924D0"/>
    <w:rsid w:val="00993DCD"/>
    <w:rsid w:val="009941BD"/>
    <w:rsid w:val="0099671C"/>
    <w:rsid w:val="009974D4"/>
    <w:rsid w:val="009A09F2"/>
    <w:rsid w:val="009A0DA3"/>
    <w:rsid w:val="009A15A0"/>
    <w:rsid w:val="009A20E7"/>
    <w:rsid w:val="009A24E4"/>
    <w:rsid w:val="009A4D26"/>
    <w:rsid w:val="009A4F94"/>
    <w:rsid w:val="009A533E"/>
    <w:rsid w:val="009A647E"/>
    <w:rsid w:val="009A65A8"/>
    <w:rsid w:val="009A6D86"/>
    <w:rsid w:val="009B0772"/>
    <w:rsid w:val="009B0BFC"/>
    <w:rsid w:val="009B0ECE"/>
    <w:rsid w:val="009B3721"/>
    <w:rsid w:val="009B5657"/>
    <w:rsid w:val="009B5976"/>
    <w:rsid w:val="009B5BC0"/>
    <w:rsid w:val="009B6E9A"/>
    <w:rsid w:val="009B7274"/>
    <w:rsid w:val="009B7EAF"/>
    <w:rsid w:val="009C1286"/>
    <w:rsid w:val="009C1438"/>
    <w:rsid w:val="009C1F56"/>
    <w:rsid w:val="009C322C"/>
    <w:rsid w:val="009C4251"/>
    <w:rsid w:val="009C4A53"/>
    <w:rsid w:val="009C4E65"/>
    <w:rsid w:val="009C5658"/>
    <w:rsid w:val="009C6D15"/>
    <w:rsid w:val="009C76A6"/>
    <w:rsid w:val="009C7C79"/>
    <w:rsid w:val="009C7E16"/>
    <w:rsid w:val="009D0DA3"/>
    <w:rsid w:val="009D3245"/>
    <w:rsid w:val="009D3DDD"/>
    <w:rsid w:val="009D531C"/>
    <w:rsid w:val="009D5533"/>
    <w:rsid w:val="009D5F7A"/>
    <w:rsid w:val="009D682C"/>
    <w:rsid w:val="009D68EC"/>
    <w:rsid w:val="009D76B7"/>
    <w:rsid w:val="009D7738"/>
    <w:rsid w:val="009D776B"/>
    <w:rsid w:val="009D7E3E"/>
    <w:rsid w:val="009E01F1"/>
    <w:rsid w:val="009E0D9E"/>
    <w:rsid w:val="009E10D9"/>
    <w:rsid w:val="009E1A49"/>
    <w:rsid w:val="009E236E"/>
    <w:rsid w:val="009E35A6"/>
    <w:rsid w:val="009E3E97"/>
    <w:rsid w:val="009E45AF"/>
    <w:rsid w:val="009E48BF"/>
    <w:rsid w:val="009E58AA"/>
    <w:rsid w:val="009E5FF7"/>
    <w:rsid w:val="009E66FD"/>
    <w:rsid w:val="009F0FEC"/>
    <w:rsid w:val="009F1292"/>
    <w:rsid w:val="009F1D0E"/>
    <w:rsid w:val="009F25EA"/>
    <w:rsid w:val="009F37AF"/>
    <w:rsid w:val="009F4488"/>
    <w:rsid w:val="009F4851"/>
    <w:rsid w:val="009F652F"/>
    <w:rsid w:val="009F68C1"/>
    <w:rsid w:val="009F6F16"/>
    <w:rsid w:val="00A001F1"/>
    <w:rsid w:val="00A01157"/>
    <w:rsid w:val="00A02B3B"/>
    <w:rsid w:val="00A030F6"/>
    <w:rsid w:val="00A03AD6"/>
    <w:rsid w:val="00A0489D"/>
    <w:rsid w:val="00A0626C"/>
    <w:rsid w:val="00A06DD4"/>
    <w:rsid w:val="00A0797D"/>
    <w:rsid w:val="00A07AF9"/>
    <w:rsid w:val="00A102BB"/>
    <w:rsid w:val="00A10378"/>
    <w:rsid w:val="00A10CAF"/>
    <w:rsid w:val="00A128EE"/>
    <w:rsid w:val="00A13F3A"/>
    <w:rsid w:val="00A14E83"/>
    <w:rsid w:val="00A15B35"/>
    <w:rsid w:val="00A15B9B"/>
    <w:rsid w:val="00A15DA3"/>
    <w:rsid w:val="00A16959"/>
    <w:rsid w:val="00A22B61"/>
    <w:rsid w:val="00A231E2"/>
    <w:rsid w:val="00A23285"/>
    <w:rsid w:val="00A23E09"/>
    <w:rsid w:val="00A252CA"/>
    <w:rsid w:val="00A25606"/>
    <w:rsid w:val="00A2685F"/>
    <w:rsid w:val="00A276E2"/>
    <w:rsid w:val="00A27943"/>
    <w:rsid w:val="00A31410"/>
    <w:rsid w:val="00A31AAE"/>
    <w:rsid w:val="00A34456"/>
    <w:rsid w:val="00A35420"/>
    <w:rsid w:val="00A35ACF"/>
    <w:rsid w:val="00A37B0D"/>
    <w:rsid w:val="00A37BD4"/>
    <w:rsid w:val="00A37EB1"/>
    <w:rsid w:val="00A4080C"/>
    <w:rsid w:val="00A4235F"/>
    <w:rsid w:val="00A43EC8"/>
    <w:rsid w:val="00A44E3F"/>
    <w:rsid w:val="00A46113"/>
    <w:rsid w:val="00A46E7A"/>
    <w:rsid w:val="00A46FBA"/>
    <w:rsid w:val="00A47EB7"/>
    <w:rsid w:val="00A50BF2"/>
    <w:rsid w:val="00A5141D"/>
    <w:rsid w:val="00A53FEF"/>
    <w:rsid w:val="00A54DC7"/>
    <w:rsid w:val="00A55793"/>
    <w:rsid w:val="00A55DFD"/>
    <w:rsid w:val="00A57119"/>
    <w:rsid w:val="00A6079F"/>
    <w:rsid w:val="00A61931"/>
    <w:rsid w:val="00A635CA"/>
    <w:rsid w:val="00A6386F"/>
    <w:rsid w:val="00A64912"/>
    <w:rsid w:val="00A67507"/>
    <w:rsid w:val="00A6753B"/>
    <w:rsid w:val="00A67BB8"/>
    <w:rsid w:val="00A67C86"/>
    <w:rsid w:val="00A70A74"/>
    <w:rsid w:val="00A70D40"/>
    <w:rsid w:val="00A7103C"/>
    <w:rsid w:val="00A71574"/>
    <w:rsid w:val="00A71740"/>
    <w:rsid w:val="00A71B7C"/>
    <w:rsid w:val="00A72D6A"/>
    <w:rsid w:val="00A73283"/>
    <w:rsid w:val="00A732E3"/>
    <w:rsid w:val="00A7334B"/>
    <w:rsid w:val="00A73959"/>
    <w:rsid w:val="00A74755"/>
    <w:rsid w:val="00A75092"/>
    <w:rsid w:val="00A76975"/>
    <w:rsid w:val="00A81038"/>
    <w:rsid w:val="00A816B0"/>
    <w:rsid w:val="00A8208A"/>
    <w:rsid w:val="00A82657"/>
    <w:rsid w:val="00A82705"/>
    <w:rsid w:val="00A82ED8"/>
    <w:rsid w:val="00A837B6"/>
    <w:rsid w:val="00A83991"/>
    <w:rsid w:val="00A83DA9"/>
    <w:rsid w:val="00A8402A"/>
    <w:rsid w:val="00A848FC"/>
    <w:rsid w:val="00A85BA9"/>
    <w:rsid w:val="00A862A2"/>
    <w:rsid w:val="00A902B3"/>
    <w:rsid w:val="00A94188"/>
    <w:rsid w:val="00A94B31"/>
    <w:rsid w:val="00A95A31"/>
    <w:rsid w:val="00A96E8C"/>
    <w:rsid w:val="00AA0D50"/>
    <w:rsid w:val="00AA122A"/>
    <w:rsid w:val="00AA1C59"/>
    <w:rsid w:val="00AA22C1"/>
    <w:rsid w:val="00AA22E4"/>
    <w:rsid w:val="00AA291B"/>
    <w:rsid w:val="00AA330F"/>
    <w:rsid w:val="00AA380B"/>
    <w:rsid w:val="00AA4357"/>
    <w:rsid w:val="00AA4606"/>
    <w:rsid w:val="00AA4B6C"/>
    <w:rsid w:val="00AA53D3"/>
    <w:rsid w:val="00AA63FE"/>
    <w:rsid w:val="00AA6B42"/>
    <w:rsid w:val="00AA7555"/>
    <w:rsid w:val="00AB020F"/>
    <w:rsid w:val="00AB0FAC"/>
    <w:rsid w:val="00AB101B"/>
    <w:rsid w:val="00AB105F"/>
    <w:rsid w:val="00AB2106"/>
    <w:rsid w:val="00AB2784"/>
    <w:rsid w:val="00AB2AEE"/>
    <w:rsid w:val="00AB2F44"/>
    <w:rsid w:val="00AB54F1"/>
    <w:rsid w:val="00AB5880"/>
    <w:rsid w:val="00AB5E02"/>
    <w:rsid w:val="00AB600D"/>
    <w:rsid w:val="00AB61B3"/>
    <w:rsid w:val="00AB7DEA"/>
    <w:rsid w:val="00AC17FD"/>
    <w:rsid w:val="00AC1B42"/>
    <w:rsid w:val="00AC20E0"/>
    <w:rsid w:val="00AC2755"/>
    <w:rsid w:val="00AC2D6D"/>
    <w:rsid w:val="00AC2ECE"/>
    <w:rsid w:val="00AC3C54"/>
    <w:rsid w:val="00AC44E8"/>
    <w:rsid w:val="00AC4BC7"/>
    <w:rsid w:val="00AC7BD3"/>
    <w:rsid w:val="00AD249C"/>
    <w:rsid w:val="00AD2C78"/>
    <w:rsid w:val="00AD370D"/>
    <w:rsid w:val="00AD3ABF"/>
    <w:rsid w:val="00AD500F"/>
    <w:rsid w:val="00AD5063"/>
    <w:rsid w:val="00AD5556"/>
    <w:rsid w:val="00AD5641"/>
    <w:rsid w:val="00AD5C20"/>
    <w:rsid w:val="00AD6DEB"/>
    <w:rsid w:val="00AD6EAA"/>
    <w:rsid w:val="00AE0222"/>
    <w:rsid w:val="00AE02C5"/>
    <w:rsid w:val="00AE0598"/>
    <w:rsid w:val="00AE0A6D"/>
    <w:rsid w:val="00AE15E1"/>
    <w:rsid w:val="00AE1C58"/>
    <w:rsid w:val="00AE1FC6"/>
    <w:rsid w:val="00AE3510"/>
    <w:rsid w:val="00AE4D6E"/>
    <w:rsid w:val="00AE5773"/>
    <w:rsid w:val="00AE636D"/>
    <w:rsid w:val="00AE6C14"/>
    <w:rsid w:val="00AE74B3"/>
    <w:rsid w:val="00AF024F"/>
    <w:rsid w:val="00AF0C16"/>
    <w:rsid w:val="00AF1FBA"/>
    <w:rsid w:val="00AF2DBB"/>
    <w:rsid w:val="00AF31C3"/>
    <w:rsid w:val="00AF34AA"/>
    <w:rsid w:val="00AF70F5"/>
    <w:rsid w:val="00AF77C8"/>
    <w:rsid w:val="00AF7D7A"/>
    <w:rsid w:val="00B00005"/>
    <w:rsid w:val="00B004D8"/>
    <w:rsid w:val="00B00B38"/>
    <w:rsid w:val="00B00BB6"/>
    <w:rsid w:val="00B00EC6"/>
    <w:rsid w:val="00B03608"/>
    <w:rsid w:val="00B03BA0"/>
    <w:rsid w:val="00B06770"/>
    <w:rsid w:val="00B12E43"/>
    <w:rsid w:val="00B13184"/>
    <w:rsid w:val="00B13AF7"/>
    <w:rsid w:val="00B13F4A"/>
    <w:rsid w:val="00B13FF5"/>
    <w:rsid w:val="00B142FE"/>
    <w:rsid w:val="00B14CA2"/>
    <w:rsid w:val="00B1741A"/>
    <w:rsid w:val="00B21226"/>
    <w:rsid w:val="00B2122D"/>
    <w:rsid w:val="00B237E8"/>
    <w:rsid w:val="00B25503"/>
    <w:rsid w:val="00B25E03"/>
    <w:rsid w:val="00B2631E"/>
    <w:rsid w:val="00B26735"/>
    <w:rsid w:val="00B30E8A"/>
    <w:rsid w:val="00B33B3C"/>
    <w:rsid w:val="00B345EA"/>
    <w:rsid w:val="00B34858"/>
    <w:rsid w:val="00B35B8C"/>
    <w:rsid w:val="00B36789"/>
    <w:rsid w:val="00B40FDA"/>
    <w:rsid w:val="00B4127F"/>
    <w:rsid w:val="00B41CB0"/>
    <w:rsid w:val="00B429A4"/>
    <w:rsid w:val="00B44765"/>
    <w:rsid w:val="00B4479C"/>
    <w:rsid w:val="00B447F9"/>
    <w:rsid w:val="00B448E8"/>
    <w:rsid w:val="00B46ACE"/>
    <w:rsid w:val="00B46D35"/>
    <w:rsid w:val="00B46DE5"/>
    <w:rsid w:val="00B47209"/>
    <w:rsid w:val="00B47546"/>
    <w:rsid w:val="00B47614"/>
    <w:rsid w:val="00B50F3D"/>
    <w:rsid w:val="00B51826"/>
    <w:rsid w:val="00B51B63"/>
    <w:rsid w:val="00B51B7D"/>
    <w:rsid w:val="00B51DBB"/>
    <w:rsid w:val="00B53AAE"/>
    <w:rsid w:val="00B54537"/>
    <w:rsid w:val="00B55616"/>
    <w:rsid w:val="00B557F8"/>
    <w:rsid w:val="00B561DD"/>
    <w:rsid w:val="00B56EA7"/>
    <w:rsid w:val="00B56F20"/>
    <w:rsid w:val="00B606B0"/>
    <w:rsid w:val="00B608D4"/>
    <w:rsid w:val="00B60AEA"/>
    <w:rsid w:val="00B60DF0"/>
    <w:rsid w:val="00B619A1"/>
    <w:rsid w:val="00B61B0D"/>
    <w:rsid w:val="00B6208E"/>
    <w:rsid w:val="00B62BDE"/>
    <w:rsid w:val="00B63546"/>
    <w:rsid w:val="00B639F6"/>
    <w:rsid w:val="00B65C77"/>
    <w:rsid w:val="00B67117"/>
    <w:rsid w:val="00B7097A"/>
    <w:rsid w:val="00B71570"/>
    <w:rsid w:val="00B7286F"/>
    <w:rsid w:val="00B7443F"/>
    <w:rsid w:val="00B747BA"/>
    <w:rsid w:val="00B74849"/>
    <w:rsid w:val="00B74D21"/>
    <w:rsid w:val="00B74F72"/>
    <w:rsid w:val="00B760DC"/>
    <w:rsid w:val="00B76B55"/>
    <w:rsid w:val="00B77183"/>
    <w:rsid w:val="00B773B6"/>
    <w:rsid w:val="00B801F2"/>
    <w:rsid w:val="00B804C3"/>
    <w:rsid w:val="00B80F61"/>
    <w:rsid w:val="00B8260A"/>
    <w:rsid w:val="00B831D6"/>
    <w:rsid w:val="00B84779"/>
    <w:rsid w:val="00B8489F"/>
    <w:rsid w:val="00B84D3E"/>
    <w:rsid w:val="00B8618A"/>
    <w:rsid w:val="00B863BA"/>
    <w:rsid w:val="00B869DA"/>
    <w:rsid w:val="00B8736B"/>
    <w:rsid w:val="00B87A44"/>
    <w:rsid w:val="00B906B5"/>
    <w:rsid w:val="00B90AD4"/>
    <w:rsid w:val="00B9260A"/>
    <w:rsid w:val="00B92908"/>
    <w:rsid w:val="00B93025"/>
    <w:rsid w:val="00B9391E"/>
    <w:rsid w:val="00B94507"/>
    <w:rsid w:val="00B94F0C"/>
    <w:rsid w:val="00B95AC2"/>
    <w:rsid w:val="00B95D16"/>
    <w:rsid w:val="00B95E56"/>
    <w:rsid w:val="00B96441"/>
    <w:rsid w:val="00BA2CEC"/>
    <w:rsid w:val="00BA355A"/>
    <w:rsid w:val="00BA4CA0"/>
    <w:rsid w:val="00BA4F47"/>
    <w:rsid w:val="00BA5561"/>
    <w:rsid w:val="00BA647E"/>
    <w:rsid w:val="00BA7611"/>
    <w:rsid w:val="00BA7A21"/>
    <w:rsid w:val="00BB1A2A"/>
    <w:rsid w:val="00BB245B"/>
    <w:rsid w:val="00BB2AA0"/>
    <w:rsid w:val="00BB2EC3"/>
    <w:rsid w:val="00BB2FA1"/>
    <w:rsid w:val="00BB354B"/>
    <w:rsid w:val="00BB405E"/>
    <w:rsid w:val="00BB4992"/>
    <w:rsid w:val="00BB547F"/>
    <w:rsid w:val="00BB6F78"/>
    <w:rsid w:val="00BB7FD3"/>
    <w:rsid w:val="00BC14EC"/>
    <w:rsid w:val="00BC1EBE"/>
    <w:rsid w:val="00BC1F0D"/>
    <w:rsid w:val="00BC3117"/>
    <w:rsid w:val="00BC6374"/>
    <w:rsid w:val="00BC647B"/>
    <w:rsid w:val="00BC65E8"/>
    <w:rsid w:val="00BC6922"/>
    <w:rsid w:val="00BC71E1"/>
    <w:rsid w:val="00BC7C81"/>
    <w:rsid w:val="00BD006D"/>
    <w:rsid w:val="00BD027B"/>
    <w:rsid w:val="00BD2897"/>
    <w:rsid w:val="00BD2AC1"/>
    <w:rsid w:val="00BD413A"/>
    <w:rsid w:val="00BD480D"/>
    <w:rsid w:val="00BD4AEC"/>
    <w:rsid w:val="00BD4ED0"/>
    <w:rsid w:val="00BD62C7"/>
    <w:rsid w:val="00BD6320"/>
    <w:rsid w:val="00BD685B"/>
    <w:rsid w:val="00BD6A44"/>
    <w:rsid w:val="00BD78C5"/>
    <w:rsid w:val="00BE0E7D"/>
    <w:rsid w:val="00BE102E"/>
    <w:rsid w:val="00BE1629"/>
    <w:rsid w:val="00BE1B77"/>
    <w:rsid w:val="00BE21D1"/>
    <w:rsid w:val="00BE45D0"/>
    <w:rsid w:val="00BE4AAA"/>
    <w:rsid w:val="00BE52DD"/>
    <w:rsid w:val="00BE5D6C"/>
    <w:rsid w:val="00BE6CF9"/>
    <w:rsid w:val="00BE6DB9"/>
    <w:rsid w:val="00BE6ED1"/>
    <w:rsid w:val="00BE719A"/>
    <w:rsid w:val="00BE720A"/>
    <w:rsid w:val="00BE7F6D"/>
    <w:rsid w:val="00BF06C5"/>
    <w:rsid w:val="00BF0A97"/>
    <w:rsid w:val="00BF0EA5"/>
    <w:rsid w:val="00BF1327"/>
    <w:rsid w:val="00BF1FB0"/>
    <w:rsid w:val="00BF2D94"/>
    <w:rsid w:val="00BF3019"/>
    <w:rsid w:val="00BF3B83"/>
    <w:rsid w:val="00BF3C6A"/>
    <w:rsid w:val="00BF4341"/>
    <w:rsid w:val="00BF5238"/>
    <w:rsid w:val="00BF60F7"/>
    <w:rsid w:val="00BF7CF1"/>
    <w:rsid w:val="00C025DF"/>
    <w:rsid w:val="00C033A1"/>
    <w:rsid w:val="00C04082"/>
    <w:rsid w:val="00C04838"/>
    <w:rsid w:val="00C0506C"/>
    <w:rsid w:val="00C0524D"/>
    <w:rsid w:val="00C0548B"/>
    <w:rsid w:val="00C07FFB"/>
    <w:rsid w:val="00C1051A"/>
    <w:rsid w:val="00C10706"/>
    <w:rsid w:val="00C10EE1"/>
    <w:rsid w:val="00C11612"/>
    <w:rsid w:val="00C1161E"/>
    <w:rsid w:val="00C11C06"/>
    <w:rsid w:val="00C11C7D"/>
    <w:rsid w:val="00C1320A"/>
    <w:rsid w:val="00C150E2"/>
    <w:rsid w:val="00C15110"/>
    <w:rsid w:val="00C15392"/>
    <w:rsid w:val="00C15792"/>
    <w:rsid w:val="00C16808"/>
    <w:rsid w:val="00C1727C"/>
    <w:rsid w:val="00C200FD"/>
    <w:rsid w:val="00C2088A"/>
    <w:rsid w:val="00C20DAB"/>
    <w:rsid w:val="00C22F5F"/>
    <w:rsid w:val="00C24BDC"/>
    <w:rsid w:val="00C25107"/>
    <w:rsid w:val="00C25FE8"/>
    <w:rsid w:val="00C26363"/>
    <w:rsid w:val="00C26A6C"/>
    <w:rsid w:val="00C26B5A"/>
    <w:rsid w:val="00C27411"/>
    <w:rsid w:val="00C27467"/>
    <w:rsid w:val="00C27B60"/>
    <w:rsid w:val="00C301C4"/>
    <w:rsid w:val="00C30D99"/>
    <w:rsid w:val="00C315E6"/>
    <w:rsid w:val="00C3192A"/>
    <w:rsid w:val="00C3218F"/>
    <w:rsid w:val="00C329AA"/>
    <w:rsid w:val="00C32ACE"/>
    <w:rsid w:val="00C3358F"/>
    <w:rsid w:val="00C33B0F"/>
    <w:rsid w:val="00C33EB1"/>
    <w:rsid w:val="00C33F72"/>
    <w:rsid w:val="00C34215"/>
    <w:rsid w:val="00C342FA"/>
    <w:rsid w:val="00C3600A"/>
    <w:rsid w:val="00C3664A"/>
    <w:rsid w:val="00C40473"/>
    <w:rsid w:val="00C40D8B"/>
    <w:rsid w:val="00C4129B"/>
    <w:rsid w:val="00C41883"/>
    <w:rsid w:val="00C419A5"/>
    <w:rsid w:val="00C429A4"/>
    <w:rsid w:val="00C42B71"/>
    <w:rsid w:val="00C42BF8"/>
    <w:rsid w:val="00C42DCB"/>
    <w:rsid w:val="00C451E2"/>
    <w:rsid w:val="00C46CED"/>
    <w:rsid w:val="00C47CF7"/>
    <w:rsid w:val="00C50043"/>
    <w:rsid w:val="00C527EB"/>
    <w:rsid w:val="00C5292E"/>
    <w:rsid w:val="00C5399D"/>
    <w:rsid w:val="00C5486A"/>
    <w:rsid w:val="00C54DCA"/>
    <w:rsid w:val="00C55DA3"/>
    <w:rsid w:val="00C55FC9"/>
    <w:rsid w:val="00C56A1D"/>
    <w:rsid w:val="00C56C1A"/>
    <w:rsid w:val="00C5700F"/>
    <w:rsid w:val="00C570AC"/>
    <w:rsid w:val="00C571EB"/>
    <w:rsid w:val="00C574B3"/>
    <w:rsid w:val="00C575CE"/>
    <w:rsid w:val="00C60544"/>
    <w:rsid w:val="00C613D9"/>
    <w:rsid w:val="00C61B06"/>
    <w:rsid w:val="00C61CDD"/>
    <w:rsid w:val="00C62518"/>
    <w:rsid w:val="00C629A8"/>
    <w:rsid w:val="00C66D54"/>
    <w:rsid w:val="00C677FF"/>
    <w:rsid w:val="00C67830"/>
    <w:rsid w:val="00C70C21"/>
    <w:rsid w:val="00C71203"/>
    <w:rsid w:val="00C71939"/>
    <w:rsid w:val="00C71D87"/>
    <w:rsid w:val="00C740F3"/>
    <w:rsid w:val="00C743D8"/>
    <w:rsid w:val="00C745AC"/>
    <w:rsid w:val="00C7573B"/>
    <w:rsid w:val="00C80D5C"/>
    <w:rsid w:val="00C81672"/>
    <w:rsid w:val="00C81A4C"/>
    <w:rsid w:val="00C81CC7"/>
    <w:rsid w:val="00C825E2"/>
    <w:rsid w:val="00C83321"/>
    <w:rsid w:val="00C83987"/>
    <w:rsid w:val="00C8527B"/>
    <w:rsid w:val="00C856F3"/>
    <w:rsid w:val="00C85914"/>
    <w:rsid w:val="00C86428"/>
    <w:rsid w:val="00C901B0"/>
    <w:rsid w:val="00C91825"/>
    <w:rsid w:val="00C9192F"/>
    <w:rsid w:val="00C9314C"/>
    <w:rsid w:val="00C934F0"/>
    <w:rsid w:val="00C95250"/>
    <w:rsid w:val="00C95AD3"/>
    <w:rsid w:val="00C9666C"/>
    <w:rsid w:val="00C96B5E"/>
    <w:rsid w:val="00C97A6C"/>
    <w:rsid w:val="00CA13CC"/>
    <w:rsid w:val="00CA20FC"/>
    <w:rsid w:val="00CA2A17"/>
    <w:rsid w:val="00CA2E52"/>
    <w:rsid w:val="00CA302C"/>
    <w:rsid w:val="00CA3224"/>
    <w:rsid w:val="00CA34A9"/>
    <w:rsid w:val="00CA3BEB"/>
    <w:rsid w:val="00CA52CF"/>
    <w:rsid w:val="00CA6864"/>
    <w:rsid w:val="00CA6F22"/>
    <w:rsid w:val="00CB00BA"/>
    <w:rsid w:val="00CB05CF"/>
    <w:rsid w:val="00CB0C4D"/>
    <w:rsid w:val="00CB126A"/>
    <w:rsid w:val="00CB1773"/>
    <w:rsid w:val="00CB1ED2"/>
    <w:rsid w:val="00CB23CE"/>
    <w:rsid w:val="00CB3321"/>
    <w:rsid w:val="00CB3520"/>
    <w:rsid w:val="00CB3549"/>
    <w:rsid w:val="00CB3B11"/>
    <w:rsid w:val="00CB3E18"/>
    <w:rsid w:val="00CB5883"/>
    <w:rsid w:val="00CB5D89"/>
    <w:rsid w:val="00CB6D92"/>
    <w:rsid w:val="00CC06B1"/>
    <w:rsid w:val="00CC14C4"/>
    <w:rsid w:val="00CC183F"/>
    <w:rsid w:val="00CC252C"/>
    <w:rsid w:val="00CC28AF"/>
    <w:rsid w:val="00CC3013"/>
    <w:rsid w:val="00CC41D2"/>
    <w:rsid w:val="00CC4EB1"/>
    <w:rsid w:val="00CC54E3"/>
    <w:rsid w:val="00CC5A8F"/>
    <w:rsid w:val="00CC715C"/>
    <w:rsid w:val="00CC7302"/>
    <w:rsid w:val="00CC76D9"/>
    <w:rsid w:val="00CD01F5"/>
    <w:rsid w:val="00CD0346"/>
    <w:rsid w:val="00CD04A5"/>
    <w:rsid w:val="00CD0A99"/>
    <w:rsid w:val="00CD3326"/>
    <w:rsid w:val="00CD3815"/>
    <w:rsid w:val="00CD3890"/>
    <w:rsid w:val="00CD4175"/>
    <w:rsid w:val="00CD5270"/>
    <w:rsid w:val="00CD5812"/>
    <w:rsid w:val="00CD58D4"/>
    <w:rsid w:val="00CD66C5"/>
    <w:rsid w:val="00CD6FA3"/>
    <w:rsid w:val="00CD7048"/>
    <w:rsid w:val="00CE0078"/>
    <w:rsid w:val="00CE05C2"/>
    <w:rsid w:val="00CE0B07"/>
    <w:rsid w:val="00CE18C4"/>
    <w:rsid w:val="00CE193C"/>
    <w:rsid w:val="00CE206C"/>
    <w:rsid w:val="00CE2573"/>
    <w:rsid w:val="00CE2723"/>
    <w:rsid w:val="00CE29B3"/>
    <w:rsid w:val="00CE41DB"/>
    <w:rsid w:val="00CE6A83"/>
    <w:rsid w:val="00CE6E8A"/>
    <w:rsid w:val="00CE7008"/>
    <w:rsid w:val="00CF0BB2"/>
    <w:rsid w:val="00CF1017"/>
    <w:rsid w:val="00CF15AF"/>
    <w:rsid w:val="00CF164C"/>
    <w:rsid w:val="00CF1FC1"/>
    <w:rsid w:val="00CF232F"/>
    <w:rsid w:val="00CF2B75"/>
    <w:rsid w:val="00CF347B"/>
    <w:rsid w:val="00CF4352"/>
    <w:rsid w:val="00CF596E"/>
    <w:rsid w:val="00CF5DB1"/>
    <w:rsid w:val="00CF67D9"/>
    <w:rsid w:val="00CF7332"/>
    <w:rsid w:val="00CF7967"/>
    <w:rsid w:val="00D02BDC"/>
    <w:rsid w:val="00D07384"/>
    <w:rsid w:val="00D07ECF"/>
    <w:rsid w:val="00D1020D"/>
    <w:rsid w:val="00D10CED"/>
    <w:rsid w:val="00D121D3"/>
    <w:rsid w:val="00D12368"/>
    <w:rsid w:val="00D12E39"/>
    <w:rsid w:val="00D13441"/>
    <w:rsid w:val="00D1354A"/>
    <w:rsid w:val="00D1397B"/>
    <w:rsid w:val="00D14256"/>
    <w:rsid w:val="00D14549"/>
    <w:rsid w:val="00D14FE1"/>
    <w:rsid w:val="00D15548"/>
    <w:rsid w:val="00D15844"/>
    <w:rsid w:val="00D15F08"/>
    <w:rsid w:val="00D16547"/>
    <w:rsid w:val="00D16C95"/>
    <w:rsid w:val="00D172CA"/>
    <w:rsid w:val="00D17B09"/>
    <w:rsid w:val="00D2034A"/>
    <w:rsid w:val="00D2063A"/>
    <w:rsid w:val="00D20742"/>
    <w:rsid w:val="00D21E11"/>
    <w:rsid w:val="00D222B6"/>
    <w:rsid w:val="00D2302D"/>
    <w:rsid w:val="00D23074"/>
    <w:rsid w:val="00D23A85"/>
    <w:rsid w:val="00D23A98"/>
    <w:rsid w:val="00D23BFA"/>
    <w:rsid w:val="00D24275"/>
    <w:rsid w:val="00D249F9"/>
    <w:rsid w:val="00D24A92"/>
    <w:rsid w:val="00D253D6"/>
    <w:rsid w:val="00D273D2"/>
    <w:rsid w:val="00D2767E"/>
    <w:rsid w:val="00D2773C"/>
    <w:rsid w:val="00D27935"/>
    <w:rsid w:val="00D30372"/>
    <w:rsid w:val="00D3091A"/>
    <w:rsid w:val="00D30D0E"/>
    <w:rsid w:val="00D31469"/>
    <w:rsid w:val="00D324C1"/>
    <w:rsid w:val="00D332F3"/>
    <w:rsid w:val="00D3400E"/>
    <w:rsid w:val="00D341FE"/>
    <w:rsid w:val="00D345AD"/>
    <w:rsid w:val="00D345B3"/>
    <w:rsid w:val="00D34D4B"/>
    <w:rsid w:val="00D35347"/>
    <w:rsid w:val="00D353AB"/>
    <w:rsid w:val="00D354ED"/>
    <w:rsid w:val="00D36BA1"/>
    <w:rsid w:val="00D37458"/>
    <w:rsid w:val="00D41316"/>
    <w:rsid w:val="00D41939"/>
    <w:rsid w:val="00D41E7B"/>
    <w:rsid w:val="00D42308"/>
    <w:rsid w:val="00D42B45"/>
    <w:rsid w:val="00D42F78"/>
    <w:rsid w:val="00D43761"/>
    <w:rsid w:val="00D452D3"/>
    <w:rsid w:val="00D4584A"/>
    <w:rsid w:val="00D465E5"/>
    <w:rsid w:val="00D4741C"/>
    <w:rsid w:val="00D476CB"/>
    <w:rsid w:val="00D479EA"/>
    <w:rsid w:val="00D5068F"/>
    <w:rsid w:val="00D50771"/>
    <w:rsid w:val="00D5131B"/>
    <w:rsid w:val="00D517EF"/>
    <w:rsid w:val="00D51C95"/>
    <w:rsid w:val="00D528C0"/>
    <w:rsid w:val="00D53143"/>
    <w:rsid w:val="00D54593"/>
    <w:rsid w:val="00D54936"/>
    <w:rsid w:val="00D54A98"/>
    <w:rsid w:val="00D553BF"/>
    <w:rsid w:val="00D5624E"/>
    <w:rsid w:val="00D56600"/>
    <w:rsid w:val="00D57751"/>
    <w:rsid w:val="00D5776D"/>
    <w:rsid w:val="00D57DE4"/>
    <w:rsid w:val="00D623C4"/>
    <w:rsid w:val="00D624EF"/>
    <w:rsid w:val="00D62C49"/>
    <w:rsid w:val="00D63723"/>
    <w:rsid w:val="00D639CB"/>
    <w:rsid w:val="00D63A8B"/>
    <w:rsid w:val="00D64D03"/>
    <w:rsid w:val="00D65987"/>
    <w:rsid w:val="00D65A04"/>
    <w:rsid w:val="00D65BA8"/>
    <w:rsid w:val="00D65BAF"/>
    <w:rsid w:val="00D65E0B"/>
    <w:rsid w:val="00D666C6"/>
    <w:rsid w:val="00D70677"/>
    <w:rsid w:val="00D70DFB"/>
    <w:rsid w:val="00D71504"/>
    <w:rsid w:val="00D729C8"/>
    <w:rsid w:val="00D72C8E"/>
    <w:rsid w:val="00D73737"/>
    <w:rsid w:val="00D7470E"/>
    <w:rsid w:val="00D74BC1"/>
    <w:rsid w:val="00D75639"/>
    <w:rsid w:val="00D75C0B"/>
    <w:rsid w:val="00D76150"/>
    <w:rsid w:val="00D761EF"/>
    <w:rsid w:val="00D766DF"/>
    <w:rsid w:val="00D76A26"/>
    <w:rsid w:val="00D803D2"/>
    <w:rsid w:val="00D81643"/>
    <w:rsid w:val="00D81D58"/>
    <w:rsid w:val="00D82A54"/>
    <w:rsid w:val="00D82E2F"/>
    <w:rsid w:val="00D83230"/>
    <w:rsid w:val="00D834CF"/>
    <w:rsid w:val="00D83512"/>
    <w:rsid w:val="00D83534"/>
    <w:rsid w:val="00D84623"/>
    <w:rsid w:val="00D84693"/>
    <w:rsid w:val="00D85A0E"/>
    <w:rsid w:val="00D863D2"/>
    <w:rsid w:val="00D869EC"/>
    <w:rsid w:val="00D86DC9"/>
    <w:rsid w:val="00D87253"/>
    <w:rsid w:val="00D90167"/>
    <w:rsid w:val="00D90E09"/>
    <w:rsid w:val="00D90FD0"/>
    <w:rsid w:val="00D91BDF"/>
    <w:rsid w:val="00D93CE0"/>
    <w:rsid w:val="00D94C5B"/>
    <w:rsid w:val="00D95329"/>
    <w:rsid w:val="00D95E8D"/>
    <w:rsid w:val="00D965EA"/>
    <w:rsid w:val="00D96EF7"/>
    <w:rsid w:val="00DA01A0"/>
    <w:rsid w:val="00DA1B94"/>
    <w:rsid w:val="00DA278C"/>
    <w:rsid w:val="00DA29D5"/>
    <w:rsid w:val="00DA2CF5"/>
    <w:rsid w:val="00DA3D31"/>
    <w:rsid w:val="00DA4130"/>
    <w:rsid w:val="00DA4D19"/>
    <w:rsid w:val="00DA592B"/>
    <w:rsid w:val="00DA5C8C"/>
    <w:rsid w:val="00DA6CC7"/>
    <w:rsid w:val="00DA7588"/>
    <w:rsid w:val="00DA7CE8"/>
    <w:rsid w:val="00DB0B4E"/>
    <w:rsid w:val="00DB1A6C"/>
    <w:rsid w:val="00DB26C9"/>
    <w:rsid w:val="00DB2925"/>
    <w:rsid w:val="00DB2C7A"/>
    <w:rsid w:val="00DB44D5"/>
    <w:rsid w:val="00DB4DB6"/>
    <w:rsid w:val="00DB55C8"/>
    <w:rsid w:val="00DB5ACD"/>
    <w:rsid w:val="00DB6026"/>
    <w:rsid w:val="00DB63DB"/>
    <w:rsid w:val="00DB6B52"/>
    <w:rsid w:val="00DB70F9"/>
    <w:rsid w:val="00DB7610"/>
    <w:rsid w:val="00DB7B1E"/>
    <w:rsid w:val="00DB7CBE"/>
    <w:rsid w:val="00DC05BA"/>
    <w:rsid w:val="00DC09E3"/>
    <w:rsid w:val="00DC09E7"/>
    <w:rsid w:val="00DC10AB"/>
    <w:rsid w:val="00DC2A0A"/>
    <w:rsid w:val="00DC2AAA"/>
    <w:rsid w:val="00DC31FD"/>
    <w:rsid w:val="00DC51FA"/>
    <w:rsid w:val="00DC5364"/>
    <w:rsid w:val="00DC5A4F"/>
    <w:rsid w:val="00DC5A85"/>
    <w:rsid w:val="00DC6DED"/>
    <w:rsid w:val="00DC7765"/>
    <w:rsid w:val="00DD021D"/>
    <w:rsid w:val="00DD038E"/>
    <w:rsid w:val="00DD06BF"/>
    <w:rsid w:val="00DD06EE"/>
    <w:rsid w:val="00DD0CCB"/>
    <w:rsid w:val="00DD1ADC"/>
    <w:rsid w:val="00DD24FC"/>
    <w:rsid w:val="00DD2BBA"/>
    <w:rsid w:val="00DD2FD5"/>
    <w:rsid w:val="00DD303D"/>
    <w:rsid w:val="00DD39F8"/>
    <w:rsid w:val="00DD3AD7"/>
    <w:rsid w:val="00DD453B"/>
    <w:rsid w:val="00DD4656"/>
    <w:rsid w:val="00DD58F3"/>
    <w:rsid w:val="00DD5A0A"/>
    <w:rsid w:val="00DD6F9D"/>
    <w:rsid w:val="00DE097A"/>
    <w:rsid w:val="00DE1224"/>
    <w:rsid w:val="00DE21C4"/>
    <w:rsid w:val="00DE2791"/>
    <w:rsid w:val="00DE2DC2"/>
    <w:rsid w:val="00DE3286"/>
    <w:rsid w:val="00DE3D92"/>
    <w:rsid w:val="00DE5674"/>
    <w:rsid w:val="00DE6589"/>
    <w:rsid w:val="00DE65D7"/>
    <w:rsid w:val="00DE6A77"/>
    <w:rsid w:val="00DE766A"/>
    <w:rsid w:val="00DF0780"/>
    <w:rsid w:val="00DF0E7B"/>
    <w:rsid w:val="00DF12EF"/>
    <w:rsid w:val="00DF16BE"/>
    <w:rsid w:val="00DF19E3"/>
    <w:rsid w:val="00DF2CC5"/>
    <w:rsid w:val="00DF356F"/>
    <w:rsid w:val="00DF3599"/>
    <w:rsid w:val="00DF3734"/>
    <w:rsid w:val="00DF39BF"/>
    <w:rsid w:val="00DF4423"/>
    <w:rsid w:val="00DF51C4"/>
    <w:rsid w:val="00DF6481"/>
    <w:rsid w:val="00DF6BF3"/>
    <w:rsid w:val="00E00010"/>
    <w:rsid w:val="00E002C7"/>
    <w:rsid w:val="00E00E1A"/>
    <w:rsid w:val="00E01E63"/>
    <w:rsid w:val="00E0263E"/>
    <w:rsid w:val="00E02990"/>
    <w:rsid w:val="00E029C7"/>
    <w:rsid w:val="00E02BC1"/>
    <w:rsid w:val="00E03B84"/>
    <w:rsid w:val="00E0581B"/>
    <w:rsid w:val="00E062B9"/>
    <w:rsid w:val="00E067BD"/>
    <w:rsid w:val="00E06893"/>
    <w:rsid w:val="00E0773C"/>
    <w:rsid w:val="00E07833"/>
    <w:rsid w:val="00E07BAB"/>
    <w:rsid w:val="00E107AA"/>
    <w:rsid w:val="00E10ECD"/>
    <w:rsid w:val="00E10F41"/>
    <w:rsid w:val="00E123D0"/>
    <w:rsid w:val="00E12592"/>
    <w:rsid w:val="00E13404"/>
    <w:rsid w:val="00E139D3"/>
    <w:rsid w:val="00E1461B"/>
    <w:rsid w:val="00E14A65"/>
    <w:rsid w:val="00E15440"/>
    <w:rsid w:val="00E15E93"/>
    <w:rsid w:val="00E16365"/>
    <w:rsid w:val="00E16490"/>
    <w:rsid w:val="00E16F8B"/>
    <w:rsid w:val="00E17302"/>
    <w:rsid w:val="00E17D6C"/>
    <w:rsid w:val="00E20239"/>
    <w:rsid w:val="00E20B7B"/>
    <w:rsid w:val="00E21206"/>
    <w:rsid w:val="00E215BD"/>
    <w:rsid w:val="00E21C69"/>
    <w:rsid w:val="00E21E71"/>
    <w:rsid w:val="00E231A8"/>
    <w:rsid w:val="00E23629"/>
    <w:rsid w:val="00E2473D"/>
    <w:rsid w:val="00E24D75"/>
    <w:rsid w:val="00E250E9"/>
    <w:rsid w:val="00E25493"/>
    <w:rsid w:val="00E262AE"/>
    <w:rsid w:val="00E271E4"/>
    <w:rsid w:val="00E277CA"/>
    <w:rsid w:val="00E30D59"/>
    <w:rsid w:val="00E31530"/>
    <w:rsid w:val="00E3205E"/>
    <w:rsid w:val="00E32FD9"/>
    <w:rsid w:val="00E33E94"/>
    <w:rsid w:val="00E34787"/>
    <w:rsid w:val="00E355BE"/>
    <w:rsid w:val="00E35D57"/>
    <w:rsid w:val="00E36C18"/>
    <w:rsid w:val="00E40EAB"/>
    <w:rsid w:val="00E41755"/>
    <w:rsid w:val="00E41865"/>
    <w:rsid w:val="00E41C6C"/>
    <w:rsid w:val="00E43BB7"/>
    <w:rsid w:val="00E43EEE"/>
    <w:rsid w:val="00E440CE"/>
    <w:rsid w:val="00E468E4"/>
    <w:rsid w:val="00E47183"/>
    <w:rsid w:val="00E50844"/>
    <w:rsid w:val="00E51055"/>
    <w:rsid w:val="00E51F3B"/>
    <w:rsid w:val="00E527DB"/>
    <w:rsid w:val="00E52DE6"/>
    <w:rsid w:val="00E53B28"/>
    <w:rsid w:val="00E5490F"/>
    <w:rsid w:val="00E54EFB"/>
    <w:rsid w:val="00E564DA"/>
    <w:rsid w:val="00E56617"/>
    <w:rsid w:val="00E603A6"/>
    <w:rsid w:val="00E61952"/>
    <w:rsid w:val="00E62A3C"/>
    <w:rsid w:val="00E62E34"/>
    <w:rsid w:val="00E641FD"/>
    <w:rsid w:val="00E64457"/>
    <w:rsid w:val="00E656B5"/>
    <w:rsid w:val="00E663AE"/>
    <w:rsid w:val="00E6705D"/>
    <w:rsid w:val="00E70D07"/>
    <w:rsid w:val="00E7156D"/>
    <w:rsid w:val="00E717C5"/>
    <w:rsid w:val="00E71AC7"/>
    <w:rsid w:val="00E72291"/>
    <w:rsid w:val="00E73440"/>
    <w:rsid w:val="00E734CD"/>
    <w:rsid w:val="00E737E4"/>
    <w:rsid w:val="00E73AC7"/>
    <w:rsid w:val="00E7482D"/>
    <w:rsid w:val="00E74C4E"/>
    <w:rsid w:val="00E74DC7"/>
    <w:rsid w:val="00E75411"/>
    <w:rsid w:val="00E75DFA"/>
    <w:rsid w:val="00E8004A"/>
    <w:rsid w:val="00E805A0"/>
    <w:rsid w:val="00E80F84"/>
    <w:rsid w:val="00E81663"/>
    <w:rsid w:val="00E8267D"/>
    <w:rsid w:val="00E82E83"/>
    <w:rsid w:val="00E83807"/>
    <w:rsid w:val="00E84228"/>
    <w:rsid w:val="00E844A0"/>
    <w:rsid w:val="00E8566F"/>
    <w:rsid w:val="00E86ABB"/>
    <w:rsid w:val="00E86BB6"/>
    <w:rsid w:val="00E90214"/>
    <w:rsid w:val="00E90B40"/>
    <w:rsid w:val="00E9180A"/>
    <w:rsid w:val="00E91D89"/>
    <w:rsid w:val="00E9266F"/>
    <w:rsid w:val="00E92C08"/>
    <w:rsid w:val="00E94149"/>
    <w:rsid w:val="00E9491C"/>
    <w:rsid w:val="00E94A4C"/>
    <w:rsid w:val="00E94C94"/>
    <w:rsid w:val="00E954E7"/>
    <w:rsid w:val="00E970D8"/>
    <w:rsid w:val="00EA07D8"/>
    <w:rsid w:val="00EA0E04"/>
    <w:rsid w:val="00EA1165"/>
    <w:rsid w:val="00EA1216"/>
    <w:rsid w:val="00EA154F"/>
    <w:rsid w:val="00EA21BC"/>
    <w:rsid w:val="00EA22D2"/>
    <w:rsid w:val="00EA2931"/>
    <w:rsid w:val="00EA2A43"/>
    <w:rsid w:val="00EA3D29"/>
    <w:rsid w:val="00EA4491"/>
    <w:rsid w:val="00EA482A"/>
    <w:rsid w:val="00EA4AE6"/>
    <w:rsid w:val="00EA4D09"/>
    <w:rsid w:val="00EA5ADC"/>
    <w:rsid w:val="00EA6043"/>
    <w:rsid w:val="00EA7EDE"/>
    <w:rsid w:val="00EB0315"/>
    <w:rsid w:val="00EB11C3"/>
    <w:rsid w:val="00EB13D2"/>
    <w:rsid w:val="00EB1638"/>
    <w:rsid w:val="00EB22C6"/>
    <w:rsid w:val="00EB306A"/>
    <w:rsid w:val="00EB4023"/>
    <w:rsid w:val="00EB4855"/>
    <w:rsid w:val="00EB5D1D"/>
    <w:rsid w:val="00EB7A66"/>
    <w:rsid w:val="00EC041A"/>
    <w:rsid w:val="00EC2729"/>
    <w:rsid w:val="00EC28EA"/>
    <w:rsid w:val="00EC5E3B"/>
    <w:rsid w:val="00EC6A5E"/>
    <w:rsid w:val="00EC7302"/>
    <w:rsid w:val="00EC7C33"/>
    <w:rsid w:val="00EC7E8A"/>
    <w:rsid w:val="00ED09BF"/>
    <w:rsid w:val="00ED121E"/>
    <w:rsid w:val="00ED12DB"/>
    <w:rsid w:val="00ED1D80"/>
    <w:rsid w:val="00ED28A5"/>
    <w:rsid w:val="00ED372A"/>
    <w:rsid w:val="00ED41BC"/>
    <w:rsid w:val="00ED449C"/>
    <w:rsid w:val="00ED54A9"/>
    <w:rsid w:val="00ED5CAD"/>
    <w:rsid w:val="00ED6D9F"/>
    <w:rsid w:val="00ED6E92"/>
    <w:rsid w:val="00ED6E9D"/>
    <w:rsid w:val="00ED7070"/>
    <w:rsid w:val="00ED7A5D"/>
    <w:rsid w:val="00EE05CE"/>
    <w:rsid w:val="00EE0638"/>
    <w:rsid w:val="00EE0E51"/>
    <w:rsid w:val="00EE0EE1"/>
    <w:rsid w:val="00EE1543"/>
    <w:rsid w:val="00EE2132"/>
    <w:rsid w:val="00EE279C"/>
    <w:rsid w:val="00EE446E"/>
    <w:rsid w:val="00EE7EF9"/>
    <w:rsid w:val="00EF1295"/>
    <w:rsid w:val="00EF1DA5"/>
    <w:rsid w:val="00EF2C6E"/>
    <w:rsid w:val="00EF2E3A"/>
    <w:rsid w:val="00EF3519"/>
    <w:rsid w:val="00EF3530"/>
    <w:rsid w:val="00EF3C18"/>
    <w:rsid w:val="00EF3DC1"/>
    <w:rsid w:val="00EF49B8"/>
    <w:rsid w:val="00EF7815"/>
    <w:rsid w:val="00EF7859"/>
    <w:rsid w:val="00F02110"/>
    <w:rsid w:val="00F02267"/>
    <w:rsid w:val="00F03256"/>
    <w:rsid w:val="00F03F92"/>
    <w:rsid w:val="00F04811"/>
    <w:rsid w:val="00F04FE7"/>
    <w:rsid w:val="00F05B03"/>
    <w:rsid w:val="00F068FE"/>
    <w:rsid w:val="00F071DA"/>
    <w:rsid w:val="00F0769C"/>
    <w:rsid w:val="00F078DC"/>
    <w:rsid w:val="00F07CBB"/>
    <w:rsid w:val="00F10336"/>
    <w:rsid w:val="00F10559"/>
    <w:rsid w:val="00F11A44"/>
    <w:rsid w:val="00F11E8B"/>
    <w:rsid w:val="00F13060"/>
    <w:rsid w:val="00F13406"/>
    <w:rsid w:val="00F1401E"/>
    <w:rsid w:val="00F14283"/>
    <w:rsid w:val="00F14307"/>
    <w:rsid w:val="00F14570"/>
    <w:rsid w:val="00F1520D"/>
    <w:rsid w:val="00F15671"/>
    <w:rsid w:val="00F1574C"/>
    <w:rsid w:val="00F15953"/>
    <w:rsid w:val="00F16EE7"/>
    <w:rsid w:val="00F17F7F"/>
    <w:rsid w:val="00F21957"/>
    <w:rsid w:val="00F22156"/>
    <w:rsid w:val="00F22667"/>
    <w:rsid w:val="00F23E5F"/>
    <w:rsid w:val="00F23FE8"/>
    <w:rsid w:val="00F240A8"/>
    <w:rsid w:val="00F24F4C"/>
    <w:rsid w:val="00F24F73"/>
    <w:rsid w:val="00F257B3"/>
    <w:rsid w:val="00F25AF1"/>
    <w:rsid w:val="00F2697E"/>
    <w:rsid w:val="00F27476"/>
    <w:rsid w:val="00F2777D"/>
    <w:rsid w:val="00F308D0"/>
    <w:rsid w:val="00F32BB7"/>
    <w:rsid w:val="00F32CA7"/>
    <w:rsid w:val="00F337A9"/>
    <w:rsid w:val="00F34218"/>
    <w:rsid w:val="00F35FE8"/>
    <w:rsid w:val="00F36269"/>
    <w:rsid w:val="00F36324"/>
    <w:rsid w:val="00F37921"/>
    <w:rsid w:val="00F4097B"/>
    <w:rsid w:val="00F409B4"/>
    <w:rsid w:val="00F41A6C"/>
    <w:rsid w:val="00F41BB5"/>
    <w:rsid w:val="00F431F8"/>
    <w:rsid w:val="00F434C0"/>
    <w:rsid w:val="00F4373B"/>
    <w:rsid w:val="00F44554"/>
    <w:rsid w:val="00F44A74"/>
    <w:rsid w:val="00F44E1B"/>
    <w:rsid w:val="00F45EF9"/>
    <w:rsid w:val="00F462D8"/>
    <w:rsid w:val="00F46CB6"/>
    <w:rsid w:val="00F50880"/>
    <w:rsid w:val="00F50902"/>
    <w:rsid w:val="00F51269"/>
    <w:rsid w:val="00F515BD"/>
    <w:rsid w:val="00F515DD"/>
    <w:rsid w:val="00F51C36"/>
    <w:rsid w:val="00F5211D"/>
    <w:rsid w:val="00F52B44"/>
    <w:rsid w:val="00F52CD9"/>
    <w:rsid w:val="00F53136"/>
    <w:rsid w:val="00F535BC"/>
    <w:rsid w:val="00F550E3"/>
    <w:rsid w:val="00F55387"/>
    <w:rsid w:val="00F5665A"/>
    <w:rsid w:val="00F570DC"/>
    <w:rsid w:val="00F5775D"/>
    <w:rsid w:val="00F60400"/>
    <w:rsid w:val="00F60D28"/>
    <w:rsid w:val="00F6117F"/>
    <w:rsid w:val="00F62728"/>
    <w:rsid w:val="00F641C2"/>
    <w:rsid w:val="00F6466E"/>
    <w:rsid w:val="00F6537E"/>
    <w:rsid w:val="00F65531"/>
    <w:rsid w:val="00F66686"/>
    <w:rsid w:val="00F6707A"/>
    <w:rsid w:val="00F719B9"/>
    <w:rsid w:val="00F71BE1"/>
    <w:rsid w:val="00F72EF8"/>
    <w:rsid w:val="00F735C3"/>
    <w:rsid w:val="00F73990"/>
    <w:rsid w:val="00F74223"/>
    <w:rsid w:val="00F742AF"/>
    <w:rsid w:val="00F74531"/>
    <w:rsid w:val="00F746C5"/>
    <w:rsid w:val="00F74BA7"/>
    <w:rsid w:val="00F74EDA"/>
    <w:rsid w:val="00F757D4"/>
    <w:rsid w:val="00F758C3"/>
    <w:rsid w:val="00F75AC7"/>
    <w:rsid w:val="00F75BA9"/>
    <w:rsid w:val="00F76D17"/>
    <w:rsid w:val="00F77362"/>
    <w:rsid w:val="00F77CED"/>
    <w:rsid w:val="00F80A4A"/>
    <w:rsid w:val="00F819C3"/>
    <w:rsid w:val="00F84B2B"/>
    <w:rsid w:val="00F84BB4"/>
    <w:rsid w:val="00F87692"/>
    <w:rsid w:val="00F876F6"/>
    <w:rsid w:val="00F87BF7"/>
    <w:rsid w:val="00F87CDA"/>
    <w:rsid w:val="00F92A8E"/>
    <w:rsid w:val="00F92D36"/>
    <w:rsid w:val="00F92F97"/>
    <w:rsid w:val="00F9361C"/>
    <w:rsid w:val="00F93CD7"/>
    <w:rsid w:val="00F961E9"/>
    <w:rsid w:val="00F965F6"/>
    <w:rsid w:val="00F968C6"/>
    <w:rsid w:val="00F96B52"/>
    <w:rsid w:val="00F96FEF"/>
    <w:rsid w:val="00F972C8"/>
    <w:rsid w:val="00FA0184"/>
    <w:rsid w:val="00FA08F4"/>
    <w:rsid w:val="00FA0E42"/>
    <w:rsid w:val="00FA17EE"/>
    <w:rsid w:val="00FA1BEB"/>
    <w:rsid w:val="00FA22D3"/>
    <w:rsid w:val="00FA2355"/>
    <w:rsid w:val="00FA23B2"/>
    <w:rsid w:val="00FA2521"/>
    <w:rsid w:val="00FA2FB1"/>
    <w:rsid w:val="00FA3343"/>
    <w:rsid w:val="00FA37F0"/>
    <w:rsid w:val="00FA3855"/>
    <w:rsid w:val="00FA38A2"/>
    <w:rsid w:val="00FA3AEC"/>
    <w:rsid w:val="00FA43C8"/>
    <w:rsid w:val="00FA4D5C"/>
    <w:rsid w:val="00FA5A6B"/>
    <w:rsid w:val="00FA710E"/>
    <w:rsid w:val="00FA7244"/>
    <w:rsid w:val="00FA7E8B"/>
    <w:rsid w:val="00FB1091"/>
    <w:rsid w:val="00FB2910"/>
    <w:rsid w:val="00FB407D"/>
    <w:rsid w:val="00FB455C"/>
    <w:rsid w:val="00FB4900"/>
    <w:rsid w:val="00FB54C1"/>
    <w:rsid w:val="00FB5CFC"/>
    <w:rsid w:val="00FB5D3D"/>
    <w:rsid w:val="00FB7BC3"/>
    <w:rsid w:val="00FC1D28"/>
    <w:rsid w:val="00FC211B"/>
    <w:rsid w:val="00FC2544"/>
    <w:rsid w:val="00FC4BF4"/>
    <w:rsid w:val="00FC5E09"/>
    <w:rsid w:val="00FC60F3"/>
    <w:rsid w:val="00FC6B4B"/>
    <w:rsid w:val="00FC7069"/>
    <w:rsid w:val="00FC7415"/>
    <w:rsid w:val="00FC7453"/>
    <w:rsid w:val="00FC7B9A"/>
    <w:rsid w:val="00FD22BC"/>
    <w:rsid w:val="00FD2398"/>
    <w:rsid w:val="00FD26C8"/>
    <w:rsid w:val="00FD274F"/>
    <w:rsid w:val="00FD4AE0"/>
    <w:rsid w:val="00FD4CE7"/>
    <w:rsid w:val="00FD4E8C"/>
    <w:rsid w:val="00FD508F"/>
    <w:rsid w:val="00FD52CE"/>
    <w:rsid w:val="00FD5983"/>
    <w:rsid w:val="00FD5F93"/>
    <w:rsid w:val="00FD6A45"/>
    <w:rsid w:val="00FD7BF5"/>
    <w:rsid w:val="00FE07C4"/>
    <w:rsid w:val="00FE0A23"/>
    <w:rsid w:val="00FE296A"/>
    <w:rsid w:val="00FE3281"/>
    <w:rsid w:val="00FE47A8"/>
    <w:rsid w:val="00FE4A3A"/>
    <w:rsid w:val="00FE5134"/>
    <w:rsid w:val="00FF030C"/>
    <w:rsid w:val="00FF0B83"/>
    <w:rsid w:val="00FF0E93"/>
    <w:rsid w:val="00FF12CA"/>
    <w:rsid w:val="00FF17C6"/>
    <w:rsid w:val="00FF1B1C"/>
    <w:rsid w:val="00FF2E29"/>
    <w:rsid w:val="00FF3086"/>
    <w:rsid w:val="00FF3268"/>
    <w:rsid w:val="00FF37AC"/>
    <w:rsid w:val="00FF39C5"/>
    <w:rsid w:val="00FF4362"/>
    <w:rsid w:val="00FF4EAE"/>
    <w:rsid w:val="00FF61ED"/>
    <w:rsid w:val="00FF6DAE"/>
    <w:rsid w:val="00FF6E8A"/>
    <w:rsid w:val="00FF74D0"/>
    <w:rsid w:val="00FF767B"/>
    <w:rsid w:val="00FF7686"/>
    <w:rsid w:val="00FF782B"/>
    <w:rsid w:val="00FF7D6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47489"/>
    <o:shapelayout v:ext="edit">
      <o:idmap v:ext="edit" data="1"/>
    </o:shapelayout>
  </w:shapeDefaults>
  <w:decimalSymbol w:val="."/>
  <w:listSeparator w:val=","/>
  <w14:docId w14:val="4ADF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55B6"/>
    <w:pPr>
      <w:spacing w:line="260" w:lineRule="atLeast"/>
    </w:pPr>
    <w:rPr>
      <w:sz w:val="22"/>
    </w:rPr>
  </w:style>
  <w:style w:type="paragraph" w:styleId="Heading1">
    <w:name w:val="heading 1"/>
    <w:basedOn w:val="Body"/>
    <w:next w:val="Normal"/>
    <w:link w:val="Heading1Char"/>
    <w:qFormat/>
    <w:rsid w:val="00727ED5"/>
    <w:pPr>
      <w:keepNext/>
      <w:pageBreakBefore/>
      <w:overflowPunct w:val="0"/>
      <w:autoSpaceDE w:val="0"/>
      <w:autoSpaceDN w:val="0"/>
      <w:adjustRightInd w:val="0"/>
      <w:spacing w:before="720" w:after="120"/>
      <w:ind w:left="737" w:hanging="737"/>
      <w:textAlignment w:val="baseline"/>
      <w:outlineLvl w:val="0"/>
    </w:pPr>
    <w:rPr>
      <w:rFonts w:ascii="Helvetica" w:hAnsi="Helvetica"/>
      <w:b/>
      <w:sz w:val="40"/>
      <w:szCs w:val="32"/>
      <w:lang w:val="x-none"/>
    </w:rPr>
  </w:style>
  <w:style w:type="paragraph" w:styleId="Heading2">
    <w:name w:val="heading 2"/>
    <w:basedOn w:val="Body"/>
    <w:next w:val="Normal"/>
    <w:link w:val="Heading2Char"/>
    <w:qFormat/>
    <w:rsid w:val="00727ED5"/>
    <w:pPr>
      <w:keepNext/>
      <w:overflowPunct w:val="0"/>
      <w:autoSpaceDE w:val="0"/>
      <w:autoSpaceDN w:val="0"/>
      <w:adjustRightInd w:val="0"/>
      <w:spacing w:before="480"/>
      <w:ind w:left="737" w:hanging="737"/>
      <w:textAlignment w:val="baseline"/>
      <w:outlineLvl w:val="1"/>
    </w:pPr>
    <w:rPr>
      <w:rFonts w:ascii="Helvetica" w:hAnsi="Helvetica"/>
      <w:b/>
      <w:sz w:val="32"/>
      <w:szCs w:val="30"/>
      <w:lang w:val="x-none"/>
    </w:rPr>
  </w:style>
  <w:style w:type="paragraph" w:styleId="Heading3">
    <w:name w:val="heading 3"/>
    <w:basedOn w:val="Body"/>
    <w:next w:val="Normal"/>
    <w:link w:val="Heading3Char"/>
    <w:qFormat/>
    <w:rsid w:val="00727ED5"/>
    <w:pPr>
      <w:keepNext/>
      <w:overflowPunct w:val="0"/>
      <w:autoSpaceDE w:val="0"/>
      <w:autoSpaceDN w:val="0"/>
      <w:adjustRightInd w:val="0"/>
      <w:spacing w:before="360"/>
      <w:ind w:left="567" w:hanging="567"/>
      <w:textAlignment w:val="baseline"/>
      <w:outlineLvl w:val="2"/>
    </w:pPr>
    <w:rPr>
      <w:rFonts w:ascii="Optima" w:hAnsi="Optima"/>
      <w:b/>
      <w:sz w:val="28"/>
      <w:lang w:val="x-none"/>
    </w:rPr>
  </w:style>
  <w:style w:type="paragraph" w:styleId="Heading4">
    <w:name w:val="heading 4"/>
    <w:basedOn w:val="Body"/>
    <w:next w:val="Normal"/>
    <w:link w:val="Heading4Char"/>
    <w:qFormat/>
    <w:rsid w:val="00727ED5"/>
    <w:pPr>
      <w:keepNext/>
      <w:overflowPunct w:val="0"/>
      <w:autoSpaceDE w:val="0"/>
      <w:autoSpaceDN w:val="0"/>
      <w:adjustRightInd w:val="0"/>
      <w:spacing w:before="360"/>
      <w:ind w:left="567" w:hanging="567"/>
      <w:textAlignment w:val="baseline"/>
      <w:outlineLvl w:val="3"/>
    </w:pPr>
    <w:rPr>
      <w:rFonts w:ascii="Helvetica" w:hAnsi="Helvetica"/>
      <w:b/>
      <w:i/>
      <w:szCs w:val="24"/>
      <w:lang w:val="x-none"/>
    </w:rPr>
  </w:style>
  <w:style w:type="paragraph" w:styleId="Heading5">
    <w:name w:val="heading 5"/>
    <w:basedOn w:val="Heading1"/>
    <w:next w:val="subsection"/>
    <w:link w:val="Heading5Char"/>
    <w:uiPriority w:val="9"/>
    <w:qFormat/>
    <w:rsid w:val="00727ED5"/>
    <w:pPr>
      <w:keepLines/>
      <w:pageBreakBefore w:val="0"/>
      <w:overflowPunct/>
      <w:autoSpaceDE/>
      <w:autoSpaceDN/>
      <w:adjustRightInd/>
      <w:spacing w:before="280" w:after="60" w:line="260" w:lineRule="atLeast"/>
      <w:ind w:left="1134" w:hanging="1134"/>
      <w:textAlignment w:val="auto"/>
      <w:outlineLvl w:val="4"/>
    </w:pPr>
    <w:rPr>
      <w:rFonts w:ascii="Times New Roman" w:hAnsi="Times New Roman"/>
      <w:bCs/>
      <w:kern w:val="28"/>
      <w:sz w:val="24"/>
      <w:szCs w:val="24"/>
    </w:rPr>
  </w:style>
  <w:style w:type="paragraph" w:styleId="Heading6">
    <w:name w:val="heading 6"/>
    <w:basedOn w:val="Normal"/>
    <w:next w:val="Normal"/>
    <w:link w:val="Heading6Char"/>
    <w:uiPriority w:val="9"/>
    <w:semiHidden/>
    <w:unhideWhenUsed/>
    <w:qFormat/>
    <w:rsid w:val="00727ED5"/>
    <w:pPr>
      <w:keepNext/>
      <w:keepLines/>
      <w:spacing w:before="200" w:line="240" w:lineRule="auto"/>
      <w:ind w:left="1152" w:hanging="1152"/>
      <w:outlineLvl w:val="5"/>
    </w:pPr>
    <w:rPr>
      <w:rFonts w:ascii="Cambria" w:eastAsia="Times New Roman" w:hAnsi="Cambria" w:cs="Times New Roman"/>
      <w:i/>
      <w:iCs/>
      <w:color w:val="243F60"/>
      <w:szCs w:val="22"/>
      <w:lang w:val="x-none" w:eastAsia="x-none"/>
    </w:rPr>
  </w:style>
  <w:style w:type="paragraph" w:styleId="Heading7">
    <w:name w:val="heading 7"/>
    <w:basedOn w:val="Normal"/>
    <w:next w:val="Normal"/>
    <w:link w:val="Heading7Char"/>
    <w:uiPriority w:val="9"/>
    <w:semiHidden/>
    <w:unhideWhenUsed/>
    <w:qFormat/>
    <w:rsid w:val="00727ED5"/>
    <w:pPr>
      <w:keepNext/>
      <w:keepLines/>
      <w:spacing w:before="200" w:line="240" w:lineRule="auto"/>
      <w:ind w:left="1296" w:hanging="1296"/>
      <w:outlineLvl w:val="6"/>
    </w:pPr>
    <w:rPr>
      <w:rFonts w:ascii="Cambria" w:eastAsia="Times New Roman" w:hAnsi="Cambria" w:cs="Times New Roman"/>
      <w:i/>
      <w:iCs/>
      <w:color w:val="404040"/>
      <w:szCs w:val="22"/>
      <w:lang w:val="x-none" w:eastAsia="x-none"/>
    </w:rPr>
  </w:style>
  <w:style w:type="paragraph" w:styleId="Heading8">
    <w:name w:val="heading 8"/>
    <w:basedOn w:val="Normal"/>
    <w:next w:val="Normal"/>
    <w:link w:val="Heading8Char"/>
    <w:uiPriority w:val="9"/>
    <w:semiHidden/>
    <w:unhideWhenUsed/>
    <w:qFormat/>
    <w:rsid w:val="00727ED5"/>
    <w:pPr>
      <w:keepNext/>
      <w:keepLines/>
      <w:spacing w:before="200" w:line="240" w:lineRule="auto"/>
      <w:ind w:left="1440" w:hanging="1440"/>
      <w:outlineLvl w:val="7"/>
    </w:pPr>
    <w:rPr>
      <w:rFonts w:ascii="Cambria" w:eastAsia="Times New Roman" w:hAnsi="Cambria" w:cs="Times New Roman"/>
      <w:color w:val="404040"/>
      <w:sz w:val="20"/>
      <w:lang w:val="x-none" w:eastAsia="x-none"/>
    </w:rPr>
  </w:style>
  <w:style w:type="paragraph" w:styleId="Heading9">
    <w:name w:val="heading 9"/>
    <w:basedOn w:val="Normal"/>
    <w:next w:val="Normal"/>
    <w:link w:val="Heading9Char"/>
    <w:uiPriority w:val="9"/>
    <w:semiHidden/>
    <w:unhideWhenUsed/>
    <w:qFormat/>
    <w:rsid w:val="00727ED5"/>
    <w:pPr>
      <w:keepNext/>
      <w:keepLines/>
      <w:spacing w:before="200" w:line="240" w:lineRule="auto"/>
      <w:ind w:left="1584" w:hanging="1584"/>
      <w:outlineLvl w:val="8"/>
    </w:pPr>
    <w:rPr>
      <w:rFonts w:ascii="Cambria" w:eastAsia="Times New Roman" w:hAnsi="Cambria" w:cs="Times New Roman"/>
      <w:i/>
      <w:iCs/>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55B6"/>
  </w:style>
  <w:style w:type="paragraph" w:customStyle="1" w:styleId="OPCParaBase">
    <w:name w:val="OPCParaBase"/>
    <w:qFormat/>
    <w:rsid w:val="004855B6"/>
    <w:pPr>
      <w:spacing w:line="260" w:lineRule="atLeast"/>
    </w:pPr>
    <w:rPr>
      <w:rFonts w:eastAsia="Times New Roman" w:cs="Times New Roman"/>
      <w:sz w:val="22"/>
      <w:lang w:eastAsia="en-AU"/>
    </w:rPr>
  </w:style>
  <w:style w:type="paragraph" w:customStyle="1" w:styleId="ShortT">
    <w:name w:val="ShortT"/>
    <w:basedOn w:val="OPCParaBase"/>
    <w:next w:val="Normal"/>
    <w:qFormat/>
    <w:rsid w:val="004855B6"/>
    <w:pPr>
      <w:spacing w:line="240" w:lineRule="auto"/>
    </w:pPr>
    <w:rPr>
      <w:b/>
      <w:sz w:val="40"/>
    </w:rPr>
  </w:style>
  <w:style w:type="paragraph" w:customStyle="1" w:styleId="ActHead1">
    <w:name w:val="ActHead 1"/>
    <w:aliases w:val="c"/>
    <w:basedOn w:val="OPCParaBase"/>
    <w:next w:val="Normal"/>
    <w:qFormat/>
    <w:rsid w:val="004855B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855B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55B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55B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855B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855B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55B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55B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55B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855B6"/>
  </w:style>
  <w:style w:type="paragraph" w:customStyle="1" w:styleId="Blocks">
    <w:name w:val="Blocks"/>
    <w:aliases w:val="bb"/>
    <w:basedOn w:val="OPCParaBase"/>
    <w:qFormat/>
    <w:rsid w:val="004855B6"/>
    <w:pPr>
      <w:spacing w:line="240" w:lineRule="auto"/>
    </w:pPr>
    <w:rPr>
      <w:sz w:val="24"/>
    </w:rPr>
  </w:style>
  <w:style w:type="paragraph" w:customStyle="1" w:styleId="BoxText">
    <w:name w:val="BoxText"/>
    <w:aliases w:val="bt"/>
    <w:basedOn w:val="OPCParaBase"/>
    <w:rsid w:val="004855B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55B6"/>
    <w:rPr>
      <w:b/>
    </w:rPr>
  </w:style>
  <w:style w:type="paragraph" w:customStyle="1" w:styleId="BoxHeadItalic">
    <w:name w:val="BoxHeadItalic"/>
    <w:aliases w:val="bhi"/>
    <w:basedOn w:val="BoxText"/>
    <w:next w:val="Normal"/>
    <w:qFormat/>
    <w:rsid w:val="004855B6"/>
    <w:rPr>
      <w:i/>
    </w:rPr>
  </w:style>
  <w:style w:type="paragraph" w:customStyle="1" w:styleId="BoxList">
    <w:name w:val="BoxList"/>
    <w:aliases w:val="bl"/>
    <w:basedOn w:val="BoxText"/>
    <w:qFormat/>
    <w:rsid w:val="004855B6"/>
    <w:pPr>
      <w:ind w:left="1559" w:hanging="425"/>
    </w:pPr>
  </w:style>
  <w:style w:type="paragraph" w:customStyle="1" w:styleId="BoxNote">
    <w:name w:val="BoxNote"/>
    <w:aliases w:val="bn"/>
    <w:basedOn w:val="BoxText"/>
    <w:qFormat/>
    <w:rsid w:val="004855B6"/>
    <w:pPr>
      <w:tabs>
        <w:tab w:val="left" w:pos="1985"/>
      </w:tabs>
      <w:spacing w:before="122" w:line="198" w:lineRule="exact"/>
      <w:ind w:left="2948" w:hanging="1814"/>
    </w:pPr>
    <w:rPr>
      <w:sz w:val="18"/>
    </w:rPr>
  </w:style>
  <w:style w:type="paragraph" w:customStyle="1" w:styleId="BoxPara">
    <w:name w:val="BoxPara"/>
    <w:aliases w:val="bp"/>
    <w:basedOn w:val="BoxText"/>
    <w:qFormat/>
    <w:rsid w:val="004855B6"/>
    <w:pPr>
      <w:tabs>
        <w:tab w:val="right" w:pos="2268"/>
      </w:tabs>
      <w:ind w:left="2552" w:hanging="1418"/>
    </w:pPr>
  </w:style>
  <w:style w:type="paragraph" w:customStyle="1" w:styleId="BoxStep">
    <w:name w:val="BoxStep"/>
    <w:aliases w:val="bs"/>
    <w:basedOn w:val="BoxText"/>
    <w:qFormat/>
    <w:rsid w:val="004855B6"/>
    <w:pPr>
      <w:ind w:left="1985" w:hanging="851"/>
    </w:pPr>
  </w:style>
  <w:style w:type="character" w:customStyle="1" w:styleId="CharAmPartNo">
    <w:name w:val="CharAmPartNo"/>
    <w:basedOn w:val="OPCCharBase"/>
    <w:uiPriority w:val="1"/>
    <w:qFormat/>
    <w:rsid w:val="004855B6"/>
  </w:style>
  <w:style w:type="character" w:customStyle="1" w:styleId="CharAmPartText">
    <w:name w:val="CharAmPartText"/>
    <w:basedOn w:val="OPCCharBase"/>
    <w:uiPriority w:val="1"/>
    <w:qFormat/>
    <w:rsid w:val="004855B6"/>
  </w:style>
  <w:style w:type="character" w:customStyle="1" w:styleId="CharAmSchNo">
    <w:name w:val="CharAmSchNo"/>
    <w:basedOn w:val="OPCCharBase"/>
    <w:uiPriority w:val="1"/>
    <w:qFormat/>
    <w:rsid w:val="004855B6"/>
  </w:style>
  <w:style w:type="character" w:customStyle="1" w:styleId="CharAmSchText">
    <w:name w:val="CharAmSchText"/>
    <w:basedOn w:val="OPCCharBase"/>
    <w:uiPriority w:val="1"/>
    <w:qFormat/>
    <w:rsid w:val="004855B6"/>
  </w:style>
  <w:style w:type="character" w:customStyle="1" w:styleId="CharBoldItalic">
    <w:name w:val="CharBoldItalic"/>
    <w:basedOn w:val="OPCCharBase"/>
    <w:uiPriority w:val="1"/>
    <w:qFormat/>
    <w:rsid w:val="004855B6"/>
    <w:rPr>
      <w:b/>
      <w:i/>
    </w:rPr>
  </w:style>
  <w:style w:type="character" w:customStyle="1" w:styleId="CharChapNo">
    <w:name w:val="CharChapNo"/>
    <w:basedOn w:val="OPCCharBase"/>
    <w:uiPriority w:val="1"/>
    <w:qFormat/>
    <w:rsid w:val="004855B6"/>
  </w:style>
  <w:style w:type="character" w:customStyle="1" w:styleId="CharChapText">
    <w:name w:val="CharChapText"/>
    <w:basedOn w:val="OPCCharBase"/>
    <w:uiPriority w:val="1"/>
    <w:qFormat/>
    <w:rsid w:val="004855B6"/>
  </w:style>
  <w:style w:type="character" w:customStyle="1" w:styleId="CharDivNo">
    <w:name w:val="CharDivNo"/>
    <w:basedOn w:val="OPCCharBase"/>
    <w:uiPriority w:val="1"/>
    <w:qFormat/>
    <w:rsid w:val="004855B6"/>
  </w:style>
  <w:style w:type="character" w:customStyle="1" w:styleId="CharDivText">
    <w:name w:val="CharDivText"/>
    <w:basedOn w:val="OPCCharBase"/>
    <w:uiPriority w:val="1"/>
    <w:qFormat/>
    <w:rsid w:val="004855B6"/>
  </w:style>
  <w:style w:type="character" w:customStyle="1" w:styleId="CharItalic">
    <w:name w:val="CharItalic"/>
    <w:basedOn w:val="OPCCharBase"/>
    <w:uiPriority w:val="1"/>
    <w:qFormat/>
    <w:rsid w:val="004855B6"/>
    <w:rPr>
      <w:i/>
    </w:rPr>
  </w:style>
  <w:style w:type="character" w:customStyle="1" w:styleId="CharPartNo">
    <w:name w:val="CharPartNo"/>
    <w:basedOn w:val="OPCCharBase"/>
    <w:uiPriority w:val="1"/>
    <w:qFormat/>
    <w:rsid w:val="004855B6"/>
  </w:style>
  <w:style w:type="character" w:customStyle="1" w:styleId="CharPartText">
    <w:name w:val="CharPartText"/>
    <w:basedOn w:val="OPCCharBase"/>
    <w:uiPriority w:val="1"/>
    <w:qFormat/>
    <w:rsid w:val="004855B6"/>
  </w:style>
  <w:style w:type="character" w:customStyle="1" w:styleId="CharSectno">
    <w:name w:val="CharSectno"/>
    <w:basedOn w:val="OPCCharBase"/>
    <w:uiPriority w:val="1"/>
    <w:qFormat/>
    <w:rsid w:val="004855B6"/>
  </w:style>
  <w:style w:type="character" w:customStyle="1" w:styleId="CharSubdNo">
    <w:name w:val="CharSubdNo"/>
    <w:basedOn w:val="OPCCharBase"/>
    <w:uiPriority w:val="1"/>
    <w:qFormat/>
    <w:rsid w:val="004855B6"/>
  </w:style>
  <w:style w:type="character" w:customStyle="1" w:styleId="CharSubdText">
    <w:name w:val="CharSubdText"/>
    <w:basedOn w:val="OPCCharBase"/>
    <w:uiPriority w:val="1"/>
    <w:qFormat/>
    <w:rsid w:val="004855B6"/>
  </w:style>
  <w:style w:type="paragraph" w:customStyle="1" w:styleId="CTA--">
    <w:name w:val="CTA --"/>
    <w:basedOn w:val="OPCParaBase"/>
    <w:next w:val="Normal"/>
    <w:rsid w:val="004855B6"/>
    <w:pPr>
      <w:spacing w:before="60" w:line="240" w:lineRule="atLeast"/>
      <w:ind w:left="142" w:hanging="142"/>
    </w:pPr>
    <w:rPr>
      <w:sz w:val="20"/>
    </w:rPr>
  </w:style>
  <w:style w:type="paragraph" w:customStyle="1" w:styleId="CTA-">
    <w:name w:val="CTA -"/>
    <w:basedOn w:val="OPCParaBase"/>
    <w:rsid w:val="004855B6"/>
    <w:pPr>
      <w:spacing w:before="60" w:line="240" w:lineRule="atLeast"/>
      <w:ind w:left="85" w:hanging="85"/>
    </w:pPr>
    <w:rPr>
      <w:sz w:val="20"/>
    </w:rPr>
  </w:style>
  <w:style w:type="paragraph" w:customStyle="1" w:styleId="CTA---">
    <w:name w:val="CTA ---"/>
    <w:basedOn w:val="OPCParaBase"/>
    <w:next w:val="Normal"/>
    <w:rsid w:val="004855B6"/>
    <w:pPr>
      <w:spacing w:before="60" w:line="240" w:lineRule="atLeast"/>
      <w:ind w:left="198" w:hanging="198"/>
    </w:pPr>
    <w:rPr>
      <w:sz w:val="20"/>
    </w:rPr>
  </w:style>
  <w:style w:type="paragraph" w:customStyle="1" w:styleId="CTA----">
    <w:name w:val="CTA ----"/>
    <w:basedOn w:val="OPCParaBase"/>
    <w:next w:val="Normal"/>
    <w:rsid w:val="004855B6"/>
    <w:pPr>
      <w:spacing w:before="60" w:line="240" w:lineRule="atLeast"/>
      <w:ind w:left="255" w:hanging="255"/>
    </w:pPr>
    <w:rPr>
      <w:sz w:val="20"/>
    </w:rPr>
  </w:style>
  <w:style w:type="paragraph" w:customStyle="1" w:styleId="CTA1a">
    <w:name w:val="CTA 1(a)"/>
    <w:basedOn w:val="OPCParaBase"/>
    <w:rsid w:val="004855B6"/>
    <w:pPr>
      <w:tabs>
        <w:tab w:val="right" w:pos="414"/>
      </w:tabs>
      <w:spacing w:before="40" w:line="240" w:lineRule="atLeast"/>
      <w:ind w:left="675" w:hanging="675"/>
    </w:pPr>
    <w:rPr>
      <w:sz w:val="20"/>
    </w:rPr>
  </w:style>
  <w:style w:type="paragraph" w:customStyle="1" w:styleId="CTA1ai">
    <w:name w:val="CTA 1(a)(i)"/>
    <w:basedOn w:val="OPCParaBase"/>
    <w:rsid w:val="004855B6"/>
    <w:pPr>
      <w:tabs>
        <w:tab w:val="right" w:pos="1004"/>
      </w:tabs>
      <w:spacing w:before="40" w:line="240" w:lineRule="atLeast"/>
      <w:ind w:left="1253" w:hanging="1253"/>
    </w:pPr>
    <w:rPr>
      <w:sz w:val="20"/>
    </w:rPr>
  </w:style>
  <w:style w:type="paragraph" w:customStyle="1" w:styleId="CTA2a">
    <w:name w:val="CTA 2(a)"/>
    <w:basedOn w:val="OPCParaBase"/>
    <w:rsid w:val="004855B6"/>
    <w:pPr>
      <w:tabs>
        <w:tab w:val="right" w:pos="482"/>
      </w:tabs>
      <w:spacing w:before="40" w:line="240" w:lineRule="atLeast"/>
      <w:ind w:left="748" w:hanging="748"/>
    </w:pPr>
    <w:rPr>
      <w:sz w:val="20"/>
    </w:rPr>
  </w:style>
  <w:style w:type="paragraph" w:customStyle="1" w:styleId="CTA2ai">
    <w:name w:val="CTA 2(a)(i)"/>
    <w:basedOn w:val="OPCParaBase"/>
    <w:rsid w:val="004855B6"/>
    <w:pPr>
      <w:tabs>
        <w:tab w:val="right" w:pos="1089"/>
      </w:tabs>
      <w:spacing w:before="40" w:line="240" w:lineRule="atLeast"/>
      <w:ind w:left="1327" w:hanging="1327"/>
    </w:pPr>
    <w:rPr>
      <w:sz w:val="20"/>
    </w:rPr>
  </w:style>
  <w:style w:type="paragraph" w:customStyle="1" w:styleId="CTA3a">
    <w:name w:val="CTA 3(a)"/>
    <w:basedOn w:val="OPCParaBase"/>
    <w:rsid w:val="004855B6"/>
    <w:pPr>
      <w:tabs>
        <w:tab w:val="right" w:pos="556"/>
      </w:tabs>
      <w:spacing w:before="40" w:line="240" w:lineRule="atLeast"/>
      <w:ind w:left="805" w:hanging="805"/>
    </w:pPr>
    <w:rPr>
      <w:sz w:val="20"/>
    </w:rPr>
  </w:style>
  <w:style w:type="paragraph" w:customStyle="1" w:styleId="CTA3ai">
    <w:name w:val="CTA 3(a)(i)"/>
    <w:basedOn w:val="OPCParaBase"/>
    <w:rsid w:val="004855B6"/>
    <w:pPr>
      <w:tabs>
        <w:tab w:val="right" w:pos="1140"/>
      </w:tabs>
      <w:spacing w:before="40" w:line="240" w:lineRule="atLeast"/>
      <w:ind w:left="1361" w:hanging="1361"/>
    </w:pPr>
    <w:rPr>
      <w:sz w:val="20"/>
    </w:rPr>
  </w:style>
  <w:style w:type="paragraph" w:customStyle="1" w:styleId="CTA4a">
    <w:name w:val="CTA 4(a)"/>
    <w:basedOn w:val="OPCParaBase"/>
    <w:rsid w:val="004855B6"/>
    <w:pPr>
      <w:tabs>
        <w:tab w:val="right" w:pos="624"/>
      </w:tabs>
      <w:spacing w:before="40" w:line="240" w:lineRule="atLeast"/>
      <w:ind w:left="873" w:hanging="873"/>
    </w:pPr>
    <w:rPr>
      <w:sz w:val="20"/>
    </w:rPr>
  </w:style>
  <w:style w:type="paragraph" w:customStyle="1" w:styleId="CTA4ai">
    <w:name w:val="CTA 4(a)(i)"/>
    <w:basedOn w:val="OPCParaBase"/>
    <w:rsid w:val="004855B6"/>
    <w:pPr>
      <w:tabs>
        <w:tab w:val="right" w:pos="1213"/>
      </w:tabs>
      <w:spacing w:before="40" w:line="240" w:lineRule="atLeast"/>
      <w:ind w:left="1452" w:hanging="1452"/>
    </w:pPr>
    <w:rPr>
      <w:sz w:val="20"/>
    </w:rPr>
  </w:style>
  <w:style w:type="paragraph" w:customStyle="1" w:styleId="CTACAPS">
    <w:name w:val="CTA CAPS"/>
    <w:basedOn w:val="OPCParaBase"/>
    <w:rsid w:val="004855B6"/>
    <w:pPr>
      <w:spacing w:before="60" w:line="240" w:lineRule="atLeast"/>
    </w:pPr>
    <w:rPr>
      <w:sz w:val="20"/>
    </w:rPr>
  </w:style>
  <w:style w:type="paragraph" w:customStyle="1" w:styleId="CTAright">
    <w:name w:val="CTA right"/>
    <w:basedOn w:val="OPCParaBase"/>
    <w:rsid w:val="004855B6"/>
    <w:pPr>
      <w:spacing w:before="60" w:line="240" w:lineRule="auto"/>
      <w:jc w:val="right"/>
    </w:pPr>
    <w:rPr>
      <w:sz w:val="20"/>
    </w:rPr>
  </w:style>
  <w:style w:type="paragraph" w:customStyle="1" w:styleId="subsection">
    <w:name w:val="subsection"/>
    <w:aliases w:val="ss"/>
    <w:basedOn w:val="OPCParaBase"/>
    <w:link w:val="subsectionChar"/>
    <w:rsid w:val="004855B6"/>
    <w:pPr>
      <w:tabs>
        <w:tab w:val="right" w:pos="1021"/>
      </w:tabs>
      <w:spacing w:before="180" w:line="240" w:lineRule="auto"/>
      <w:ind w:left="1134" w:hanging="1134"/>
    </w:pPr>
  </w:style>
  <w:style w:type="paragraph" w:customStyle="1" w:styleId="Definition">
    <w:name w:val="Definition"/>
    <w:aliases w:val="dd"/>
    <w:basedOn w:val="OPCParaBase"/>
    <w:rsid w:val="004855B6"/>
    <w:pPr>
      <w:spacing w:before="180" w:line="240" w:lineRule="auto"/>
      <w:ind w:left="1134"/>
    </w:pPr>
  </w:style>
  <w:style w:type="paragraph" w:customStyle="1" w:styleId="ETAsubitem">
    <w:name w:val="ETA(subitem)"/>
    <w:basedOn w:val="OPCParaBase"/>
    <w:rsid w:val="004855B6"/>
    <w:pPr>
      <w:tabs>
        <w:tab w:val="right" w:pos="340"/>
      </w:tabs>
      <w:spacing w:before="60" w:line="240" w:lineRule="auto"/>
      <w:ind w:left="454" w:hanging="454"/>
    </w:pPr>
    <w:rPr>
      <w:sz w:val="20"/>
    </w:rPr>
  </w:style>
  <w:style w:type="paragraph" w:customStyle="1" w:styleId="ETApara">
    <w:name w:val="ETA(para)"/>
    <w:basedOn w:val="OPCParaBase"/>
    <w:rsid w:val="004855B6"/>
    <w:pPr>
      <w:tabs>
        <w:tab w:val="right" w:pos="754"/>
      </w:tabs>
      <w:spacing w:before="60" w:line="240" w:lineRule="auto"/>
      <w:ind w:left="828" w:hanging="828"/>
    </w:pPr>
    <w:rPr>
      <w:sz w:val="20"/>
    </w:rPr>
  </w:style>
  <w:style w:type="paragraph" w:customStyle="1" w:styleId="ETAsubpara">
    <w:name w:val="ETA(subpara)"/>
    <w:basedOn w:val="OPCParaBase"/>
    <w:rsid w:val="004855B6"/>
    <w:pPr>
      <w:tabs>
        <w:tab w:val="right" w:pos="1083"/>
      </w:tabs>
      <w:spacing w:before="60" w:line="240" w:lineRule="auto"/>
      <w:ind w:left="1191" w:hanging="1191"/>
    </w:pPr>
    <w:rPr>
      <w:sz w:val="20"/>
    </w:rPr>
  </w:style>
  <w:style w:type="paragraph" w:customStyle="1" w:styleId="ETAsub-subpara">
    <w:name w:val="ETA(sub-subpara)"/>
    <w:basedOn w:val="OPCParaBase"/>
    <w:rsid w:val="004855B6"/>
    <w:pPr>
      <w:tabs>
        <w:tab w:val="right" w:pos="1412"/>
      </w:tabs>
      <w:spacing w:before="60" w:line="240" w:lineRule="auto"/>
      <w:ind w:left="1525" w:hanging="1525"/>
    </w:pPr>
    <w:rPr>
      <w:sz w:val="20"/>
    </w:rPr>
  </w:style>
  <w:style w:type="paragraph" w:customStyle="1" w:styleId="Formula">
    <w:name w:val="Formula"/>
    <w:basedOn w:val="OPCParaBase"/>
    <w:rsid w:val="004855B6"/>
    <w:pPr>
      <w:spacing w:line="240" w:lineRule="auto"/>
      <w:ind w:left="1134"/>
    </w:pPr>
    <w:rPr>
      <w:sz w:val="20"/>
    </w:rPr>
  </w:style>
  <w:style w:type="paragraph" w:styleId="Header">
    <w:name w:val="header"/>
    <w:basedOn w:val="OPCParaBase"/>
    <w:link w:val="HeaderChar"/>
    <w:unhideWhenUsed/>
    <w:rsid w:val="004855B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55B6"/>
    <w:rPr>
      <w:rFonts w:eastAsia="Times New Roman" w:cs="Times New Roman"/>
      <w:sz w:val="16"/>
      <w:lang w:eastAsia="en-AU"/>
    </w:rPr>
  </w:style>
  <w:style w:type="paragraph" w:customStyle="1" w:styleId="House">
    <w:name w:val="House"/>
    <w:basedOn w:val="OPCParaBase"/>
    <w:rsid w:val="004855B6"/>
    <w:pPr>
      <w:spacing w:line="240" w:lineRule="auto"/>
    </w:pPr>
    <w:rPr>
      <w:sz w:val="28"/>
    </w:rPr>
  </w:style>
  <w:style w:type="paragraph" w:customStyle="1" w:styleId="Item">
    <w:name w:val="Item"/>
    <w:aliases w:val="i"/>
    <w:basedOn w:val="OPCParaBase"/>
    <w:next w:val="ItemHead"/>
    <w:rsid w:val="004855B6"/>
    <w:pPr>
      <w:keepLines/>
      <w:spacing w:before="80" w:line="240" w:lineRule="auto"/>
      <w:ind w:left="709"/>
    </w:pPr>
  </w:style>
  <w:style w:type="paragraph" w:customStyle="1" w:styleId="ItemHead">
    <w:name w:val="ItemHead"/>
    <w:aliases w:val="ih"/>
    <w:basedOn w:val="OPCParaBase"/>
    <w:next w:val="Item"/>
    <w:rsid w:val="004855B6"/>
    <w:pPr>
      <w:keepLines/>
      <w:spacing w:before="220" w:line="240" w:lineRule="auto"/>
      <w:ind w:left="709" w:hanging="709"/>
    </w:pPr>
    <w:rPr>
      <w:rFonts w:ascii="Arial" w:hAnsi="Arial"/>
      <w:b/>
      <w:kern w:val="28"/>
      <w:sz w:val="24"/>
    </w:rPr>
  </w:style>
  <w:style w:type="paragraph" w:customStyle="1" w:styleId="LongT">
    <w:name w:val="LongT"/>
    <w:basedOn w:val="OPCParaBase"/>
    <w:rsid w:val="004855B6"/>
    <w:pPr>
      <w:spacing w:line="240" w:lineRule="auto"/>
    </w:pPr>
    <w:rPr>
      <w:b/>
      <w:sz w:val="32"/>
    </w:rPr>
  </w:style>
  <w:style w:type="paragraph" w:customStyle="1" w:styleId="notedraft">
    <w:name w:val="note(draft)"/>
    <w:aliases w:val="nd"/>
    <w:basedOn w:val="OPCParaBase"/>
    <w:rsid w:val="004855B6"/>
    <w:pPr>
      <w:spacing w:before="240" w:line="240" w:lineRule="auto"/>
      <w:ind w:left="284" w:hanging="284"/>
    </w:pPr>
    <w:rPr>
      <w:i/>
      <w:sz w:val="24"/>
    </w:rPr>
  </w:style>
  <w:style w:type="paragraph" w:customStyle="1" w:styleId="notemargin">
    <w:name w:val="note(margin)"/>
    <w:aliases w:val="nm"/>
    <w:basedOn w:val="OPCParaBase"/>
    <w:rsid w:val="004855B6"/>
    <w:pPr>
      <w:tabs>
        <w:tab w:val="left" w:pos="709"/>
      </w:tabs>
      <w:spacing w:before="122" w:line="198" w:lineRule="exact"/>
      <w:ind w:left="709" w:hanging="709"/>
    </w:pPr>
    <w:rPr>
      <w:sz w:val="18"/>
    </w:rPr>
  </w:style>
  <w:style w:type="paragraph" w:customStyle="1" w:styleId="notepara">
    <w:name w:val="note(para)"/>
    <w:aliases w:val="na"/>
    <w:basedOn w:val="OPCParaBase"/>
    <w:rsid w:val="004855B6"/>
    <w:pPr>
      <w:spacing w:before="40" w:line="198" w:lineRule="exact"/>
      <w:ind w:left="2354" w:hanging="369"/>
    </w:pPr>
    <w:rPr>
      <w:sz w:val="18"/>
    </w:rPr>
  </w:style>
  <w:style w:type="paragraph" w:customStyle="1" w:styleId="noteParlAmend">
    <w:name w:val="note(ParlAmend)"/>
    <w:aliases w:val="npp"/>
    <w:basedOn w:val="OPCParaBase"/>
    <w:next w:val="ParlAmend"/>
    <w:rsid w:val="004855B6"/>
    <w:pPr>
      <w:spacing w:line="240" w:lineRule="auto"/>
      <w:jc w:val="right"/>
    </w:pPr>
    <w:rPr>
      <w:rFonts w:ascii="Arial" w:hAnsi="Arial"/>
      <w:b/>
      <w:i/>
    </w:rPr>
  </w:style>
  <w:style w:type="paragraph" w:customStyle="1" w:styleId="Page1">
    <w:name w:val="Page1"/>
    <w:basedOn w:val="OPCParaBase"/>
    <w:rsid w:val="004855B6"/>
    <w:pPr>
      <w:spacing w:before="5600" w:line="240" w:lineRule="auto"/>
    </w:pPr>
    <w:rPr>
      <w:b/>
      <w:sz w:val="32"/>
    </w:rPr>
  </w:style>
  <w:style w:type="paragraph" w:customStyle="1" w:styleId="PageBreak">
    <w:name w:val="PageBreak"/>
    <w:aliases w:val="pb"/>
    <w:basedOn w:val="OPCParaBase"/>
    <w:rsid w:val="004855B6"/>
    <w:pPr>
      <w:spacing w:line="240" w:lineRule="auto"/>
    </w:pPr>
    <w:rPr>
      <w:sz w:val="10"/>
    </w:rPr>
  </w:style>
  <w:style w:type="paragraph" w:customStyle="1" w:styleId="paragraphsub">
    <w:name w:val="paragraph(sub)"/>
    <w:aliases w:val="aa"/>
    <w:basedOn w:val="OPCParaBase"/>
    <w:rsid w:val="004855B6"/>
    <w:pPr>
      <w:tabs>
        <w:tab w:val="right" w:pos="1985"/>
      </w:tabs>
      <w:spacing w:before="40" w:line="240" w:lineRule="auto"/>
      <w:ind w:left="2098" w:hanging="2098"/>
    </w:pPr>
  </w:style>
  <w:style w:type="paragraph" w:customStyle="1" w:styleId="paragraphsub-sub">
    <w:name w:val="paragraph(sub-sub)"/>
    <w:aliases w:val="aaa"/>
    <w:basedOn w:val="OPCParaBase"/>
    <w:rsid w:val="004855B6"/>
    <w:pPr>
      <w:tabs>
        <w:tab w:val="right" w:pos="2722"/>
      </w:tabs>
      <w:spacing w:before="40" w:line="240" w:lineRule="auto"/>
      <w:ind w:left="2835" w:hanging="2835"/>
    </w:pPr>
  </w:style>
  <w:style w:type="paragraph" w:customStyle="1" w:styleId="paragraph">
    <w:name w:val="paragraph"/>
    <w:aliases w:val="a"/>
    <w:basedOn w:val="OPCParaBase"/>
    <w:link w:val="paragraphChar"/>
    <w:rsid w:val="004855B6"/>
    <w:pPr>
      <w:tabs>
        <w:tab w:val="right" w:pos="1531"/>
      </w:tabs>
      <w:spacing w:before="40" w:line="240" w:lineRule="auto"/>
      <w:ind w:left="1644" w:hanging="1644"/>
    </w:pPr>
  </w:style>
  <w:style w:type="paragraph" w:customStyle="1" w:styleId="ParlAmend">
    <w:name w:val="ParlAmend"/>
    <w:aliases w:val="pp"/>
    <w:basedOn w:val="OPCParaBase"/>
    <w:rsid w:val="004855B6"/>
    <w:pPr>
      <w:spacing w:before="240" w:line="240" w:lineRule="atLeast"/>
      <w:ind w:hanging="567"/>
    </w:pPr>
    <w:rPr>
      <w:sz w:val="24"/>
    </w:rPr>
  </w:style>
  <w:style w:type="paragraph" w:customStyle="1" w:styleId="Penalty">
    <w:name w:val="Penalty"/>
    <w:basedOn w:val="OPCParaBase"/>
    <w:rsid w:val="004855B6"/>
    <w:pPr>
      <w:tabs>
        <w:tab w:val="left" w:pos="2977"/>
      </w:tabs>
      <w:spacing w:before="180" w:line="240" w:lineRule="auto"/>
      <w:ind w:left="1985" w:hanging="851"/>
    </w:pPr>
  </w:style>
  <w:style w:type="paragraph" w:customStyle="1" w:styleId="Portfolio">
    <w:name w:val="Portfolio"/>
    <w:basedOn w:val="OPCParaBase"/>
    <w:rsid w:val="004855B6"/>
    <w:pPr>
      <w:spacing w:line="240" w:lineRule="auto"/>
    </w:pPr>
    <w:rPr>
      <w:i/>
      <w:sz w:val="20"/>
    </w:rPr>
  </w:style>
  <w:style w:type="paragraph" w:customStyle="1" w:styleId="Preamble">
    <w:name w:val="Preamble"/>
    <w:basedOn w:val="OPCParaBase"/>
    <w:next w:val="Normal"/>
    <w:rsid w:val="004855B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55B6"/>
    <w:pPr>
      <w:spacing w:line="240" w:lineRule="auto"/>
    </w:pPr>
    <w:rPr>
      <w:i/>
      <w:sz w:val="20"/>
    </w:rPr>
  </w:style>
  <w:style w:type="paragraph" w:customStyle="1" w:styleId="Session">
    <w:name w:val="Session"/>
    <w:basedOn w:val="OPCParaBase"/>
    <w:rsid w:val="004855B6"/>
    <w:pPr>
      <w:spacing w:line="240" w:lineRule="auto"/>
    </w:pPr>
    <w:rPr>
      <w:sz w:val="28"/>
    </w:rPr>
  </w:style>
  <w:style w:type="paragraph" w:customStyle="1" w:styleId="Sponsor">
    <w:name w:val="Sponsor"/>
    <w:basedOn w:val="OPCParaBase"/>
    <w:rsid w:val="004855B6"/>
    <w:pPr>
      <w:spacing w:line="240" w:lineRule="auto"/>
    </w:pPr>
    <w:rPr>
      <w:i/>
    </w:rPr>
  </w:style>
  <w:style w:type="paragraph" w:customStyle="1" w:styleId="Subitem">
    <w:name w:val="Subitem"/>
    <w:aliases w:val="iss"/>
    <w:basedOn w:val="OPCParaBase"/>
    <w:rsid w:val="004855B6"/>
    <w:pPr>
      <w:spacing w:before="180" w:line="240" w:lineRule="auto"/>
      <w:ind w:left="709" w:hanging="709"/>
    </w:pPr>
  </w:style>
  <w:style w:type="paragraph" w:customStyle="1" w:styleId="SubitemHead">
    <w:name w:val="SubitemHead"/>
    <w:aliases w:val="issh"/>
    <w:basedOn w:val="OPCParaBase"/>
    <w:rsid w:val="004855B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855B6"/>
    <w:pPr>
      <w:spacing w:before="40" w:line="240" w:lineRule="auto"/>
      <w:ind w:left="1134"/>
    </w:pPr>
  </w:style>
  <w:style w:type="paragraph" w:customStyle="1" w:styleId="SubsectionHead">
    <w:name w:val="SubsectionHead"/>
    <w:aliases w:val="ssh"/>
    <w:basedOn w:val="OPCParaBase"/>
    <w:next w:val="subsection"/>
    <w:rsid w:val="004855B6"/>
    <w:pPr>
      <w:keepNext/>
      <w:keepLines/>
      <w:spacing w:before="240" w:line="240" w:lineRule="auto"/>
      <w:ind w:left="1134"/>
    </w:pPr>
    <w:rPr>
      <w:i/>
    </w:rPr>
  </w:style>
  <w:style w:type="paragraph" w:customStyle="1" w:styleId="Tablea">
    <w:name w:val="Table(a)"/>
    <w:aliases w:val="ta"/>
    <w:basedOn w:val="OPCParaBase"/>
    <w:rsid w:val="004855B6"/>
    <w:pPr>
      <w:spacing w:before="60" w:line="240" w:lineRule="auto"/>
      <w:ind w:left="284" w:hanging="284"/>
    </w:pPr>
    <w:rPr>
      <w:sz w:val="20"/>
    </w:rPr>
  </w:style>
  <w:style w:type="paragraph" w:customStyle="1" w:styleId="TableAA">
    <w:name w:val="Table(AA)"/>
    <w:aliases w:val="taaa"/>
    <w:basedOn w:val="OPCParaBase"/>
    <w:rsid w:val="004855B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55B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55B6"/>
    <w:pPr>
      <w:spacing w:before="60" w:line="240" w:lineRule="atLeast"/>
    </w:pPr>
    <w:rPr>
      <w:sz w:val="20"/>
    </w:rPr>
  </w:style>
  <w:style w:type="paragraph" w:customStyle="1" w:styleId="TLPBoxTextnote">
    <w:name w:val="TLPBoxText(note"/>
    <w:aliases w:val="right)"/>
    <w:basedOn w:val="OPCParaBase"/>
    <w:rsid w:val="004855B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55B6"/>
    <w:pPr>
      <w:numPr>
        <w:numId w:val="1"/>
      </w:numPr>
      <w:tabs>
        <w:tab w:val="clear" w:pos="2517"/>
      </w:tabs>
      <w:spacing w:before="60" w:line="198" w:lineRule="exact"/>
      <w:ind w:left="2625"/>
    </w:pPr>
    <w:rPr>
      <w:sz w:val="18"/>
    </w:rPr>
  </w:style>
  <w:style w:type="paragraph" w:customStyle="1" w:styleId="TLPnoteright">
    <w:name w:val="TLPnote(right)"/>
    <w:aliases w:val="nr"/>
    <w:basedOn w:val="OPCParaBase"/>
    <w:rsid w:val="004855B6"/>
    <w:pPr>
      <w:spacing w:before="122" w:line="198" w:lineRule="exact"/>
      <w:ind w:left="1985" w:hanging="851"/>
      <w:jc w:val="right"/>
    </w:pPr>
    <w:rPr>
      <w:sz w:val="18"/>
    </w:rPr>
  </w:style>
  <w:style w:type="paragraph" w:customStyle="1" w:styleId="TLPTableBullet">
    <w:name w:val="TLPTableBullet"/>
    <w:aliases w:val="ttb"/>
    <w:basedOn w:val="OPCParaBase"/>
    <w:rsid w:val="004855B6"/>
    <w:pPr>
      <w:spacing w:line="240" w:lineRule="exact"/>
      <w:ind w:left="284" w:hanging="284"/>
    </w:pPr>
    <w:rPr>
      <w:sz w:val="20"/>
    </w:rPr>
  </w:style>
  <w:style w:type="paragraph" w:styleId="TOC1">
    <w:name w:val="toc 1"/>
    <w:basedOn w:val="OPCParaBase"/>
    <w:next w:val="Normal"/>
    <w:uiPriority w:val="39"/>
    <w:unhideWhenUsed/>
    <w:rsid w:val="004855B6"/>
    <w:pPr>
      <w:keepNext/>
      <w:keepLines/>
      <w:tabs>
        <w:tab w:val="right" w:pos="8998"/>
      </w:tabs>
      <w:spacing w:before="120" w:line="240" w:lineRule="auto"/>
      <w:ind w:left="1474" w:right="868" w:hanging="1474"/>
    </w:pPr>
    <w:rPr>
      <w:b/>
      <w:kern w:val="28"/>
      <w:sz w:val="28"/>
    </w:rPr>
  </w:style>
  <w:style w:type="paragraph" w:styleId="TOC2">
    <w:name w:val="toc 2"/>
    <w:basedOn w:val="OPCParaBase"/>
    <w:next w:val="Normal"/>
    <w:uiPriority w:val="39"/>
    <w:unhideWhenUsed/>
    <w:rsid w:val="004855B6"/>
    <w:pPr>
      <w:keepNext/>
      <w:keepLines/>
      <w:tabs>
        <w:tab w:val="right" w:pos="8998"/>
      </w:tabs>
      <w:spacing w:before="120" w:line="240" w:lineRule="auto"/>
      <w:ind w:left="1474" w:right="868" w:hanging="1474"/>
    </w:pPr>
    <w:rPr>
      <w:b/>
      <w:kern w:val="28"/>
      <w:sz w:val="24"/>
    </w:rPr>
  </w:style>
  <w:style w:type="paragraph" w:styleId="TOC3">
    <w:name w:val="toc 3"/>
    <w:basedOn w:val="OPCParaBase"/>
    <w:next w:val="Normal"/>
    <w:uiPriority w:val="39"/>
    <w:unhideWhenUsed/>
    <w:rsid w:val="004855B6"/>
    <w:pPr>
      <w:keepLines/>
      <w:tabs>
        <w:tab w:val="right" w:pos="8998"/>
      </w:tabs>
      <w:spacing w:before="80" w:line="240" w:lineRule="auto"/>
      <w:ind w:left="1604" w:right="868" w:hanging="1179"/>
    </w:pPr>
    <w:rPr>
      <w:b/>
      <w:kern w:val="28"/>
    </w:rPr>
  </w:style>
  <w:style w:type="paragraph" w:styleId="TOC4">
    <w:name w:val="toc 4"/>
    <w:basedOn w:val="OPCParaBase"/>
    <w:next w:val="Normal"/>
    <w:uiPriority w:val="39"/>
    <w:unhideWhenUsed/>
    <w:rsid w:val="004855B6"/>
    <w:pPr>
      <w:keepLines/>
      <w:tabs>
        <w:tab w:val="right" w:pos="8998"/>
      </w:tabs>
      <w:spacing w:before="80" w:line="240" w:lineRule="auto"/>
      <w:ind w:left="2183" w:right="868" w:hanging="1332"/>
    </w:pPr>
    <w:rPr>
      <w:b/>
      <w:kern w:val="28"/>
      <w:sz w:val="20"/>
    </w:rPr>
  </w:style>
  <w:style w:type="paragraph" w:styleId="TOC5">
    <w:name w:val="toc 5"/>
    <w:basedOn w:val="OPCParaBase"/>
    <w:next w:val="Normal"/>
    <w:uiPriority w:val="39"/>
    <w:unhideWhenUsed/>
    <w:rsid w:val="004855B6"/>
    <w:pPr>
      <w:keepLines/>
      <w:tabs>
        <w:tab w:val="right" w:pos="8998"/>
      </w:tabs>
      <w:spacing w:before="40" w:line="240" w:lineRule="auto"/>
      <w:ind w:left="2280" w:right="868" w:hanging="862"/>
    </w:pPr>
    <w:rPr>
      <w:kern w:val="28"/>
      <w:sz w:val="18"/>
    </w:rPr>
  </w:style>
  <w:style w:type="paragraph" w:styleId="TOC6">
    <w:name w:val="toc 6"/>
    <w:basedOn w:val="OPCParaBase"/>
    <w:next w:val="Normal"/>
    <w:uiPriority w:val="39"/>
    <w:unhideWhenUsed/>
    <w:rsid w:val="004855B6"/>
    <w:pPr>
      <w:keepLines/>
      <w:tabs>
        <w:tab w:val="right" w:pos="8998"/>
      </w:tabs>
      <w:spacing w:before="120" w:line="240" w:lineRule="auto"/>
      <w:ind w:left="1344" w:right="868" w:hanging="1344"/>
    </w:pPr>
    <w:rPr>
      <w:b/>
      <w:kern w:val="28"/>
      <w:sz w:val="24"/>
    </w:rPr>
  </w:style>
  <w:style w:type="paragraph" w:styleId="TOC7">
    <w:name w:val="toc 7"/>
    <w:basedOn w:val="OPCParaBase"/>
    <w:next w:val="Normal"/>
    <w:uiPriority w:val="39"/>
    <w:unhideWhenUsed/>
    <w:rsid w:val="004855B6"/>
    <w:pPr>
      <w:keepLines/>
      <w:tabs>
        <w:tab w:val="right" w:pos="8998"/>
      </w:tabs>
      <w:spacing w:before="120" w:line="240" w:lineRule="auto"/>
      <w:ind w:left="1253" w:right="868" w:hanging="828"/>
    </w:pPr>
    <w:rPr>
      <w:kern w:val="28"/>
      <w:sz w:val="24"/>
    </w:rPr>
  </w:style>
  <w:style w:type="paragraph" w:styleId="TOC8">
    <w:name w:val="toc 8"/>
    <w:basedOn w:val="OPCParaBase"/>
    <w:next w:val="Normal"/>
    <w:uiPriority w:val="39"/>
    <w:unhideWhenUsed/>
    <w:rsid w:val="004855B6"/>
    <w:pPr>
      <w:keepLines/>
      <w:tabs>
        <w:tab w:val="right" w:pos="8998"/>
      </w:tabs>
      <w:spacing w:before="80" w:line="240" w:lineRule="auto"/>
      <w:ind w:left="1900" w:right="868" w:hanging="1049"/>
    </w:pPr>
    <w:rPr>
      <w:kern w:val="28"/>
      <w:sz w:val="20"/>
    </w:rPr>
  </w:style>
  <w:style w:type="paragraph" w:styleId="TOC9">
    <w:name w:val="toc 9"/>
    <w:basedOn w:val="OPCParaBase"/>
    <w:next w:val="Normal"/>
    <w:uiPriority w:val="39"/>
    <w:unhideWhenUsed/>
    <w:rsid w:val="004855B6"/>
    <w:pPr>
      <w:keepLines/>
      <w:tabs>
        <w:tab w:val="right" w:pos="8998"/>
      </w:tabs>
      <w:spacing w:before="80" w:line="240" w:lineRule="auto"/>
      <w:ind w:left="851" w:right="868"/>
    </w:pPr>
    <w:rPr>
      <w:i/>
      <w:kern w:val="28"/>
      <w:sz w:val="20"/>
    </w:rPr>
  </w:style>
  <w:style w:type="paragraph" w:customStyle="1" w:styleId="TofSectsGroupHeading">
    <w:name w:val="TofSects(GroupHeading)"/>
    <w:basedOn w:val="OPCParaBase"/>
    <w:next w:val="TofSectsSection"/>
    <w:rsid w:val="004855B6"/>
    <w:pPr>
      <w:keepLines/>
      <w:spacing w:before="240" w:after="120" w:line="240" w:lineRule="auto"/>
      <w:ind w:left="794"/>
    </w:pPr>
    <w:rPr>
      <w:b/>
      <w:kern w:val="28"/>
      <w:sz w:val="20"/>
    </w:rPr>
  </w:style>
  <w:style w:type="paragraph" w:customStyle="1" w:styleId="TofSectsHeading">
    <w:name w:val="TofSects(Heading)"/>
    <w:basedOn w:val="OPCParaBase"/>
    <w:rsid w:val="004855B6"/>
    <w:pPr>
      <w:spacing w:before="240" w:after="120" w:line="240" w:lineRule="auto"/>
    </w:pPr>
    <w:rPr>
      <w:b/>
      <w:sz w:val="24"/>
    </w:rPr>
  </w:style>
  <w:style w:type="paragraph" w:customStyle="1" w:styleId="TofSectsSection">
    <w:name w:val="TofSects(Section)"/>
    <w:basedOn w:val="OPCParaBase"/>
    <w:rsid w:val="004855B6"/>
    <w:pPr>
      <w:keepLines/>
      <w:spacing w:before="40" w:line="240" w:lineRule="auto"/>
      <w:ind w:left="1588" w:hanging="794"/>
    </w:pPr>
    <w:rPr>
      <w:kern w:val="28"/>
      <w:sz w:val="18"/>
    </w:rPr>
  </w:style>
  <w:style w:type="paragraph" w:customStyle="1" w:styleId="TofSectsSubdiv">
    <w:name w:val="TofSects(Subdiv)"/>
    <w:basedOn w:val="OPCParaBase"/>
    <w:rsid w:val="004855B6"/>
    <w:pPr>
      <w:keepLines/>
      <w:spacing w:before="80" w:line="240" w:lineRule="auto"/>
      <w:ind w:left="1588" w:hanging="794"/>
    </w:pPr>
    <w:rPr>
      <w:kern w:val="28"/>
    </w:rPr>
  </w:style>
  <w:style w:type="paragraph" w:customStyle="1" w:styleId="WRStyle">
    <w:name w:val="WR Style"/>
    <w:aliases w:val="WR"/>
    <w:basedOn w:val="OPCParaBase"/>
    <w:rsid w:val="004855B6"/>
    <w:pPr>
      <w:spacing w:before="240" w:line="240" w:lineRule="auto"/>
      <w:ind w:left="284" w:hanging="284"/>
    </w:pPr>
    <w:rPr>
      <w:b/>
      <w:i/>
      <w:kern w:val="28"/>
      <w:sz w:val="24"/>
    </w:rPr>
  </w:style>
  <w:style w:type="paragraph" w:customStyle="1" w:styleId="Body">
    <w:name w:val="Body"/>
    <w:aliases w:val="b"/>
    <w:basedOn w:val="OPCParaBase"/>
    <w:rsid w:val="004855B6"/>
    <w:pPr>
      <w:spacing w:before="240" w:line="240" w:lineRule="auto"/>
    </w:pPr>
    <w:rPr>
      <w:sz w:val="24"/>
    </w:rPr>
  </w:style>
  <w:style w:type="paragraph" w:customStyle="1" w:styleId="BodyNum">
    <w:name w:val="BodyNum"/>
    <w:aliases w:val="b1"/>
    <w:basedOn w:val="OPCParaBase"/>
    <w:rsid w:val="004855B6"/>
    <w:pPr>
      <w:numPr>
        <w:numId w:val="2"/>
      </w:numPr>
      <w:spacing w:before="240" w:line="240" w:lineRule="auto"/>
    </w:pPr>
    <w:rPr>
      <w:sz w:val="24"/>
    </w:rPr>
  </w:style>
  <w:style w:type="paragraph" w:customStyle="1" w:styleId="BodyPara">
    <w:name w:val="BodyPara"/>
    <w:aliases w:val="ba"/>
    <w:basedOn w:val="OPCParaBase"/>
    <w:rsid w:val="004855B6"/>
    <w:pPr>
      <w:numPr>
        <w:ilvl w:val="1"/>
        <w:numId w:val="2"/>
      </w:numPr>
      <w:spacing w:before="240" w:line="240" w:lineRule="auto"/>
    </w:pPr>
    <w:rPr>
      <w:sz w:val="24"/>
    </w:rPr>
  </w:style>
  <w:style w:type="paragraph" w:customStyle="1" w:styleId="BodyParaBullet">
    <w:name w:val="BodyParaBullet"/>
    <w:aliases w:val="bpb"/>
    <w:basedOn w:val="OPCParaBase"/>
    <w:rsid w:val="004855B6"/>
    <w:pPr>
      <w:numPr>
        <w:ilvl w:val="2"/>
        <w:numId w:val="2"/>
      </w:numPr>
      <w:tabs>
        <w:tab w:val="left" w:pos="2160"/>
      </w:tabs>
      <w:spacing w:before="240" w:line="240" w:lineRule="auto"/>
    </w:pPr>
    <w:rPr>
      <w:sz w:val="24"/>
    </w:rPr>
  </w:style>
  <w:style w:type="paragraph" w:customStyle="1" w:styleId="BodySubPara">
    <w:name w:val="BodySubPara"/>
    <w:aliases w:val="bi"/>
    <w:basedOn w:val="OPCParaBase"/>
    <w:rsid w:val="004855B6"/>
    <w:pPr>
      <w:numPr>
        <w:ilvl w:val="3"/>
        <w:numId w:val="2"/>
      </w:numPr>
      <w:spacing w:before="240" w:line="240" w:lineRule="auto"/>
    </w:pPr>
    <w:rPr>
      <w:sz w:val="24"/>
    </w:rPr>
  </w:style>
  <w:style w:type="numbering" w:customStyle="1" w:styleId="OPCBodyList">
    <w:name w:val="OPCBodyList"/>
    <w:uiPriority w:val="99"/>
    <w:rsid w:val="004855B6"/>
    <w:pPr>
      <w:numPr>
        <w:numId w:val="2"/>
      </w:numPr>
    </w:pPr>
  </w:style>
  <w:style w:type="paragraph" w:customStyle="1" w:styleId="Head1">
    <w:name w:val="Head 1"/>
    <w:aliases w:val="1"/>
    <w:basedOn w:val="OPCParaBase"/>
    <w:next w:val="BodyNum"/>
    <w:rsid w:val="004855B6"/>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4855B6"/>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4855B6"/>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4855B6"/>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4855B6"/>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4855B6"/>
    <w:pPr>
      <w:spacing w:before="122" w:line="198" w:lineRule="exact"/>
      <w:ind w:left="2353" w:hanging="709"/>
    </w:pPr>
    <w:rPr>
      <w:sz w:val="18"/>
    </w:rPr>
  </w:style>
  <w:style w:type="paragraph" w:styleId="Footer">
    <w:name w:val="footer"/>
    <w:link w:val="FooterChar"/>
    <w:rsid w:val="004855B6"/>
    <w:pPr>
      <w:tabs>
        <w:tab w:val="center" w:pos="4153"/>
        <w:tab w:val="center" w:pos="4320"/>
        <w:tab w:val="right" w:pos="8306"/>
        <w:tab w:val="right" w:pos="8640"/>
      </w:tabs>
    </w:pPr>
    <w:rPr>
      <w:rFonts w:eastAsia="Times New Roman" w:cs="Times New Roman"/>
      <w:sz w:val="24"/>
      <w:szCs w:val="24"/>
      <w:lang w:eastAsia="en-AU"/>
    </w:rPr>
  </w:style>
  <w:style w:type="character" w:customStyle="1" w:styleId="FooterChar">
    <w:name w:val="Footer Char"/>
    <w:basedOn w:val="DefaultParagraphFont"/>
    <w:link w:val="Footer"/>
    <w:rsid w:val="004855B6"/>
    <w:rPr>
      <w:rFonts w:eastAsia="Times New Roman" w:cs="Times New Roman"/>
      <w:sz w:val="24"/>
      <w:szCs w:val="24"/>
      <w:lang w:eastAsia="en-AU"/>
    </w:rPr>
  </w:style>
  <w:style w:type="character" w:styleId="PageNumber">
    <w:name w:val="page number"/>
    <w:basedOn w:val="DefaultParagraphFont"/>
    <w:rsid w:val="004855B6"/>
  </w:style>
  <w:style w:type="paragraph" w:styleId="BalloonText">
    <w:name w:val="Balloon Text"/>
    <w:basedOn w:val="Normal"/>
    <w:link w:val="BalloonTextChar"/>
    <w:uiPriority w:val="99"/>
    <w:semiHidden/>
    <w:unhideWhenUsed/>
    <w:rsid w:val="004855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5B6"/>
    <w:rPr>
      <w:rFonts w:ascii="Tahoma" w:hAnsi="Tahoma" w:cs="Tahoma"/>
      <w:sz w:val="16"/>
      <w:szCs w:val="16"/>
    </w:rPr>
  </w:style>
  <w:style w:type="paragraph" w:customStyle="1" w:styleId="MessShortTitle">
    <w:name w:val="MessShortTitle"/>
    <w:basedOn w:val="Head2"/>
    <w:rsid w:val="004855B6"/>
  </w:style>
  <w:style w:type="paragraph" w:customStyle="1" w:styleId="notetext">
    <w:name w:val="note(text)"/>
    <w:aliases w:val="n"/>
    <w:basedOn w:val="OPCParaBase"/>
    <w:rsid w:val="004855B6"/>
    <w:pPr>
      <w:spacing w:before="122" w:line="240" w:lineRule="auto"/>
      <w:ind w:left="1985" w:hanging="851"/>
    </w:pPr>
    <w:rPr>
      <w:sz w:val="18"/>
    </w:rPr>
  </w:style>
  <w:style w:type="paragraph" w:customStyle="1" w:styleId="FreeForm">
    <w:name w:val="FreeForm"/>
    <w:rsid w:val="000F3859"/>
    <w:rPr>
      <w:rFonts w:ascii="Arial" w:hAnsi="Arial"/>
      <w:sz w:val="22"/>
    </w:rPr>
  </w:style>
  <w:style w:type="paragraph" w:customStyle="1" w:styleId="SOText">
    <w:name w:val="SO Text"/>
    <w:aliases w:val="sot"/>
    <w:link w:val="SOTextChar"/>
    <w:rsid w:val="004855B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855B6"/>
    <w:rPr>
      <w:sz w:val="22"/>
    </w:rPr>
  </w:style>
  <w:style w:type="paragraph" w:customStyle="1" w:styleId="SOTextNote">
    <w:name w:val="SO TextNote"/>
    <w:aliases w:val="sont"/>
    <w:basedOn w:val="SOText"/>
    <w:qFormat/>
    <w:rsid w:val="004855B6"/>
    <w:pPr>
      <w:spacing w:before="122" w:line="198" w:lineRule="exact"/>
      <w:ind w:left="1843" w:hanging="709"/>
    </w:pPr>
    <w:rPr>
      <w:sz w:val="18"/>
    </w:rPr>
  </w:style>
  <w:style w:type="paragraph" w:customStyle="1" w:styleId="SOPara">
    <w:name w:val="SO Para"/>
    <w:aliases w:val="soa"/>
    <w:basedOn w:val="SOText"/>
    <w:link w:val="SOParaChar"/>
    <w:qFormat/>
    <w:rsid w:val="004855B6"/>
    <w:pPr>
      <w:tabs>
        <w:tab w:val="right" w:pos="1786"/>
      </w:tabs>
      <w:spacing w:before="40"/>
      <w:ind w:left="2070" w:hanging="936"/>
    </w:pPr>
  </w:style>
  <w:style w:type="character" w:customStyle="1" w:styleId="SOParaChar">
    <w:name w:val="SO Para Char"/>
    <w:aliases w:val="soa Char"/>
    <w:basedOn w:val="DefaultParagraphFont"/>
    <w:link w:val="SOPara"/>
    <w:rsid w:val="004855B6"/>
    <w:rPr>
      <w:sz w:val="22"/>
    </w:rPr>
  </w:style>
  <w:style w:type="paragraph" w:customStyle="1" w:styleId="FileName">
    <w:name w:val="FileName"/>
    <w:basedOn w:val="Normal"/>
    <w:rsid w:val="004855B6"/>
  </w:style>
  <w:style w:type="paragraph" w:customStyle="1" w:styleId="TableHeading">
    <w:name w:val="TableHeading"/>
    <w:aliases w:val="th"/>
    <w:basedOn w:val="OPCParaBase"/>
    <w:next w:val="Tabletext"/>
    <w:rsid w:val="004855B6"/>
    <w:pPr>
      <w:keepNext/>
      <w:spacing w:before="60" w:line="240" w:lineRule="atLeast"/>
    </w:pPr>
    <w:rPr>
      <w:b/>
      <w:sz w:val="20"/>
    </w:rPr>
  </w:style>
  <w:style w:type="paragraph" w:customStyle="1" w:styleId="SOHeadBold">
    <w:name w:val="SO HeadBold"/>
    <w:aliases w:val="sohb"/>
    <w:basedOn w:val="SOText"/>
    <w:next w:val="SOText"/>
    <w:link w:val="SOHeadBoldChar"/>
    <w:qFormat/>
    <w:rsid w:val="004855B6"/>
    <w:rPr>
      <w:b/>
    </w:rPr>
  </w:style>
  <w:style w:type="character" w:customStyle="1" w:styleId="SOHeadBoldChar">
    <w:name w:val="SO HeadBold Char"/>
    <w:aliases w:val="sohb Char"/>
    <w:basedOn w:val="DefaultParagraphFont"/>
    <w:link w:val="SOHeadBold"/>
    <w:rsid w:val="004855B6"/>
    <w:rPr>
      <w:b/>
      <w:sz w:val="22"/>
    </w:rPr>
  </w:style>
  <w:style w:type="paragraph" w:customStyle="1" w:styleId="SOHeadItalic">
    <w:name w:val="SO HeadItalic"/>
    <w:aliases w:val="sohi"/>
    <w:basedOn w:val="SOText"/>
    <w:next w:val="SOText"/>
    <w:link w:val="SOHeadItalicChar"/>
    <w:qFormat/>
    <w:rsid w:val="004855B6"/>
    <w:rPr>
      <w:i/>
    </w:rPr>
  </w:style>
  <w:style w:type="character" w:customStyle="1" w:styleId="SOHeadItalicChar">
    <w:name w:val="SO HeadItalic Char"/>
    <w:aliases w:val="sohi Char"/>
    <w:basedOn w:val="DefaultParagraphFont"/>
    <w:link w:val="SOHeadItalic"/>
    <w:rsid w:val="004855B6"/>
    <w:rPr>
      <w:i/>
      <w:sz w:val="22"/>
    </w:rPr>
  </w:style>
  <w:style w:type="paragraph" w:customStyle="1" w:styleId="SOBullet">
    <w:name w:val="SO Bullet"/>
    <w:aliases w:val="sotb"/>
    <w:basedOn w:val="SOText"/>
    <w:link w:val="SOBulletChar"/>
    <w:qFormat/>
    <w:rsid w:val="004855B6"/>
    <w:pPr>
      <w:ind w:left="1559" w:hanging="425"/>
    </w:pPr>
  </w:style>
  <w:style w:type="character" w:customStyle="1" w:styleId="SOBulletChar">
    <w:name w:val="SO Bullet Char"/>
    <w:aliases w:val="sotb Char"/>
    <w:basedOn w:val="DefaultParagraphFont"/>
    <w:link w:val="SOBullet"/>
    <w:rsid w:val="004855B6"/>
    <w:rPr>
      <w:sz w:val="22"/>
    </w:rPr>
  </w:style>
  <w:style w:type="paragraph" w:customStyle="1" w:styleId="SOBulletNote">
    <w:name w:val="SO BulletNote"/>
    <w:aliases w:val="sonb"/>
    <w:basedOn w:val="SOTextNote"/>
    <w:link w:val="SOBulletNoteChar"/>
    <w:qFormat/>
    <w:rsid w:val="004855B6"/>
    <w:pPr>
      <w:tabs>
        <w:tab w:val="left" w:pos="1560"/>
      </w:tabs>
      <w:ind w:left="2268" w:hanging="1134"/>
    </w:pPr>
  </w:style>
  <w:style w:type="character" w:customStyle="1" w:styleId="SOBulletNoteChar">
    <w:name w:val="SO BulletNote Char"/>
    <w:aliases w:val="sonb Char"/>
    <w:basedOn w:val="DefaultParagraphFont"/>
    <w:link w:val="SOBulletNote"/>
    <w:rsid w:val="004855B6"/>
    <w:rPr>
      <w:sz w:val="18"/>
    </w:rPr>
  </w:style>
  <w:style w:type="character" w:customStyle="1" w:styleId="Heading1Char">
    <w:name w:val="Heading 1 Char"/>
    <w:basedOn w:val="DefaultParagraphFont"/>
    <w:link w:val="Heading1"/>
    <w:rsid w:val="00727ED5"/>
    <w:rPr>
      <w:rFonts w:ascii="Helvetica" w:eastAsia="Times New Roman" w:hAnsi="Helvetica" w:cs="Times New Roman"/>
      <w:b/>
      <w:sz w:val="40"/>
      <w:szCs w:val="32"/>
      <w:lang w:val="x-none" w:eastAsia="en-AU"/>
    </w:rPr>
  </w:style>
  <w:style w:type="character" w:customStyle="1" w:styleId="Heading2Char">
    <w:name w:val="Heading 2 Char"/>
    <w:basedOn w:val="DefaultParagraphFont"/>
    <w:link w:val="Heading2"/>
    <w:rsid w:val="00727ED5"/>
    <w:rPr>
      <w:rFonts w:ascii="Helvetica" w:eastAsia="Times New Roman" w:hAnsi="Helvetica" w:cs="Times New Roman"/>
      <w:b/>
      <w:sz w:val="32"/>
      <w:szCs w:val="30"/>
      <w:lang w:val="x-none" w:eastAsia="en-AU"/>
    </w:rPr>
  </w:style>
  <w:style w:type="character" w:customStyle="1" w:styleId="Heading3Char">
    <w:name w:val="Heading 3 Char"/>
    <w:basedOn w:val="DefaultParagraphFont"/>
    <w:link w:val="Heading3"/>
    <w:rsid w:val="00727ED5"/>
    <w:rPr>
      <w:rFonts w:ascii="Optima" w:eastAsia="Times New Roman" w:hAnsi="Optima" w:cs="Times New Roman"/>
      <w:b/>
      <w:sz w:val="28"/>
      <w:lang w:val="x-none" w:eastAsia="en-AU"/>
    </w:rPr>
  </w:style>
  <w:style w:type="character" w:customStyle="1" w:styleId="Heading4Char">
    <w:name w:val="Heading 4 Char"/>
    <w:basedOn w:val="DefaultParagraphFont"/>
    <w:link w:val="Heading4"/>
    <w:rsid w:val="00727ED5"/>
    <w:rPr>
      <w:rFonts w:ascii="Helvetica" w:eastAsia="Times New Roman" w:hAnsi="Helvetica" w:cs="Times New Roman"/>
      <w:b/>
      <w:i/>
      <w:sz w:val="24"/>
      <w:szCs w:val="24"/>
      <w:lang w:val="x-none" w:eastAsia="en-AU"/>
    </w:rPr>
  </w:style>
  <w:style w:type="character" w:customStyle="1" w:styleId="Heading5Char">
    <w:name w:val="Heading 5 Char"/>
    <w:basedOn w:val="DefaultParagraphFont"/>
    <w:link w:val="Heading5"/>
    <w:uiPriority w:val="9"/>
    <w:rsid w:val="00727ED5"/>
    <w:rPr>
      <w:rFonts w:eastAsia="Times New Roman" w:cs="Times New Roman"/>
      <w:b/>
      <w:bCs/>
      <w:kern w:val="28"/>
      <w:sz w:val="24"/>
      <w:szCs w:val="24"/>
      <w:lang w:val="x-none" w:eastAsia="en-AU"/>
    </w:rPr>
  </w:style>
  <w:style w:type="character" w:customStyle="1" w:styleId="Heading6Char">
    <w:name w:val="Heading 6 Char"/>
    <w:basedOn w:val="DefaultParagraphFont"/>
    <w:link w:val="Heading6"/>
    <w:uiPriority w:val="9"/>
    <w:semiHidden/>
    <w:rsid w:val="00727ED5"/>
    <w:rPr>
      <w:rFonts w:ascii="Cambria" w:eastAsia="Times New Roman" w:hAnsi="Cambria" w:cs="Times New Roman"/>
      <w:i/>
      <w:iCs/>
      <w:color w:val="243F60"/>
      <w:sz w:val="22"/>
      <w:szCs w:val="22"/>
      <w:lang w:val="x-none" w:eastAsia="x-none"/>
    </w:rPr>
  </w:style>
  <w:style w:type="character" w:customStyle="1" w:styleId="Heading7Char">
    <w:name w:val="Heading 7 Char"/>
    <w:basedOn w:val="DefaultParagraphFont"/>
    <w:link w:val="Heading7"/>
    <w:uiPriority w:val="9"/>
    <w:semiHidden/>
    <w:rsid w:val="00727ED5"/>
    <w:rPr>
      <w:rFonts w:ascii="Cambria" w:eastAsia="Times New Roman" w:hAnsi="Cambria" w:cs="Times New Roman"/>
      <w:i/>
      <w:iCs/>
      <w:color w:val="404040"/>
      <w:sz w:val="22"/>
      <w:szCs w:val="22"/>
      <w:lang w:val="x-none" w:eastAsia="x-none"/>
    </w:rPr>
  </w:style>
  <w:style w:type="character" w:customStyle="1" w:styleId="Heading8Char">
    <w:name w:val="Heading 8 Char"/>
    <w:basedOn w:val="DefaultParagraphFont"/>
    <w:link w:val="Heading8"/>
    <w:uiPriority w:val="9"/>
    <w:semiHidden/>
    <w:rsid w:val="00727ED5"/>
    <w:rPr>
      <w:rFonts w:ascii="Cambria" w:eastAsia="Times New Roman" w:hAnsi="Cambria" w:cs="Times New Roman"/>
      <w:color w:val="404040"/>
      <w:lang w:val="x-none" w:eastAsia="x-none"/>
    </w:rPr>
  </w:style>
  <w:style w:type="character" w:customStyle="1" w:styleId="Heading9Char">
    <w:name w:val="Heading 9 Char"/>
    <w:basedOn w:val="DefaultParagraphFont"/>
    <w:link w:val="Heading9"/>
    <w:uiPriority w:val="9"/>
    <w:semiHidden/>
    <w:rsid w:val="00727ED5"/>
    <w:rPr>
      <w:rFonts w:ascii="Cambria" w:eastAsia="Times New Roman" w:hAnsi="Cambria" w:cs="Times New Roman"/>
      <w:i/>
      <w:iCs/>
      <w:color w:val="404040"/>
      <w:lang w:val="x-none" w:eastAsia="x-none"/>
    </w:rPr>
  </w:style>
  <w:style w:type="paragraph" w:styleId="BodyTextIndent">
    <w:name w:val="Body Text Indent"/>
    <w:basedOn w:val="Normal"/>
    <w:link w:val="BodyTextIndentChar"/>
    <w:uiPriority w:val="99"/>
    <w:semiHidden/>
    <w:unhideWhenUsed/>
    <w:rsid w:val="00727ED5"/>
    <w:pPr>
      <w:spacing w:after="120"/>
      <w:ind w:left="283"/>
    </w:pPr>
    <w:rPr>
      <w:rFonts w:eastAsia="Calibri" w:cs="Times New Roman"/>
      <w:lang w:val="x-none" w:eastAsia="x-none"/>
    </w:rPr>
  </w:style>
  <w:style w:type="character" w:customStyle="1" w:styleId="BodyTextIndentChar">
    <w:name w:val="Body Text Indent Char"/>
    <w:basedOn w:val="DefaultParagraphFont"/>
    <w:link w:val="BodyTextIndent"/>
    <w:uiPriority w:val="99"/>
    <w:semiHidden/>
    <w:rsid w:val="00727ED5"/>
    <w:rPr>
      <w:rFonts w:eastAsia="Calibri" w:cs="Times New Roman"/>
      <w:sz w:val="22"/>
      <w:lang w:val="x-none" w:eastAsia="x-none"/>
    </w:rPr>
  </w:style>
  <w:style w:type="paragraph" w:styleId="BodyTextFirstIndent2">
    <w:name w:val="Body Text First Indent 2"/>
    <w:basedOn w:val="BodyTextIndent"/>
    <w:link w:val="BodyTextFirstIndent2Char"/>
    <w:uiPriority w:val="99"/>
    <w:unhideWhenUsed/>
    <w:rsid w:val="00727ED5"/>
    <w:pPr>
      <w:spacing w:after="0"/>
      <w:ind w:left="360" w:firstLine="360"/>
    </w:pPr>
  </w:style>
  <w:style w:type="character" w:customStyle="1" w:styleId="BodyTextFirstIndent2Char">
    <w:name w:val="Body Text First Indent 2 Char"/>
    <w:basedOn w:val="BodyTextIndentChar"/>
    <w:link w:val="BodyTextFirstIndent2"/>
    <w:uiPriority w:val="99"/>
    <w:rsid w:val="00727ED5"/>
    <w:rPr>
      <w:rFonts w:eastAsia="Calibri" w:cs="Times New Roman"/>
      <w:sz w:val="22"/>
      <w:lang w:val="x-none" w:eastAsia="x-none"/>
    </w:rPr>
  </w:style>
  <w:style w:type="paragraph" w:styleId="FootnoteText">
    <w:name w:val="footnote text"/>
    <w:basedOn w:val="Body"/>
    <w:link w:val="FootnoteTextChar"/>
    <w:uiPriority w:val="99"/>
    <w:semiHidden/>
    <w:rsid w:val="00727ED5"/>
    <w:pPr>
      <w:overflowPunct w:val="0"/>
      <w:autoSpaceDE w:val="0"/>
      <w:autoSpaceDN w:val="0"/>
      <w:adjustRightInd w:val="0"/>
      <w:spacing w:before="0" w:line="240" w:lineRule="atLeast"/>
      <w:ind w:left="284" w:hanging="284"/>
      <w:textAlignment w:val="baseline"/>
    </w:pPr>
    <w:rPr>
      <w:sz w:val="20"/>
      <w:lang w:val="x-none"/>
    </w:rPr>
  </w:style>
  <w:style w:type="character" w:customStyle="1" w:styleId="FootnoteTextChar">
    <w:name w:val="Footnote Text Char"/>
    <w:basedOn w:val="DefaultParagraphFont"/>
    <w:link w:val="FootnoteText"/>
    <w:uiPriority w:val="99"/>
    <w:semiHidden/>
    <w:rsid w:val="00727ED5"/>
    <w:rPr>
      <w:rFonts w:eastAsia="Times New Roman" w:cs="Times New Roman"/>
      <w:lang w:val="x-none" w:eastAsia="en-AU"/>
    </w:rPr>
  </w:style>
  <w:style w:type="character" w:styleId="FootnoteReference">
    <w:name w:val="footnote reference"/>
    <w:uiPriority w:val="99"/>
    <w:semiHidden/>
    <w:rsid w:val="00727ED5"/>
    <w:rPr>
      <w:vertAlign w:val="superscript"/>
    </w:rPr>
  </w:style>
  <w:style w:type="character" w:styleId="Hyperlink">
    <w:name w:val="Hyperlink"/>
    <w:uiPriority w:val="99"/>
    <w:rsid w:val="00727ED5"/>
    <w:rPr>
      <w:color w:val="0000FF"/>
      <w:u w:val="none"/>
    </w:rPr>
  </w:style>
  <w:style w:type="table" w:styleId="TableGrid">
    <w:name w:val="Table Grid"/>
    <w:basedOn w:val="TableNormal"/>
    <w:uiPriority w:val="59"/>
    <w:rsid w:val="00727ED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7ED5"/>
    <w:pPr>
      <w:overflowPunct w:val="0"/>
      <w:autoSpaceDE w:val="0"/>
      <w:autoSpaceDN w:val="0"/>
      <w:adjustRightInd w:val="0"/>
      <w:spacing w:line="240" w:lineRule="auto"/>
      <w:ind w:left="720"/>
    </w:pPr>
    <w:rPr>
      <w:rFonts w:eastAsia="Times New Roman" w:cs="Times New Roman"/>
      <w:sz w:val="24"/>
      <w:lang w:eastAsia="en-AU"/>
    </w:rPr>
  </w:style>
  <w:style w:type="paragraph" w:styleId="ListBullet">
    <w:name w:val="List Bullet"/>
    <w:basedOn w:val="Normal"/>
    <w:uiPriority w:val="99"/>
    <w:unhideWhenUsed/>
    <w:rsid w:val="00727ED5"/>
    <w:pPr>
      <w:tabs>
        <w:tab w:val="num" w:pos="360"/>
      </w:tabs>
      <w:overflowPunct w:val="0"/>
      <w:autoSpaceDE w:val="0"/>
      <w:autoSpaceDN w:val="0"/>
      <w:adjustRightInd w:val="0"/>
      <w:spacing w:line="240" w:lineRule="auto"/>
      <w:ind w:left="360" w:hanging="360"/>
      <w:contextualSpacing/>
      <w:textAlignment w:val="baseline"/>
    </w:pPr>
    <w:rPr>
      <w:rFonts w:eastAsia="Times New Roman" w:cs="Times New Roman"/>
      <w:sz w:val="24"/>
      <w:lang w:eastAsia="en-AU"/>
    </w:rPr>
  </w:style>
  <w:style w:type="character" w:styleId="FollowedHyperlink">
    <w:name w:val="FollowedHyperlink"/>
    <w:uiPriority w:val="99"/>
    <w:semiHidden/>
    <w:unhideWhenUsed/>
    <w:rsid w:val="00727ED5"/>
    <w:rPr>
      <w:color w:val="800080"/>
      <w:u w:val="single"/>
    </w:rPr>
  </w:style>
  <w:style w:type="paragraph" w:styleId="NormalWeb">
    <w:name w:val="Normal (Web)"/>
    <w:basedOn w:val="Normal"/>
    <w:uiPriority w:val="99"/>
    <w:semiHidden/>
    <w:unhideWhenUsed/>
    <w:rsid w:val="00727ED5"/>
    <w:rPr>
      <w:rFonts w:eastAsia="Calibri" w:cs="Times New Roman"/>
      <w:sz w:val="24"/>
      <w:szCs w:val="24"/>
    </w:rPr>
  </w:style>
  <w:style w:type="paragraph" w:styleId="Title">
    <w:name w:val="Title"/>
    <w:basedOn w:val="Normal"/>
    <w:next w:val="Normal"/>
    <w:link w:val="TitleChar"/>
    <w:uiPriority w:val="10"/>
    <w:qFormat/>
    <w:rsid w:val="00727ED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itleChar">
    <w:name w:val="Title Char"/>
    <w:basedOn w:val="DefaultParagraphFont"/>
    <w:link w:val="Title"/>
    <w:uiPriority w:val="10"/>
    <w:rsid w:val="00727ED5"/>
    <w:rPr>
      <w:rFonts w:ascii="Cambria" w:eastAsia="Times New Roman" w:hAnsi="Cambria" w:cs="Times New Roman"/>
      <w:color w:val="17365D"/>
      <w:spacing w:val="5"/>
      <w:kern w:val="28"/>
      <w:sz w:val="52"/>
      <w:szCs w:val="52"/>
      <w:lang w:val="x-none" w:eastAsia="x-none"/>
    </w:rPr>
  </w:style>
  <w:style w:type="paragraph" w:styleId="NoteHeading">
    <w:name w:val="Note Heading"/>
    <w:basedOn w:val="Normal"/>
    <w:next w:val="Normal"/>
    <w:link w:val="NoteHeadingChar"/>
    <w:uiPriority w:val="99"/>
    <w:semiHidden/>
    <w:unhideWhenUsed/>
    <w:rsid w:val="00727ED5"/>
    <w:pPr>
      <w:spacing w:line="240" w:lineRule="auto"/>
    </w:pPr>
    <w:rPr>
      <w:rFonts w:eastAsia="Calibri" w:cs="Times New Roman"/>
      <w:lang w:val="x-none" w:eastAsia="x-none"/>
    </w:rPr>
  </w:style>
  <w:style w:type="character" w:customStyle="1" w:styleId="NoteHeadingChar">
    <w:name w:val="Note Heading Char"/>
    <w:basedOn w:val="DefaultParagraphFont"/>
    <w:link w:val="NoteHeading"/>
    <w:uiPriority w:val="99"/>
    <w:semiHidden/>
    <w:rsid w:val="00727ED5"/>
    <w:rPr>
      <w:rFonts w:eastAsia="Calibri" w:cs="Times New Roman"/>
      <w:sz w:val="22"/>
      <w:lang w:val="x-none" w:eastAsia="x-none"/>
    </w:rPr>
  </w:style>
  <w:style w:type="paragraph" w:styleId="TOCHeading">
    <w:name w:val="TOC Heading"/>
    <w:basedOn w:val="Heading1"/>
    <w:next w:val="Normal"/>
    <w:uiPriority w:val="39"/>
    <w:semiHidden/>
    <w:unhideWhenUsed/>
    <w:qFormat/>
    <w:rsid w:val="00727ED5"/>
    <w:pPr>
      <w:keepLines/>
      <w:pageBreakBefore w:val="0"/>
      <w:overflowPunct/>
      <w:autoSpaceDE/>
      <w:autoSpaceDN/>
      <w:adjustRightInd/>
      <w:spacing w:before="480" w:after="0" w:line="276" w:lineRule="auto"/>
      <w:ind w:left="0" w:firstLine="0"/>
      <w:textAlignment w:val="auto"/>
      <w:outlineLvl w:val="9"/>
    </w:pPr>
    <w:rPr>
      <w:rFonts w:ascii="Cambria" w:hAnsi="Cambria"/>
      <w:bCs/>
      <w:color w:val="365F91"/>
      <w:sz w:val="28"/>
      <w:szCs w:val="28"/>
      <w:lang w:val="en-US" w:eastAsia="ja-JP"/>
    </w:rPr>
  </w:style>
  <w:style w:type="paragraph" w:styleId="DocumentMap">
    <w:name w:val="Document Map"/>
    <w:basedOn w:val="Normal"/>
    <w:link w:val="DocumentMapChar"/>
    <w:uiPriority w:val="99"/>
    <w:semiHidden/>
    <w:unhideWhenUsed/>
    <w:rsid w:val="00727ED5"/>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727ED5"/>
    <w:rPr>
      <w:rFonts w:ascii="Tahoma" w:eastAsia="Calibri" w:hAnsi="Tahoma" w:cs="Tahoma"/>
      <w:sz w:val="16"/>
      <w:szCs w:val="16"/>
    </w:rPr>
  </w:style>
  <w:style w:type="character" w:styleId="Emphasis">
    <w:name w:val="Emphasis"/>
    <w:uiPriority w:val="20"/>
    <w:qFormat/>
    <w:rsid w:val="00727ED5"/>
    <w:rPr>
      <w:i/>
      <w:iCs/>
    </w:rPr>
  </w:style>
  <w:style w:type="paragraph" w:styleId="BodyText">
    <w:name w:val="Body Text"/>
    <w:basedOn w:val="Normal"/>
    <w:link w:val="BodyTextChar"/>
    <w:unhideWhenUsed/>
    <w:rsid w:val="00727ED5"/>
    <w:pPr>
      <w:spacing w:after="120"/>
    </w:pPr>
    <w:rPr>
      <w:rFonts w:eastAsia="Calibri" w:cs="Times New Roman"/>
    </w:rPr>
  </w:style>
  <w:style w:type="character" w:customStyle="1" w:styleId="BodyTextChar">
    <w:name w:val="Body Text Char"/>
    <w:basedOn w:val="DefaultParagraphFont"/>
    <w:link w:val="BodyText"/>
    <w:rsid w:val="00727ED5"/>
    <w:rPr>
      <w:rFonts w:eastAsia="Calibri" w:cs="Times New Roman"/>
      <w:sz w:val="22"/>
    </w:rPr>
  </w:style>
  <w:style w:type="paragraph" w:styleId="ListBullet2">
    <w:name w:val="List Bullet 2"/>
    <w:basedOn w:val="Normal"/>
    <w:semiHidden/>
    <w:unhideWhenUsed/>
    <w:rsid w:val="00727ED5"/>
    <w:pPr>
      <w:tabs>
        <w:tab w:val="num" w:pos="643"/>
      </w:tabs>
      <w:ind w:left="643" w:hanging="360"/>
      <w:contextualSpacing/>
    </w:pPr>
    <w:rPr>
      <w:rFonts w:eastAsia="Calibri" w:cs="Times New Roman"/>
    </w:rPr>
  </w:style>
  <w:style w:type="character" w:customStyle="1" w:styleId="charlegsubtitle1">
    <w:name w:val="charlegsubtitle1"/>
    <w:rsid w:val="00727ED5"/>
    <w:rPr>
      <w:rFonts w:ascii="Arial" w:hAnsi="Arial" w:cs="Arial" w:hint="default"/>
      <w:b/>
      <w:bCs/>
      <w:sz w:val="28"/>
      <w:szCs w:val="28"/>
    </w:rPr>
  </w:style>
  <w:style w:type="paragraph" w:styleId="EndnoteText">
    <w:name w:val="endnote text"/>
    <w:basedOn w:val="Normal"/>
    <w:link w:val="EndnoteTextChar"/>
    <w:uiPriority w:val="99"/>
    <w:semiHidden/>
    <w:unhideWhenUsed/>
    <w:rsid w:val="00727ED5"/>
    <w:pPr>
      <w:spacing w:line="240" w:lineRule="auto"/>
    </w:pPr>
    <w:rPr>
      <w:rFonts w:eastAsia="Calibri" w:cs="Times New Roman"/>
      <w:sz w:val="20"/>
    </w:rPr>
  </w:style>
  <w:style w:type="character" w:customStyle="1" w:styleId="EndnoteTextChar">
    <w:name w:val="Endnote Text Char"/>
    <w:basedOn w:val="DefaultParagraphFont"/>
    <w:link w:val="EndnoteText"/>
    <w:uiPriority w:val="99"/>
    <w:semiHidden/>
    <w:rsid w:val="00727ED5"/>
    <w:rPr>
      <w:rFonts w:eastAsia="Calibri" w:cs="Times New Roman"/>
    </w:rPr>
  </w:style>
  <w:style w:type="character" w:styleId="EndnoteReference">
    <w:name w:val="endnote reference"/>
    <w:uiPriority w:val="99"/>
    <w:semiHidden/>
    <w:unhideWhenUsed/>
    <w:rsid w:val="00727ED5"/>
    <w:rPr>
      <w:vertAlign w:val="superscript"/>
    </w:rPr>
  </w:style>
  <w:style w:type="character" w:styleId="LineNumber">
    <w:name w:val="line number"/>
    <w:basedOn w:val="DefaultParagraphFont"/>
    <w:uiPriority w:val="99"/>
    <w:semiHidden/>
    <w:unhideWhenUsed/>
    <w:rsid w:val="00727ED5"/>
  </w:style>
  <w:style w:type="character" w:styleId="CommentReference">
    <w:name w:val="annotation reference"/>
    <w:uiPriority w:val="99"/>
    <w:semiHidden/>
    <w:unhideWhenUsed/>
    <w:rsid w:val="00727ED5"/>
    <w:rPr>
      <w:sz w:val="16"/>
      <w:szCs w:val="16"/>
    </w:rPr>
  </w:style>
  <w:style w:type="paragraph" w:styleId="CommentText">
    <w:name w:val="annotation text"/>
    <w:basedOn w:val="Normal"/>
    <w:link w:val="CommentTextChar"/>
    <w:uiPriority w:val="99"/>
    <w:unhideWhenUsed/>
    <w:rsid w:val="00727ED5"/>
    <w:pPr>
      <w:spacing w:line="240" w:lineRule="auto"/>
    </w:pPr>
    <w:rPr>
      <w:rFonts w:eastAsia="Calibri" w:cs="Times New Roman"/>
      <w:sz w:val="20"/>
    </w:rPr>
  </w:style>
  <w:style w:type="character" w:customStyle="1" w:styleId="CommentTextChar">
    <w:name w:val="Comment Text Char"/>
    <w:basedOn w:val="DefaultParagraphFont"/>
    <w:link w:val="CommentText"/>
    <w:uiPriority w:val="99"/>
    <w:rsid w:val="00727ED5"/>
    <w:rPr>
      <w:rFonts w:eastAsia="Calibri" w:cs="Times New Roman"/>
    </w:rPr>
  </w:style>
  <w:style w:type="paragraph" w:styleId="CommentSubject">
    <w:name w:val="annotation subject"/>
    <w:basedOn w:val="CommentText"/>
    <w:next w:val="CommentText"/>
    <w:link w:val="CommentSubjectChar"/>
    <w:uiPriority w:val="99"/>
    <w:semiHidden/>
    <w:unhideWhenUsed/>
    <w:rsid w:val="00727ED5"/>
    <w:rPr>
      <w:b/>
      <w:bCs/>
    </w:rPr>
  </w:style>
  <w:style w:type="character" w:customStyle="1" w:styleId="CommentSubjectChar">
    <w:name w:val="Comment Subject Char"/>
    <w:basedOn w:val="CommentTextChar"/>
    <w:link w:val="CommentSubject"/>
    <w:uiPriority w:val="99"/>
    <w:semiHidden/>
    <w:rsid w:val="00727ED5"/>
    <w:rPr>
      <w:rFonts w:eastAsia="Calibri" w:cs="Times New Roman"/>
      <w:b/>
      <w:bCs/>
    </w:rPr>
  </w:style>
  <w:style w:type="character" w:customStyle="1" w:styleId="charsrch-url2">
    <w:name w:val="charsrch-url2"/>
    <w:rsid w:val="00727ED5"/>
  </w:style>
  <w:style w:type="character" w:styleId="PlaceholderText">
    <w:name w:val="Placeholder Text"/>
    <w:uiPriority w:val="99"/>
    <w:semiHidden/>
    <w:rsid w:val="00727ED5"/>
    <w:rPr>
      <w:color w:val="808080"/>
    </w:rPr>
  </w:style>
  <w:style w:type="paragraph" w:styleId="Quote">
    <w:name w:val="Quote"/>
    <w:basedOn w:val="Normal"/>
    <w:link w:val="QuoteChar"/>
    <w:qFormat/>
    <w:rsid w:val="00727ED5"/>
    <w:pPr>
      <w:spacing w:after="240" w:line="240" w:lineRule="auto"/>
      <w:ind w:left="851" w:right="851"/>
      <w:jc w:val="both"/>
    </w:pPr>
    <w:rPr>
      <w:rFonts w:eastAsia="Times New Roman" w:cs="Times New Roman"/>
      <w:sz w:val="24"/>
    </w:rPr>
  </w:style>
  <w:style w:type="character" w:customStyle="1" w:styleId="QuoteChar">
    <w:name w:val="Quote Char"/>
    <w:basedOn w:val="DefaultParagraphFont"/>
    <w:link w:val="Quote"/>
    <w:rsid w:val="00727ED5"/>
    <w:rPr>
      <w:rFonts w:eastAsia="Times New Roman" w:cs="Times New Roman"/>
      <w:sz w:val="24"/>
    </w:rPr>
  </w:style>
  <w:style w:type="character" w:customStyle="1" w:styleId="charapple-converted-space">
    <w:name w:val="charapple-converted-space"/>
    <w:rsid w:val="00727ED5"/>
  </w:style>
  <w:style w:type="paragraph" w:styleId="Revision">
    <w:name w:val="Revision"/>
    <w:hidden/>
    <w:uiPriority w:val="99"/>
    <w:semiHidden/>
    <w:rsid w:val="00727ED5"/>
    <w:rPr>
      <w:rFonts w:eastAsia="Calibri" w:cs="Times New Roman"/>
      <w:sz w:val="22"/>
    </w:rPr>
  </w:style>
  <w:style w:type="paragraph" w:customStyle="1" w:styleId="Issued">
    <w:name w:val="Issued"/>
    <w:basedOn w:val="Body"/>
    <w:rsid w:val="00D24275"/>
    <w:pPr>
      <w:spacing w:before="120"/>
    </w:pPr>
    <w:rPr>
      <w:b/>
      <w:sz w:val="28"/>
    </w:rPr>
  </w:style>
  <w:style w:type="paragraph" w:customStyle="1" w:styleId="Release">
    <w:name w:val="Release"/>
    <w:basedOn w:val="Body"/>
    <w:rsid w:val="00D24275"/>
    <w:rPr>
      <w:b/>
    </w:rPr>
  </w:style>
  <w:style w:type="paragraph" w:customStyle="1" w:styleId="SundryBoxHeadBold">
    <w:name w:val="SundryBoxHeadBold"/>
    <w:aliases w:val="sbhb"/>
    <w:basedOn w:val="BoxHeadBold"/>
    <w:rsid w:val="00C83987"/>
    <w:pPr>
      <w:ind w:left="0"/>
    </w:pPr>
    <w:rPr>
      <w:sz w:val="24"/>
      <w:szCs w:val="24"/>
    </w:rPr>
  </w:style>
  <w:style w:type="paragraph" w:customStyle="1" w:styleId="SundryBoxStep">
    <w:name w:val="SundryBoxStep"/>
    <w:aliases w:val="sbs"/>
    <w:basedOn w:val="BoxStep"/>
    <w:rsid w:val="00C83987"/>
  </w:style>
  <w:style w:type="paragraph" w:customStyle="1" w:styleId="SundryBoxBullet">
    <w:name w:val="SundryBoxBullet"/>
    <w:aliases w:val="sbb"/>
    <w:basedOn w:val="SOBullet"/>
    <w:rsid w:val="00F75BA9"/>
    <w:pPr>
      <w:ind w:left="425"/>
    </w:pPr>
    <w:rPr>
      <w:sz w:val="24"/>
      <w:szCs w:val="24"/>
    </w:rPr>
  </w:style>
  <w:style w:type="character" w:customStyle="1" w:styleId="paragraphChar">
    <w:name w:val="paragraph Char"/>
    <w:aliases w:val="a Char"/>
    <w:basedOn w:val="DefaultParagraphFont"/>
    <w:link w:val="paragraph"/>
    <w:rsid w:val="004D660C"/>
    <w:rPr>
      <w:rFonts w:eastAsia="Times New Roman" w:cs="Times New Roman"/>
      <w:sz w:val="22"/>
      <w:lang w:eastAsia="en-AU"/>
    </w:rPr>
  </w:style>
  <w:style w:type="character" w:customStyle="1" w:styleId="subsectionChar">
    <w:name w:val="subsection Char"/>
    <w:aliases w:val="ss Char"/>
    <w:basedOn w:val="DefaultParagraphFont"/>
    <w:link w:val="subsection"/>
    <w:rsid w:val="004D660C"/>
    <w:rPr>
      <w:rFonts w:eastAsia="Times New Roman" w:cs="Times New Roman"/>
      <w:sz w:val="22"/>
      <w:lang w:eastAsia="en-AU"/>
    </w:rPr>
  </w:style>
  <w:style w:type="paragraph" w:customStyle="1" w:styleId="tableheading0">
    <w:name w:val="tableheading"/>
    <w:basedOn w:val="Normal"/>
    <w:rsid w:val="001E2F20"/>
    <w:pPr>
      <w:spacing w:before="100" w:beforeAutospacing="1" w:after="100" w:afterAutospacing="1" w:line="240" w:lineRule="auto"/>
    </w:pPr>
    <w:rPr>
      <w:rFonts w:eastAsia="Times New Roman" w:cs="Times New Roman"/>
      <w:sz w:val="24"/>
      <w:szCs w:val="24"/>
      <w:lang w:eastAsia="en-AU"/>
    </w:rPr>
  </w:style>
  <w:style w:type="paragraph" w:customStyle="1" w:styleId="tabletext0">
    <w:name w:val="tabletext"/>
    <w:basedOn w:val="Normal"/>
    <w:rsid w:val="001E2F20"/>
    <w:pPr>
      <w:spacing w:before="100" w:beforeAutospacing="1" w:after="100" w:afterAutospacing="1" w:line="240" w:lineRule="auto"/>
    </w:pPr>
    <w:rPr>
      <w:rFonts w:eastAsia="Times New Roman" w:cs="Times New Roman"/>
      <w:sz w:val="24"/>
      <w:szCs w:val="24"/>
      <w:lang w:eastAsia="en-AU"/>
    </w:rPr>
  </w:style>
  <w:style w:type="character" w:styleId="UnresolvedMention">
    <w:name w:val="Unresolved Mention"/>
    <w:basedOn w:val="DefaultParagraphFont"/>
    <w:uiPriority w:val="99"/>
    <w:semiHidden/>
    <w:unhideWhenUsed/>
    <w:rsid w:val="00277385"/>
    <w:rPr>
      <w:color w:val="605E5C"/>
      <w:shd w:val="clear" w:color="auto" w:fill="E1DFDD"/>
    </w:rPr>
  </w:style>
  <w:style w:type="paragraph" w:customStyle="1" w:styleId="paragraphsub0">
    <w:name w:val="paragraphsub"/>
    <w:basedOn w:val="Normal"/>
    <w:rsid w:val="00C5292E"/>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0495">
      <w:bodyDiv w:val="1"/>
      <w:marLeft w:val="0"/>
      <w:marRight w:val="0"/>
      <w:marTop w:val="0"/>
      <w:marBottom w:val="0"/>
      <w:divBdr>
        <w:top w:val="none" w:sz="0" w:space="0" w:color="auto"/>
        <w:left w:val="none" w:sz="0" w:space="0" w:color="auto"/>
        <w:bottom w:val="none" w:sz="0" w:space="0" w:color="auto"/>
        <w:right w:val="none" w:sz="0" w:space="0" w:color="auto"/>
      </w:divBdr>
    </w:div>
    <w:div w:id="141969571">
      <w:bodyDiv w:val="1"/>
      <w:marLeft w:val="0"/>
      <w:marRight w:val="0"/>
      <w:marTop w:val="0"/>
      <w:marBottom w:val="0"/>
      <w:divBdr>
        <w:top w:val="none" w:sz="0" w:space="0" w:color="auto"/>
        <w:left w:val="none" w:sz="0" w:space="0" w:color="auto"/>
        <w:bottom w:val="none" w:sz="0" w:space="0" w:color="auto"/>
        <w:right w:val="none" w:sz="0" w:space="0" w:color="auto"/>
      </w:divBdr>
    </w:div>
    <w:div w:id="146823983">
      <w:bodyDiv w:val="1"/>
      <w:marLeft w:val="0"/>
      <w:marRight w:val="0"/>
      <w:marTop w:val="0"/>
      <w:marBottom w:val="0"/>
      <w:divBdr>
        <w:top w:val="none" w:sz="0" w:space="0" w:color="auto"/>
        <w:left w:val="none" w:sz="0" w:space="0" w:color="auto"/>
        <w:bottom w:val="none" w:sz="0" w:space="0" w:color="auto"/>
        <w:right w:val="none" w:sz="0" w:space="0" w:color="auto"/>
      </w:divBdr>
    </w:div>
    <w:div w:id="236980400">
      <w:bodyDiv w:val="1"/>
      <w:marLeft w:val="0"/>
      <w:marRight w:val="0"/>
      <w:marTop w:val="0"/>
      <w:marBottom w:val="0"/>
      <w:divBdr>
        <w:top w:val="none" w:sz="0" w:space="0" w:color="auto"/>
        <w:left w:val="none" w:sz="0" w:space="0" w:color="auto"/>
        <w:bottom w:val="none" w:sz="0" w:space="0" w:color="auto"/>
        <w:right w:val="none" w:sz="0" w:space="0" w:color="auto"/>
      </w:divBdr>
    </w:div>
    <w:div w:id="251088820">
      <w:bodyDiv w:val="1"/>
      <w:marLeft w:val="0"/>
      <w:marRight w:val="0"/>
      <w:marTop w:val="0"/>
      <w:marBottom w:val="0"/>
      <w:divBdr>
        <w:top w:val="none" w:sz="0" w:space="0" w:color="auto"/>
        <w:left w:val="none" w:sz="0" w:space="0" w:color="auto"/>
        <w:bottom w:val="none" w:sz="0" w:space="0" w:color="auto"/>
        <w:right w:val="none" w:sz="0" w:space="0" w:color="auto"/>
      </w:divBdr>
    </w:div>
    <w:div w:id="292978684">
      <w:bodyDiv w:val="1"/>
      <w:marLeft w:val="0"/>
      <w:marRight w:val="0"/>
      <w:marTop w:val="0"/>
      <w:marBottom w:val="0"/>
      <w:divBdr>
        <w:top w:val="none" w:sz="0" w:space="0" w:color="auto"/>
        <w:left w:val="none" w:sz="0" w:space="0" w:color="auto"/>
        <w:bottom w:val="none" w:sz="0" w:space="0" w:color="auto"/>
        <w:right w:val="none" w:sz="0" w:space="0" w:color="auto"/>
      </w:divBdr>
    </w:div>
    <w:div w:id="429087204">
      <w:bodyDiv w:val="1"/>
      <w:marLeft w:val="0"/>
      <w:marRight w:val="0"/>
      <w:marTop w:val="0"/>
      <w:marBottom w:val="0"/>
      <w:divBdr>
        <w:top w:val="none" w:sz="0" w:space="0" w:color="auto"/>
        <w:left w:val="none" w:sz="0" w:space="0" w:color="auto"/>
        <w:bottom w:val="none" w:sz="0" w:space="0" w:color="auto"/>
        <w:right w:val="none" w:sz="0" w:space="0" w:color="auto"/>
      </w:divBdr>
    </w:div>
    <w:div w:id="562452832">
      <w:bodyDiv w:val="1"/>
      <w:marLeft w:val="0"/>
      <w:marRight w:val="0"/>
      <w:marTop w:val="0"/>
      <w:marBottom w:val="0"/>
      <w:divBdr>
        <w:top w:val="none" w:sz="0" w:space="0" w:color="auto"/>
        <w:left w:val="none" w:sz="0" w:space="0" w:color="auto"/>
        <w:bottom w:val="none" w:sz="0" w:space="0" w:color="auto"/>
        <w:right w:val="none" w:sz="0" w:space="0" w:color="auto"/>
      </w:divBdr>
    </w:div>
    <w:div w:id="589511560">
      <w:bodyDiv w:val="1"/>
      <w:marLeft w:val="0"/>
      <w:marRight w:val="0"/>
      <w:marTop w:val="0"/>
      <w:marBottom w:val="0"/>
      <w:divBdr>
        <w:top w:val="none" w:sz="0" w:space="0" w:color="auto"/>
        <w:left w:val="none" w:sz="0" w:space="0" w:color="auto"/>
        <w:bottom w:val="none" w:sz="0" w:space="0" w:color="auto"/>
        <w:right w:val="none" w:sz="0" w:space="0" w:color="auto"/>
      </w:divBdr>
    </w:div>
    <w:div w:id="604384689">
      <w:bodyDiv w:val="1"/>
      <w:marLeft w:val="0"/>
      <w:marRight w:val="0"/>
      <w:marTop w:val="0"/>
      <w:marBottom w:val="0"/>
      <w:divBdr>
        <w:top w:val="none" w:sz="0" w:space="0" w:color="auto"/>
        <w:left w:val="none" w:sz="0" w:space="0" w:color="auto"/>
        <w:bottom w:val="none" w:sz="0" w:space="0" w:color="auto"/>
        <w:right w:val="none" w:sz="0" w:space="0" w:color="auto"/>
      </w:divBdr>
      <w:divsChild>
        <w:div w:id="382751954">
          <w:marLeft w:val="0"/>
          <w:marRight w:val="0"/>
          <w:marTop w:val="0"/>
          <w:marBottom w:val="0"/>
          <w:divBdr>
            <w:top w:val="none" w:sz="0" w:space="0" w:color="auto"/>
            <w:left w:val="none" w:sz="0" w:space="0" w:color="auto"/>
            <w:bottom w:val="none" w:sz="0" w:space="0" w:color="auto"/>
            <w:right w:val="none" w:sz="0" w:space="0" w:color="auto"/>
          </w:divBdr>
          <w:divsChild>
            <w:div w:id="270628633">
              <w:marLeft w:val="0"/>
              <w:marRight w:val="0"/>
              <w:marTop w:val="0"/>
              <w:marBottom w:val="0"/>
              <w:divBdr>
                <w:top w:val="none" w:sz="0" w:space="0" w:color="auto"/>
                <w:left w:val="none" w:sz="0" w:space="0" w:color="auto"/>
                <w:bottom w:val="none" w:sz="0" w:space="0" w:color="auto"/>
                <w:right w:val="none" w:sz="0" w:space="0" w:color="auto"/>
              </w:divBdr>
              <w:divsChild>
                <w:div w:id="1342315235">
                  <w:marLeft w:val="0"/>
                  <w:marRight w:val="0"/>
                  <w:marTop w:val="0"/>
                  <w:marBottom w:val="0"/>
                  <w:divBdr>
                    <w:top w:val="none" w:sz="0" w:space="0" w:color="auto"/>
                    <w:left w:val="none" w:sz="0" w:space="0" w:color="auto"/>
                    <w:bottom w:val="none" w:sz="0" w:space="0" w:color="auto"/>
                    <w:right w:val="none" w:sz="0" w:space="0" w:color="auto"/>
                  </w:divBdr>
                  <w:divsChild>
                    <w:div w:id="1242643832">
                      <w:marLeft w:val="0"/>
                      <w:marRight w:val="0"/>
                      <w:marTop w:val="0"/>
                      <w:marBottom w:val="0"/>
                      <w:divBdr>
                        <w:top w:val="none" w:sz="0" w:space="0" w:color="auto"/>
                        <w:left w:val="none" w:sz="0" w:space="0" w:color="auto"/>
                        <w:bottom w:val="none" w:sz="0" w:space="0" w:color="auto"/>
                        <w:right w:val="none" w:sz="0" w:space="0" w:color="auto"/>
                      </w:divBdr>
                      <w:divsChild>
                        <w:div w:id="358895527">
                          <w:marLeft w:val="0"/>
                          <w:marRight w:val="0"/>
                          <w:marTop w:val="0"/>
                          <w:marBottom w:val="0"/>
                          <w:divBdr>
                            <w:top w:val="none" w:sz="0" w:space="0" w:color="auto"/>
                            <w:left w:val="none" w:sz="0" w:space="0" w:color="auto"/>
                            <w:bottom w:val="none" w:sz="0" w:space="0" w:color="auto"/>
                            <w:right w:val="none" w:sz="0" w:space="0" w:color="auto"/>
                          </w:divBdr>
                          <w:divsChild>
                            <w:div w:id="513761024">
                              <w:marLeft w:val="0"/>
                              <w:marRight w:val="0"/>
                              <w:marTop w:val="0"/>
                              <w:marBottom w:val="0"/>
                              <w:divBdr>
                                <w:top w:val="none" w:sz="0" w:space="0" w:color="auto"/>
                                <w:left w:val="none" w:sz="0" w:space="0" w:color="auto"/>
                                <w:bottom w:val="none" w:sz="0" w:space="0" w:color="auto"/>
                                <w:right w:val="none" w:sz="0" w:space="0" w:color="auto"/>
                              </w:divBdr>
                              <w:divsChild>
                                <w:div w:id="976254518">
                                  <w:marLeft w:val="0"/>
                                  <w:marRight w:val="0"/>
                                  <w:marTop w:val="0"/>
                                  <w:marBottom w:val="0"/>
                                  <w:divBdr>
                                    <w:top w:val="none" w:sz="0" w:space="0" w:color="auto"/>
                                    <w:left w:val="none" w:sz="0" w:space="0" w:color="auto"/>
                                    <w:bottom w:val="none" w:sz="0" w:space="0" w:color="auto"/>
                                    <w:right w:val="none" w:sz="0" w:space="0" w:color="auto"/>
                                  </w:divBdr>
                                  <w:divsChild>
                                    <w:div w:id="1618288767">
                                      <w:marLeft w:val="0"/>
                                      <w:marRight w:val="0"/>
                                      <w:marTop w:val="0"/>
                                      <w:marBottom w:val="0"/>
                                      <w:divBdr>
                                        <w:top w:val="none" w:sz="0" w:space="0" w:color="auto"/>
                                        <w:left w:val="none" w:sz="0" w:space="0" w:color="auto"/>
                                        <w:bottom w:val="none" w:sz="0" w:space="0" w:color="auto"/>
                                        <w:right w:val="none" w:sz="0" w:space="0" w:color="auto"/>
                                      </w:divBdr>
                                      <w:divsChild>
                                        <w:div w:id="1558783835">
                                          <w:marLeft w:val="0"/>
                                          <w:marRight w:val="0"/>
                                          <w:marTop w:val="0"/>
                                          <w:marBottom w:val="0"/>
                                          <w:divBdr>
                                            <w:top w:val="none" w:sz="0" w:space="0" w:color="auto"/>
                                            <w:left w:val="none" w:sz="0" w:space="0" w:color="auto"/>
                                            <w:bottom w:val="none" w:sz="0" w:space="0" w:color="auto"/>
                                            <w:right w:val="none" w:sz="0" w:space="0" w:color="auto"/>
                                          </w:divBdr>
                                          <w:divsChild>
                                            <w:div w:id="178503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563466">
      <w:bodyDiv w:val="1"/>
      <w:marLeft w:val="0"/>
      <w:marRight w:val="0"/>
      <w:marTop w:val="0"/>
      <w:marBottom w:val="0"/>
      <w:divBdr>
        <w:top w:val="none" w:sz="0" w:space="0" w:color="auto"/>
        <w:left w:val="none" w:sz="0" w:space="0" w:color="auto"/>
        <w:bottom w:val="none" w:sz="0" w:space="0" w:color="auto"/>
        <w:right w:val="none" w:sz="0" w:space="0" w:color="auto"/>
      </w:divBdr>
    </w:div>
    <w:div w:id="687605385">
      <w:bodyDiv w:val="1"/>
      <w:marLeft w:val="0"/>
      <w:marRight w:val="0"/>
      <w:marTop w:val="0"/>
      <w:marBottom w:val="0"/>
      <w:divBdr>
        <w:top w:val="none" w:sz="0" w:space="0" w:color="auto"/>
        <w:left w:val="none" w:sz="0" w:space="0" w:color="auto"/>
        <w:bottom w:val="none" w:sz="0" w:space="0" w:color="auto"/>
        <w:right w:val="none" w:sz="0" w:space="0" w:color="auto"/>
      </w:divBdr>
    </w:div>
    <w:div w:id="705763261">
      <w:bodyDiv w:val="1"/>
      <w:marLeft w:val="0"/>
      <w:marRight w:val="0"/>
      <w:marTop w:val="0"/>
      <w:marBottom w:val="0"/>
      <w:divBdr>
        <w:top w:val="none" w:sz="0" w:space="0" w:color="auto"/>
        <w:left w:val="none" w:sz="0" w:space="0" w:color="auto"/>
        <w:bottom w:val="none" w:sz="0" w:space="0" w:color="auto"/>
        <w:right w:val="none" w:sz="0" w:space="0" w:color="auto"/>
      </w:divBdr>
    </w:div>
    <w:div w:id="714619812">
      <w:bodyDiv w:val="1"/>
      <w:marLeft w:val="0"/>
      <w:marRight w:val="0"/>
      <w:marTop w:val="0"/>
      <w:marBottom w:val="0"/>
      <w:divBdr>
        <w:top w:val="none" w:sz="0" w:space="0" w:color="auto"/>
        <w:left w:val="none" w:sz="0" w:space="0" w:color="auto"/>
        <w:bottom w:val="none" w:sz="0" w:space="0" w:color="auto"/>
        <w:right w:val="none" w:sz="0" w:space="0" w:color="auto"/>
      </w:divBdr>
    </w:div>
    <w:div w:id="737938301">
      <w:bodyDiv w:val="1"/>
      <w:marLeft w:val="0"/>
      <w:marRight w:val="0"/>
      <w:marTop w:val="0"/>
      <w:marBottom w:val="0"/>
      <w:divBdr>
        <w:top w:val="none" w:sz="0" w:space="0" w:color="auto"/>
        <w:left w:val="none" w:sz="0" w:space="0" w:color="auto"/>
        <w:bottom w:val="none" w:sz="0" w:space="0" w:color="auto"/>
        <w:right w:val="none" w:sz="0" w:space="0" w:color="auto"/>
      </w:divBdr>
    </w:div>
    <w:div w:id="887179706">
      <w:bodyDiv w:val="1"/>
      <w:marLeft w:val="0"/>
      <w:marRight w:val="0"/>
      <w:marTop w:val="0"/>
      <w:marBottom w:val="0"/>
      <w:divBdr>
        <w:top w:val="none" w:sz="0" w:space="0" w:color="auto"/>
        <w:left w:val="none" w:sz="0" w:space="0" w:color="auto"/>
        <w:bottom w:val="none" w:sz="0" w:space="0" w:color="auto"/>
        <w:right w:val="none" w:sz="0" w:space="0" w:color="auto"/>
      </w:divBdr>
    </w:div>
    <w:div w:id="994455290">
      <w:bodyDiv w:val="1"/>
      <w:marLeft w:val="0"/>
      <w:marRight w:val="0"/>
      <w:marTop w:val="0"/>
      <w:marBottom w:val="0"/>
      <w:divBdr>
        <w:top w:val="none" w:sz="0" w:space="0" w:color="auto"/>
        <w:left w:val="none" w:sz="0" w:space="0" w:color="auto"/>
        <w:bottom w:val="none" w:sz="0" w:space="0" w:color="auto"/>
        <w:right w:val="none" w:sz="0" w:space="0" w:color="auto"/>
      </w:divBdr>
    </w:div>
    <w:div w:id="1003121929">
      <w:bodyDiv w:val="1"/>
      <w:marLeft w:val="0"/>
      <w:marRight w:val="0"/>
      <w:marTop w:val="0"/>
      <w:marBottom w:val="0"/>
      <w:divBdr>
        <w:top w:val="none" w:sz="0" w:space="0" w:color="auto"/>
        <w:left w:val="none" w:sz="0" w:space="0" w:color="auto"/>
        <w:bottom w:val="none" w:sz="0" w:space="0" w:color="auto"/>
        <w:right w:val="none" w:sz="0" w:space="0" w:color="auto"/>
      </w:divBdr>
    </w:div>
    <w:div w:id="1005329618">
      <w:bodyDiv w:val="1"/>
      <w:marLeft w:val="0"/>
      <w:marRight w:val="0"/>
      <w:marTop w:val="0"/>
      <w:marBottom w:val="0"/>
      <w:divBdr>
        <w:top w:val="none" w:sz="0" w:space="0" w:color="auto"/>
        <w:left w:val="none" w:sz="0" w:space="0" w:color="auto"/>
        <w:bottom w:val="none" w:sz="0" w:space="0" w:color="auto"/>
        <w:right w:val="none" w:sz="0" w:space="0" w:color="auto"/>
      </w:divBdr>
    </w:div>
    <w:div w:id="1078288877">
      <w:bodyDiv w:val="1"/>
      <w:marLeft w:val="0"/>
      <w:marRight w:val="0"/>
      <w:marTop w:val="0"/>
      <w:marBottom w:val="0"/>
      <w:divBdr>
        <w:top w:val="none" w:sz="0" w:space="0" w:color="auto"/>
        <w:left w:val="none" w:sz="0" w:space="0" w:color="auto"/>
        <w:bottom w:val="none" w:sz="0" w:space="0" w:color="auto"/>
        <w:right w:val="none" w:sz="0" w:space="0" w:color="auto"/>
      </w:divBdr>
    </w:div>
    <w:div w:id="1195729281">
      <w:bodyDiv w:val="1"/>
      <w:marLeft w:val="0"/>
      <w:marRight w:val="0"/>
      <w:marTop w:val="0"/>
      <w:marBottom w:val="0"/>
      <w:divBdr>
        <w:top w:val="none" w:sz="0" w:space="0" w:color="auto"/>
        <w:left w:val="none" w:sz="0" w:space="0" w:color="auto"/>
        <w:bottom w:val="none" w:sz="0" w:space="0" w:color="auto"/>
        <w:right w:val="none" w:sz="0" w:space="0" w:color="auto"/>
      </w:divBdr>
    </w:div>
    <w:div w:id="1402868485">
      <w:bodyDiv w:val="1"/>
      <w:marLeft w:val="0"/>
      <w:marRight w:val="0"/>
      <w:marTop w:val="0"/>
      <w:marBottom w:val="0"/>
      <w:divBdr>
        <w:top w:val="none" w:sz="0" w:space="0" w:color="auto"/>
        <w:left w:val="none" w:sz="0" w:space="0" w:color="auto"/>
        <w:bottom w:val="none" w:sz="0" w:space="0" w:color="auto"/>
        <w:right w:val="none" w:sz="0" w:space="0" w:color="auto"/>
      </w:divBdr>
    </w:div>
    <w:div w:id="1452943501">
      <w:bodyDiv w:val="1"/>
      <w:marLeft w:val="0"/>
      <w:marRight w:val="0"/>
      <w:marTop w:val="0"/>
      <w:marBottom w:val="0"/>
      <w:divBdr>
        <w:top w:val="none" w:sz="0" w:space="0" w:color="auto"/>
        <w:left w:val="none" w:sz="0" w:space="0" w:color="auto"/>
        <w:bottom w:val="none" w:sz="0" w:space="0" w:color="auto"/>
        <w:right w:val="none" w:sz="0" w:space="0" w:color="auto"/>
      </w:divBdr>
    </w:div>
    <w:div w:id="1482651730">
      <w:bodyDiv w:val="1"/>
      <w:marLeft w:val="0"/>
      <w:marRight w:val="0"/>
      <w:marTop w:val="0"/>
      <w:marBottom w:val="0"/>
      <w:divBdr>
        <w:top w:val="none" w:sz="0" w:space="0" w:color="auto"/>
        <w:left w:val="none" w:sz="0" w:space="0" w:color="auto"/>
        <w:bottom w:val="none" w:sz="0" w:space="0" w:color="auto"/>
        <w:right w:val="none" w:sz="0" w:space="0" w:color="auto"/>
      </w:divBdr>
    </w:div>
    <w:div w:id="1483545354">
      <w:bodyDiv w:val="1"/>
      <w:marLeft w:val="0"/>
      <w:marRight w:val="0"/>
      <w:marTop w:val="0"/>
      <w:marBottom w:val="0"/>
      <w:divBdr>
        <w:top w:val="none" w:sz="0" w:space="0" w:color="auto"/>
        <w:left w:val="none" w:sz="0" w:space="0" w:color="auto"/>
        <w:bottom w:val="none" w:sz="0" w:space="0" w:color="auto"/>
        <w:right w:val="none" w:sz="0" w:space="0" w:color="auto"/>
      </w:divBdr>
    </w:div>
    <w:div w:id="1652171907">
      <w:bodyDiv w:val="1"/>
      <w:marLeft w:val="0"/>
      <w:marRight w:val="0"/>
      <w:marTop w:val="0"/>
      <w:marBottom w:val="0"/>
      <w:divBdr>
        <w:top w:val="none" w:sz="0" w:space="0" w:color="auto"/>
        <w:left w:val="none" w:sz="0" w:space="0" w:color="auto"/>
        <w:bottom w:val="none" w:sz="0" w:space="0" w:color="auto"/>
        <w:right w:val="none" w:sz="0" w:space="0" w:color="auto"/>
      </w:divBdr>
    </w:div>
    <w:div w:id="1680277986">
      <w:bodyDiv w:val="1"/>
      <w:marLeft w:val="0"/>
      <w:marRight w:val="0"/>
      <w:marTop w:val="0"/>
      <w:marBottom w:val="0"/>
      <w:divBdr>
        <w:top w:val="none" w:sz="0" w:space="0" w:color="auto"/>
        <w:left w:val="none" w:sz="0" w:space="0" w:color="auto"/>
        <w:bottom w:val="none" w:sz="0" w:space="0" w:color="auto"/>
        <w:right w:val="none" w:sz="0" w:space="0" w:color="auto"/>
      </w:divBdr>
    </w:div>
    <w:div w:id="1686861947">
      <w:bodyDiv w:val="1"/>
      <w:marLeft w:val="0"/>
      <w:marRight w:val="0"/>
      <w:marTop w:val="0"/>
      <w:marBottom w:val="0"/>
      <w:divBdr>
        <w:top w:val="none" w:sz="0" w:space="0" w:color="auto"/>
        <w:left w:val="none" w:sz="0" w:space="0" w:color="auto"/>
        <w:bottom w:val="none" w:sz="0" w:space="0" w:color="auto"/>
        <w:right w:val="none" w:sz="0" w:space="0" w:color="auto"/>
      </w:divBdr>
    </w:div>
    <w:div w:id="1742172700">
      <w:bodyDiv w:val="1"/>
      <w:marLeft w:val="0"/>
      <w:marRight w:val="0"/>
      <w:marTop w:val="0"/>
      <w:marBottom w:val="0"/>
      <w:divBdr>
        <w:top w:val="none" w:sz="0" w:space="0" w:color="auto"/>
        <w:left w:val="none" w:sz="0" w:space="0" w:color="auto"/>
        <w:bottom w:val="none" w:sz="0" w:space="0" w:color="auto"/>
        <w:right w:val="none" w:sz="0" w:space="0" w:color="auto"/>
      </w:divBdr>
      <w:divsChild>
        <w:div w:id="502009953">
          <w:marLeft w:val="0"/>
          <w:marRight w:val="0"/>
          <w:marTop w:val="0"/>
          <w:marBottom w:val="0"/>
          <w:divBdr>
            <w:top w:val="none" w:sz="0" w:space="0" w:color="auto"/>
            <w:left w:val="none" w:sz="0" w:space="0" w:color="auto"/>
            <w:bottom w:val="none" w:sz="0" w:space="0" w:color="auto"/>
            <w:right w:val="none" w:sz="0" w:space="0" w:color="auto"/>
          </w:divBdr>
          <w:divsChild>
            <w:div w:id="242036546">
              <w:marLeft w:val="0"/>
              <w:marRight w:val="0"/>
              <w:marTop w:val="0"/>
              <w:marBottom w:val="0"/>
              <w:divBdr>
                <w:top w:val="none" w:sz="0" w:space="0" w:color="auto"/>
                <w:left w:val="none" w:sz="0" w:space="0" w:color="auto"/>
                <w:bottom w:val="none" w:sz="0" w:space="0" w:color="auto"/>
                <w:right w:val="none" w:sz="0" w:space="0" w:color="auto"/>
              </w:divBdr>
              <w:divsChild>
                <w:div w:id="1564639074">
                  <w:marLeft w:val="0"/>
                  <w:marRight w:val="0"/>
                  <w:marTop w:val="0"/>
                  <w:marBottom w:val="0"/>
                  <w:divBdr>
                    <w:top w:val="none" w:sz="0" w:space="0" w:color="auto"/>
                    <w:left w:val="none" w:sz="0" w:space="0" w:color="auto"/>
                    <w:bottom w:val="none" w:sz="0" w:space="0" w:color="auto"/>
                    <w:right w:val="none" w:sz="0" w:space="0" w:color="auto"/>
                  </w:divBdr>
                  <w:divsChild>
                    <w:div w:id="412825386">
                      <w:marLeft w:val="0"/>
                      <w:marRight w:val="0"/>
                      <w:marTop w:val="0"/>
                      <w:marBottom w:val="0"/>
                      <w:divBdr>
                        <w:top w:val="none" w:sz="0" w:space="0" w:color="auto"/>
                        <w:left w:val="none" w:sz="0" w:space="0" w:color="auto"/>
                        <w:bottom w:val="none" w:sz="0" w:space="0" w:color="auto"/>
                        <w:right w:val="none" w:sz="0" w:space="0" w:color="auto"/>
                      </w:divBdr>
                      <w:divsChild>
                        <w:div w:id="809054842">
                          <w:marLeft w:val="0"/>
                          <w:marRight w:val="0"/>
                          <w:marTop w:val="0"/>
                          <w:marBottom w:val="0"/>
                          <w:divBdr>
                            <w:top w:val="none" w:sz="0" w:space="0" w:color="auto"/>
                            <w:left w:val="none" w:sz="0" w:space="0" w:color="auto"/>
                            <w:bottom w:val="none" w:sz="0" w:space="0" w:color="auto"/>
                            <w:right w:val="none" w:sz="0" w:space="0" w:color="auto"/>
                          </w:divBdr>
                          <w:divsChild>
                            <w:div w:id="688138090">
                              <w:marLeft w:val="0"/>
                              <w:marRight w:val="0"/>
                              <w:marTop w:val="0"/>
                              <w:marBottom w:val="0"/>
                              <w:divBdr>
                                <w:top w:val="none" w:sz="0" w:space="0" w:color="auto"/>
                                <w:left w:val="none" w:sz="0" w:space="0" w:color="auto"/>
                                <w:bottom w:val="none" w:sz="0" w:space="0" w:color="auto"/>
                                <w:right w:val="none" w:sz="0" w:space="0" w:color="auto"/>
                              </w:divBdr>
                              <w:divsChild>
                                <w:div w:id="898830418">
                                  <w:marLeft w:val="0"/>
                                  <w:marRight w:val="0"/>
                                  <w:marTop w:val="0"/>
                                  <w:marBottom w:val="0"/>
                                  <w:divBdr>
                                    <w:top w:val="none" w:sz="0" w:space="0" w:color="auto"/>
                                    <w:left w:val="none" w:sz="0" w:space="0" w:color="auto"/>
                                    <w:bottom w:val="none" w:sz="0" w:space="0" w:color="auto"/>
                                    <w:right w:val="none" w:sz="0" w:space="0" w:color="auto"/>
                                  </w:divBdr>
                                  <w:divsChild>
                                    <w:div w:id="410809537">
                                      <w:marLeft w:val="0"/>
                                      <w:marRight w:val="0"/>
                                      <w:marTop w:val="0"/>
                                      <w:marBottom w:val="0"/>
                                      <w:divBdr>
                                        <w:top w:val="none" w:sz="0" w:space="0" w:color="auto"/>
                                        <w:left w:val="none" w:sz="0" w:space="0" w:color="auto"/>
                                        <w:bottom w:val="none" w:sz="0" w:space="0" w:color="auto"/>
                                        <w:right w:val="none" w:sz="0" w:space="0" w:color="auto"/>
                                      </w:divBdr>
                                      <w:divsChild>
                                        <w:div w:id="127087190">
                                          <w:marLeft w:val="0"/>
                                          <w:marRight w:val="0"/>
                                          <w:marTop w:val="0"/>
                                          <w:marBottom w:val="0"/>
                                          <w:divBdr>
                                            <w:top w:val="none" w:sz="0" w:space="0" w:color="auto"/>
                                            <w:left w:val="none" w:sz="0" w:space="0" w:color="auto"/>
                                            <w:bottom w:val="none" w:sz="0" w:space="0" w:color="auto"/>
                                            <w:right w:val="none" w:sz="0" w:space="0" w:color="auto"/>
                                          </w:divBdr>
                                          <w:divsChild>
                                            <w:div w:id="723673649">
                                              <w:marLeft w:val="0"/>
                                              <w:marRight w:val="0"/>
                                              <w:marTop w:val="0"/>
                                              <w:marBottom w:val="0"/>
                                              <w:divBdr>
                                                <w:top w:val="none" w:sz="0" w:space="0" w:color="auto"/>
                                                <w:left w:val="none" w:sz="0" w:space="0" w:color="auto"/>
                                                <w:bottom w:val="none" w:sz="0" w:space="0" w:color="auto"/>
                                                <w:right w:val="none" w:sz="0" w:space="0" w:color="auto"/>
                                              </w:divBdr>
                                              <w:divsChild>
                                                <w:div w:id="1081827372">
                                                  <w:marLeft w:val="0"/>
                                                  <w:marRight w:val="0"/>
                                                  <w:marTop w:val="0"/>
                                                  <w:marBottom w:val="0"/>
                                                  <w:divBdr>
                                                    <w:top w:val="none" w:sz="0" w:space="0" w:color="auto"/>
                                                    <w:left w:val="none" w:sz="0" w:space="0" w:color="auto"/>
                                                    <w:bottom w:val="none" w:sz="0" w:space="0" w:color="auto"/>
                                                    <w:right w:val="none" w:sz="0" w:space="0" w:color="auto"/>
                                                  </w:divBdr>
                                                  <w:divsChild>
                                                    <w:div w:id="1262836063">
                                                      <w:marLeft w:val="0"/>
                                                      <w:marRight w:val="0"/>
                                                      <w:marTop w:val="0"/>
                                                      <w:marBottom w:val="0"/>
                                                      <w:divBdr>
                                                        <w:top w:val="none" w:sz="0" w:space="0" w:color="auto"/>
                                                        <w:left w:val="none" w:sz="0" w:space="0" w:color="auto"/>
                                                        <w:bottom w:val="none" w:sz="0" w:space="0" w:color="auto"/>
                                                        <w:right w:val="none" w:sz="0" w:space="0" w:color="auto"/>
                                                      </w:divBdr>
                                                      <w:divsChild>
                                                        <w:div w:id="7243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664416">
      <w:bodyDiv w:val="1"/>
      <w:marLeft w:val="0"/>
      <w:marRight w:val="0"/>
      <w:marTop w:val="0"/>
      <w:marBottom w:val="0"/>
      <w:divBdr>
        <w:top w:val="none" w:sz="0" w:space="0" w:color="auto"/>
        <w:left w:val="none" w:sz="0" w:space="0" w:color="auto"/>
        <w:bottom w:val="none" w:sz="0" w:space="0" w:color="auto"/>
        <w:right w:val="none" w:sz="0" w:space="0" w:color="auto"/>
      </w:divBdr>
    </w:div>
    <w:div w:id="1845707601">
      <w:bodyDiv w:val="1"/>
      <w:marLeft w:val="0"/>
      <w:marRight w:val="0"/>
      <w:marTop w:val="0"/>
      <w:marBottom w:val="0"/>
      <w:divBdr>
        <w:top w:val="none" w:sz="0" w:space="0" w:color="auto"/>
        <w:left w:val="none" w:sz="0" w:space="0" w:color="auto"/>
        <w:bottom w:val="none" w:sz="0" w:space="0" w:color="auto"/>
        <w:right w:val="none" w:sz="0" w:space="0" w:color="auto"/>
      </w:divBdr>
    </w:div>
    <w:div w:id="1912032978">
      <w:bodyDiv w:val="1"/>
      <w:marLeft w:val="0"/>
      <w:marRight w:val="0"/>
      <w:marTop w:val="0"/>
      <w:marBottom w:val="0"/>
      <w:divBdr>
        <w:top w:val="none" w:sz="0" w:space="0" w:color="auto"/>
        <w:left w:val="none" w:sz="0" w:space="0" w:color="auto"/>
        <w:bottom w:val="none" w:sz="0" w:space="0" w:color="auto"/>
        <w:right w:val="none" w:sz="0" w:space="0" w:color="auto"/>
      </w:divBdr>
    </w:div>
    <w:div w:id="1919824679">
      <w:bodyDiv w:val="1"/>
      <w:marLeft w:val="0"/>
      <w:marRight w:val="0"/>
      <w:marTop w:val="0"/>
      <w:marBottom w:val="0"/>
      <w:divBdr>
        <w:top w:val="none" w:sz="0" w:space="0" w:color="auto"/>
        <w:left w:val="none" w:sz="0" w:space="0" w:color="auto"/>
        <w:bottom w:val="none" w:sz="0" w:space="0" w:color="auto"/>
        <w:right w:val="none" w:sz="0" w:space="0" w:color="auto"/>
      </w:divBdr>
    </w:div>
    <w:div w:id="2008091239">
      <w:bodyDiv w:val="1"/>
      <w:marLeft w:val="0"/>
      <w:marRight w:val="0"/>
      <w:marTop w:val="0"/>
      <w:marBottom w:val="0"/>
      <w:divBdr>
        <w:top w:val="none" w:sz="0" w:space="0" w:color="auto"/>
        <w:left w:val="none" w:sz="0" w:space="0" w:color="auto"/>
        <w:bottom w:val="none" w:sz="0" w:space="0" w:color="auto"/>
        <w:right w:val="none" w:sz="0" w:space="0" w:color="auto"/>
      </w:divBdr>
    </w:div>
    <w:div w:id="2034265818">
      <w:bodyDiv w:val="1"/>
      <w:marLeft w:val="0"/>
      <w:marRight w:val="0"/>
      <w:marTop w:val="0"/>
      <w:marBottom w:val="0"/>
      <w:divBdr>
        <w:top w:val="none" w:sz="0" w:space="0" w:color="auto"/>
        <w:left w:val="none" w:sz="0" w:space="0" w:color="auto"/>
        <w:bottom w:val="none" w:sz="0" w:space="0" w:color="auto"/>
        <w:right w:val="none" w:sz="0" w:space="0" w:color="auto"/>
      </w:divBdr>
    </w:div>
    <w:div w:id="212114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F2015L01475/latest/text" TargetMode="External"/><Relationship Id="rId671" Type="http://schemas.openxmlformats.org/officeDocument/2006/relationships/hyperlink" Target="https://www.legislation.gov.au/latest/C2016C00186" TargetMode="External"/><Relationship Id="rId21" Type="http://schemas.openxmlformats.org/officeDocument/2006/relationships/footer" Target="footer2.xml"/><Relationship Id="rId324" Type="http://schemas.openxmlformats.org/officeDocument/2006/relationships/image" Target="media/image12.png"/><Relationship Id="rId531" Type="http://schemas.openxmlformats.org/officeDocument/2006/relationships/hyperlink" Target="http://www.comlaw.gov.au/Current/C2013C00032" TargetMode="External"/><Relationship Id="rId629" Type="http://schemas.openxmlformats.org/officeDocument/2006/relationships/hyperlink" Target="https://lodge.legislation.gov.au" TargetMode="External"/><Relationship Id="rId170" Type="http://schemas.openxmlformats.org/officeDocument/2006/relationships/hyperlink" Target="https://www.legislation.gov.au/C2004A01224/" TargetMode="External"/><Relationship Id="rId268" Type="http://schemas.openxmlformats.org/officeDocument/2006/relationships/hyperlink" Target="https://www.legislation.gov.au/C2004A01224/" TargetMode="External"/><Relationship Id="rId475" Type="http://schemas.openxmlformats.org/officeDocument/2006/relationships/hyperlink" Target="https://www.legislation.gov.au/C2004A01224/latest/text" TargetMode="External"/><Relationship Id="rId682" Type="http://schemas.openxmlformats.org/officeDocument/2006/relationships/hyperlink" Target="https://www.legislation.gov.au/F2026L00129/latest/text" TargetMode="External"/><Relationship Id="rId32" Type="http://schemas.openxmlformats.org/officeDocument/2006/relationships/hyperlink" Target="https://www.legislation.gov.au/C1901A00002/" TargetMode="External"/><Relationship Id="rId128" Type="http://schemas.openxmlformats.org/officeDocument/2006/relationships/hyperlink" Target="https://www.opc.gov.au/" TargetMode="External"/><Relationship Id="rId335" Type="http://schemas.openxmlformats.org/officeDocument/2006/relationships/header" Target="header5.xml"/><Relationship Id="rId542" Type="http://schemas.openxmlformats.org/officeDocument/2006/relationships/hyperlink" Target="https://www.legislation.gov.au/C2004A01224/" TargetMode="External"/><Relationship Id="rId181" Type="http://schemas.openxmlformats.org/officeDocument/2006/relationships/hyperlink" Target="https://www.legislation.gov.au/C1901A00002/latest/text" TargetMode="External"/><Relationship Id="rId402" Type="http://schemas.openxmlformats.org/officeDocument/2006/relationships/hyperlink" Target="https://www.legislation.gov.au/C2004A01224/" TargetMode="External"/><Relationship Id="rId279" Type="http://schemas.openxmlformats.org/officeDocument/2006/relationships/hyperlink" Target="https://www.legislation.gov.au/C2004A01224/" TargetMode="External"/><Relationship Id="rId486" Type="http://schemas.openxmlformats.org/officeDocument/2006/relationships/header" Target="header8.xml"/><Relationship Id="rId693" Type="http://schemas.openxmlformats.org/officeDocument/2006/relationships/hyperlink" Target="https://www.opc.gov.au/drafting-resources/drafting-general" TargetMode="External"/><Relationship Id="rId707" Type="http://schemas.openxmlformats.org/officeDocument/2006/relationships/hyperlink" Target="mailto:lodge@legislation.gov.au" TargetMode="External"/><Relationship Id="rId43" Type="http://schemas.openxmlformats.org/officeDocument/2006/relationships/hyperlink" Target="https://www.legislation.gov.au" TargetMode="External"/><Relationship Id="rId139" Type="http://schemas.openxmlformats.org/officeDocument/2006/relationships/hyperlink" Target="https://www.legislation.gov.au/C2004A01224/" TargetMode="External"/><Relationship Id="rId346" Type="http://schemas.openxmlformats.org/officeDocument/2006/relationships/hyperlink" Target="mailto:lodge@legislation.gov.au" TargetMode="External"/><Relationship Id="rId553" Type="http://schemas.openxmlformats.org/officeDocument/2006/relationships/hyperlink" Target="mailto:adminlaw@ag.gov.au" TargetMode="External"/><Relationship Id="rId192" Type="http://schemas.openxmlformats.org/officeDocument/2006/relationships/hyperlink" Target="https://www.legislation.gov.au/C2004A01224/" TargetMode="External"/><Relationship Id="rId206" Type="http://schemas.openxmlformats.org/officeDocument/2006/relationships/hyperlink" Target="https://www.legislation.gov.au/C2004A01224/" TargetMode="External"/><Relationship Id="rId413" Type="http://schemas.openxmlformats.org/officeDocument/2006/relationships/hyperlink" Target="https://www.legislation.gov.au/C2004A01224/" TargetMode="External"/><Relationship Id="rId497" Type="http://schemas.openxmlformats.org/officeDocument/2006/relationships/hyperlink" Target="https://www.legislation.gov.au/latest/C2016C00186" TargetMode="External"/><Relationship Id="rId620" Type="http://schemas.openxmlformats.org/officeDocument/2006/relationships/hyperlink" Target="mailto:adminlaw@ag.gov.au" TargetMode="External"/><Relationship Id="rId718" Type="http://schemas.openxmlformats.org/officeDocument/2006/relationships/footer" Target="footer17.xml"/><Relationship Id="rId357" Type="http://schemas.openxmlformats.org/officeDocument/2006/relationships/hyperlink" Target="https://www.legislation.gov.au/C2004A01224/" TargetMode="External"/><Relationship Id="rId54" Type="http://schemas.openxmlformats.org/officeDocument/2006/relationships/hyperlink" Target="https://www.legislation.gov.au/C2004A01224/" TargetMode="External"/><Relationship Id="rId217" Type="http://schemas.openxmlformats.org/officeDocument/2006/relationships/hyperlink" Target="https://www.legislation.gov.au/F2026L00129/latest/text" TargetMode="External"/><Relationship Id="rId564" Type="http://schemas.openxmlformats.org/officeDocument/2006/relationships/hyperlink" Target="https://www.legislation.gov.au/latest/C2016C00186" TargetMode="External"/><Relationship Id="rId424" Type="http://schemas.openxmlformats.org/officeDocument/2006/relationships/hyperlink" Target="https://www.legislation.gov.au/C2004A01224/latest/text" TargetMode="External"/><Relationship Id="rId631" Type="http://schemas.openxmlformats.org/officeDocument/2006/relationships/hyperlink" Target="mailto:sunsetting@ag.gov.au" TargetMode="External"/><Relationship Id="rId270" Type="http://schemas.openxmlformats.org/officeDocument/2006/relationships/hyperlink" Target="https://www.legislation.gov.au/C2004A01224/" TargetMode="External"/><Relationship Id="rId65" Type="http://schemas.openxmlformats.org/officeDocument/2006/relationships/hyperlink" Target="https://www.legislation.gov.au/C2004A01224/" TargetMode="External"/><Relationship Id="rId130" Type="http://schemas.openxmlformats.org/officeDocument/2006/relationships/hyperlink" Target="https://www.opc.gov.au/drafting-resources/instrument-resources" TargetMode="External"/><Relationship Id="rId368" Type="http://schemas.openxmlformats.org/officeDocument/2006/relationships/hyperlink" Target="https://www.legislation.gov.au/C2004A01224/" TargetMode="External"/><Relationship Id="rId575" Type="http://schemas.openxmlformats.org/officeDocument/2006/relationships/hyperlink" Target="http://www.comlaw.gov.au/Current/C2013C00032" TargetMode="External"/><Relationship Id="rId228" Type="http://schemas.openxmlformats.org/officeDocument/2006/relationships/hyperlink" Target="https://www.opc.gov.au/drafting-resources/instrument-resources" TargetMode="External"/><Relationship Id="rId435" Type="http://schemas.openxmlformats.org/officeDocument/2006/relationships/hyperlink" Target="https://www.legislation.gov.au/C2004A01224/" TargetMode="External"/><Relationship Id="rId642" Type="http://schemas.openxmlformats.org/officeDocument/2006/relationships/hyperlink" Target="https://www.legislation.gov.au/latest/C2016C00186" TargetMode="External"/><Relationship Id="rId281" Type="http://schemas.openxmlformats.org/officeDocument/2006/relationships/hyperlink" Target="mailto:lodge@legislation.gov.au" TargetMode="External"/><Relationship Id="rId502" Type="http://schemas.openxmlformats.org/officeDocument/2006/relationships/hyperlink" Target="http://www.comlaw.gov.au/Current/C2013C00032" TargetMode="External"/><Relationship Id="rId76" Type="http://schemas.openxmlformats.org/officeDocument/2006/relationships/hyperlink" Target="https://www.legislation.gov.au/latest/F2015L01475" TargetMode="External"/><Relationship Id="rId141" Type="http://schemas.openxmlformats.org/officeDocument/2006/relationships/hyperlink" Target="https://www.legislation.gov.au/C2004A01224/" TargetMode="External"/><Relationship Id="rId379" Type="http://schemas.openxmlformats.org/officeDocument/2006/relationships/hyperlink" Target="mailto:lodge@legislation.gov.au" TargetMode="External"/><Relationship Id="rId586" Type="http://schemas.openxmlformats.org/officeDocument/2006/relationships/hyperlink" Target="http://www.comlaw.gov.au/Current/C2013C00032" TargetMode="External"/><Relationship Id="rId7" Type="http://schemas.openxmlformats.org/officeDocument/2006/relationships/endnotes" Target="endnotes.xml"/><Relationship Id="rId239" Type="http://schemas.openxmlformats.org/officeDocument/2006/relationships/hyperlink" Target="https://www.legislation.gov.au/F2026L00129/latest/text" TargetMode="External"/><Relationship Id="rId446" Type="http://schemas.openxmlformats.org/officeDocument/2006/relationships/hyperlink" Target="https://www.aph.gov.au/Parliamentary_Business/Committees/Senate/Scrutiny_of_Delegated_Legislation/Committee_guidelines" TargetMode="External"/><Relationship Id="rId653" Type="http://schemas.openxmlformats.org/officeDocument/2006/relationships/hyperlink" Target="https://www.legislation.gov.au/C2004A01224/" TargetMode="External"/><Relationship Id="rId292" Type="http://schemas.openxmlformats.org/officeDocument/2006/relationships/hyperlink" Target="https://www.legislation.gov.au/F2026L00129/latest/text" TargetMode="External"/><Relationship Id="rId306" Type="http://schemas.openxmlformats.org/officeDocument/2006/relationships/hyperlink" Target="https://www.legislation.gov.au/F2026L00129/latest/text" TargetMode="External"/><Relationship Id="rId87" Type="http://schemas.openxmlformats.org/officeDocument/2006/relationships/hyperlink" Target="https://www.legislation.gov.au/F2015L01475/latest/text" TargetMode="External"/><Relationship Id="rId513" Type="http://schemas.openxmlformats.org/officeDocument/2006/relationships/hyperlink" Target="http://www.comlaw.gov.au/Current/C2013C00032" TargetMode="External"/><Relationship Id="rId597" Type="http://schemas.openxmlformats.org/officeDocument/2006/relationships/hyperlink" Target="http://www.comlaw.gov.au/Current/C2013C00032" TargetMode="External"/><Relationship Id="rId720" Type="http://schemas.openxmlformats.org/officeDocument/2006/relationships/header" Target="header14.xml"/><Relationship Id="rId152" Type="http://schemas.openxmlformats.org/officeDocument/2006/relationships/image" Target="media/image4.png"/><Relationship Id="rId457" Type="http://schemas.openxmlformats.org/officeDocument/2006/relationships/hyperlink" Target="https://www.legislation.gov.au/latest/C2016C00186" TargetMode="External"/><Relationship Id="rId664" Type="http://schemas.openxmlformats.org/officeDocument/2006/relationships/hyperlink" Target="https://www.legislation.gov.au/latest/C2016C00186" TargetMode="External"/><Relationship Id="rId14" Type="http://schemas.openxmlformats.org/officeDocument/2006/relationships/hyperlink" Target="https://www.legislation.gov.au/F2026L00129/latest/text" TargetMode="External"/><Relationship Id="rId317" Type="http://schemas.openxmlformats.org/officeDocument/2006/relationships/hyperlink" Target="https://www.legislation.gov.au/C2004A01224/" TargetMode="External"/><Relationship Id="rId524" Type="http://schemas.openxmlformats.org/officeDocument/2006/relationships/hyperlink" Target="https://www.legislation.gov.au/C2004A01224/" TargetMode="External"/><Relationship Id="rId98" Type="http://schemas.openxmlformats.org/officeDocument/2006/relationships/hyperlink" Target="https://www.legislation.gov.au/latest/F2015L01475" TargetMode="External"/><Relationship Id="rId163" Type="http://schemas.openxmlformats.org/officeDocument/2006/relationships/hyperlink" Target="https://www.legislation.gov.au/C2004A01224/" TargetMode="External"/><Relationship Id="rId370" Type="http://schemas.openxmlformats.org/officeDocument/2006/relationships/hyperlink" Target="https://www.legislation.gov.au/C2004A01224/" TargetMode="External"/><Relationship Id="rId230" Type="http://schemas.openxmlformats.org/officeDocument/2006/relationships/hyperlink" Target="https://www.legislation.gov.au/C2004A01224/" TargetMode="External"/><Relationship Id="rId468" Type="http://schemas.openxmlformats.org/officeDocument/2006/relationships/hyperlink" Target="http://www.comlaw.gov.au/Current/C2013C00032" TargetMode="External"/><Relationship Id="rId675" Type="http://schemas.openxmlformats.org/officeDocument/2006/relationships/footer" Target="footer13.xml"/><Relationship Id="rId25" Type="http://schemas.openxmlformats.org/officeDocument/2006/relationships/hyperlink" Target="https://www.legislation.gov.au/C1901A00002/" TargetMode="External"/><Relationship Id="rId328" Type="http://schemas.openxmlformats.org/officeDocument/2006/relationships/hyperlink" Target="https://www.legislation.gov.au/C2004A01224/" TargetMode="External"/><Relationship Id="rId535" Type="http://schemas.openxmlformats.org/officeDocument/2006/relationships/hyperlink" Target="http://www.comlaw.gov.au/Current/C2013C00032" TargetMode="External"/><Relationship Id="rId174" Type="http://schemas.openxmlformats.org/officeDocument/2006/relationships/hyperlink" Target="https://www.legislation.gov.au/C1901A00002/latest/text" TargetMode="External"/><Relationship Id="rId381" Type="http://schemas.openxmlformats.org/officeDocument/2006/relationships/hyperlink" Target="https://www.legislation.gov.au/F2026L00129/latest/text" TargetMode="External"/><Relationship Id="rId602" Type="http://schemas.openxmlformats.org/officeDocument/2006/relationships/hyperlink" Target="https://www.legislation.gov.au/C2004A01224/" TargetMode="External"/><Relationship Id="rId241" Type="http://schemas.openxmlformats.org/officeDocument/2006/relationships/hyperlink" Target="https://www.legislation.gov.au/F2026L00129/latest/text" TargetMode="External"/><Relationship Id="rId479" Type="http://schemas.openxmlformats.org/officeDocument/2006/relationships/hyperlink" Target="http://www.comlaw.gov.au/Current/C2013C00032" TargetMode="External"/><Relationship Id="rId686" Type="http://schemas.openxmlformats.org/officeDocument/2006/relationships/hyperlink" Target="https://www.ag.gov.au/legal-system/administrative-law/legislation-act-2003" TargetMode="External"/><Relationship Id="rId36" Type="http://schemas.openxmlformats.org/officeDocument/2006/relationships/footer" Target="footer3.xml"/><Relationship Id="rId339" Type="http://schemas.openxmlformats.org/officeDocument/2006/relationships/hyperlink" Target="mailto:lodge@legislation.gov.au" TargetMode="External"/><Relationship Id="rId546" Type="http://schemas.openxmlformats.org/officeDocument/2006/relationships/hyperlink" Target="https://www.comlaw.gov.au/Current/F2015L01475" TargetMode="External"/><Relationship Id="rId101" Type="http://schemas.openxmlformats.org/officeDocument/2006/relationships/hyperlink" Target="https://www.legislation.gov.au/C2004A01224/" TargetMode="External"/><Relationship Id="rId185" Type="http://schemas.openxmlformats.org/officeDocument/2006/relationships/hyperlink" Target="https://www.legislation.gov.au/C2004A01224/" TargetMode="External"/><Relationship Id="rId406" Type="http://schemas.openxmlformats.org/officeDocument/2006/relationships/hyperlink" Target="https://www.legislation.gov.au/C2004A01224/" TargetMode="External"/><Relationship Id="rId392" Type="http://schemas.openxmlformats.org/officeDocument/2006/relationships/hyperlink" Target="https://www.legislation.gov.au/C2004A01224/" TargetMode="External"/><Relationship Id="rId613" Type="http://schemas.openxmlformats.org/officeDocument/2006/relationships/hyperlink" Target="https://www.legislation.gov.au/C2004A01224/" TargetMode="External"/><Relationship Id="rId697" Type="http://schemas.openxmlformats.org/officeDocument/2006/relationships/header" Target="header12.xml"/><Relationship Id="rId252" Type="http://schemas.openxmlformats.org/officeDocument/2006/relationships/hyperlink" Target="https://www.legislation.gov.au/F2026L00129/latest/text" TargetMode="External"/><Relationship Id="rId47" Type="http://schemas.openxmlformats.org/officeDocument/2006/relationships/hyperlink" Target="https://www.legislation.gov.au/C2004A01224/" TargetMode="External"/><Relationship Id="rId112" Type="http://schemas.openxmlformats.org/officeDocument/2006/relationships/hyperlink" Target="https://www.legislation.gov.au/C2004A01224/" TargetMode="External"/><Relationship Id="rId557" Type="http://schemas.openxmlformats.org/officeDocument/2006/relationships/hyperlink" Target="https://www.legislation.gov.au/latest/C2016C00186" TargetMode="External"/><Relationship Id="rId196" Type="http://schemas.openxmlformats.org/officeDocument/2006/relationships/hyperlink" Target="https://www.legislation.gov.au/C2004A01224/" TargetMode="External"/><Relationship Id="rId417" Type="http://schemas.openxmlformats.org/officeDocument/2006/relationships/hyperlink" Target="https://www.legislation.gov.au/C1901A00002/latest/text" TargetMode="External"/><Relationship Id="rId624" Type="http://schemas.openxmlformats.org/officeDocument/2006/relationships/hyperlink" Target="https://www.legislation.gov.au/C2004A01224/latest/text" TargetMode="External"/><Relationship Id="rId263" Type="http://schemas.openxmlformats.org/officeDocument/2006/relationships/hyperlink" Target="https://www.legislation.gov.au/C2004A04633/latest/text" TargetMode="External"/><Relationship Id="rId470" Type="http://schemas.openxmlformats.org/officeDocument/2006/relationships/hyperlink" Target="https://www.legislation.gov.au/C2011A00186/latest/text" TargetMode="External"/><Relationship Id="rId58" Type="http://schemas.openxmlformats.org/officeDocument/2006/relationships/hyperlink" Target="https://www.legislation.gov.au/C2004A01224/" TargetMode="External"/><Relationship Id="rId123" Type="http://schemas.openxmlformats.org/officeDocument/2006/relationships/header" Target="header2.xml"/><Relationship Id="rId330" Type="http://schemas.openxmlformats.org/officeDocument/2006/relationships/hyperlink" Target="mailto:lodge@legislation.gov.au" TargetMode="External"/><Relationship Id="rId568" Type="http://schemas.openxmlformats.org/officeDocument/2006/relationships/hyperlink" Target="https://www.legislation.gov.au/latest/C2016C00186" TargetMode="External"/><Relationship Id="rId428" Type="http://schemas.openxmlformats.org/officeDocument/2006/relationships/hyperlink" Target="https://www.legislation.gov.au/C2011A00186/latest/text" TargetMode="External"/><Relationship Id="rId635" Type="http://schemas.openxmlformats.org/officeDocument/2006/relationships/hyperlink" Target="https://www.legislation.gov.au/C2004A01224/latest/text" TargetMode="External"/><Relationship Id="rId274" Type="http://schemas.openxmlformats.org/officeDocument/2006/relationships/hyperlink" Target="https://www.legislation.gov.au/C2004A01224/" TargetMode="External"/><Relationship Id="rId481" Type="http://schemas.openxmlformats.org/officeDocument/2006/relationships/hyperlink" Target="https://www.legislation.gov.au/C2004A01224/latest/text" TargetMode="External"/><Relationship Id="rId702" Type="http://schemas.openxmlformats.org/officeDocument/2006/relationships/hyperlink" Target="https://www.opc.gov.au/drafting-resources/client-advisers" TargetMode="External"/><Relationship Id="rId69" Type="http://schemas.openxmlformats.org/officeDocument/2006/relationships/hyperlink" Target="https://www.legislation.gov.au/C2004A01224/" TargetMode="External"/><Relationship Id="rId134" Type="http://schemas.openxmlformats.org/officeDocument/2006/relationships/hyperlink" Target="https://www.legislation.gov.au/latest/C2016C00151" TargetMode="External"/><Relationship Id="rId579" Type="http://schemas.openxmlformats.org/officeDocument/2006/relationships/hyperlink" Target="http://www.comlaw.gov.au/Current/C2013C00032" TargetMode="External"/><Relationship Id="rId341" Type="http://schemas.openxmlformats.org/officeDocument/2006/relationships/hyperlink" Target="https://www.legislation.gov.au/C2004A01224/latest/text" TargetMode="External"/><Relationship Id="rId439" Type="http://schemas.openxmlformats.org/officeDocument/2006/relationships/hyperlink" Target="http://www.comlaw.gov.au/Current/C2013C00032" TargetMode="External"/><Relationship Id="rId646" Type="http://schemas.openxmlformats.org/officeDocument/2006/relationships/hyperlink" Target="https://www.legislation.gov.au/latest/C2016C00186" TargetMode="External"/><Relationship Id="rId201" Type="http://schemas.openxmlformats.org/officeDocument/2006/relationships/hyperlink" Target="https://www.legislation.gov.au/F2015L01475/latest/text" TargetMode="External"/><Relationship Id="rId285" Type="http://schemas.openxmlformats.org/officeDocument/2006/relationships/hyperlink" Target="https://www.legislation.gov.au/C2004A01224/" TargetMode="External"/><Relationship Id="rId506" Type="http://schemas.openxmlformats.org/officeDocument/2006/relationships/hyperlink" Target="https://www.legislation.gov.au/latest/C2016C00186" TargetMode="External"/><Relationship Id="rId492" Type="http://schemas.openxmlformats.org/officeDocument/2006/relationships/hyperlink" Target="https://www.legislation.gov.au/C2004A01224/latest/text" TargetMode="External"/><Relationship Id="rId713" Type="http://schemas.openxmlformats.org/officeDocument/2006/relationships/hyperlink" Target="mailto:CriminalLaw@ag.gov.au" TargetMode="External"/><Relationship Id="rId145" Type="http://schemas.openxmlformats.org/officeDocument/2006/relationships/hyperlink" Target="https://www.legislation.gov.au/C2004A01224/" TargetMode="External"/><Relationship Id="rId352" Type="http://schemas.openxmlformats.org/officeDocument/2006/relationships/hyperlink" Target="https://www.legislation.gov.au/C2004A01224/" TargetMode="External"/><Relationship Id="rId212" Type="http://schemas.openxmlformats.org/officeDocument/2006/relationships/hyperlink" Target="https://www.legislation.gov.au/C2004A03712/latest/text" TargetMode="External"/><Relationship Id="rId657" Type="http://schemas.openxmlformats.org/officeDocument/2006/relationships/hyperlink" Target="https://www.legislation.gov.au/C2004A01224/latest/text" TargetMode="External"/><Relationship Id="rId296" Type="http://schemas.openxmlformats.org/officeDocument/2006/relationships/hyperlink" Target="https://www.legislation.gov.au/C2004A01224/" TargetMode="External"/><Relationship Id="rId517" Type="http://schemas.openxmlformats.org/officeDocument/2006/relationships/hyperlink" Target="https://www.legislation.gov.au/latest/C2016C00186" TargetMode="External"/><Relationship Id="rId724" Type="http://schemas.openxmlformats.org/officeDocument/2006/relationships/footer" Target="footer20.xml"/><Relationship Id="rId60" Type="http://schemas.openxmlformats.org/officeDocument/2006/relationships/hyperlink" Target="https://www.legislation.gov.au/C2004A01224/" TargetMode="External"/><Relationship Id="rId156" Type="http://schemas.openxmlformats.org/officeDocument/2006/relationships/hyperlink" Target="https://www.legislation.gov.au/C1901A00002/" TargetMode="External"/><Relationship Id="rId363" Type="http://schemas.openxmlformats.org/officeDocument/2006/relationships/hyperlink" Target="mailto:lodge@legislation.gov.au" TargetMode="External"/><Relationship Id="rId570" Type="http://schemas.openxmlformats.org/officeDocument/2006/relationships/hyperlink" Target="http://www.comlaw.gov.au/Current/C2013C00032" TargetMode="External"/><Relationship Id="rId223" Type="http://schemas.openxmlformats.org/officeDocument/2006/relationships/hyperlink" Target="https://www.legislation.gov.au/F2026L00129/latest/text" TargetMode="External"/><Relationship Id="rId430" Type="http://schemas.openxmlformats.org/officeDocument/2006/relationships/hyperlink" Target="https://www.legislation.gov.au/latest/C2016C00186" TargetMode="External"/><Relationship Id="rId668" Type="http://schemas.openxmlformats.org/officeDocument/2006/relationships/hyperlink" Target="mailto:sunsetting@ag.gov.au" TargetMode="External"/><Relationship Id="rId18" Type="http://schemas.openxmlformats.org/officeDocument/2006/relationships/hyperlink" Target="https://www.legislation.gov.au/F2015L01475/latest/text" TargetMode="External"/><Relationship Id="rId528" Type="http://schemas.openxmlformats.org/officeDocument/2006/relationships/hyperlink" Target="http://www.comlaw.gov.au/Current/C2013C00032" TargetMode="External"/><Relationship Id="rId167" Type="http://schemas.openxmlformats.org/officeDocument/2006/relationships/hyperlink" Target="https://www.opc.gov.au/drafting-resources/client-advisers" TargetMode="External"/><Relationship Id="rId374" Type="http://schemas.openxmlformats.org/officeDocument/2006/relationships/hyperlink" Target="https://www.legislation.gov.au/F2026L00129/latest/text" TargetMode="External"/><Relationship Id="rId581" Type="http://schemas.openxmlformats.org/officeDocument/2006/relationships/hyperlink" Target="https://www.legislation.gov.au/latest/C2016C00186" TargetMode="External"/><Relationship Id="rId71" Type="http://schemas.openxmlformats.org/officeDocument/2006/relationships/hyperlink" Target="https://www.legislation.gov.au/C2004A01224/" TargetMode="External"/><Relationship Id="rId234" Type="http://schemas.openxmlformats.org/officeDocument/2006/relationships/hyperlink" Target="https://lodge.legislation.gov.au" TargetMode="External"/><Relationship Id="rId679" Type="http://schemas.openxmlformats.org/officeDocument/2006/relationships/hyperlink" Target="https://www.legislation.gov.au/latest/C2016C00151" TargetMode="External"/><Relationship Id="rId2" Type="http://schemas.openxmlformats.org/officeDocument/2006/relationships/numbering" Target="numbering.xml"/><Relationship Id="rId29" Type="http://schemas.openxmlformats.org/officeDocument/2006/relationships/hyperlink" Target="https://www.legislation.gov.au/Latest/C2018A00078" TargetMode="External"/><Relationship Id="rId441" Type="http://schemas.openxmlformats.org/officeDocument/2006/relationships/hyperlink" Target="https://www.legislation.gov.au/C2004A01224/latest/text" TargetMode="External"/><Relationship Id="rId539" Type="http://schemas.openxmlformats.org/officeDocument/2006/relationships/hyperlink" Target="http://www.comlaw.gov.au/Current/C2013C00032" TargetMode="External"/><Relationship Id="rId178" Type="http://schemas.openxmlformats.org/officeDocument/2006/relationships/hyperlink" Target="https://www.legislation.gov.au/latest/C2016C00151" TargetMode="External"/><Relationship Id="rId301" Type="http://schemas.openxmlformats.org/officeDocument/2006/relationships/hyperlink" Target="https://www.legislation.gov.au/F2026L00129/latest/text" TargetMode="External"/><Relationship Id="rId82" Type="http://schemas.openxmlformats.org/officeDocument/2006/relationships/hyperlink" Target="https://www.legislation.gov.au/C2004A01224/" TargetMode="External"/><Relationship Id="rId385" Type="http://schemas.openxmlformats.org/officeDocument/2006/relationships/hyperlink" Target="https://www.legislation.gov.au/help-and-resources/using-the-legislation-register/linking-and-downloads" TargetMode="External"/><Relationship Id="rId592" Type="http://schemas.openxmlformats.org/officeDocument/2006/relationships/hyperlink" Target="https://www.legislation.gov.au/latest/C2016C00186" TargetMode="External"/><Relationship Id="rId606" Type="http://schemas.openxmlformats.org/officeDocument/2006/relationships/hyperlink" Target="http://www.comlaw.gov.au/Current/C2013C00032" TargetMode="External"/><Relationship Id="rId245" Type="http://schemas.openxmlformats.org/officeDocument/2006/relationships/hyperlink" Target="https://www.legislation.gov.au/C2004A01224/" TargetMode="External"/><Relationship Id="rId287" Type="http://schemas.openxmlformats.org/officeDocument/2006/relationships/hyperlink" Target="mailto:lodge@legislation.gov.au" TargetMode="External"/><Relationship Id="rId410" Type="http://schemas.openxmlformats.org/officeDocument/2006/relationships/hyperlink" Target="https://www.legislation.gov.au/C2004A01224/" TargetMode="External"/><Relationship Id="rId452" Type="http://schemas.openxmlformats.org/officeDocument/2006/relationships/hyperlink" Target="https://www.legislation.gov.au/C1901A00002/" TargetMode="External"/><Relationship Id="rId494" Type="http://schemas.openxmlformats.org/officeDocument/2006/relationships/hyperlink" Target="https://www.legislation.gov.au/latest/C2016C00186" TargetMode="External"/><Relationship Id="rId508" Type="http://schemas.openxmlformats.org/officeDocument/2006/relationships/hyperlink" Target="http://www.comlaw.gov.au/Current/C2013C00032" TargetMode="External"/><Relationship Id="rId715" Type="http://schemas.openxmlformats.org/officeDocument/2006/relationships/hyperlink" Target="mailto:exco@pmc.gov.au" TargetMode="External"/><Relationship Id="rId105" Type="http://schemas.openxmlformats.org/officeDocument/2006/relationships/hyperlink" Target="https://www.legislation.gov.au/C2004A01224/" TargetMode="External"/><Relationship Id="rId147" Type="http://schemas.openxmlformats.org/officeDocument/2006/relationships/hyperlink" Target="https://www.legislation.gov.au/F2026L00129/latest/text" TargetMode="External"/><Relationship Id="rId312" Type="http://schemas.openxmlformats.org/officeDocument/2006/relationships/image" Target="media/image7.png"/><Relationship Id="rId354" Type="http://schemas.openxmlformats.org/officeDocument/2006/relationships/hyperlink" Target="https://www.legislation.gov.au/C2004A01224/" TargetMode="External"/><Relationship Id="rId51" Type="http://schemas.openxmlformats.org/officeDocument/2006/relationships/hyperlink" Target="https://www.legislation.gov.au/C2004A01224/" TargetMode="External"/><Relationship Id="rId93" Type="http://schemas.openxmlformats.org/officeDocument/2006/relationships/hyperlink" Target="https://www.legislation.gov.au/F2015L01475/latest/text" TargetMode="External"/><Relationship Id="rId189" Type="http://schemas.openxmlformats.org/officeDocument/2006/relationships/hyperlink" Target="https://www.legislation.gov.au/C2004A01224/" TargetMode="External"/><Relationship Id="rId396" Type="http://schemas.openxmlformats.org/officeDocument/2006/relationships/hyperlink" Target="mailto:sunsetting@opc.gov.au" TargetMode="External"/><Relationship Id="rId561" Type="http://schemas.openxmlformats.org/officeDocument/2006/relationships/hyperlink" Target="https://www.legislation.gov.au/latest/C2016C00186" TargetMode="External"/><Relationship Id="rId617" Type="http://schemas.openxmlformats.org/officeDocument/2006/relationships/hyperlink" Target="https://www.legislation.gov.au/F2015L01475/latest/text" TargetMode="External"/><Relationship Id="rId659" Type="http://schemas.openxmlformats.org/officeDocument/2006/relationships/hyperlink" Target="https://www.legislation.gov.au/latest/C2016C00186" TargetMode="External"/><Relationship Id="rId214" Type="http://schemas.openxmlformats.org/officeDocument/2006/relationships/hyperlink" Target="mailto:lodge@legislation.gov.au" TargetMode="External"/><Relationship Id="rId256" Type="http://schemas.openxmlformats.org/officeDocument/2006/relationships/hyperlink" Target="https://www.legislation.gov.au/C2004A01224/" TargetMode="External"/><Relationship Id="rId298" Type="http://schemas.openxmlformats.org/officeDocument/2006/relationships/hyperlink" Target="https://www.legislation.gov.au/F2026L00129/latest/text" TargetMode="External"/><Relationship Id="rId421" Type="http://schemas.openxmlformats.org/officeDocument/2006/relationships/hyperlink" Target="https://www.legislation.gov.au/C2004A01224/latest/text" TargetMode="External"/><Relationship Id="rId463" Type="http://schemas.openxmlformats.org/officeDocument/2006/relationships/hyperlink" Target="https://www.legislation.gov.au/C2004A01224/latest/text" TargetMode="External"/><Relationship Id="rId519" Type="http://schemas.openxmlformats.org/officeDocument/2006/relationships/hyperlink" Target="http://www.comlaw.gov.au/Current/C2013C00032" TargetMode="External"/><Relationship Id="rId670" Type="http://schemas.openxmlformats.org/officeDocument/2006/relationships/hyperlink" Target="http://www.comlaw.gov.au/Current/C2013C00032" TargetMode="External"/><Relationship Id="rId116" Type="http://schemas.openxmlformats.org/officeDocument/2006/relationships/hyperlink" Target="https://www.legislation.gov.au/latest/F2015L01475" TargetMode="External"/><Relationship Id="rId158" Type="http://schemas.openxmlformats.org/officeDocument/2006/relationships/hyperlink" Target="https://www.comlaw.gov.au/Current/F2015L01475/" TargetMode="External"/><Relationship Id="rId323" Type="http://schemas.openxmlformats.org/officeDocument/2006/relationships/hyperlink" Target="https://www.legislation.gov.au/C2004A01224/latest/text" TargetMode="External"/><Relationship Id="rId530" Type="http://schemas.openxmlformats.org/officeDocument/2006/relationships/hyperlink" Target="https://www.legislation.gov.au/C2004A01224/latest/text" TargetMode="External"/><Relationship Id="rId726" Type="http://schemas.openxmlformats.org/officeDocument/2006/relationships/theme" Target="theme/theme1.xml"/><Relationship Id="rId20" Type="http://schemas.openxmlformats.org/officeDocument/2006/relationships/footer" Target="footer1.xml"/><Relationship Id="rId62" Type="http://schemas.openxmlformats.org/officeDocument/2006/relationships/hyperlink" Target="https://www.legislation.gov.au/C2004A01224/" TargetMode="External"/><Relationship Id="rId365" Type="http://schemas.openxmlformats.org/officeDocument/2006/relationships/hyperlink" Target="https://www.legislation.gov.au/F2026L00129/latest/text" TargetMode="External"/><Relationship Id="rId572" Type="http://schemas.openxmlformats.org/officeDocument/2006/relationships/hyperlink" Target="https://www.legislation.gov.au/latest/C2016C00186" TargetMode="External"/><Relationship Id="rId628" Type="http://schemas.openxmlformats.org/officeDocument/2006/relationships/hyperlink" Target="https://www.legislation.gov.au/C2004A01224/latest/text" TargetMode="External"/><Relationship Id="rId225" Type="http://schemas.openxmlformats.org/officeDocument/2006/relationships/header" Target="header3.xml"/><Relationship Id="rId267" Type="http://schemas.openxmlformats.org/officeDocument/2006/relationships/hyperlink" Target="https://www.legislation.gov.au/C2004A01224/" TargetMode="External"/><Relationship Id="rId432" Type="http://schemas.openxmlformats.org/officeDocument/2006/relationships/hyperlink" Target="https://www.legislation.gov.au/C2004A01224/latest/text" TargetMode="External"/><Relationship Id="rId474" Type="http://schemas.openxmlformats.org/officeDocument/2006/relationships/hyperlink" Target="https://www.legislation.gov.au/latest/C2016C00186" TargetMode="External"/><Relationship Id="rId127" Type="http://schemas.openxmlformats.org/officeDocument/2006/relationships/hyperlink" Target="https://www.legislation.gov.au/F2025L01591/asmade/text" TargetMode="External"/><Relationship Id="rId681" Type="http://schemas.openxmlformats.org/officeDocument/2006/relationships/hyperlink" Target="https://www.legislation.gov.au/F2015L01475/latest/text" TargetMode="External"/><Relationship Id="rId31" Type="http://schemas.openxmlformats.org/officeDocument/2006/relationships/hyperlink" Target="https://www.legislation.gov.au/C2004A01224/" TargetMode="External"/><Relationship Id="rId73" Type="http://schemas.openxmlformats.org/officeDocument/2006/relationships/hyperlink" Target="https://www.legislation.gov.au/C2004A01224/" TargetMode="External"/><Relationship Id="rId169" Type="http://schemas.openxmlformats.org/officeDocument/2006/relationships/hyperlink" Target="https://www.legislation.gov.au/latest/C2016C00151" TargetMode="External"/><Relationship Id="rId334" Type="http://schemas.openxmlformats.org/officeDocument/2006/relationships/hyperlink" Target="https://lodge.legislation.gov.au" TargetMode="External"/><Relationship Id="rId376" Type="http://schemas.openxmlformats.org/officeDocument/2006/relationships/hyperlink" Target="https://www.legislation.gov.au/C2004A01224/" TargetMode="External"/><Relationship Id="rId541" Type="http://schemas.openxmlformats.org/officeDocument/2006/relationships/hyperlink" Target="https://www.legislation.gov.au/latest/C2016C00186" TargetMode="External"/><Relationship Id="rId583" Type="http://schemas.openxmlformats.org/officeDocument/2006/relationships/hyperlink" Target="http://www.comlaw.gov.au/Current/C2013C00032" TargetMode="External"/><Relationship Id="rId639" Type="http://schemas.openxmlformats.org/officeDocument/2006/relationships/hyperlink" Target="https://www.legislation.gov.au/C2004A01224/latest/text" TargetMode="External"/><Relationship Id="rId4" Type="http://schemas.openxmlformats.org/officeDocument/2006/relationships/settings" Target="settings.xml"/><Relationship Id="rId180" Type="http://schemas.openxmlformats.org/officeDocument/2006/relationships/hyperlink" Target="https://www.legislation.gov.au/C2004A01224/" TargetMode="External"/><Relationship Id="rId236" Type="http://schemas.openxmlformats.org/officeDocument/2006/relationships/hyperlink" Target="mailto:lodge@legislation.gov.au" TargetMode="External"/><Relationship Id="rId278" Type="http://schemas.openxmlformats.org/officeDocument/2006/relationships/hyperlink" Target="https://www.legislation.gov.au/C2004A01224/" TargetMode="External"/><Relationship Id="rId401" Type="http://schemas.openxmlformats.org/officeDocument/2006/relationships/footer" Target="footer9.xml"/><Relationship Id="rId443" Type="http://schemas.openxmlformats.org/officeDocument/2006/relationships/hyperlink" Target="https://www.legislation.gov.au/latest/C2016C00186" TargetMode="External"/><Relationship Id="rId650" Type="http://schemas.openxmlformats.org/officeDocument/2006/relationships/hyperlink" Target="https://www.legislation.gov.au/C2004A01224/latest/text" TargetMode="External"/><Relationship Id="rId303" Type="http://schemas.openxmlformats.org/officeDocument/2006/relationships/hyperlink" Target="https://www.legislation.gov.au/C2004A01224/" TargetMode="External"/><Relationship Id="rId485" Type="http://schemas.openxmlformats.org/officeDocument/2006/relationships/hyperlink" Target="https://www.legislation.gov.au/F2026L00129/latest/text" TargetMode="External"/><Relationship Id="rId692" Type="http://schemas.openxmlformats.org/officeDocument/2006/relationships/hyperlink" Target="https://www.opc.gov.au/drafting-resources/drafting-directions" TargetMode="External"/><Relationship Id="rId706" Type="http://schemas.openxmlformats.org/officeDocument/2006/relationships/hyperlink" Target="https://lodge.legislation.gov.au" TargetMode="External"/><Relationship Id="rId42" Type="http://schemas.openxmlformats.org/officeDocument/2006/relationships/hyperlink" Target="https://www.legislation.gov.au/C2004A01224/" TargetMode="External"/><Relationship Id="rId84" Type="http://schemas.openxmlformats.org/officeDocument/2006/relationships/hyperlink" Target="https://www.legislation.gov.au/C2004A01224/" TargetMode="External"/><Relationship Id="rId138" Type="http://schemas.openxmlformats.org/officeDocument/2006/relationships/hyperlink" Target="https://www.legislation.gov.au/C2004A01224/" TargetMode="External"/><Relationship Id="rId345" Type="http://schemas.openxmlformats.org/officeDocument/2006/relationships/hyperlink" Target="https://lodge.legislation.gov.au" TargetMode="External"/><Relationship Id="rId387" Type="http://schemas.openxmlformats.org/officeDocument/2006/relationships/hyperlink" Target="mailto:compilations@opc.gov.au" TargetMode="External"/><Relationship Id="rId510" Type="http://schemas.openxmlformats.org/officeDocument/2006/relationships/hyperlink" Target="https://www.legislation.gov.au/C1901A00002/latest/text" TargetMode="External"/><Relationship Id="rId552" Type="http://schemas.openxmlformats.org/officeDocument/2006/relationships/hyperlink" Target="https://www.legislation.gov.au/C2004A01224/" TargetMode="External"/><Relationship Id="rId594" Type="http://schemas.openxmlformats.org/officeDocument/2006/relationships/hyperlink" Target="http://www.comlaw.gov.au/Current/C2013C00032" TargetMode="External"/><Relationship Id="rId608" Type="http://schemas.openxmlformats.org/officeDocument/2006/relationships/hyperlink" Target="mailto:sunsetting@ag.gov.au" TargetMode="External"/><Relationship Id="rId191" Type="http://schemas.openxmlformats.org/officeDocument/2006/relationships/hyperlink" Target="https://www.legislation.gov.au/C2004A01224/" TargetMode="External"/><Relationship Id="rId205" Type="http://schemas.openxmlformats.org/officeDocument/2006/relationships/hyperlink" Target="https://www.opc.gov.au/drafting-resources/drafting-directions" TargetMode="External"/><Relationship Id="rId247" Type="http://schemas.openxmlformats.org/officeDocument/2006/relationships/hyperlink" Target="https://www.legislation.gov.au/C2004A01224/" TargetMode="External"/><Relationship Id="rId412" Type="http://schemas.openxmlformats.org/officeDocument/2006/relationships/hyperlink" Target="https://www.legislation.gov.au/C2004A01224/" TargetMode="External"/><Relationship Id="rId107" Type="http://schemas.openxmlformats.org/officeDocument/2006/relationships/hyperlink" Target="https://www.legislation.gov.au/C2004A01224/" TargetMode="External"/><Relationship Id="rId289" Type="http://schemas.openxmlformats.org/officeDocument/2006/relationships/hyperlink" Target="https://www.legislation.gov.au/F2026L00129/latest/text" TargetMode="External"/><Relationship Id="rId454" Type="http://schemas.openxmlformats.org/officeDocument/2006/relationships/hyperlink" Target="https://www.legislation.gov.au/C2004A03330/latest/text" TargetMode="External"/><Relationship Id="rId496" Type="http://schemas.openxmlformats.org/officeDocument/2006/relationships/hyperlink" Target="http://www.comlaw.gov.au/Current/C2013C00032" TargetMode="External"/><Relationship Id="rId661" Type="http://schemas.openxmlformats.org/officeDocument/2006/relationships/hyperlink" Target="https://www.legislation.gov.au/C2004A01224/" TargetMode="External"/><Relationship Id="rId717" Type="http://schemas.openxmlformats.org/officeDocument/2006/relationships/hyperlink" Target="mailto:human.rights@aph.gov.au" TargetMode="External"/><Relationship Id="rId11" Type="http://schemas.openxmlformats.org/officeDocument/2006/relationships/hyperlink" Target="https://www.legislation.gov.au/" TargetMode="External"/><Relationship Id="rId53" Type="http://schemas.openxmlformats.org/officeDocument/2006/relationships/hyperlink" Target="https://www.legislation.gov.au/C2004A01224/" TargetMode="External"/><Relationship Id="rId149" Type="http://schemas.openxmlformats.org/officeDocument/2006/relationships/hyperlink" Target="https://www.legislation.gov.au/C2004A01224/" TargetMode="External"/><Relationship Id="rId314" Type="http://schemas.openxmlformats.org/officeDocument/2006/relationships/hyperlink" Target="http://www.legislation.gov.au/Feedback" TargetMode="External"/><Relationship Id="rId356" Type="http://schemas.openxmlformats.org/officeDocument/2006/relationships/hyperlink" Target="https://www.legislation.gov.au/C2004A01224/" TargetMode="External"/><Relationship Id="rId398" Type="http://schemas.openxmlformats.org/officeDocument/2006/relationships/hyperlink" Target="https://www.legislation.gov.au/C1901A00002/latest/text" TargetMode="External"/><Relationship Id="rId521" Type="http://schemas.openxmlformats.org/officeDocument/2006/relationships/hyperlink" Target="https://www.legislation.gov.au/C2004A01224/latest/text" TargetMode="External"/><Relationship Id="rId563" Type="http://schemas.openxmlformats.org/officeDocument/2006/relationships/hyperlink" Target="http://www.comlaw.gov.au/Current/C2013C00032" TargetMode="External"/><Relationship Id="rId619" Type="http://schemas.openxmlformats.org/officeDocument/2006/relationships/hyperlink" Target="https://www.legislation.gov.au/latest/F2015L01475" TargetMode="External"/><Relationship Id="rId95" Type="http://schemas.openxmlformats.org/officeDocument/2006/relationships/hyperlink" Target="https://www.legislation.gov.au/F2015L01475/latest/text" TargetMode="External"/><Relationship Id="rId160" Type="http://schemas.openxmlformats.org/officeDocument/2006/relationships/hyperlink" Target="https://www.legislation.gov.au/C2004A01224/" TargetMode="External"/><Relationship Id="rId216" Type="http://schemas.openxmlformats.org/officeDocument/2006/relationships/hyperlink" Target="https://www.w3.org/WAI/standards-guidelines/wcag/" TargetMode="External"/><Relationship Id="rId423" Type="http://schemas.openxmlformats.org/officeDocument/2006/relationships/hyperlink" Target="https://www.legislation.gov.au/C2004A01224/" TargetMode="External"/><Relationship Id="rId258" Type="http://schemas.openxmlformats.org/officeDocument/2006/relationships/hyperlink" Target="https://www.legislation.gov.au/C2004A01224/" TargetMode="External"/><Relationship Id="rId465" Type="http://schemas.openxmlformats.org/officeDocument/2006/relationships/hyperlink" Target="https://www.legislation.gov.au/latest/C2016C00186" TargetMode="External"/><Relationship Id="rId630" Type="http://schemas.openxmlformats.org/officeDocument/2006/relationships/hyperlink" Target="https://www.opc.gov.au/sites/default/files/2024-01/Instrument%20Drafting%20Guidance%20Note%20No.%201.4%20-%20Timeframes%20for%20the%20development%20of%20instruments_0.pdf" TargetMode="External"/><Relationship Id="rId672" Type="http://schemas.openxmlformats.org/officeDocument/2006/relationships/hyperlink" Target="mailto:instrument.instructions@opc.gov.au?subject=Instructions%20on" TargetMode="External"/><Relationship Id="rId22" Type="http://schemas.openxmlformats.org/officeDocument/2006/relationships/hyperlink" Target="https://www.legislation.gov.au/C2004A01224/" TargetMode="External"/><Relationship Id="rId64" Type="http://schemas.openxmlformats.org/officeDocument/2006/relationships/hyperlink" Target="https://www.legislation.gov.au/C2004A01224/" TargetMode="External"/><Relationship Id="rId118" Type="http://schemas.openxmlformats.org/officeDocument/2006/relationships/hyperlink" Target="https://www.legislation.gov.au/latest/F2015L01475" TargetMode="External"/><Relationship Id="rId325" Type="http://schemas.openxmlformats.org/officeDocument/2006/relationships/hyperlink" Target="mailto:compilations@opc.gov.au" TargetMode="External"/><Relationship Id="rId367" Type="http://schemas.openxmlformats.org/officeDocument/2006/relationships/hyperlink" Target="mailto:lodge@legislation.gov.au" TargetMode="External"/><Relationship Id="rId532" Type="http://schemas.openxmlformats.org/officeDocument/2006/relationships/hyperlink" Target="http://www.comlaw.gov.au/Current/C2013C00032" TargetMode="External"/><Relationship Id="rId574" Type="http://schemas.openxmlformats.org/officeDocument/2006/relationships/hyperlink" Target="https://www.legislation.gov.au/C2004A01224/latest/text" TargetMode="External"/><Relationship Id="rId171" Type="http://schemas.openxmlformats.org/officeDocument/2006/relationships/hyperlink" Target="https://www.legislation.gov.au/C2004A01224/" TargetMode="External"/><Relationship Id="rId227" Type="http://schemas.openxmlformats.org/officeDocument/2006/relationships/hyperlink" Target="https://www.opc.gov.au/drafting-resources/drafting-directions" TargetMode="External"/><Relationship Id="rId269" Type="http://schemas.openxmlformats.org/officeDocument/2006/relationships/hyperlink" Target="https://www.legislation.gov.au/C2004A01224/" TargetMode="External"/><Relationship Id="rId434" Type="http://schemas.openxmlformats.org/officeDocument/2006/relationships/hyperlink" Target="https://www.legislation.gov.au/latest/C2016C00186" TargetMode="External"/><Relationship Id="rId476" Type="http://schemas.openxmlformats.org/officeDocument/2006/relationships/hyperlink" Target="http://www.comlaw.gov.au/Current/C2013C00032" TargetMode="External"/><Relationship Id="rId641" Type="http://schemas.openxmlformats.org/officeDocument/2006/relationships/hyperlink" Target="http://www.comlaw.gov.au/Current/C2013C00032" TargetMode="External"/><Relationship Id="rId683" Type="http://schemas.openxmlformats.org/officeDocument/2006/relationships/hyperlink" Target="https://www.ag.gov.au/rights-and-protections/human-rights-and-anti-discrimination/human-rights-scrutiny" TargetMode="External"/><Relationship Id="rId33" Type="http://schemas.openxmlformats.org/officeDocument/2006/relationships/hyperlink" Target="https://www.legislation.gov.au/C2004A01224/" TargetMode="External"/><Relationship Id="rId129" Type="http://schemas.openxmlformats.org/officeDocument/2006/relationships/hyperlink" Target="https://www.opc.gov.au/drafting-resources/client-advisers" TargetMode="External"/><Relationship Id="rId280" Type="http://schemas.openxmlformats.org/officeDocument/2006/relationships/hyperlink" Target="https://www.legislation.gov.au/C2004A01224/" TargetMode="External"/><Relationship Id="rId336" Type="http://schemas.openxmlformats.org/officeDocument/2006/relationships/footer" Target="footer8.xml"/><Relationship Id="rId501" Type="http://schemas.openxmlformats.org/officeDocument/2006/relationships/hyperlink" Target="https://www.legislation.gov.au/C2004A01224/latest/text" TargetMode="External"/><Relationship Id="rId543" Type="http://schemas.openxmlformats.org/officeDocument/2006/relationships/hyperlink" Target="https://www.legislation.gov.au/C2004A01224/latest/text" TargetMode="External"/><Relationship Id="rId75" Type="http://schemas.openxmlformats.org/officeDocument/2006/relationships/hyperlink" Target="https://www.legislation.gov.au/F2015L01475/latest/text" TargetMode="External"/><Relationship Id="rId140" Type="http://schemas.openxmlformats.org/officeDocument/2006/relationships/hyperlink" Target="https://www.legislation.gov.au/C2004A01224/" TargetMode="External"/><Relationship Id="rId182" Type="http://schemas.openxmlformats.org/officeDocument/2006/relationships/hyperlink" Target="https://www.legislation.gov.au/latest/C2016C00151" TargetMode="External"/><Relationship Id="rId378" Type="http://schemas.openxmlformats.org/officeDocument/2006/relationships/hyperlink" Target="mailto:compilations@opc.gov.au" TargetMode="External"/><Relationship Id="rId403" Type="http://schemas.openxmlformats.org/officeDocument/2006/relationships/hyperlink" Target="https://www.legislation.gov.au/C2004A01224/" TargetMode="External"/><Relationship Id="rId585" Type="http://schemas.openxmlformats.org/officeDocument/2006/relationships/hyperlink" Target="https://www.legislation.gov.au/C2004A01224/latest/text" TargetMode="External"/><Relationship Id="rId6" Type="http://schemas.openxmlformats.org/officeDocument/2006/relationships/footnotes" Target="footnotes.xml"/><Relationship Id="rId238" Type="http://schemas.openxmlformats.org/officeDocument/2006/relationships/hyperlink" Target="https://lodge.legislation.gov.au" TargetMode="External"/><Relationship Id="rId445" Type="http://schemas.openxmlformats.org/officeDocument/2006/relationships/hyperlink" Target="mailto:helpdesk-OIA@pmc.gov.au" TargetMode="External"/><Relationship Id="rId487" Type="http://schemas.openxmlformats.org/officeDocument/2006/relationships/footer" Target="footer11.xml"/><Relationship Id="rId610" Type="http://schemas.openxmlformats.org/officeDocument/2006/relationships/hyperlink" Target="http://www.comlaw.gov.au/Current/C2013C00032" TargetMode="External"/><Relationship Id="rId652" Type="http://schemas.openxmlformats.org/officeDocument/2006/relationships/hyperlink" Target="https://www.legislation.gov.au/latest/C2016C00186" TargetMode="External"/><Relationship Id="rId694" Type="http://schemas.openxmlformats.org/officeDocument/2006/relationships/hyperlink" Target="https://www.opc.gov.au/publications/opcs-drafting-services-guide-clients" TargetMode="External"/><Relationship Id="rId708" Type="http://schemas.openxmlformats.org/officeDocument/2006/relationships/hyperlink" Target="mailto:table.office.reps@aph.gov.au" TargetMode="External"/><Relationship Id="rId291" Type="http://schemas.openxmlformats.org/officeDocument/2006/relationships/hyperlink" Target="https://www.legislation.gov.au/C2004A01224/" TargetMode="External"/><Relationship Id="rId305" Type="http://schemas.openxmlformats.org/officeDocument/2006/relationships/hyperlink" Target="https://lodge.legislation.gov.au/" TargetMode="External"/><Relationship Id="rId347" Type="http://schemas.openxmlformats.org/officeDocument/2006/relationships/hyperlink" Target="mailto:lodge@legislation.gov.au" TargetMode="External"/><Relationship Id="rId512" Type="http://schemas.openxmlformats.org/officeDocument/2006/relationships/hyperlink" Target="https://www.legislation.gov.au/C2004A01224/latest/text" TargetMode="External"/><Relationship Id="rId44" Type="http://schemas.openxmlformats.org/officeDocument/2006/relationships/hyperlink" Target="https://www.legislation.gov.au/C2004A01224/" TargetMode="External"/><Relationship Id="rId86" Type="http://schemas.openxmlformats.org/officeDocument/2006/relationships/hyperlink" Target="https://www.legislation.gov.au/latest/F2015L01475" TargetMode="External"/><Relationship Id="rId151" Type="http://schemas.openxmlformats.org/officeDocument/2006/relationships/hyperlink" Target="https://www.opc.gov.au/drafting-resources/drafting-directions" TargetMode="External"/><Relationship Id="rId389" Type="http://schemas.openxmlformats.org/officeDocument/2006/relationships/hyperlink" Target="https://www.legislation.gov.au/terms-of-use" TargetMode="External"/><Relationship Id="rId554" Type="http://schemas.openxmlformats.org/officeDocument/2006/relationships/hyperlink" Target="https://www.legislation.gov.au/C2004A01224/latest/text" TargetMode="External"/><Relationship Id="rId596" Type="http://schemas.openxmlformats.org/officeDocument/2006/relationships/hyperlink" Target="https://www.legislation.gov.au/C2004A01224/latest/text" TargetMode="External"/><Relationship Id="rId193" Type="http://schemas.openxmlformats.org/officeDocument/2006/relationships/hyperlink" Target="https://www.legislation.gov.au/C2004A01224/" TargetMode="External"/><Relationship Id="rId207" Type="http://schemas.openxmlformats.org/officeDocument/2006/relationships/hyperlink" Target="https://www.legislation.gov.au/C2004A01224/" TargetMode="External"/><Relationship Id="rId249" Type="http://schemas.openxmlformats.org/officeDocument/2006/relationships/hyperlink" Target="https://www.legislation.gov.au/C2004A01224/" TargetMode="External"/><Relationship Id="rId414" Type="http://schemas.openxmlformats.org/officeDocument/2006/relationships/hyperlink" Target="mailto:helpdesk-OIA@pmc.gov.au" TargetMode="External"/><Relationship Id="rId456" Type="http://schemas.openxmlformats.org/officeDocument/2006/relationships/hyperlink" Target="http://www.comlaw.gov.au/Current/C2013C00032" TargetMode="External"/><Relationship Id="rId498" Type="http://schemas.openxmlformats.org/officeDocument/2006/relationships/hyperlink" Target="https://www.legislation.gov.au/C2004A01224/latest/text" TargetMode="External"/><Relationship Id="rId621" Type="http://schemas.openxmlformats.org/officeDocument/2006/relationships/hyperlink" Target="https://www.legislation.gov.au/C2004A01224/latest/text" TargetMode="External"/><Relationship Id="rId663" Type="http://schemas.openxmlformats.org/officeDocument/2006/relationships/hyperlink" Target="http://www.comlaw.gov.au/Current/C2013C00032" TargetMode="External"/><Relationship Id="rId13" Type="http://schemas.openxmlformats.org/officeDocument/2006/relationships/hyperlink" Target="https://www.legislation.gov.au/F2015L01475/latest/text" TargetMode="External"/><Relationship Id="rId109" Type="http://schemas.openxmlformats.org/officeDocument/2006/relationships/hyperlink" Target="https://www.legislation.gov.au/C2004A01224/" TargetMode="External"/><Relationship Id="rId260" Type="http://schemas.openxmlformats.org/officeDocument/2006/relationships/hyperlink" Target="https://www.legislation.gov.au/C2004A01224/" TargetMode="External"/><Relationship Id="rId316" Type="http://schemas.openxmlformats.org/officeDocument/2006/relationships/hyperlink" Target="mailto:lodge@legislation.gov.au" TargetMode="External"/><Relationship Id="rId523" Type="http://schemas.openxmlformats.org/officeDocument/2006/relationships/hyperlink" Target="https://www.legislation.gov.au/latest/C2016C00186" TargetMode="External"/><Relationship Id="rId719" Type="http://schemas.openxmlformats.org/officeDocument/2006/relationships/footer" Target="footer18.xml"/><Relationship Id="rId55" Type="http://schemas.openxmlformats.org/officeDocument/2006/relationships/hyperlink" Target="https://www.legislation.gov.au/C2004A01224/" TargetMode="External"/><Relationship Id="rId97" Type="http://schemas.openxmlformats.org/officeDocument/2006/relationships/hyperlink" Target="https://www.legislation.gov.au/F2015L01475/latest/text" TargetMode="External"/><Relationship Id="rId120" Type="http://schemas.openxmlformats.org/officeDocument/2006/relationships/hyperlink" Target="https://www.legislation.gov.au/C2004A01224/" TargetMode="External"/><Relationship Id="rId358" Type="http://schemas.openxmlformats.org/officeDocument/2006/relationships/hyperlink" Target="https://www.legislation.gov.au/C2004A01224/" TargetMode="External"/><Relationship Id="rId565" Type="http://schemas.openxmlformats.org/officeDocument/2006/relationships/hyperlink" Target="https://www.legislation.gov.au/C2004A01224/latest/text" TargetMode="External"/><Relationship Id="rId162" Type="http://schemas.openxmlformats.org/officeDocument/2006/relationships/hyperlink" Target="https://www.legislation.gov.au/C2004A01224/" TargetMode="External"/><Relationship Id="rId218" Type="http://schemas.openxmlformats.org/officeDocument/2006/relationships/hyperlink" Target="https://www.legislation.gov.au/terms-of-use" TargetMode="External"/><Relationship Id="rId425" Type="http://schemas.openxmlformats.org/officeDocument/2006/relationships/hyperlink" Target="https://www.legislation.gov.au/latest/C2016C00186" TargetMode="External"/><Relationship Id="rId467" Type="http://schemas.openxmlformats.org/officeDocument/2006/relationships/hyperlink" Target="http://www.comlaw.gov.au/Current/C2013C00032" TargetMode="External"/><Relationship Id="rId632" Type="http://schemas.openxmlformats.org/officeDocument/2006/relationships/hyperlink" Target="mailto:helpdesk-OIA@pmc.gov.au" TargetMode="External"/><Relationship Id="rId271" Type="http://schemas.openxmlformats.org/officeDocument/2006/relationships/hyperlink" Target="https://www.legislation.gov.au/C2004A01224/" TargetMode="External"/><Relationship Id="rId674" Type="http://schemas.openxmlformats.org/officeDocument/2006/relationships/header" Target="header10.xml"/><Relationship Id="rId24" Type="http://schemas.openxmlformats.org/officeDocument/2006/relationships/hyperlink" Target="https://www.legislation.gov.au/C1903A00018/latest/text" TargetMode="External"/><Relationship Id="rId66" Type="http://schemas.openxmlformats.org/officeDocument/2006/relationships/hyperlink" Target="https://www.legislation.gov.au/C2004A01224/" TargetMode="External"/><Relationship Id="rId131" Type="http://schemas.openxmlformats.org/officeDocument/2006/relationships/hyperlink" Target="https://www.opc.gov.au/" TargetMode="External"/><Relationship Id="rId327" Type="http://schemas.openxmlformats.org/officeDocument/2006/relationships/hyperlink" Target="https://www.legislation.gov.au/C2004A01224/latest/text" TargetMode="External"/><Relationship Id="rId369" Type="http://schemas.openxmlformats.org/officeDocument/2006/relationships/hyperlink" Target="https://www.legislation.gov.au/C2004A01224/" TargetMode="External"/><Relationship Id="rId534" Type="http://schemas.openxmlformats.org/officeDocument/2006/relationships/hyperlink" Target="https://www.legislation.gov.au/C2004A01224/latest/text" TargetMode="External"/><Relationship Id="rId576" Type="http://schemas.openxmlformats.org/officeDocument/2006/relationships/hyperlink" Target="http://www.comlaw.gov.au/Current/C2013C00032" TargetMode="External"/><Relationship Id="rId173" Type="http://schemas.openxmlformats.org/officeDocument/2006/relationships/hyperlink" Target="https://www.legislation.gov.au/C2004A01224/" TargetMode="External"/><Relationship Id="rId229" Type="http://schemas.openxmlformats.org/officeDocument/2006/relationships/hyperlink" Target="https://www.opc.gov.au/drafting-resources/client-advisers" TargetMode="External"/><Relationship Id="rId380" Type="http://schemas.openxmlformats.org/officeDocument/2006/relationships/hyperlink" Target="https://www.legislation.gov.au/F2026L00129/latest/text" TargetMode="External"/><Relationship Id="rId436" Type="http://schemas.openxmlformats.org/officeDocument/2006/relationships/hyperlink" Target="https://www.legislation.gov.au/C2004A01224/latest/text" TargetMode="External"/><Relationship Id="rId601" Type="http://schemas.openxmlformats.org/officeDocument/2006/relationships/footer" Target="footer12.xml"/><Relationship Id="rId643" Type="http://schemas.openxmlformats.org/officeDocument/2006/relationships/hyperlink" Target="https://www.legislation.gov.au/C2004A01224/latest/text" TargetMode="External"/><Relationship Id="rId240" Type="http://schemas.openxmlformats.org/officeDocument/2006/relationships/hyperlink" Target="https://www.legislation.gov.au/F2026L00129/latest/text" TargetMode="External"/><Relationship Id="rId478" Type="http://schemas.openxmlformats.org/officeDocument/2006/relationships/hyperlink" Target="https://www.legislation.gov.au/C2004A01224/latest/text" TargetMode="External"/><Relationship Id="rId685" Type="http://schemas.openxmlformats.org/officeDocument/2006/relationships/hyperlink" Target="https://www.ag.gov.au/LegalSystem/AdministrativeLaw/Pages/LegislationAct2003.aspx" TargetMode="External"/><Relationship Id="rId35" Type="http://schemas.openxmlformats.org/officeDocument/2006/relationships/header" Target="header1.xml"/><Relationship Id="rId77" Type="http://schemas.openxmlformats.org/officeDocument/2006/relationships/hyperlink" Target="https://www.legislation.gov.au/C2004A01224/" TargetMode="External"/><Relationship Id="rId100" Type="http://schemas.openxmlformats.org/officeDocument/2006/relationships/hyperlink" Target="https://www.legislation.gov.au/latest/F2015L01475" TargetMode="External"/><Relationship Id="rId282" Type="http://schemas.openxmlformats.org/officeDocument/2006/relationships/hyperlink" Target="mailto:compilations@opc.gov.au" TargetMode="External"/><Relationship Id="rId338" Type="http://schemas.openxmlformats.org/officeDocument/2006/relationships/hyperlink" Target="https://www.legislation.gov.au/C2004A01224/" TargetMode="External"/><Relationship Id="rId503" Type="http://schemas.openxmlformats.org/officeDocument/2006/relationships/hyperlink" Target="https://www.legislation.gov.au/latest/C2016C00186" TargetMode="External"/><Relationship Id="rId545" Type="http://schemas.openxmlformats.org/officeDocument/2006/relationships/hyperlink" Target="https://www.legislation.gov.au/latest/C2016C00186" TargetMode="External"/><Relationship Id="rId587" Type="http://schemas.openxmlformats.org/officeDocument/2006/relationships/hyperlink" Target="http://www.comlaw.gov.au/Current/C2013C00032" TargetMode="External"/><Relationship Id="rId710" Type="http://schemas.openxmlformats.org/officeDocument/2006/relationships/hyperlink" Target="mailto:adminlaw@ag.gov.au" TargetMode="External"/><Relationship Id="rId8" Type="http://schemas.openxmlformats.org/officeDocument/2006/relationships/image" Target="media/image1.jpeg"/><Relationship Id="rId142" Type="http://schemas.openxmlformats.org/officeDocument/2006/relationships/hyperlink" Target="https://www.legislation.gov.au/C2004A01224/" TargetMode="External"/><Relationship Id="rId184" Type="http://schemas.openxmlformats.org/officeDocument/2006/relationships/hyperlink" Target="https://www.opc.gov.au/publications/amending-forms-manual" TargetMode="External"/><Relationship Id="rId391" Type="http://schemas.openxmlformats.org/officeDocument/2006/relationships/hyperlink" Target="https://www.legislation.gov.au/latest/C2016C00186" TargetMode="External"/><Relationship Id="rId405" Type="http://schemas.openxmlformats.org/officeDocument/2006/relationships/hyperlink" Target="https://www.legislation.gov.au/C2004A01224/" TargetMode="External"/><Relationship Id="rId447" Type="http://schemas.openxmlformats.org/officeDocument/2006/relationships/hyperlink" Target="https://www.legislation.gov.au/C2004A01224/latest/text" TargetMode="External"/><Relationship Id="rId612" Type="http://schemas.openxmlformats.org/officeDocument/2006/relationships/hyperlink" Target="mailto:helpdesk-obpr@pmc.gov.au" TargetMode="External"/><Relationship Id="rId251" Type="http://schemas.openxmlformats.org/officeDocument/2006/relationships/hyperlink" Target="https://www.legislation.gov.au" TargetMode="External"/><Relationship Id="rId489" Type="http://schemas.openxmlformats.org/officeDocument/2006/relationships/hyperlink" Target="http://www.comlaw.gov.au/Current/C2013C00032" TargetMode="External"/><Relationship Id="rId654" Type="http://schemas.openxmlformats.org/officeDocument/2006/relationships/hyperlink" Target="https://www.legislation.gov.au/C2004A01224/latest/text" TargetMode="External"/><Relationship Id="rId696" Type="http://schemas.openxmlformats.org/officeDocument/2006/relationships/hyperlink" Target="https://www.aph.gov.au/Parliamentary_Business/Committees/Senate/Regulations_and_Ordinances/Guidelines" TargetMode="External"/><Relationship Id="rId46" Type="http://schemas.openxmlformats.org/officeDocument/2006/relationships/hyperlink" Target="https://www.legislation.gov.au/C2004A01224/" TargetMode="External"/><Relationship Id="rId293" Type="http://schemas.openxmlformats.org/officeDocument/2006/relationships/hyperlink" Target="https://www.legislation.gov.au/C2004A01224/" TargetMode="External"/><Relationship Id="rId307" Type="http://schemas.openxmlformats.org/officeDocument/2006/relationships/hyperlink" Target="https://www.legislation.gov.au/F2026L00129/latest/text" TargetMode="External"/><Relationship Id="rId349" Type="http://schemas.openxmlformats.org/officeDocument/2006/relationships/hyperlink" Target="https://www.legislation.gov.au/Feedback" TargetMode="External"/><Relationship Id="rId514" Type="http://schemas.openxmlformats.org/officeDocument/2006/relationships/hyperlink" Target="https://www.legislation.gov.au/latest/C2016C00186" TargetMode="External"/><Relationship Id="rId556" Type="http://schemas.openxmlformats.org/officeDocument/2006/relationships/hyperlink" Target="http://www.comlaw.gov.au/Current/C2013C00032" TargetMode="External"/><Relationship Id="rId721" Type="http://schemas.openxmlformats.org/officeDocument/2006/relationships/footer" Target="footer19.xml"/><Relationship Id="rId88" Type="http://schemas.openxmlformats.org/officeDocument/2006/relationships/hyperlink" Target="https://www.legislation.gov.au/latest/F2015L01475" TargetMode="External"/><Relationship Id="rId111" Type="http://schemas.openxmlformats.org/officeDocument/2006/relationships/hyperlink" Target="https://www.legislation.gov.au/C2004A01224/" TargetMode="External"/><Relationship Id="rId153" Type="http://schemas.openxmlformats.org/officeDocument/2006/relationships/image" Target="media/image5.png"/><Relationship Id="rId195" Type="http://schemas.openxmlformats.org/officeDocument/2006/relationships/hyperlink" Target="https://www.legislation.gov.au/C2004A01224/" TargetMode="External"/><Relationship Id="rId209" Type="http://schemas.openxmlformats.org/officeDocument/2006/relationships/hyperlink" Target="https://www.legislation.gov.au/C2004A03712/latest/text" TargetMode="External"/><Relationship Id="rId360" Type="http://schemas.openxmlformats.org/officeDocument/2006/relationships/hyperlink" Target="https://www.legislation.gov.au/C2004A01224/" TargetMode="External"/><Relationship Id="rId416" Type="http://schemas.openxmlformats.org/officeDocument/2006/relationships/footer" Target="footer10.xml"/><Relationship Id="rId598" Type="http://schemas.openxmlformats.org/officeDocument/2006/relationships/hyperlink" Target="http://www.comlaw.gov.au/Current/C2013C00032" TargetMode="External"/><Relationship Id="rId220" Type="http://schemas.openxmlformats.org/officeDocument/2006/relationships/hyperlink" Target="https://www.legislation.gov.au/C2004A01224/latest/text" TargetMode="External"/><Relationship Id="rId458" Type="http://schemas.openxmlformats.org/officeDocument/2006/relationships/hyperlink" Target="https://www.legislation.gov.au/C2011A00186/latest/text" TargetMode="External"/><Relationship Id="rId623" Type="http://schemas.openxmlformats.org/officeDocument/2006/relationships/hyperlink" Target="https://www.legislation.gov.au/latest/C2016C00186" TargetMode="External"/><Relationship Id="rId665" Type="http://schemas.openxmlformats.org/officeDocument/2006/relationships/hyperlink" Target="https://www.legislation.gov.au/C2004A01224/latest/text" TargetMode="External"/><Relationship Id="rId15" Type="http://schemas.openxmlformats.org/officeDocument/2006/relationships/hyperlink" Target="https://www.legislation.gov.au/F2025L01591/asmade/text" TargetMode="External"/><Relationship Id="rId57" Type="http://schemas.openxmlformats.org/officeDocument/2006/relationships/hyperlink" Target="https://www.legislation.gov.au/latest/F2015L01475" TargetMode="External"/><Relationship Id="rId262" Type="http://schemas.openxmlformats.org/officeDocument/2006/relationships/hyperlink" Target="https://www.legislation.gov.au/C2004A01224/" TargetMode="External"/><Relationship Id="rId318" Type="http://schemas.openxmlformats.org/officeDocument/2006/relationships/image" Target="media/image9.png"/><Relationship Id="rId525" Type="http://schemas.openxmlformats.org/officeDocument/2006/relationships/hyperlink" Target="https://www.legislation.gov.au/C2004A01224/" TargetMode="External"/><Relationship Id="rId567" Type="http://schemas.openxmlformats.org/officeDocument/2006/relationships/hyperlink" Target="http://www.comlaw.gov.au/Current/C2013C00032" TargetMode="External"/><Relationship Id="rId99" Type="http://schemas.openxmlformats.org/officeDocument/2006/relationships/hyperlink" Target="https://www.legislation.gov.au/F2015L01475/latest/text" TargetMode="External"/><Relationship Id="rId122" Type="http://schemas.openxmlformats.org/officeDocument/2006/relationships/hyperlink" Target="https://www.legislation.gov.au/F2026L00129/latest/text" TargetMode="External"/><Relationship Id="rId164" Type="http://schemas.openxmlformats.org/officeDocument/2006/relationships/hyperlink" Target="https://www.legislation.gov.au/C2004A01224/" TargetMode="External"/><Relationship Id="rId371" Type="http://schemas.openxmlformats.org/officeDocument/2006/relationships/hyperlink" Target="https://www.legislation.gov.au/C2004A01224/" TargetMode="External"/><Relationship Id="rId427" Type="http://schemas.openxmlformats.org/officeDocument/2006/relationships/hyperlink" Target="https://www.legislation.gov.au/latest/C2016C00186" TargetMode="External"/><Relationship Id="rId469" Type="http://schemas.openxmlformats.org/officeDocument/2006/relationships/hyperlink" Target="https://www.legislation.gov.au/latest/C2016C00186" TargetMode="External"/><Relationship Id="rId634" Type="http://schemas.openxmlformats.org/officeDocument/2006/relationships/hyperlink" Target="https://www.legislation.gov.au/C2004A01224/" TargetMode="External"/><Relationship Id="rId676" Type="http://schemas.openxmlformats.org/officeDocument/2006/relationships/header" Target="header11.xml"/><Relationship Id="rId26" Type="http://schemas.openxmlformats.org/officeDocument/2006/relationships/hyperlink" Target="https://www.legislation.gov.au/C2015A00010/" TargetMode="External"/><Relationship Id="rId231" Type="http://schemas.openxmlformats.org/officeDocument/2006/relationships/hyperlink" Target="https://www.legislation.gov.au/C2004A01224/" TargetMode="External"/><Relationship Id="rId273" Type="http://schemas.openxmlformats.org/officeDocument/2006/relationships/hyperlink" Target="https://www.legislation.gov.au/F2026L00129/latest/text" TargetMode="External"/><Relationship Id="rId329" Type="http://schemas.openxmlformats.org/officeDocument/2006/relationships/hyperlink" Target="mailto:compilations@opc.gov.au" TargetMode="External"/><Relationship Id="rId480" Type="http://schemas.openxmlformats.org/officeDocument/2006/relationships/hyperlink" Target="https://www.legislation.gov.au/latest/C2016C00186" TargetMode="External"/><Relationship Id="rId536" Type="http://schemas.openxmlformats.org/officeDocument/2006/relationships/hyperlink" Target="http://www.comlaw.gov.au/Current/C2013C00032" TargetMode="External"/><Relationship Id="rId701" Type="http://schemas.openxmlformats.org/officeDocument/2006/relationships/hyperlink" Target="mailto:instrument.instructions@opc.gov.au?subject=Instructions%20on" TargetMode="External"/><Relationship Id="rId68" Type="http://schemas.openxmlformats.org/officeDocument/2006/relationships/hyperlink" Target="https://www.legislation.gov.au/C2004A01224/" TargetMode="External"/><Relationship Id="rId133" Type="http://schemas.openxmlformats.org/officeDocument/2006/relationships/hyperlink" Target="https://www.legislation.gov.au/C1901A00002/latest/text" TargetMode="External"/><Relationship Id="rId175" Type="http://schemas.openxmlformats.org/officeDocument/2006/relationships/hyperlink" Target="https://www.legislation.gov.au/latest/C2016C00151" TargetMode="External"/><Relationship Id="rId340" Type="http://schemas.openxmlformats.org/officeDocument/2006/relationships/hyperlink" Target="https://www.legislation.gov.au/C2004A01224/" TargetMode="External"/><Relationship Id="rId578" Type="http://schemas.openxmlformats.org/officeDocument/2006/relationships/hyperlink" Target="https://www.legislation.gov.au/C2004A01224/latest/text" TargetMode="External"/><Relationship Id="rId200" Type="http://schemas.openxmlformats.org/officeDocument/2006/relationships/hyperlink" Target="https://www.legislation.gov.au/C2004A01224/" TargetMode="External"/><Relationship Id="rId382" Type="http://schemas.openxmlformats.org/officeDocument/2006/relationships/hyperlink" Target="https://www.legislation.gov.au/F2026L00129/latest/text" TargetMode="External"/><Relationship Id="rId438" Type="http://schemas.openxmlformats.org/officeDocument/2006/relationships/hyperlink" Target="http://www.comlaw.gov.au/Current/C2013C00032" TargetMode="External"/><Relationship Id="rId603" Type="http://schemas.openxmlformats.org/officeDocument/2006/relationships/hyperlink" Target="https://www.legislation.gov.au/C2004A01224/" TargetMode="External"/><Relationship Id="rId645" Type="http://schemas.openxmlformats.org/officeDocument/2006/relationships/hyperlink" Target="http://www.comlaw.gov.au/Current/C2013C00032" TargetMode="External"/><Relationship Id="rId687" Type="http://schemas.openxmlformats.org/officeDocument/2006/relationships/hyperlink" Target="https://www.apsacademy.gov.au/aps-craft/strategy-policy-evaluation/delivering-great-policy" TargetMode="External"/><Relationship Id="rId242" Type="http://schemas.openxmlformats.org/officeDocument/2006/relationships/hyperlink" Target="https://www.legislation.gov.au/F2026L00129/latest/text" TargetMode="External"/><Relationship Id="rId284" Type="http://schemas.openxmlformats.org/officeDocument/2006/relationships/hyperlink" Target="https://www.legislation.gov.au/C2004A01224/" TargetMode="External"/><Relationship Id="rId491" Type="http://schemas.openxmlformats.org/officeDocument/2006/relationships/hyperlink" Target="https://www.legislation.gov.au/latest/C2016C00186" TargetMode="External"/><Relationship Id="rId505" Type="http://schemas.openxmlformats.org/officeDocument/2006/relationships/hyperlink" Target="http://www.comlaw.gov.au/Current/C2013C00032" TargetMode="External"/><Relationship Id="rId712" Type="http://schemas.openxmlformats.org/officeDocument/2006/relationships/hyperlink" Target="mailto:humanrights@ag.gov.au" TargetMode="External"/><Relationship Id="rId37" Type="http://schemas.openxmlformats.org/officeDocument/2006/relationships/footer" Target="footer4.xml"/><Relationship Id="rId79" Type="http://schemas.openxmlformats.org/officeDocument/2006/relationships/hyperlink" Target="https://www.comlaw.gov.au/Current/F2015L01475/" TargetMode="External"/><Relationship Id="rId102" Type="http://schemas.openxmlformats.org/officeDocument/2006/relationships/hyperlink" Target="https://www.legislation.gov.au/C2004A01224/" TargetMode="External"/><Relationship Id="rId144" Type="http://schemas.openxmlformats.org/officeDocument/2006/relationships/hyperlink" Target="https://www.opc.gov.au/drafting-resources/drafting-directions" TargetMode="External"/><Relationship Id="rId547" Type="http://schemas.openxmlformats.org/officeDocument/2006/relationships/hyperlink" Target="https://www.comlaw.gov.au/Current/F2015L01475/" TargetMode="External"/><Relationship Id="rId589" Type="http://schemas.openxmlformats.org/officeDocument/2006/relationships/hyperlink" Target="https://www.legislation.gov.au/C2004A01224/latest/text" TargetMode="External"/><Relationship Id="rId90" Type="http://schemas.openxmlformats.org/officeDocument/2006/relationships/hyperlink" Target="https://www.legislation.gov.au/latest/F2015L01475" TargetMode="External"/><Relationship Id="rId186" Type="http://schemas.openxmlformats.org/officeDocument/2006/relationships/hyperlink" Target="https://www.legislation.gov.au/C2004A01224/" TargetMode="External"/><Relationship Id="rId351" Type="http://schemas.openxmlformats.org/officeDocument/2006/relationships/hyperlink" Target="https://www.legislation.gov.au/C2004A01224/" TargetMode="External"/><Relationship Id="rId393" Type="http://schemas.openxmlformats.org/officeDocument/2006/relationships/hyperlink" Target="https://www.legislation.gov.au/C2004A01224/" TargetMode="External"/><Relationship Id="rId407" Type="http://schemas.openxmlformats.org/officeDocument/2006/relationships/hyperlink" Target="https://www.legislation.gov.au/C2004A01224/" TargetMode="External"/><Relationship Id="rId449" Type="http://schemas.openxmlformats.org/officeDocument/2006/relationships/hyperlink" Target="http://www.comlaw.gov.au/Current/C2013C00032" TargetMode="External"/><Relationship Id="rId614" Type="http://schemas.openxmlformats.org/officeDocument/2006/relationships/hyperlink" Target="https://www.legislation.gov.au/C2004A01224/latest/text" TargetMode="External"/><Relationship Id="rId656" Type="http://schemas.openxmlformats.org/officeDocument/2006/relationships/hyperlink" Target="https://www.legislation.gov.au/latest/C2016C00186" TargetMode="External"/><Relationship Id="rId211" Type="http://schemas.openxmlformats.org/officeDocument/2006/relationships/hyperlink" Target="https://www.legislation.gov.au/F2026L00129/latest/text" TargetMode="External"/><Relationship Id="rId253" Type="http://schemas.openxmlformats.org/officeDocument/2006/relationships/hyperlink" Target="https://www.opc.gov.au/" TargetMode="External"/><Relationship Id="rId295" Type="http://schemas.openxmlformats.org/officeDocument/2006/relationships/hyperlink" Target="https://www.legislation.gov.au/C2004A01224/" TargetMode="External"/><Relationship Id="rId309" Type="http://schemas.openxmlformats.org/officeDocument/2006/relationships/hyperlink" Target="https://www.legislation.gov.au/C2004A01224/" TargetMode="External"/><Relationship Id="rId460" Type="http://schemas.openxmlformats.org/officeDocument/2006/relationships/hyperlink" Target="http://www.comlaw.gov.au/Current/C2013C00032" TargetMode="External"/><Relationship Id="rId516" Type="http://schemas.openxmlformats.org/officeDocument/2006/relationships/hyperlink" Target="http://www.comlaw.gov.au/Current/C2013C00032" TargetMode="External"/><Relationship Id="rId698" Type="http://schemas.openxmlformats.org/officeDocument/2006/relationships/footer" Target="footer15.xml"/><Relationship Id="rId48" Type="http://schemas.openxmlformats.org/officeDocument/2006/relationships/hyperlink" Target="https://www.legislation.gov.au/C2004A01224/" TargetMode="External"/><Relationship Id="rId113" Type="http://schemas.openxmlformats.org/officeDocument/2006/relationships/hyperlink" Target="https://www.legislation.gov.au/C2004A01224/" TargetMode="External"/><Relationship Id="rId320" Type="http://schemas.openxmlformats.org/officeDocument/2006/relationships/image" Target="media/image10.png"/><Relationship Id="rId558" Type="http://schemas.openxmlformats.org/officeDocument/2006/relationships/hyperlink" Target="https://www.legislation.gov.au/C2004A01224/latest/text" TargetMode="External"/><Relationship Id="rId723" Type="http://schemas.openxmlformats.org/officeDocument/2006/relationships/header" Target="header15.xml"/><Relationship Id="rId155" Type="http://schemas.openxmlformats.org/officeDocument/2006/relationships/hyperlink" Target="https://www.legislation.gov.au/C2004A01224/" TargetMode="External"/><Relationship Id="rId197" Type="http://schemas.openxmlformats.org/officeDocument/2006/relationships/hyperlink" Target="https://www.legislation.gov.au/C2004A01224/" TargetMode="External"/><Relationship Id="rId362" Type="http://schemas.openxmlformats.org/officeDocument/2006/relationships/hyperlink" Target="https://www.legislation.gov.au/C2004A01224/" TargetMode="External"/><Relationship Id="rId418" Type="http://schemas.openxmlformats.org/officeDocument/2006/relationships/hyperlink" Target="https://www.legislation.gov.au/latest/C2016C00151" TargetMode="External"/><Relationship Id="rId625" Type="http://schemas.openxmlformats.org/officeDocument/2006/relationships/hyperlink" Target="http://www.comlaw.gov.au/Current/C2013C00032" TargetMode="External"/><Relationship Id="rId222" Type="http://schemas.openxmlformats.org/officeDocument/2006/relationships/hyperlink" Target="https://www.legislation.gov.au/F2026L00129/latest/text" TargetMode="External"/><Relationship Id="rId264" Type="http://schemas.openxmlformats.org/officeDocument/2006/relationships/header" Target="header4.xml"/><Relationship Id="rId471" Type="http://schemas.openxmlformats.org/officeDocument/2006/relationships/hyperlink" Target="https://www.legislation.gov.au/C2004A01224/" TargetMode="External"/><Relationship Id="rId667" Type="http://schemas.openxmlformats.org/officeDocument/2006/relationships/hyperlink" Target="https://www.legislation.gov.au/latest/C2016C00186" TargetMode="External"/><Relationship Id="rId17" Type="http://schemas.openxmlformats.org/officeDocument/2006/relationships/hyperlink" Target="https://www.legislation.gov.au/C2004A01224/" TargetMode="External"/><Relationship Id="rId59" Type="http://schemas.openxmlformats.org/officeDocument/2006/relationships/hyperlink" Target="https://www.legislation.gov.au/C2004A01224/" TargetMode="External"/><Relationship Id="rId124" Type="http://schemas.openxmlformats.org/officeDocument/2006/relationships/footer" Target="footer5.xml"/><Relationship Id="rId527" Type="http://schemas.openxmlformats.org/officeDocument/2006/relationships/hyperlink" Target="http://www.comlaw.gov.au/Current/C2013C00032" TargetMode="External"/><Relationship Id="rId569" Type="http://schemas.openxmlformats.org/officeDocument/2006/relationships/hyperlink" Target="https://www.legislation.gov.au/C2004A01224/latest/text" TargetMode="External"/><Relationship Id="rId70" Type="http://schemas.openxmlformats.org/officeDocument/2006/relationships/hyperlink" Target="https://www.legislation.gov.au/C2004A01224/" TargetMode="External"/><Relationship Id="rId166" Type="http://schemas.openxmlformats.org/officeDocument/2006/relationships/hyperlink" Target="https://www.legislation.gov.au/C2004A01224/" TargetMode="External"/><Relationship Id="rId331" Type="http://schemas.openxmlformats.org/officeDocument/2006/relationships/hyperlink" Target="https://www.legislation.gov.au/C2004A01224/" TargetMode="External"/><Relationship Id="rId373" Type="http://schemas.openxmlformats.org/officeDocument/2006/relationships/hyperlink" Target="https://www.legislation.gov.au/C2004A01224/" TargetMode="External"/><Relationship Id="rId429" Type="http://schemas.openxmlformats.org/officeDocument/2006/relationships/hyperlink" Target="https://www.legislation.gov.au/C2004A01224/latest/text" TargetMode="External"/><Relationship Id="rId580" Type="http://schemas.openxmlformats.org/officeDocument/2006/relationships/hyperlink" Target="http://www.comlaw.gov.au/Current/C2013C00032" TargetMode="External"/><Relationship Id="rId636" Type="http://schemas.openxmlformats.org/officeDocument/2006/relationships/hyperlink" Target="http://www.comlaw.gov.au/Current/C2013C00032" TargetMode="External"/><Relationship Id="rId1" Type="http://schemas.openxmlformats.org/officeDocument/2006/relationships/customXml" Target="../customXml/item1.xml"/><Relationship Id="rId233" Type="http://schemas.openxmlformats.org/officeDocument/2006/relationships/hyperlink" Target="https://www.naa.gov.au/information-management/records-authorities/types-records-authorities/general-records-authority-31" TargetMode="External"/><Relationship Id="rId440" Type="http://schemas.openxmlformats.org/officeDocument/2006/relationships/hyperlink" Target="https://www.legislation.gov.au/latest/C2016C00186" TargetMode="External"/><Relationship Id="rId678" Type="http://schemas.openxmlformats.org/officeDocument/2006/relationships/hyperlink" Target="https://www.legislation.gov.au/C1901A00002/latest/text" TargetMode="External"/><Relationship Id="rId28" Type="http://schemas.openxmlformats.org/officeDocument/2006/relationships/hyperlink" Target="https://www.legislation.gov.au/C2004A01224/" TargetMode="External"/><Relationship Id="rId275" Type="http://schemas.openxmlformats.org/officeDocument/2006/relationships/hyperlink" Target="https://www.legislation.gov.au/C2004A01224/" TargetMode="External"/><Relationship Id="rId300" Type="http://schemas.openxmlformats.org/officeDocument/2006/relationships/hyperlink" Target="https://www.legislation.gov.au/F2026L00129/latest/text" TargetMode="External"/><Relationship Id="rId482" Type="http://schemas.openxmlformats.org/officeDocument/2006/relationships/hyperlink" Target="http://www.comlaw.gov.au/Current/C2013C00032" TargetMode="External"/><Relationship Id="rId538" Type="http://schemas.openxmlformats.org/officeDocument/2006/relationships/hyperlink" Target="https://www.legislation.gov.au/C2004A01224/latest/text" TargetMode="External"/><Relationship Id="rId703" Type="http://schemas.openxmlformats.org/officeDocument/2006/relationships/hyperlink" Target="mailto:compilations@opc.gov.au" TargetMode="External"/><Relationship Id="rId81" Type="http://schemas.openxmlformats.org/officeDocument/2006/relationships/hyperlink" Target="https://www.legislation.gov.au/C2004A01224/" TargetMode="External"/><Relationship Id="rId135" Type="http://schemas.openxmlformats.org/officeDocument/2006/relationships/hyperlink" Target="https://www.legislation.gov.au/C2004A01224/" TargetMode="External"/><Relationship Id="rId177" Type="http://schemas.openxmlformats.org/officeDocument/2006/relationships/hyperlink" Target="https://www.legislation.gov.au/C1901A00002/latest/text" TargetMode="External"/><Relationship Id="rId342" Type="http://schemas.openxmlformats.org/officeDocument/2006/relationships/hyperlink" Target="https://www.legislation.gov.au/latest/C2016C00186" TargetMode="External"/><Relationship Id="rId384" Type="http://schemas.openxmlformats.org/officeDocument/2006/relationships/hyperlink" Target="https://www.legislation.gov.au/terms-of-use" TargetMode="External"/><Relationship Id="rId591" Type="http://schemas.openxmlformats.org/officeDocument/2006/relationships/hyperlink" Target="http://www.comlaw.gov.au/Current/C2013C00032" TargetMode="External"/><Relationship Id="rId605" Type="http://schemas.openxmlformats.org/officeDocument/2006/relationships/hyperlink" Target="http://www.comlaw.gov.au/Current/C2013C00032" TargetMode="External"/><Relationship Id="rId202" Type="http://schemas.openxmlformats.org/officeDocument/2006/relationships/hyperlink" Target="https://www.comlaw.gov.au/Current/F2015L01475/" TargetMode="External"/><Relationship Id="rId244" Type="http://schemas.openxmlformats.org/officeDocument/2006/relationships/hyperlink" Target="https://www.legislation.gov.au/F2026L00129/latest/text" TargetMode="External"/><Relationship Id="rId647" Type="http://schemas.openxmlformats.org/officeDocument/2006/relationships/hyperlink" Target="https://www.legislation.gov.au/latest/C2016C00186" TargetMode="External"/><Relationship Id="rId689" Type="http://schemas.openxmlformats.org/officeDocument/2006/relationships/hyperlink" Target="https://www.pmc.gov.au/resources/tabling-guidelines" TargetMode="External"/><Relationship Id="rId39" Type="http://schemas.openxmlformats.org/officeDocument/2006/relationships/hyperlink" Target="https://www.legislation.gov.au/C2004A01224/" TargetMode="External"/><Relationship Id="rId286" Type="http://schemas.openxmlformats.org/officeDocument/2006/relationships/hyperlink" Target="mailto:compilations@opc.gov.au" TargetMode="External"/><Relationship Id="rId451" Type="http://schemas.openxmlformats.org/officeDocument/2006/relationships/hyperlink" Target="https://www.legislation.gov.au/C1901A00002/latest/text" TargetMode="External"/><Relationship Id="rId493" Type="http://schemas.openxmlformats.org/officeDocument/2006/relationships/hyperlink" Target="http://www.comlaw.gov.au/Current/C2013C00032" TargetMode="External"/><Relationship Id="rId507" Type="http://schemas.openxmlformats.org/officeDocument/2006/relationships/hyperlink" Target="https://www.legislation.gov.au/C2004A01224/latest/text" TargetMode="External"/><Relationship Id="rId549" Type="http://schemas.openxmlformats.org/officeDocument/2006/relationships/hyperlink" Target="https://www.legislation.gov.au/C2004A01224/latest/text" TargetMode="External"/><Relationship Id="rId714" Type="http://schemas.openxmlformats.org/officeDocument/2006/relationships/hyperlink" Target="mailto:helpdesk-OIA@pmc.gov.au" TargetMode="External"/><Relationship Id="rId50" Type="http://schemas.openxmlformats.org/officeDocument/2006/relationships/hyperlink" Target="https://www.legislation.gov.au/C2004A01224/" TargetMode="External"/><Relationship Id="rId104" Type="http://schemas.openxmlformats.org/officeDocument/2006/relationships/hyperlink" Target="https://www.legislation.gov.au/C2004A01224/" TargetMode="External"/><Relationship Id="rId146" Type="http://schemas.openxmlformats.org/officeDocument/2006/relationships/hyperlink" Target="https://www.legislation.gov.au/F2026L00129/latest/text" TargetMode="External"/><Relationship Id="rId188" Type="http://schemas.openxmlformats.org/officeDocument/2006/relationships/hyperlink" Target="https://www.legislation.gov.au/latest/C2016C00151" TargetMode="External"/><Relationship Id="rId311" Type="http://schemas.openxmlformats.org/officeDocument/2006/relationships/image" Target="media/image6.png"/><Relationship Id="rId353" Type="http://schemas.openxmlformats.org/officeDocument/2006/relationships/hyperlink" Target="https://www.legislation.gov.au/C2004A01224/" TargetMode="External"/><Relationship Id="rId395" Type="http://schemas.openxmlformats.org/officeDocument/2006/relationships/hyperlink" Target="https://www.legislation.gov.au/F2025L01591/asmade/text" TargetMode="External"/><Relationship Id="rId409" Type="http://schemas.openxmlformats.org/officeDocument/2006/relationships/hyperlink" Target="https://www.legislation.gov.au/C2004A01224/" TargetMode="External"/><Relationship Id="rId560" Type="http://schemas.openxmlformats.org/officeDocument/2006/relationships/hyperlink" Target="http://www.comlaw.gov.au/Current/C2013C00032" TargetMode="External"/><Relationship Id="rId92" Type="http://schemas.openxmlformats.org/officeDocument/2006/relationships/hyperlink" Target="https://www.legislation.gov.au/latest/F2015L01475" TargetMode="External"/><Relationship Id="rId213" Type="http://schemas.openxmlformats.org/officeDocument/2006/relationships/hyperlink" Target="mailto:compilations@opc.gov.au" TargetMode="External"/><Relationship Id="rId420" Type="http://schemas.openxmlformats.org/officeDocument/2006/relationships/hyperlink" Target="http://www.comlaw.gov.au/Current/C2004A01224" TargetMode="External"/><Relationship Id="rId616" Type="http://schemas.openxmlformats.org/officeDocument/2006/relationships/hyperlink" Target="https://www.legislation.gov.au/latest/C2016C00186" TargetMode="External"/><Relationship Id="rId658" Type="http://schemas.openxmlformats.org/officeDocument/2006/relationships/hyperlink" Target="http://www.comlaw.gov.au/Current/C2013C00032" TargetMode="External"/><Relationship Id="rId255" Type="http://schemas.openxmlformats.org/officeDocument/2006/relationships/hyperlink" Target="mailto:lodge@legislation.gov.au" TargetMode="External"/><Relationship Id="rId297" Type="http://schemas.openxmlformats.org/officeDocument/2006/relationships/hyperlink" Target="https://www.legislation.gov.au/C2004A01224/" TargetMode="External"/><Relationship Id="rId462" Type="http://schemas.openxmlformats.org/officeDocument/2006/relationships/hyperlink" Target="https://www.legislation.gov.au/latest/C2016C00186" TargetMode="External"/><Relationship Id="rId518" Type="http://schemas.openxmlformats.org/officeDocument/2006/relationships/hyperlink" Target="https://www.legislation.gov.au/C2004A01224/latest/text" TargetMode="External"/><Relationship Id="rId725" Type="http://schemas.openxmlformats.org/officeDocument/2006/relationships/fontTable" Target="fontTable.xml"/><Relationship Id="rId115" Type="http://schemas.openxmlformats.org/officeDocument/2006/relationships/hyperlink" Target="https://www.legislation.gov.au/F2015L01475/latest/text" TargetMode="External"/><Relationship Id="rId157" Type="http://schemas.openxmlformats.org/officeDocument/2006/relationships/hyperlink" Target="https://www.legislation.gov.au/F2015L01475/latest/text" TargetMode="External"/><Relationship Id="rId322" Type="http://schemas.openxmlformats.org/officeDocument/2006/relationships/image" Target="media/image11.png"/><Relationship Id="rId364" Type="http://schemas.openxmlformats.org/officeDocument/2006/relationships/hyperlink" Target="mailto:lodge@legislation.gov.au" TargetMode="External"/><Relationship Id="rId61" Type="http://schemas.openxmlformats.org/officeDocument/2006/relationships/hyperlink" Target="https://www.legislation.gov.au/C2004A01224/" TargetMode="External"/><Relationship Id="rId199" Type="http://schemas.openxmlformats.org/officeDocument/2006/relationships/hyperlink" Target="https://www.legislation.gov.au/latest/C2016C00151" TargetMode="External"/><Relationship Id="rId571" Type="http://schemas.openxmlformats.org/officeDocument/2006/relationships/hyperlink" Target="http://www.comlaw.gov.au/Current/C2013C00032" TargetMode="External"/><Relationship Id="rId627" Type="http://schemas.openxmlformats.org/officeDocument/2006/relationships/hyperlink" Target="https://www.legislation.gov.au/latest/C2016C00186" TargetMode="External"/><Relationship Id="rId669" Type="http://schemas.openxmlformats.org/officeDocument/2006/relationships/hyperlink" Target="https://www.legislation.gov.au/C2004A01224/latest/text" TargetMode="External"/><Relationship Id="rId19" Type="http://schemas.openxmlformats.org/officeDocument/2006/relationships/hyperlink" Target="https://www.legislation.gov.au/F2026L00129/latest/text" TargetMode="External"/><Relationship Id="rId224" Type="http://schemas.openxmlformats.org/officeDocument/2006/relationships/hyperlink" Target="https://www.legislation.gov.au/C2004A01224/latest/text" TargetMode="External"/><Relationship Id="rId266" Type="http://schemas.openxmlformats.org/officeDocument/2006/relationships/hyperlink" Target="https://www.legislation.gov.au/C2004A01224/" TargetMode="External"/><Relationship Id="rId431" Type="http://schemas.openxmlformats.org/officeDocument/2006/relationships/hyperlink" Target="https://www.legislation.gov.au/C2004A01224/" TargetMode="External"/><Relationship Id="rId473" Type="http://schemas.openxmlformats.org/officeDocument/2006/relationships/hyperlink" Target="http://www.comlaw.gov.au/Current/C2013C00032" TargetMode="External"/><Relationship Id="rId529" Type="http://schemas.openxmlformats.org/officeDocument/2006/relationships/hyperlink" Target="https://www.legislation.gov.au/latest/C2016C00186" TargetMode="External"/><Relationship Id="rId680" Type="http://schemas.openxmlformats.org/officeDocument/2006/relationships/hyperlink" Target="https://www.legislation.gov.au/C2004A01224/" TargetMode="External"/><Relationship Id="rId30" Type="http://schemas.openxmlformats.org/officeDocument/2006/relationships/hyperlink" Target="https://www.legislation.gov.au/C2004A01224/" TargetMode="External"/><Relationship Id="rId126" Type="http://schemas.openxmlformats.org/officeDocument/2006/relationships/hyperlink" Target="https://www.legislation.gov.au/C2004A01224/" TargetMode="External"/><Relationship Id="rId168" Type="http://schemas.openxmlformats.org/officeDocument/2006/relationships/hyperlink" Target="https://www.legislation.gov.au/C1901A00002/latest/text" TargetMode="External"/><Relationship Id="rId333" Type="http://schemas.openxmlformats.org/officeDocument/2006/relationships/hyperlink" Target="mailto:lodge@legislation.gov.au" TargetMode="External"/><Relationship Id="rId540" Type="http://schemas.openxmlformats.org/officeDocument/2006/relationships/hyperlink" Target="http://www.comlaw.gov.au/Current/C2013C00032" TargetMode="External"/><Relationship Id="rId72" Type="http://schemas.openxmlformats.org/officeDocument/2006/relationships/hyperlink" Target="https://www.legislation.gov.au/C2004A01224/" TargetMode="External"/><Relationship Id="rId375" Type="http://schemas.openxmlformats.org/officeDocument/2006/relationships/hyperlink" Target="https://www.legislation.gov.au/C2004A03712/latest/text" TargetMode="External"/><Relationship Id="rId582" Type="http://schemas.openxmlformats.org/officeDocument/2006/relationships/hyperlink" Target="https://www.legislation.gov.au/C2004A01224/latest/text" TargetMode="External"/><Relationship Id="rId638" Type="http://schemas.openxmlformats.org/officeDocument/2006/relationships/hyperlink" Target="https://www.legislation.gov.au/latest/C2016C00186" TargetMode="External"/><Relationship Id="rId3" Type="http://schemas.openxmlformats.org/officeDocument/2006/relationships/styles" Target="styles.xml"/><Relationship Id="rId235" Type="http://schemas.openxmlformats.org/officeDocument/2006/relationships/hyperlink" Target="https://www.legislation.gov.au/F2026L00129/latest/text" TargetMode="External"/><Relationship Id="rId277" Type="http://schemas.openxmlformats.org/officeDocument/2006/relationships/hyperlink" Target="https://www.legislation.gov.au/C2004A01224/" TargetMode="External"/><Relationship Id="rId400" Type="http://schemas.openxmlformats.org/officeDocument/2006/relationships/header" Target="header6.xml"/><Relationship Id="rId442" Type="http://schemas.openxmlformats.org/officeDocument/2006/relationships/hyperlink" Target="http://www.comlaw.gov.au/Current/C2013C00032" TargetMode="External"/><Relationship Id="rId484" Type="http://schemas.openxmlformats.org/officeDocument/2006/relationships/hyperlink" Target="https://www.legislation.gov.au/F2026L00129/latest/text" TargetMode="External"/><Relationship Id="rId705" Type="http://schemas.openxmlformats.org/officeDocument/2006/relationships/hyperlink" Target="mailto:sunsetting@opc.gov.au" TargetMode="External"/><Relationship Id="rId137" Type="http://schemas.openxmlformats.org/officeDocument/2006/relationships/hyperlink" Target="https://www.legislation.gov.au/C2004A01224/" TargetMode="External"/><Relationship Id="rId302" Type="http://schemas.openxmlformats.org/officeDocument/2006/relationships/hyperlink" Target="https://www.legislation.gov.au/F2026L00129/latest/text" TargetMode="External"/><Relationship Id="rId344" Type="http://schemas.openxmlformats.org/officeDocument/2006/relationships/hyperlink" Target="https://www.legislation.gov.au/F2026L00129/latest/text" TargetMode="External"/><Relationship Id="rId691" Type="http://schemas.openxmlformats.org/officeDocument/2006/relationships/hyperlink" Target="https://www.opc.gov.au/drafting-resources/client-advisers" TargetMode="External"/><Relationship Id="rId41" Type="http://schemas.openxmlformats.org/officeDocument/2006/relationships/hyperlink" Target="https://www.legislation.gov.au/F2015L01475/latest/text" TargetMode="External"/><Relationship Id="rId83" Type="http://schemas.openxmlformats.org/officeDocument/2006/relationships/hyperlink" Target="https://www.legislation.gov.au/F2015L01475/latest/text" TargetMode="External"/><Relationship Id="rId179" Type="http://schemas.openxmlformats.org/officeDocument/2006/relationships/hyperlink" Target="https://www.legislation.gov.au/C2004A01224/" TargetMode="External"/><Relationship Id="rId386" Type="http://schemas.openxmlformats.org/officeDocument/2006/relationships/hyperlink" Target="https://www.legislation.gov.au/terms-of-use" TargetMode="External"/><Relationship Id="rId551" Type="http://schemas.openxmlformats.org/officeDocument/2006/relationships/hyperlink" Target="https://www.legislation.gov.au/latest/C2016C00186" TargetMode="External"/><Relationship Id="rId593" Type="http://schemas.openxmlformats.org/officeDocument/2006/relationships/hyperlink" Target="https://www.legislation.gov.au/C2004A01224/latest/text" TargetMode="External"/><Relationship Id="rId607" Type="http://schemas.openxmlformats.org/officeDocument/2006/relationships/hyperlink" Target="https://www.legislation.gov.au/latest/C2016C00186" TargetMode="External"/><Relationship Id="rId649" Type="http://schemas.openxmlformats.org/officeDocument/2006/relationships/hyperlink" Target="mailto:sunsetting@ag.gov.au" TargetMode="External"/><Relationship Id="rId190" Type="http://schemas.openxmlformats.org/officeDocument/2006/relationships/hyperlink" Target="https://www.legislation.gov.au/C2004A01224/" TargetMode="External"/><Relationship Id="rId204" Type="http://schemas.openxmlformats.org/officeDocument/2006/relationships/hyperlink" Target="mailto:CriminalLaw@ag.gov.au" TargetMode="External"/><Relationship Id="rId246" Type="http://schemas.openxmlformats.org/officeDocument/2006/relationships/hyperlink" Target="https://www.legislation.gov.au/F2026L00129/latest/text" TargetMode="External"/><Relationship Id="rId288" Type="http://schemas.openxmlformats.org/officeDocument/2006/relationships/hyperlink" Target="https://www.legislation.gov.au/F2026L00129/latest/text" TargetMode="External"/><Relationship Id="rId411" Type="http://schemas.openxmlformats.org/officeDocument/2006/relationships/hyperlink" Target="https://www.legislation.gov.au/C2004A01224/" TargetMode="External"/><Relationship Id="rId453" Type="http://schemas.openxmlformats.org/officeDocument/2006/relationships/hyperlink" Target="https://www.legislation.gov.au/C2004A05251/latest/text" TargetMode="External"/><Relationship Id="rId509" Type="http://schemas.openxmlformats.org/officeDocument/2006/relationships/hyperlink" Target="https://www.legislation.gov.au/latest/C2016C00186" TargetMode="External"/><Relationship Id="rId660" Type="http://schemas.openxmlformats.org/officeDocument/2006/relationships/hyperlink" Target="mailto:sunsetting@ag.gov.au" TargetMode="External"/><Relationship Id="rId106" Type="http://schemas.openxmlformats.org/officeDocument/2006/relationships/hyperlink" Target="https://www.legislation.gov.au/C2004A01224/" TargetMode="External"/><Relationship Id="rId313" Type="http://schemas.openxmlformats.org/officeDocument/2006/relationships/image" Target="media/image8.png"/><Relationship Id="rId495" Type="http://schemas.openxmlformats.org/officeDocument/2006/relationships/hyperlink" Target="https://www.legislation.gov.au/C2004A01224/latest/text" TargetMode="External"/><Relationship Id="rId716" Type="http://schemas.openxmlformats.org/officeDocument/2006/relationships/hyperlink" Target="mailto:tabling@pmc.gov.au" TargetMode="External"/><Relationship Id="rId10" Type="http://schemas.openxmlformats.org/officeDocument/2006/relationships/image" Target="media/image2.png"/><Relationship Id="rId52" Type="http://schemas.openxmlformats.org/officeDocument/2006/relationships/hyperlink" Target="https://www.legislation.gov.au/C2004A01224/" TargetMode="External"/><Relationship Id="rId94" Type="http://schemas.openxmlformats.org/officeDocument/2006/relationships/hyperlink" Target="https://www.legislation.gov.au/latest/F2015L01475" TargetMode="External"/><Relationship Id="rId148" Type="http://schemas.openxmlformats.org/officeDocument/2006/relationships/hyperlink" Target="https://www.legislation.gov.au/C2004A01224/" TargetMode="External"/><Relationship Id="rId355" Type="http://schemas.openxmlformats.org/officeDocument/2006/relationships/hyperlink" Target="https://www.legislation.gov.au/C2004A01224/" TargetMode="External"/><Relationship Id="rId397" Type="http://schemas.openxmlformats.org/officeDocument/2006/relationships/hyperlink" Target="https://www.legislation.gov.au/C2004A01224/" TargetMode="External"/><Relationship Id="rId520" Type="http://schemas.openxmlformats.org/officeDocument/2006/relationships/hyperlink" Target="https://www.legislation.gov.au/latest/C2016C00186" TargetMode="External"/><Relationship Id="rId562" Type="http://schemas.openxmlformats.org/officeDocument/2006/relationships/hyperlink" Target="https://www.legislation.gov.au/C2004A01224/latest/text" TargetMode="External"/><Relationship Id="rId618" Type="http://schemas.openxmlformats.org/officeDocument/2006/relationships/hyperlink" Target="https://www.comlaw.gov.au/Current/F2015L01475/" TargetMode="External"/><Relationship Id="rId215" Type="http://schemas.openxmlformats.org/officeDocument/2006/relationships/hyperlink" Target="https://www.legislation.gov.au/C2004A04426/latest/text" TargetMode="External"/><Relationship Id="rId257" Type="http://schemas.openxmlformats.org/officeDocument/2006/relationships/hyperlink" Target="https://www.legislation.gov.au/C2004A01224/" TargetMode="External"/><Relationship Id="rId422" Type="http://schemas.openxmlformats.org/officeDocument/2006/relationships/hyperlink" Target="http://www.comlaw.gov.au/Current/C2004A01224" TargetMode="External"/><Relationship Id="rId464" Type="http://schemas.openxmlformats.org/officeDocument/2006/relationships/hyperlink" Target="http://www.comlaw.gov.au/Current/C2013C00032" TargetMode="External"/><Relationship Id="rId299" Type="http://schemas.openxmlformats.org/officeDocument/2006/relationships/hyperlink" Target="https://www.legislation.gov.au/F2026L00129/latest/text" TargetMode="External"/><Relationship Id="rId63" Type="http://schemas.openxmlformats.org/officeDocument/2006/relationships/hyperlink" Target="https://www.legislation.gov.au/C2004A01224/" TargetMode="External"/><Relationship Id="rId159" Type="http://schemas.openxmlformats.org/officeDocument/2006/relationships/hyperlink" Target="https://www.legislation.gov.au/latest/F2015L01475" TargetMode="External"/><Relationship Id="rId366" Type="http://schemas.openxmlformats.org/officeDocument/2006/relationships/hyperlink" Target="mailto:lodge@legislation.gov.au" TargetMode="External"/><Relationship Id="rId573" Type="http://schemas.openxmlformats.org/officeDocument/2006/relationships/hyperlink" Target="https://www.legislation.gov.au/C2004A01224/" TargetMode="External"/><Relationship Id="rId226" Type="http://schemas.openxmlformats.org/officeDocument/2006/relationships/footer" Target="footer6.xml"/><Relationship Id="rId433" Type="http://schemas.openxmlformats.org/officeDocument/2006/relationships/hyperlink" Target="http://www.comlaw.gov.au/Current/C2013C00032" TargetMode="External"/><Relationship Id="rId640" Type="http://schemas.openxmlformats.org/officeDocument/2006/relationships/hyperlink" Target="http://www.comlaw.gov.au/Current/C2013C00032" TargetMode="External"/><Relationship Id="rId74" Type="http://schemas.openxmlformats.org/officeDocument/2006/relationships/hyperlink" Target="https://www.legislation.gov.au/C2004A01224/" TargetMode="External"/><Relationship Id="rId377" Type="http://schemas.openxmlformats.org/officeDocument/2006/relationships/hyperlink" Target="https://www.legislation.gov.au/F2026L00129/latest/text" TargetMode="External"/><Relationship Id="rId500" Type="http://schemas.openxmlformats.org/officeDocument/2006/relationships/hyperlink" Target="https://www.legislation.gov.au/latest/C2016C00186" TargetMode="External"/><Relationship Id="rId584" Type="http://schemas.openxmlformats.org/officeDocument/2006/relationships/hyperlink" Target="https://www.legislation.gov.au/latest/C2016C00186" TargetMode="External"/><Relationship Id="rId5" Type="http://schemas.openxmlformats.org/officeDocument/2006/relationships/webSettings" Target="webSettings.xml"/><Relationship Id="rId237" Type="http://schemas.openxmlformats.org/officeDocument/2006/relationships/hyperlink" Target="mailto:lodge@legislation.gov.au" TargetMode="External"/><Relationship Id="rId444" Type="http://schemas.openxmlformats.org/officeDocument/2006/relationships/hyperlink" Target="https://www.legislation.gov.au/C2011A00186/latest/text" TargetMode="External"/><Relationship Id="rId651" Type="http://schemas.openxmlformats.org/officeDocument/2006/relationships/hyperlink" Target="http://www.comlaw.gov.au/Current/C2013C00032" TargetMode="External"/><Relationship Id="rId290" Type="http://schemas.openxmlformats.org/officeDocument/2006/relationships/hyperlink" Target="https://www.opc.gov.au/drafting-resources/drafting-directions" TargetMode="External"/><Relationship Id="rId304" Type="http://schemas.openxmlformats.org/officeDocument/2006/relationships/hyperlink" Target="https://www.legislation.gov.au/C2004A01224/" TargetMode="External"/><Relationship Id="rId388" Type="http://schemas.openxmlformats.org/officeDocument/2006/relationships/hyperlink" Target="mailto:lodge@legislation.gov.au" TargetMode="External"/><Relationship Id="rId511" Type="http://schemas.openxmlformats.org/officeDocument/2006/relationships/hyperlink" Target="https://www.legislation.gov.au/latest/C2016C00151" TargetMode="External"/><Relationship Id="rId609" Type="http://schemas.openxmlformats.org/officeDocument/2006/relationships/hyperlink" Target="https://www.legislation.gov.au/C2004A01224/latest/text" TargetMode="External"/><Relationship Id="rId85" Type="http://schemas.openxmlformats.org/officeDocument/2006/relationships/hyperlink" Target="https://www.legislation.gov.au/F2015L01475/latest/text" TargetMode="External"/><Relationship Id="rId150" Type="http://schemas.openxmlformats.org/officeDocument/2006/relationships/hyperlink" Target="https://www.legislation.gov.au/C2004A01224/" TargetMode="External"/><Relationship Id="rId595" Type="http://schemas.openxmlformats.org/officeDocument/2006/relationships/hyperlink" Target="https://www.legislation.gov.au/latest/C2016C00186" TargetMode="External"/><Relationship Id="rId248" Type="http://schemas.openxmlformats.org/officeDocument/2006/relationships/hyperlink" Target="https://www.legislation.gov.au/F2026L00129/latest/text" TargetMode="External"/><Relationship Id="rId455" Type="http://schemas.openxmlformats.org/officeDocument/2006/relationships/hyperlink" Target="https://www.legislation.gov.au/C2004A01224/latest/text" TargetMode="External"/><Relationship Id="rId662" Type="http://schemas.openxmlformats.org/officeDocument/2006/relationships/hyperlink" Target="https://www.legislation.gov.au/C2004A01224/latest/text" TargetMode="External"/><Relationship Id="rId12" Type="http://schemas.openxmlformats.org/officeDocument/2006/relationships/hyperlink" Target="https://www.legislation.gov.au/C2004A01224/" TargetMode="External"/><Relationship Id="rId108" Type="http://schemas.openxmlformats.org/officeDocument/2006/relationships/hyperlink" Target="https://www.legislation.gov.au/C2004A01224/" TargetMode="External"/><Relationship Id="rId315" Type="http://schemas.openxmlformats.org/officeDocument/2006/relationships/hyperlink" Target="mailto:lodge@legislation.gov.au" TargetMode="External"/><Relationship Id="rId522" Type="http://schemas.openxmlformats.org/officeDocument/2006/relationships/hyperlink" Target="http://www.comlaw.gov.au/Current/C2013C00032" TargetMode="External"/><Relationship Id="rId96" Type="http://schemas.openxmlformats.org/officeDocument/2006/relationships/hyperlink" Target="https://www.legislation.gov.au/latest/F2015L01475" TargetMode="External"/><Relationship Id="rId161" Type="http://schemas.openxmlformats.org/officeDocument/2006/relationships/hyperlink" Target="https://www.legislation.gov.au/C2004A01224/" TargetMode="External"/><Relationship Id="rId399" Type="http://schemas.openxmlformats.org/officeDocument/2006/relationships/hyperlink" Target="https://www.legislation.gov.au/latest/C2016C00151" TargetMode="External"/><Relationship Id="rId259" Type="http://schemas.openxmlformats.org/officeDocument/2006/relationships/hyperlink" Target="https://www.legislation.gov.au/C2004A01224/" TargetMode="External"/><Relationship Id="rId466" Type="http://schemas.openxmlformats.org/officeDocument/2006/relationships/hyperlink" Target="https://www.legislation.gov.au/C2004A01224/latest/text" TargetMode="External"/><Relationship Id="rId673" Type="http://schemas.openxmlformats.org/officeDocument/2006/relationships/hyperlink" Target="https://www.opc.gov.au/drafting-resources/client-advisers" TargetMode="External"/><Relationship Id="rId23" Type="http://schemas.openxmlformats.org/officeDocument/2006/relationships/hyperlink" Target="https://www.legislation.gov.au/C2004A01224/" TargetMode="External"/><Relationship Id="rId119" Type="http://schemas.openxmlformats.org/officeDocument/2006/relationships/hyperlink" Target="mailto:adminlaw@ag.gov.au" TargetMode="External"/><Relationship Id="rId326" Type="http://schemas.openxmlformats.org/officeDocument/2006/relationships/hyperlink" Target="mailto:lodge@legislation.gov.au" TargetMode="External"/><Relationship Id="rId533" Type="http://schemas.openxmlformats.org/officeDocument/2006/relationships/hyperlink" Target="https://www.legislation.gov.au/latest/C2016C00186" TargetMode="External"/><Relationship Id="rId172" Type="http://schemas.openxmlformats.org/officeDocument/2006/relationships/hyperlink" Target="https://www.legislation.gov.au/C2004A01224/" TargetMode="External"/><Relationship Id="rId477" Type="http://schemas.openxmlformats.org/officeDocument/2006/relationships/hyperlink" Target="https://www.legislation.gov.au/latest/C2016C00186" TargetMode="External"/><Relationship Id="rId600" Type="http://schemas.openxmlformats.org/officeDocument/2006/relationships/header" Target="header9.xml"/><Relationship Id="rId684" Type="http://schemas.openxmlformats.org/officeDocument/2006/relationships/hyperlink" Target="https://www.ag.gov.au/legal-system/publications/guide-framing-commonwealth-offences-infringement-notices-and-enforcement-powers" TargetMode="External"/><Relationship Id="rId337" Type="http://schemas.openxmlformats.org/officeDocument/2006/relationships/hyperlink" Target="https://www.legislation.gov.au/F2026L00129/latest/text" TargetMode="External"/><Relationship Id="rId34" Type="http://schemas.openxmlformats.org/officeDocument/2006/relationships/hyperlink" Target="https://www.legislation.gov.au/C2004A01224/" TargetMode="External"/><Relationship Id="rId544" Type="http://schemas.openxmlformats.org/officeDocument/2006/relationships/hyperlink" Target="http://www.comlaw.gov.au/Current/C2013C00032" TargetMode="External"/><Relationship Id="rId183" Type="http://schemas.openxmlformats.org/officeDocument/2006/relationships/hyperlink" Target="https://www.legislation.gov.au/C2004A01224/" TargetMode="External"/><Relationship Id="rId390" Type="http://schemas.openxmlformats.org/officeDocument/2006/relationships/hyperlink" Target="https://www.legislation.gov.au/C2004A01224/latest/text" TargetMode="External"/><Relationship Id="rId404" Type="http://schemas.openxmlformats.org/officeDocument/2006/relationships/hyperlink" Target="https://www.legislation.gov.au/C2004A01224/" TargetMode="External"/><Relationship Id="rId611" Type="http://schemas.openxmlformats.org/officeDocument/2006/relationships/hyperlink" Target="https://www.legislation.gov.au/latest/C2016C00186" TargetMode="External"/><Relationship Id="rId250" Type="http://schemas.openxmlformats.org/officeDocument/2006/relationships/hyperlink" Target="https://www.legislation.gov.au/F2026L00129/latest/text" TargetMode="External"/><Relationship Id="rId488" Type="http://schemas.openxmlformats.org/officeDocument/2006/relationships/hyperlink" Target="https://www.legislation.gov.au/C2004A01224/latest/text" TargetMode="External"/><Relationship Id="rId695" Type="http://schemas.openxmlformats.org/officeDocument/2006/relationships/hyperlink" Target="https://www.aph.gov.au/Parliamentary_Business/Committees/Joint/Human_Rights/Committee_resources" TargetMode="External"/><Relationship Id="rId709" Type="http://schemas.openxmlformats.org/officeDocument/2006/relationships/hyperlink" Target="mailto:table.legislation.sen@aph.gov.au" TargetMode="External"/><Relationship Id="rId45" Type="http://schemas.openxmlformats.org/officeDocument/2006/relationships/hyperlink" Target="https://www.legislation.gov.au/C2004A01224/" TargetMode="External"/><Relationship Id="rId110" Type="http://schemas.openxmlformats.org/officeDocument/2006/relationships/hyperlink" Target="https://www.legislation.gov.au/F2015L01475/latest/text" TargetMode="External"/><Relationship Id="rId348" Type="http://schemas.openxmlformats.org/officeDocument/2006/relationships/hyperlink" Target="https://www.legislation.gov.au/C2004A01224/" TargetMode="External"/><Relationship Id="rId555" Type="http://schemas.openxmlformats.org/officeDocument/2006/relationships/hyperlink" Target="http://www.comlaw.gov.au/Current/C2013C00032" TargetMode="External"/><Relationship Id="rId194" Type="http://schemas.openxmlformats.org/officeDocument/2006/relationships/hyperlink" Target="https://www.legislation.gov.au/C2004A01224/" TargetMode="External"/><Relationship Id="rId208" Type="http://schemas.openxmlformats.org/officeDocument/2006/relationships/hyperlink" Target="https://www.opc.gov.au/drafting-resources/drafting-directions" TargetMode="External"/><Relationship Id="rId415" Type="http://schemas.openxmlformats.org/officeDocument/2006/relationships/header" Target="header7.xml"/><Relationship Id="rId622" Type="http://schemas.openxmlformats.org/officeDocument/2006/relationships/hyperlink" Target="http://www.comlaw.gov.au/Current/C2013C00032" TargetMode="External"/><Relationship Id="rId261" Type="http://schemas.openxmlformats.org/officeDocument/2006/relationships/hyperlink" Target="https://www.legislation.gov.au/C2004A01224/" TargetMode="External"/><Relationship Id="rId499" Type="http://schemas.openxmlformats.org/officeDocument/2006/relationships/hyperlink" Target="http://www.comlaw.gov.au/Current/C2013C00032" TargetMode="External"/><Relationship Id="rId56" Type="http://schemas.openxmlformats.org/officeDocument/2006/relationships/hyperlink" Target="https://www.legislation.gov.au/F2015L01475/latest/text" TargetMode="External"/><Relationship Id="rId359" Type="http://schemas.openxmlformats.org/officeDocument/2006/relationships/hyperlink" Target="https://www.legislation.gov.au/C2004A01224/" TargetMode="External"/><Relationship Id="rId566" Type="http://schemas.openxmlformats.org/officeDocument/2006/relationships/hyperlink" Target="http://www.comlaw.gov.au/Current/C2013C00032" TargetMode="External"/><Relationship Id="rId121" Type="http://schemas.openxmlformats.org/officeDocument/2006/relationships/hyperlink" Target="https://www.legislation.gov.au/C2004A01224/" TargetMode="External"/><Relationship Id="rId219" Type="http://schemas.openxmlformats.org/officeDocument/2006/relationships/hyperlink" Target="https://www.opc.gov.au/drafting-resources/drafting-directions" TargetMode="External"/><Relationship Id="rId426" Type="http://schemas.openxmlformats.org/officeDocument/2006/relationships/hyperlink" Target="https://www.legislation.gov.au/C2004A01224/latest/text" TargetMode="External"/><Relationship Id="rId633" Type="http://schemas.openxmlformats.org/officeDocument/2006/relationships/hyperlink" Target="https://www.legislation.gov.au/C2004A01224/" TargetMode="External"/><Relationship Id="rId67" Type="http://schemas.openxmlformats.org/officeDocument/2006/relationships/hyperlink" Target="https://www.legislation.gov.au/C2004A01224/" TargetMode="External"/><Relationship Id="rId272" Type="http://schemas.openxmlformats.org/officeDocument/2006/relationships/hyperlink" Target="https://www.legislation.gov.au/C2004A01224/" TargetMode="External"/><Relationship Id="rId577" Type="http://schemas.openxmlformats.org/officeDocument/2006/relationships/hyperlink" Target="https://www.legislation.gov.au/latest/C2016C00186" TargetMode="External"/><Relationship Id="rId700" Type="http://schemas.openxmlformats.org/officeDocument/2006/relationships/footer" Target="footer16.xml"/><Relationship Id="rId132" Type="http://schemas.openxmlformats.org/officeDocument/2006/relationships/hyperlink" Target="https://www.legislation.gov.au/C2004A01224/" TargetMode="External"/><Relationship Id="rId437" Type="http://schemas.openxmlformats.org/officeDocument/2006/relationships/hyperlink" Target="http://www.comlaw.gov.au/Current/C2013C00032" TargetMode="External"/><Relationship Id="rId644" Type="http://schemas.openxmlformats.org/officeDocument/2006/relationships/hyperlink" Target="http://www.comlaw.gov.au/Current/C2013C00032" TargetMode="External"/><Relationship Id="rId283" Type="http://schemas.openxmlformats.org/officeDocument/2006/relationships/hyperlink" Target="mailto:lodge@legislation.gov.au" TargetMode="External"/><Relationship Id="rId490" Type="http://schemas.openxmlformats.org/officeDocument/2006/relationships/hyperlink" Target="http://www.comlaw.gov.au/Current/C2013C00032" TargetMode="External"/><Relationship Id="rId504" Type="http://schemas.openxmlformats.org/officeDocument/2006/relationships/hyperlink" Target="https://www.legislation.gov.au/C2004A01224/latest/text" TargetMode="External"/><Relationship Id="rId711" Type="http://schemas.openxmlformats.org/officeDocument/2006/relationships/hyperlink" Target="mailto:sunsetting@ag.gov.au" TargetMode="External"/><Relationship Id="rId78" Type="http://schemas.openxmlformats.org/officeDocument/2006/relationships/hyperlink" Target="https://www.legislation.gov.au/F2015L01475/latest/text" TargetMode="External"/><Relationship Id="rId143" Type="http://schemas.openxmlformats.org/officeDocument/2006/relationships/image" Target="media/image3.png"/><Relationship Id="rId350" Type="http://schemas.openxmlformats.org/officeDocument/2006/relationships/hyperlink" Target="mailto:lodge@legislation.gov.au" TargetMode="External"/><Relationship Id="rId588" Type="http://schemas.openxmlformats.org/officeDocument/2006/relationships/hyperlink" Target="https://www.legislation.gov.au/latest/C2016C00186" TargetMode="External"/><Relationship Id="rId9" Type="http://schemas.openxmlformats.org/officeDocument/2006/relationships/customXml" Target="ink/ink1.xml"/><Relationship Id="rId210" Type="http://schemas.openxmlformats.org/officeDocument/2006/relationships/hyperlink" Target="https://www.legislation.gov.au/C2004A03712/latest/text" TargetMode="External"/><Relationship Id="rId448" Type="http://schemas.openxmlformats.org/officeDocument/2006/relationships/hyperlink" Target="http://www.comlaw.gov.au/Current/C2013C00032" TargetMode="External"/><Relationship Id="rId655" Type="http://schemas.openxmlformats.org/officeDocument/2006/relationships/hyperlink" Target="http://www.comlaw.gov.au/Current/C2013C00032" TargetMode="External"/><Relationship Id="rId294" Type="http://schemas.openxmlformats.org/officeDocument/2006/relationships/hyperlink" Target="https://www.legislation.gov.au/C2004A01224/" TargetMode="External"/><Relationship Id="rId308" Type="http://schemas.openxmlformats.org/officeDocument/2006/relationships/hyperlink" Target="https://www.legislation.gov.au/F2026L00129/latest/text" TargetMode="External"/><Relationship Id="rId515" Type="http://schemas.openxmlformats.org/officeDocument/2006/relationships/hyperlink" Target="https://www.legislation.gov.au/C2004A01224/latest/text" TargetMode="External"/><Relationship Id="rId722" Type="http://schemas.openxmlformats.org/officeDocument/2006/relationships/hyperlink" Target="mailto:sdlc.sen@aph.gov.au" TargetMode="External"/><Relationship Id="rId89" Type="http://schemas.openxmlformats.org/officeDocument/2006/relationships/hyperlink" Target="https://www.legislation.gov.au/F2015L01475/latest/text" TargetMode="External"/><Relationship Id="rId154" Type="http://schemas.openxmlformats.org/officeDocument/2006/relationships/hyperlink" Target="https://www.legislation.gov.au/C2004A01224/" TargetMode="External"/><Relationship Id="rId361" Type="http://schemas.openxmlformats.org/officeDocument/2006/relationships/hyperlink" Target="https://www.legislation.gov.au/C2004A01224/" TargetMode="External"/><Relationship Id="rId599" Type="http://schemas.openxmlformats.org/officeDocument/2006/relationships/hyperlink" Target="https://www.legislation.gov.au/latest/C2016C00186" TargetMode="External"/><Relationship Id="rId459" Type="http://schemas.openxmlformats.org/officeDocument/2006/relationships/hyperlink" Target="https://www.legislation.gov.au/C2004A01224/latest/text" TargetMode="External"/><Relationship Id="rId666" Type="http://schemas.openxmlformats.org/officeDocument/2006/relationships/hyperlink" Target="http://www.comlaw.gov.au/Current/C2013C00032" TargetMode="External"/><Relationship Id="rId16" Type="http://schemas.openxmlformats.org/officeDocument/2006/relationships/hyperlink" Target="mailto:lodge@legislation.gov.au" TargetMode="External"/><Relationship Id="rId221" Type="http://schemas.openxmlformats.org/officeDocument/2006/relationships/hyperlink" Target="https://www.legislation.gov.au/F2026L00129/latest/text" TargetMode="External"/><Relationship Id="rId319" Type="http://schemas.openxmlformats.org/officeDocument/2006/relationships/hyperlink" Target="https://www.legislation.gov.au/F2026L00129/latest/text" TargetMode="External"/><Relationship Id="rId526" Type="http://schemas.openxmlformats.org/officeDocument/2006/relationships/hyperlink" Target="https://www.legislation.gov.au/C2004A01224/latest/text" TargetMode="External"/><Relationship Id="rId165" Type="http://schemas.openxmlformats.org/officeDocument/2006/relationships/hyperlink" Target="https://www.legislation.gov.au/C1901A00002/" TargetMode="External"/><Relationship Id="rId372" Type="http://schemas.openxmlformats.org/officeDocument/2006/relationships/hyperlink" Target="https://www.legislation.gov.au/C2004A01224/" TargetMode="External"/><Relationship Id="rId677" Type="http://schemas.openxmlformats.org/officeDocument/2006/relationships/footer" Target="footer14.xml"/><Relationship Id="rId232" Type="http://schemas.openxmlformats.org/officeDocument/2006/relationships/hyperlink" Target="https://www.legislation.gov.au/C2004A02796/latest/text" TargetMode="External"/><Relationship Id="rId27" Type="http://schemas.openxmlformats.org/officeDocument/2006/relationships/hyperlink" Target="https://www.legislation.gov.au/C2004A01224/" TargetMode="External"/><Relationship Id="rId537" Type="http://schemas.openxmlformats.org/officeDocument/2006/relationships/hyperlink" Target="https://www.legislation.gov.au/latest/C2016C00186" TargetMode="External"/><Relationship Id="rId80" Type="http://schemas.openxmlformats.org/officeDocument/2006/relationships/hyperlink" Target="https://www.legislation.gov.au/latest/F2015L01475" TargetMode="External"/><Relationship Id="rId176" Type="http://schemas.openxmlformats.org/officeDocument/2006/relationships/hyperlink" Target="https://www.legislation.gov.au/C2004A01224/" TargetMode="External"/><Relationship Id="rId383" Type="http://schemas.openxmlformats.org/officeDocument/2006/relationships/hyperlink" Target="https://www.legislation.gov.au/C1968A00063/latest/text" TargetMode="External"/><Relationship Id="rId590" Type="http://schemas.openxmlformats.org/officeDocument/2006/relationships/hyperlink" Target="http://www.comlaw.gov.au/Current/C2013C00032" TargetMode="External"/><Relationship Id="rId604" Type="http://schemas.openxmlformats.org/officeDocument/2006/relationships/hyperlink" Target="https://www.legislation.gov.au/C2004A01224/latest/text" TargetMode="External"/><Relationship Id="rId243" Type="http://schemas.openxmlformats.org/officeDocument/2006/relationships/hyperlink" Target="https://www.legislation.gov.au/F2026L00129/latest/text" TargetMode="External"/><Relationship Id="rId450" Type="http://schemas.openxmlformats.org/officeDocument/2006/relationships/hyperlink" Target="https://www.legislation.gov.au/latest/C2016C00186" TargetMode="External"/><Relationship Id="rId688" Type="http://schemas.openxmlformats.org/officeDocument/2006/relationships/hyperlink" Target="https://www.pmc.gov.au/resources/federal-executive-council-handbook-2021" TargetMode="External"/><Relationship Id="rId38" Type="http://schemas.openxmlformats.org/officeDocument/2006/relationships/hyperlink" Target="https://www.legislation.gov.au/C2004A01224/" TargetMode="External"/><Relationship Id="rId103" Type="http://schemas.openxmlformats.org/officeDocument/2006/relationships/hyperlink" Target="https://www.legislation.gov.au/C2004A01224/" TargetMode="External"/><Relationship Id="rId310" Type="http://schemas.openxmlformats.org/officeDocument/2006/relationships/hyperlink" Target="https://www.legislation.gov.au/F2026L00129/latest/text" TargetMode="External"/><Relationship Id="rId548" Type="http://schemas.openxmlformats.org/officeDocument/2006/relationships/hyperlink" Target="https://www.legislation.gov.au/latest/F2015L01475" TargetMode="External"/><Relationship Id="rId91" Type="http://schemas.openxmlformats.org/officeDocument/2006/relationships/hyperlink" Target="https://www.legislation.gov.au/F2015L01475/latest/text" TargetMode="External"/><Relationship Id="rId187" Type="http://schemas.openxmlformats.org/officeDocument/2006/relationships/hyperlink" Target="https://www.legislation.gov.au/C1901A00002/latest/text" TargetMode="External"/><Relationship Id="rId394" Type="http://schemas.openxmlformats.org/officeDocument/2006/relationships/hyperlink" Target="https://www.legislation.gov.au/C2004A01224/" TargetMode="External"/><Relationship Id="rId408" Type="http://schemas.openxmlformats.org/officeDocument/2006/relationships/hyperlink" Target="https://www.legislation.gov.au/C2004A01224/" TargetMode="External"/><Relationship Id="rId615" Type="http://schemas.openxmlformats.org/officeDocument/2006/relationships/hyperlink" Target="http://www.comlaw.gov.au/Current/C2013C00032" TargetMode="External"/><Relationship Id="rId254" Type="http://schemas.openxmlformats.org/officeDocument/2006/relationships/hyperlink" Target="https://lodge.legislation.gov.au" TargetMode="External"/><Relationship Id="rId699" Type="http://schemas.openxmlformats.org/officeDocument/2006/relationships/header" Target="header13.xml"/><Relationship Id="rId49" Type="http://schemas.openxmlformats.org/officeDocument/2006/relationships/hyperlink" Target="https://www.legislation.gov.au/C2004A01224/" TargetMode="External"/><Relationship Id="rId114" Type="http://schemas.openxmlformats.org/officeDocument/2006/relationships/hyperlink" Target="https://www.legislation.gov.au/C2004A01224/" TargetMode="External"/><Relationship Id="rId461" Type="http://schemas.openxmlformats.org/officeDocument/2006/relationships/hyperlink" Target="http://www.comlaw.gov.au/Current/C2013C00032" TargetMode="External"/><Relationship Id="rId559" Type="http://schemas.openxmlformats.org/officeDocument/2006/relationships/hyperlink" Target="http://www.comlaw.gov.au/Current/C2013C00032" TargetMode="External"/><Relationship Id="rId198" Type="http://schemas.openxmlformats.org/officeDocument/2006/relationships/hyperlink" Target="https://www.legislation.gov.au/C1901A00002/latest/text" TargetMode="External"/><Relationship Id="rId321" Type="http://schemas.openxmlformats.org/officeDocument/2006/relationships/hyperlink" Target="https://www.legislation.gov.au/C2004A01224/" TargetMode="External"/><Relationship Id="rId419" Type="http://schemas.openxmlformats.org/officeDocument/2006/relationships/hyperlink" Target="https://www.legislation.gov.au/C2004A01224/latest/text" TargetMode="External"/><Relationship Id="rId626" Type="http://schemas.openxmlformats.org/officeDocument/2006/relationships/hyperlink" Target="http://www.comlaw.gov.au/Current/C2013C00032" TargetMode="External"/><Relationship Id="rId265" Type="http://schemas.openxmlformats.org/officeDocument/2006/relationships/footer" Target="footer7.xml"/><Relationship Id="rId472" Type="http://schemas.openxmlformats.org/officeDocument/2006/relationships/hyperlink" Target="https://www.legislation.gov.au/C2004A01224/latest/text" TargetMode="External"/><Relationship Id="rId125" Type="http://schemas.openxmlformats.org/officeDocument/2006/relationships/hyperlink" Target="https://www.legislation.gov.au/C2004A01224/" TargetMode="External"/><Relationship Id="rId332" Type="http://schemas.openxmlformats.org/officeDocument/2006/relationships/hyperlink" Target="mailto:compilations@opc.gov.au" TargetMode="External"/><Relationship Id="rId637" Type="http://schemas.openxmlformats.org/officeDocument/2006/relationships/hyperlink" Target="http://www.comlaw.gov.au/Current/C2013C00032" TargetMode="External"/><Relationship Id="rId276" Type="http://schemas.openxmlformats.org/officeDocument/2006/relationships/hyperlink" Target="https://www.legislation.gov.au/C2004A01224/" TargetMode="External"/><Relationship Id="rId483" Type="http://schemas.openxmlformats.org/officeDocument/2006/relationships/hyperlink" Target="https://www.legislation.gov.au/latest/C2016C00186" TargetMode="External"/><Relationship Id="rId690" Type="http://schemas.openxmlformats.org/officeDocument/2006/relationships/hyperlink" Target="https://www.pmc.gov.au/resources/legislation-handbook" TargetMode="External"/><Relationship Id="rId704" Type="http://schemas.openxmlformats.org/officeDocument/2006/relationships/hyperlink" Target="mailto:lodge@legislation.gov.au" TargetMode="External"/><Relationship Id="rId40" Type="http://schemas.openxmlformats.org/officeDocument/2006/relationships/hyperlink" Target="https://www.legislation.gov.au/C2004A01224/" TargetMode="External"/><Relationship Id="rId136" Type="http://schemas.openxmlformats.org/officeDocument/2006/relationships/hyperlink" Target="https://www.legislation.gov.au/C2004A01224/" TargetMode="External"/><Relationship Id="rId343" Type="http://schemas.openxmlformats.org/officeDocument/2006/relationships/hyperlink" Target="mailto:lodge@legislation.gov.au" TargetMode="External"/><Relationship Id="rId550" Type="http://schemas.openxmlformats.org/officeDocument/2006/relationships/hyperlink" Target="http://www.comlaw.gov.au/Current/C2013C00032" TargetMode="External"/><Relationship Id="rId203" Type="http://schemas.openxmlformats.org/officeDocument/2006/relationships/hyperlink" Target="https://www.legislation.gov.au/latest/F2015L01475" TargetMode="External"/><Relationship Id="rId648" Type="http://schemas.openxmlformats.org/officeDocument/2006/relationships/hyperlink" Target="https://www.legislation.gov.au/C2004A01224/latest/text"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dta.gov.au/help-and-advice/guides-and-tools/commonwealth-library-deposit-and-free-issue-schemes" TargetMode="External"/><Relationship Id="rId18" Type="http://schemas.openxmlformats.org/officeDocument/2006/relationships/hyperlink" Target="https://www.ag.gov.au/LegalSystem/AdministrativeLaw/Pages/LegislationAct2003.aspx" TargetMode="External"/><Relationship Id="rId26" Type="http://schemas.openxmlformats.org/officeDocument/2006/relationships/hyperlink" Target="https://oia.pmc.gov.au/" TargetMode="External"/><Relationship Id="rId39" Type="http://schemas.openxmlformats.org/officeDocument/2006/relationships/hyperlink" Target="https://www.pmc.gov.au/resources/tabling-guidelines" TargetMode="External"/><Relationship Id="rId21" Type="http://schemas.openxmlformats.org/officeDocument/2006/relationships/hyperlink" Target="https://www.aph.gov.au/Parliamentary_Business/Committees/Senate/Regulations_and_Ordinances" TargetMode="External"/><Relationship Id="rId34" Type="http://schemas.openxmlformats.org/officeDocument/2006/relationships/hyperlink" Target="https://www.ag.gov.au/rights-and-protections/human-rights-and-anti-discrimination/human-rights-scrutiny" TargetMode="External"/><Relationship Id="rId42" Type="http://schemas.openxmlformats.org/officeDocument/2006/relationships/hyperlink" Target="http://www.judgments.fedcourt.gov.au/judgments/Judgments/fca/single/2015/2015fca0834" TargetMode="External"/><Relationship Id="rId47" Type="http://schemas.openxmlformats.org/officeDocument/2006/relationships/hyperlink" Target="https://www.legislation.gov.au/legislative-instruments/sunsetting" TargetMode="External"/><Relationship Id="rId50" Type="http://schemas.openxmlformats.org/officeDocument/2006/relationships/hyperlink" Target="https://www.ag.gov.au/legal-system/administrative-law/legislation-act-2003" TargetMode="External"/><Relationship Id="rId55" Type="http://schemas.openxmlformats.org/officeDocument/2006/relationships/hyperlink" Target="https://www.pmc.gov.au/sites/default/files/publications/pmc-tabling-guidelines.pdf" TargetMode="External"/><Relationship Id="rId7" Type="http://schemas.openxmlformats.org/officeDocument/2006/relationships/hyperlink" Target="https://parlinfo.aph.gov.au/" TargetMode="External"/><Relationship Id="rId2" Type="http://schemas.openxmlformats.org/officeDocument/2006/relationships/hyperlink" Target="https://catalogue.nla.gov.au/catalog/1846835" TargetMode="External"/><Relationship Id="rId16" Type="http://schemas.openxmlformats.org/officeDocument/2006/relationships/hyperlink" Target="https://www.protectivesecurity.gov.au/" TargetMode="External"/><Relationship Id="rId29" Type="http://schemas.openxmlformats.org/officeDocument/2006/relationships/hyperlink" Target="https://www.ag.gov.au/rights-and-protections/human-rights-and-anti-discrimination/human-rights-scrutiny" TargetMode="External"/><Relationship Id="rId11" Type="http://schemas.openxmlformats.org/officeDocument/2006/relationships/hyperlink" Target="https://www.opc.gov.au/sites/default/files/2024-04/Fact%20Sheet%20-%20Amending%20Instruments_0.pdf" TargetMode="External"/><Relationship Id="rId24" Type="http://schemas.openxmlformats.org/officeDocument/2006/relationships/hyperlink" Target="https://oia.pmc.gov.au/resources/guidance-oia-procedures/sunsetting-legislative-instruments" TargetMode="External"/><Relationship Id="rId32" Type="http://schemas.openxmlformats.org/officeDocument/2006/relationships/hyperlink" Target="https://www.ag.gov.au/legal-system/publications/guide-framing-commonwealth-offences-infringement-notices-and-enforcement-powers" TargetMode="External"/><Relationship Id="rId37" Type="http://schemas.openxmlformats.org/officeDocument/2006/relationships/hyperlink" Target="https://www.aph.gov.au/Parliamentary_Business/Chamber_documents/Senate_chamber_documents/Journals_of_the_Senate" TargetMode="External"/><Relationship Id="rId40" Type="http://schemas.openxmlformats.org/officeDocument/2006/relationships/hyperlink" Target="https://www.aph.gov.au/Parliamentary_Business/Bills_Legislation/Disallowance_Alert" TargetMode="External"/><Relationship Id="rId45" Type="http://schemas.openxmlformats.org/officeDocument/2006/relationships/hyperlink" Target="https://www.legislation.gov.au/help-and-resources/understanding-legislation/sunsetting-lists" TargetMode="External"/><Relationship Id="rId53" Type="http://schemas.openxmlformats.org/officeDocument/2006/relationships/hyperlink" Target="https://www.ag.gov.au/LegalSystem/AdministrativeLaw/Pages/LegislationAct2003.aspx" TargetMode="External"/><Relationship Id="rId58" Type="http://schemas.openxmlformats.org/officeDocument/2006/relationships/hyperlink" Target="https://www.pmc.gov.au/resource-centre/government/legislation-handbook" TargetMode="External"/><Relationship Id="rId5" Type="http://schemas.openxmlformats.org/officeDocument/2006/relationships/hyperlink" Target="https://www.opc.gov.au/sites/default/files/2023-09/Fact%20Sheet%20-%20Legislative%20Instruments.pdf" TargetMode="External"/><Relationship Id="rId19" Type="http://schemas.openxmlformats.org/officeDocument/2006/relationships/hyperlink" Target="https://www.ag.gov.au/legal-system/administrative-law/legislation-act-2003" TargetMode="External"/><Relationship Id="rId4" Type="http://schemas.openxmlformats.org/officeDocument/2006/relationships/hyperlink" Target="https://www.ag.gov.au/legal-system/publications/report-operation-sunsetting-provisions-legislation-act-2003" TargetMode="External"/><Relationship Id="rId9" Type="http://schemas.openxmlformats.org/officeDocument/2006/relationships/hyperlink" Target="https://www.opc.gov.au/sites/default/files/2024-04/Essentials%20of%20a%20legislative%20instrument.pdf" TargetMode="External"/><Relationship Id="rId14" Type="http://schemas.openxmlformats.org/officeDocument/2006/relationships/hyperlink" Target="https://www.ag.gov.au/legal-system/publications/guide-framing-commonwealth-offences-infringement-notices-and-enforcement-powers" TargetMode="External"/><Relationship Id="rId22" Type="http://schemas.openxmlformats.org/officeDocument/2006/relationships/hyperlink" Target="https://oia.pmc.gov.au/resources/forms-and-templates/australian-government-impact-analysis-preliminary-assessment-form" TargetMode="External"/><Relationship Id="rId27" Type="http://schemas.openxmlformats.org/officeDocument/2006/relationships/hyperlink" Target="https://www.pmc.gov.au/publications/guidance-caretaker-conventions" TargetMode="External"/><Relationship Id="rId30" Type="http://schemas.openxmlformats.org/officeDocument/2006/relationships/hyperlink" Target="https://oia.pmc.gov.au/resources/guidance-impact-analysis/australian-government-guide-policy-impact-analysis" TargetMode="External"/><Relationship Id="rId35" Type="http://schemas.openxmlformats.org/officeDocument/2006/relationships/hyperlink" Target="https://www.aph.gov.au/Parliamentary_Business/Committees/Joint/Human_Rights" TargetMode="External"/><Relationship Id="rId43" Type="http://schemas.openxmlformats.org/officeDocument/2006/relationships/hyperlink" Target="https://www.ag.gov.au/legal-system/administrative-law/legislation-act-2003" TargetMode="External"/><Relationship Id="rId48" Type="http://schemas.openxmlformats.org/officeDocument/2006/relationships/hyperlink" Target="https://www.ag.gov.au/legal-system/administrative-law/legislation-act-2003" TargetMode="External"/><Relationship Id="rId56" Type="http://schemas.openxmlformats.org/officeDocument/2006/relationships/hyperlink" Target="https://www.pmc.gov.au/resources/tabling-guidelines" TargetMode="External"/><Relationship Id="rId8" Type="http://schemas.openxmlformats.org/officeDocument/2006/relationships/hyperlink" Target="https://www.pmc.gov.au/resources/legislation-handbook" TargetMode="External"/><Relationship Id="rId51" Type="http://schemas.openxmlformats.org/officeDocument/2006/relationships/hyperlink" Target="https://www.ag.gov.au/LegalSystem/AdministrativeLaw/Pages/LegislationAct2003.aspx" TargetMode="External"/><Relationship Id="rId3" Type="http://schemas.openxmlformats.org/officeDocument/2006/relationships/hyperlink" Target="https://www.ag.gov.au/legal-system/administrative-law/legislation-act-2003" TargetMode="External"/><Relationship Id="rId12" Type="http://schemas.openxmlformats.org/officeDocument/2006/relationships/hyperlink" Target="https://www.ag.gov.au/legal-system/administrative-law/legislation-act-2003" TargetMode="External"/><Relationship Id="rId17" Type="http://schemas.openxmlformats.org/officeDocument/2006/relationships/hyperlink" Target="https://www.legislation.gov.au/C2004A00538/latest/text" TargetMode="External"/><Relationship Id="rId25" Type="http://schemas.openxmlformats.org/officeDocument/2006/relationships/hyperlink" Target="https://oia.pmc.gov.au/resources/guidance-impact-analysis/australian-government-guide-policy-impact-analysis" TargetMode="External"/><Relationship Id="rId33" Type="http://schemas.openxmlformats.org/officeDocument/2006/relationships/hyperlink" Target="https://www.aph.gov.au/Parliamentary_Business/Committees/Senate/Regulations_and_Ordinances" TargetMode="External"/><Relationship Id="rId38" Type="http://schemas.openxmlformats.org/officeDocument/2006/relationships/hyperlink" Target="https://www.aph.gov.au/Parliamentary_Business/Chamber_documents/HoR/Votes_and_Proceedings" TargetMode="External"/><Relationship Id="rId46" Type="http://schemas.openxmlformats.org/officeDocument/2006/relationships/hyperlink" Target="https://www.pmc.gov.au/resources/tabling-guidelines" TargetMode="External"/><Relationship Id="rId59" Type="http://schemas.openxmlformats.org/officeDocument/2006/relationships/hyperlink" Target="https://www.pmc.gov.au/resources/legislation-handbook" TargetMode="External"/><Relationship Id="rId20" Type="http://schemas.openxmlformats.org/officeDocument/2006/relationships/hyperlink" Target="https://www.pmc.gov.au/resources/federal-executive-council-handbook-2021" TargetMode="External"/><Relationship Id="rId41" Type="http://schemas.openxmlformats.org/officeDocument/2006/relationships/hyperlink" Target="http://www.austlii.edu.au/au/cases/cth/HCA/1943/21.html" TargetMode="External"/><Relationship Id="rId54" Type="http://schemas.openxmlformats.org/officeDocument/2006/relationships/hyperlink" Target="https://www.ag.gov.au/legal-system/administrative-law/legislation-act-2003" TargetMode="External"/><Relationship Id="rId1" Type="http://schemas.openxmlformats.org/officeDocument/2006/relationships/hyperlink" Target="https://www.pmc.gov.au/resources/legislation-handbook" TargetMode="External"/><Relationship Id="rId6" Type="http://schemas.openxmlformats.org/officeDocument/2006/relationships/hyperlink" Target="https://www.aph.gov.au/Parliamentary_Business/Bills_Legislation" TargetMode="External"/><Relationship Id="rId15" Type="http://schemas.openxmlformats.org/officeDocument/2006/relationships/hyperlink" Target="https://www.protectivesecurity.gov.au/system/files/2025-12/pspf-release-2025-guidelines.pdf" TargetMode="External"/><Relationship Id="rId23" Type="http://schemas.openxmlformats.org/officeDocument/2006/relationships/hyperlink" Target="https://oia.pmc.gov.au/resources/guidance-impact-analysis/australian-government-guide-policy-impact-analysis" TargetMode="External"/><Relationship Id="rId28" Type="http://schemas.openxmlformats.org/officeDocument/2006/relationships/hyperlink" Target="https://www.pmc.gov.au/resources/federal-executive-council-handbook-2021" TargetMode="External"/><Relationship Id="rId36" Type="http://schemas.openxmlformats.org/officeDocument/2006/relationships/hyperlink" Target="https://www.ag.gov.au/legal-system/administrative-law/legislation-act-2003" TargetMode="External"/><Relationship Id="rId49" Type="http://schemas.openxmlformats.org/officeDocument/2006/relationships/hyperlink" Target="https://www.ag.gov.au/LegalSystem/AdministrativeLaw/Pages/LegislationAct2003.aspx" TargetMode="External"/><Relationship Id="rId57" Type="http://schemas.openxmlformats.org/officeDocument/2006/relationships/hyperlink" Target="https://www.opc.gov.au/sites/default/files/2024-01/Instrument%20Drafting%20Guidance%20Note%20No.%201.4%20-%20Timeframes%20for%20the%20development%20of%20instruments_0.pdf" TargetMode="External"/><Relationship Id="rId10" Type="http://schemas.openxmlformats.org/officeDocument/2006/relationships/hyperlink" Target="https://www.pmc.gov.au/resources/federal-executive-council-handbook-2021" TargetMode="External"/><Relationship Id="rId31" Type="http://schemas.openxmlformats.org/officeDocument/2006/relationships/hyperlink" Target="https://www.ag.gov.au/legal-system/publications/what-decisions-should-be-subject-merit-review-1999" TargetMode="External"/><Relationship Id="rId44" Type="http://schemas.openxmlformats.org/officeDocument/2006/relationships/hyperlink" Target="https://www.ag.gov.au/legal-system/administrative-law/legislation-act-2003" TargetMode="External"/><Relationship Id="rId52" Type="http://schemas.openxmlformats.org/officeDocument/2006/relationships/hyperlink" Target="https://www.ag.gov.au/legal-system/administrative-law/legislation-act-2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Memos\m_intnal.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07T04:43:43.662"/>
    </inkml:context>
    <inkml:brush xml:id="br0">
      <inkml:brushProperty name="width" value="0.05" units="cm"/>
      <inkml:brushProperty name="height" value="0.05" units="cm"/>
    </inkml:brush>
  </inkml:definitions>
  <inkml:trace contextRef="#ctx0" brushRef="#br0">15 845 3329,'0'0'3519,"0"0"-2556,0 0-712,0 0-63,-11 4-431,8-2 6196,5 18-1328,225-370-3909,-141 228-726,29-31-77,-115 154 86,0-1 0,0 1 0,0-1 0,0 1 0,0-1-1,0 1 1,0-1 0,0 1 0,0-1 0,1 1 0,-1-1 0,0 0 0,0 1-1,0-1 1,1 1 0,-1-1 0,0 0 0,1 1 0,-1-1 0,0 0 0,1 1-1,-1-1 1,0 0 0,1 1 0,-1-1 0,1 0 0,-1 0 0,1 0 0,-1 1 0,0-1-1,1 0 1,-1 0 0,1 0 0,-1 0 0,1 0 0,-1 0 0,1 0 0,-1 0-1,1 0 1,-1 0 0,1 0 0,-1 0 0,1 0 0,-1 0 0,0-1 0,1 1 0,-1 0-1,1 0 1,-1 0 0,1-1 0,-1 1 0,0 0 0,1-1 0,-1 1 0,0 0-1,1-1 1,-1 1 0,0 0 0,1-1 0,-1 1 0,0-1 0,0 1 0,1 0-1,-1-1 1,0 1 0,0-1 0,0 1 0,0-1 0,0 0 1,-1 43 40,1-39-36,-9 50 82,-2-1 0,-3 1 0,-2-2 0,-2 0 0,-5 6-86,10-22 14,-161 383-2159,166-390 144,20-51-221,2-8 2298,263-507 1959,-216 454-1009,-61 84-1017,1 0 1,-1 0 0,1 0 0,-1 0 0,1-1 0,-1 1 0,1 0 0,-1 0-1,1 0 1,-1 0 0,1 0 0,-1 0 0,0 0 0,1 1 0,-1-1 0,1 0-1,-1 0 1,1 0 0,-1 0 0,1 1 0,-1-1 0,1 0 0,-1 0 0,0 1-1,1-1 1,-1 0 0,0 1 0,1-1 0,-1 0 0,0 1 0,1-1 0,-1 1-1,0-1 1,0 0 0,1 1 0,-1-1 0,0 1 0,0-1 0,0 1 0,0-1 0,1 1-1,-1-1 1,0 1 0,0-1 0,0 1 0,0-1 0,0 1 0,0-1 0,-1 1-1,1-1 1,0 1 0,0-1 0,0 0 0,0 1 0,0-1 0,-1 1 0,1-1-1,0 1 1,0-1 0,-1 0 0,1 1 0,0-1 0,-1 1 0,1-1 0,0 0-1,-1 1 1,1-1-10,0 9 113,-44 426 1562,37-279-2083,7-155 377,0 0 0,1 0 0,-1-1 0,0 1 0,0 0 0,0-1 1,1 1-1,-1 0 0,0 0 0,1-1 0,-1 1 0,1-1 0,-1 1 0,1 0 0,-1-1 0,1 1 0,-1-1 0,1 1 0,-1-1 0,1 1 0,0-1 0,-1 0 0,1 1 0,0-1 0,-1 0 0,1 1 0,0-1 0,0 0 0,-1 0 0,1 0 0,0 0 0,0 0 1,-1 0-1,1 0 0,0 0 0,0 0 0,-1 0 0,1 0 0,0 0 0,0 0 0,-1-1 0,1 1 0,0 0 0,-1 0 0,1-1 0,0 1 0,-1-1 0,1 1 0,0-1 0,-1 1 0,1-1 0,-1 1 0,1-1 0,-1 1 0,1-1 0,-1 1 0,0-1 0,1 0 1,-1 1-1,1-2 31,16-13-51,-1-1 0,0-1 0,-1 0 0,-1-1 0,0-1 0,6-10 51,-8 10 21,165-261 1757,-98 172-244,-69 113-1325,-3 152 499,-7 296 74,9-352-1684,-8-99 773,0-1 0,0 1 0,0 0 0,0-1 0,1 0 0,-1 1-1,1-1 1,-1 0 0,1 1 0,-1-1 0,1 0 0,0 0 0,-1 0-1,1-1 1,0 1 0,0 0 0,0-1 0,0 1 0,0-1 0,0 1 0,-1-1-1,1 0 1,0 0 0,0 0 0,0 0 0,0 0 0,0-1 0,0 1 0,0 0-1,0-1 1,0 0 0,0 1 0,-1-1 0,1 0 0,0 0 0,0 0-1,-1 0 1,1 0 0,-1 0 0,1-1 0,0 0 129,12-13-481,-2-1 0,0 0 0,-1-1 0,-1 0 0,0 0 0,-1-1 0,-1-1 0,-1 1 0,3-14 481,-5 18-288,64-203-4416,-47 127-65</inkml:trace>
  <inkml:trace contextRef="#ctx0" brushRef="#br0" timeOffset="1">1494 0 10722,'-9'19'1543,"-58"134"102,-21 46 66,-8-2 1,-103 155-1712,144-279-335,54-71 320,1-3-25,-1 0 1,1 1-1,0-1 0,0 0 1,-1 1-1,1-1 0,0 0 1,-1 1-1,1-1 0,-1 1 1,1-1-1,-1 1 0,1-1 1,-1 1-1,0-1 1,1 1-1,-1-1 0,1 1 1,-1 0-1,0-1 0,1 1 1,-1 0-1,0 0 0,0-1 1,1 1-1,-1 0 0,0 0 1,0 0-1,1 0 0,-1 0 1,0 0-1,1 0 1,-1 0-1,0 0 0,0 0 1,1 1-1,-1-1 0,0 0 1,1 0-1,-1 1 0,0-1 1,1 0-1,-1 1 0,0-1 1,1 1-1,-1-1 0,1 1 1,-1-1-1,1 1 1,-1 0 39,8-544-385,-5 506 1209,6 55-138,-4 25-655,2-2 0,2 1 0,2-1 0,2 0 0,1-1 0,3-1-1,0 0 1,3-1 0,1-1 0,2 0 0,0-2 0,3-2 0,1 0 0,2-1 0,1-1 0,2-2 0,20 15-31,-24-26-7,0-1 1,2-2 0,-1-1 0,2-1-1,0-1 1,1-2 0,-1-1-1,2-2 1,-1 0 0,1-3 0,0 0-1,0-2 1,27-2 6,-48-1-52,1 0 0,-1-1 0,0-1 0,0 1 0,0-2 0,0 0 0,0 0 0,-1-1 0,1 0 0,-1-1 0,-1 0 0,1 0 0,-1-1 0,1-1 52,210-191-3427,-124 96-962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44F6-3D23-4D92-BD76-51DFC55A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m_intnal.dotx</Template>
  <TotalTime>0</TotalTime>
  <Pages>103</Pages>
  <Words>40724</Words>
  <Characters>215028</Characters>
  <Application>Microsoft Office Word</Application>
  <DocSecurity>0</DocSecurity>
  <Lines>3982</Lines>
  <Paragraphs>2149</Paragraphs>
  <ScaleCrop>false</ScaleCrop>
  <HeadingPairs>
    <vt:vector size="2" baseType="variant">
      <vt:variant>
        <vt:lpstr>Title</vt:lpstr>
      </vt:variant>
      <vt:variant>
        <vt:i4>1</vt:i4>
      </vt:variant>
    </vt:vector>
  </HeadingPairs>
  <TitlesOfParts>
    <vt:vector size="1" baseType="lpstr">
      <vt:lpstr>Instruments Handbook</vt:lpstr>
    </vt:vector>
  </TitlesOfParts>
  <Manager/>
  <Company/>
  <LinksUpToDate>false</LinksUpToDate>
  <CharactersWithSpaces>253603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Instruments Handbook</dc:title>
  <dc:subject>Instruments Handbook</dc:subject>
  <dc:creator/>
  <dc:description/>
  <cp:lastModifiedBy/>
  <cp:revision>1</cp:revision>
  <dcterms:created xsi:type="dcterms:W3CDTF">2026-03-13T01:21:00Z</dcterms:created>
  <dcterms:modified xsi:type="dcterms:W3CDTF">2026-03-13T01:42:00Z</dcterms:modified>
  <cp:category>Other - Final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M">
    <vt:lpwstr> </vt:lpwstr>
  </property>
  <property fmtid="{D5CDD505-2E9C-101B-9397-08002B2CF9AE}" pid="3" name="DoNotAsk">
    <vt:lpwstr>0</vt:lpwstr>
  </property>
  <property fmtid="{D5CDD505-2E9C-101B-9397-08002B2CF9AE}" pid="4" name="ChangedTitle">
    <vt:lpwstr/>
  </property>
  <property fmtid="{D5CDD505-2E9C-101B-9397-08002B2CF9AE}" pid="5" name="Type">
    <vt:lpwstr>M</vt:lpwstr>
  </property>
</Properties>
</file>